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4DC4B">
      <w:pPr>
        <w:rPr>
          <w:rFonts w:hint="eastAsia" w:ascii="Times New Roman" w:hAnsi="Times New Roman" w:eastAsia="宋体" w:cs="Times New Roman"/>
          <w:color w:val="auto"/>
          <w:highlight w:val="none"/>
          <w:lang w:eastAsia="zh-CN"/>
        </w:rPr>
      </w:pPr>
    </w:p>
    <w:p w14:paraId="5B3F7363">
      <w:pPr>
        <w:rPr>
          <w:rFonts w:hint="default" w:ascii="Times New Roman" w:hAnsi="Times New Roman" w:cs="Times New Roman"/>
          <w:color w:val="auto"/>
          <w:highlight w:val="none"/>
        </w:rPr>
      </w:pPr>
    </w:p>
    <w:p w14:paraId="2084E642">
      <w:pPr>
        <w:jc w:val="center"/>
        <w:rPr>
          <w:rFonts w:hint="default" w:ascii="Times New Roman" w:hAnsi="Times New Roman" w:eastAsia="宋体" w:cs="Times New Roman"/>
          <w:b/>
          <w:color w:val="auto"/>
          <w:sz w:val="52"/>
          <w:szCs w:val="52"/>
          <w:highlight w:val="none"/>
          <w:lang w:val="en-US" w:eastAsia="zh-CN"/>
        </w:rPr>
      </w:pPr>
    </w:p>
    <w:p w14:paraId="6AB0D668">
      <w:pPr>
        <w:jc w:val="both"/>
        <w:rPr>
          <w:rFonts w:hint="default" w:ascii="Times New Roman" w:hAnsi="Times New Roman" w:eastAsia="宋体" w:cs="Times New Roman"/>
          <w:b/>
          <w:color w:val="auto"/>
          <w:sz w:val="52"/>
          <w:szCs w:val="52"/>
          <w:highlight w:val="none"/>
          <w:lang w:val="en-US" w:eastAsia="zh-CN"/>
        </w:rPr>
      </w:pPr>
    </w:p>
    <w:p w14:paraId="0F3FDF20">
      <w:pPr>
        <w:jc w:val="both"/>
        <w:rPr>
          <w:rFonts w:hint="default" w:ascii="Times New Roman" w:hAnsi="Times New Roman" w:eastAsia="宋体" w:cs="Times New Roman"/>
          <w:b/>
          <w:color w:val="auto"/>
          <w:sz w:val="52"/>
          <w:szCs w:val="52"/>
          <w:highlight w:val="none"/>
          <w:lang w:val="en-US" w:eastAsia="zh-CN"/>
        </w:rPr>
      </w:pPr>
    </w:p>
    <w:p w14:paraId="32DAFD91">
      <w:pPr>
        <w:keepNext w:val="0"/>
        <w:keepLines w:val="0"/>
        <w:pageBreakBefore w:val="0"/>
        <w:widowControl/>
        <w:kinsoku/>
        <w:wordWrap/>
        <w:overflowPunct/>
        <w:topLinePunct w:val="0"/>
        <w:autoSpaceDE/>
        <w:autoSpaceDN/>
        <w:bidi w:val="0"/>
        <w:adjustRightInd/>
        <w:snapToGrid/>
        <w:spacing w:before="164" w:beforeLines="50"/>
        <w:jc w:val="center"/>
        <w:textAlignment w:val="auto"/>
        <w:outlineLvl w:val="9"/>
        <w:rPr>
          <w:rFonts w:hint="default" w:ascii="Times New Roman" w:hAnsi="Times New Roman" w:eastAsia="宋体" w:cs="Times New Roman"/>
          <w:b/>
          <w:bCs w:val="0"/>
          <w:color w:val="auto"/>
          <w:sz w:val="48"/>
          <w:szCs w:val="48"/>
          <w:highlight w:val="none"/>
          <w:lang w:val="en-US" w:eastAsia="zh-CN"/>
        </w:rPr>
      </w:pPr>
      <w:bookmarkStart w:id="0" w:name="_Toc29646"/>
      <w:r>
        <w:rPr>
          <w:rFonts w:hint="eastAsia" w:cs="Times New Roman"/>
          <w:b/>
          <w:color w:val="auto"/>
          <w:sz w:val="48"/>
          <w:szCs w:val="48"/>
          <w:highlight w:val="none"/>
          <w:lang w:val="en-US" w:eastAsia="zh-CN"/>
        </w:rPr>
        <w:t>采油三厂2025年第二期短半径</w:t>
      </w:r>
      <w:r>
        <w:rPr>
          <w:rFonts w:hint="default" w:ascii="Times New Roman" w:hAnsi="Times New Roman" w:eastAsia="宋体" w:cs="Times New Roman"/>
          <w:b/>
          <w:color w:val="auto"/>
          <w:sz w:val="48"/>
          <w:szCs w:val="48"/>
          <w:highlight w:val="none"/>
          <w:lang w:val="en-US" w:eastAsia="zh-CN"/>
        </w:rPr>
        <w:t>侧钻项目</w:t>
      </w:r>
      <w:r>
        <w:rPr>
          <w:rFonts w:hint="default" w:ascii="Times New Roman" w:hAnsi="Times New Roman" w:eastAsia="宋体" w:cs="Times New Roman"/>
          <w:b/>
          <w:bCs w:val="0"/>
          <w:color w:val="auto"/>
          <w:sz w:val="48"/>
          <w:szCs w:val="48"/>
          <w:highlight w:val="none"/>
          <w:lang w:val="en-US" w:eastAsia="zh-CN"/>
        </w:rPr>
        <w:t>环境影响报告书</w:t>
      </w:r>
      <w:bookmarkEnd w:id="0"/>
    </w:p>
    <w:p w14:paraId="635551B1">
      <w:pPr>
        <w:keepNext w:val="0"/>
        <w:keepLines w:val="0"/>
        <w:pageBreakBefore w:val="0"/>
        <w:widowControl/>
        <w:kinsoku/>
        <w:wordWrap/>
        <w:overflowPunct/>
        <w:topLinePunct w:val="0"/>
        <w:autoSpaceDE/>
        <w:autoSpaceDN/>
        <w:bidi w:val="0"/>
        <w:adjustRightInd/>
        <w:snapToGrid/>
        <w:spacing w:before="164" w:beforeLines="50"/>
        <w:jc w:val="center"/>
        <w:textAlignment w:val="auto"/>
        <w:outlineLvl w:val="9"/>
        <w:rPr>
          <w:rFonts w:hint="default" w:ascii="Times New Roman" w:hAnsi="Times New Roman" w:eastAsia="宋体" w:cs="Times New Roman"/>
          <w:b/>
          <w:bCs/>
          <w:color w:val="auto"/>
          <w:sz w:val="28"/>
          <w:szCs w:val="28"/>
          <w:highlight w:val="none"/>
          <w:lang w:eastAsia="zh-CN"/>
        </w:rPr>
      </w:pPr>
      <w:bookmarkStart w:id="1" w:name="_Toc32008"/>
      <w:r>
        <w:rPr>
          <w:rFonts w:hint="default" w:ascii="Times New Roman" w:hAnsi="Times New Roman" w:cs="Times New Roman"/>
          <w:b/>
          <w:bCs/>
          <w:color w:val="auto"/>
          <w:sz w:val="28"/>
          <w:szCs w:val="28"/>
          <w:highlight w:val="none"/>
          <w:lang w:eastAsia="zh-CN"/>
        </w:rPr>
        <w:t>（</w:t>
      </w:r>
      <w:r>
        <w:rPr>
          <w:rFonts w:hint="eastAsia" w:cs="Times New Roman"/>
          <w:b/>
          <w:bCs/>
          <w:color w:val="auto"/>
          <w:sz w:val="28"/>
          <w:szCs w:val="28"/>
          <w:highlight w:val="none"/>
          <w:lang w:val="en-US" w:eastAsia="zh-CN"/>
        </w:rPr>
        <w:t>公示</w:t>
      </w:r>
      <w:r>
        <w:rPr>
          <w:rFonts w:hint="default" w:ascii="Times New Roman" w:hAnsi="Times New Roman" w:cs="Times New Roman"/>
          <w:b/>
          <w:bCs/>
          <w:color w:val="auto"/>
          <w:sz w:val="28"/>
          <w:szCs w:val="28"/>
          <w:highlight w:val="none"/>
          <w:lang w:val="en-US" w:eastAsia="zh-CN"/>
        </w:rPr>
        <w:t>稿</w:t>
      </w:r>
      <w:r>
        <w:rPr>
          <w:rFonts w:hint="default" w:ascii="Times New Roman" w:hAnsi="Times New Roman" w:cs="Times New Roman"/>
          <w:b/>
          <w:bCs/>
          <w:color w:val="auto"/>
          <w:sz w:val="28"/>
          <w:szCs w:val="28"/>
          <w:highlight w:val="none"/>
          <w:lang w:eastAsia="zh-CN"/>
        </w:rPr>
        <w:t>）</w:t>
      </w:r>
      <w:bookmarkEnd w:id="1"/>
    </w:p>
    <w:p w14:paraId="0F15B3C9">
      <w:pPr>
        <w:jc w:val="center"/>
        <w:rPr>
          <w:rFonts w:hint="default" w:ascii="Times New Roman" w:hAnsi="Times New Roman" w:cs="Times New Roman"/>
          <w:color w:val="auto"/>
          <w:highlight w:val="none"/>
        </w:rPr>
      </w:pPr>
    </w:p>
    <w:p w14:paraId="29C35E09">
      <w:pPr>
        <w:jc w:val="center"/>
        <w:rPr>
          <w:rFonts w:hint="default" w:ascii="Times New Roman" w:hAnsi="Times New Roman" w:cs="Times New Roman"/>
          <w:color w:val="auto"/>
          <w:highlight w:val="none"/>
        </w:rPr>
      </w:pPr>
    </w:p>
    <w:p w14:paraId="31980AA3">
      <w:pPr>
        <w:jc w:val="center"/>
        <w:rPr>
          <w:rFonts w:hint="default" w:ascii="Times New Roman" w:hAnsi="Times New Roman" w:cs="Times New Roman"/>
          <w:color w:val="auto"/>
          <w:highlight w:val="none"/>
        </w:rPr>
      </w:pPr>
    </w:p>
    <w:p w14:paraId="462FB044">
      <w:pPr>
        <w:jc w:val="center"/>
        <w:rPr>
          <w:rFonts w:hint="default" w:ascii="Times New Roman" w:hAnsi="Times New Roman" w:cs="Times New Roman"/>
          <w:color w:val="auto"/>
          <w:highlight w:val="none"/>
        </w:rPr>
      </w:pPr>
    </w:p>
    <w:p w14:paraId="564E59E6">
      <w:pPr>
        <w:jc w:val="center"/>
        <w:rPr>
          <w:rFonts w:hint="default" w:ascii="Times New Roman" w:hAnsi="Times New Roman" w:cs="Times New Roman"/>
          <w:color w:val="auto"/>
          <w:highlight w:val="none"/>
        </w:rPr>
      </w:pPr>
    </w:p>
    <w:p w14:paraId="064F8CB4">
      <w:pPr>
        <w:jc w:val="center"/>
        <w:rPr>
          <w:rFonts w:hint="default" w:ascii="Times New Roman" w:hAnsi="Times New Roman" w:cs="Times New Roman"/>
          <w:color w:val="auto"/>
          <w:highlight w:val="none"/>
        </w:rPr>
      </w:pPr>
    </w:p>
    <w:p w14:paraId="1F2E4505">
      <w:pPr>
        <w:pStyle w:val="9"/>
        <w:rPr>
          <w:rFonts w:hint="default" w:ascii="Times New Roman" w:hAnsi="Times New Roman" w:cs="Times New Roman"/>
          <w:color w:val="auto"/>
          <w:highlight w:val="none"/>
        </w:rPr>
      </w:pPr>
    </w:p>
    <w:p w14:paraId="04F6C104">
      <w:pPr>
        <w:pStyle w:val="9"/>
        <w:rPr>
          <w:rFonts w:hint="default" w:ascii="Times New Roman" w:hAnsi="Times New Roman" w:cs="Times New Roman"/>
          <w:color w:val="auto"/>
          <w:highlight w:val="none"/>
        </w:rPr>
      </w:pPr>
    </w:p>
    <w:p w14:paraId="14C6BCD9">
      <w:pPr>
        <w:pStyle w:val="9"/>
        <w:rPr>
          <w:rFonts w:hint="default" w:ascii="Times New Roman" w:hAnsi="Times New Roman" w:cs="Times New Roman"/>
          <w:color w:val="auto"/>
          <w:highlight w:val="none"/>
        </w:rPr>
      </w:pPr>
    </w:p>
    <w:p w14:paraId="09BF0E10">
      <w:pPr>
        <w:pStyle w:val="9"/>
        <w:rPr>
          <w:rFonts w:hint="default" w:ascii="Times New Roman" w:hAnsi="Times New Roman" w:cs="Times New Roman"/>
          <w:color w:val="auto"/>
          <w:highlight w:val="none"/>
        </w:rPr>
      </w:pPr>
    </w:p>
    <w:p w14:paraId="2EBA845E">
      <w:pPr>
        <w:pStyle w:val="9"/>
        <w:rPr>
          <w:rFonts w:hint="default" w:ascii="Times New Roman" w:hAnsi="Times New Roman" w:cs="Times New Roman"/>
          <w:color w:val="auto"/>
          <w:highlight w:val="none"/>
        </w:rPr>
      </w:pPr>
    </w:p>
    <w:p w14:paraId="503A21A4">
      <w:pPr>
        <w:pStyle w:val="9"/>
        <w:rPr>
          <w:rFonts w:hint="default" w:ascii="Times New Roman" w:hAnsi="Times New Roman" w:cs="Times New Roman"/>
          <w:color w:val="auto"/>
          <w:highlight w:val="none"/>
        </w:rPr>
      </w:pPr>
    </w:p>
    <w:p w14:paraId="0ED39655">
      <w:pPr>
        <w:pStyle w:val="9"/>
        <w:rPr>
          <w:rFonts w:hint="default" w:ascii="Times New Roman" w:hAnsi="Times New Roman" w:cs="Times New Roman"/>
          <w:color w:val="auto"/>
          <w:highlight w:val="none"/>
        </w:rPr>
      </w:pPr>
    </w:p>
    <w:p w14:paraId="77A69E8B">
      <w:pPr>
        <w:pStyle w:val="9"/>
        <w:rPr>
          <w:rFonts w:hint="default" w:ascii="Times New Roman" w:hAnsi="Times New Roman" w:cs="Times New Roman"/>
          <w:color w:val="auto"/>
          <w:highlight w:val="none"/>
        </w:rPr>
      </w:pPr>
    </w:p>
    <w:p w14:paraId="2B5C420A">
      <w:pPr>
        <w:pStyle w:val="9"/>
        <w:rPr>
          <w:rFonts w:hint="default" w:ascii="Times New Roman" w:hAnsi="Times New Roman" w:cs="Times New Roman"/>
          <w:color w:val="auto"/>
          <w:highlight w:val="none"/>
        </w:rPr>
      </w:pPr>
    </w:p>
    <w:p w14:paraId="695AC861">
      <w:pPr>
        <w:pStyle w:val="9"/>
        <w:rPr>
          <w:rFonts w:hint="default" w:ascii="Times New Roman" w:hAnsi="Times New Roman" w:cs="Times New Roman"/>
          <w:color w:val="auto"/>
          <w:highlight w:val="none"/>
        </w:rPr>
      </w:pPr>
    </w:p>
    <w:p w14:paraId="1EDCF5B8">
      <w:pPr>
        <w:pStyle w:val="9"/>
        <w:rPr>
          <w:rFonts w:hint="default" w:ascii="Times New Roman" w:hAnsi="Times New Roman" w:cs="Times New Roman"/>
          <w:color w:val="auto"/>
          <w:highlight w:val="none"/>
        </w:rPr>
      </w:pPr>
    </w:p>
    <w:p w14:paraId="70863CDE">
      <w:pPr>
        <w:pStyle w:val="9"/>
        <w:rPr>
          <w:rFonts w:hint="default" w:ascii="Times New Roman" w:hAnsi="Times New Roman" w:cs="Times New Roman"/>
          <w:color w:val="auto"/>
          <w:highlight w:val="none"/>
        </w:rPr>
      </w:pPr>
    </w:p>
    <w:p w14:paraId="5E78865C">
      <w:pPr>
        <w:pStyle w:val="9"/>
        <w:rPr>
          <w:rFonts w:hint="default" w:ascii="Times New Roman" w:hAnsi="Times New Roman" w:cs="Times New Roman"/>
          <w:color w:val="auto"/>
          <w:highlight w:val="none"/>
        </w:rPr>
      </w:pPr>
    </w:p>
    <w:p w14:paraId="451E4BCC">
      <w:pPr>
        <w:pStyle w:val="9"/>
        <w:rPr>
          <w:rFonts w:hint="default" w:ascii="Times New Roman" w:hAnsi="Times New Roman" w:cs="Times New Roman"/>
          <w:color w:val="auto"/>
          <w:highlight w:val="none"/>
        </w:rPr>
      </w:pPr>
    </w:p>
    <w:p w14:paraId="457D5118">
      <w:pPr>
        <w:pStyle w:val="9"/>
        <w:rPr>
          <w:rFonts w:hint="default" w:ascii="Times New Roman" w:hAnsi="Times New Roman" w:cs="Times New Roman"/>
          <w:color w:val="auto"/>
          <w:highlight w:val="none"/>
        </w:rPr>
      </w:pPr>
    </w:p>
    <w:p w14:paraId="6950E066">
      <w:pPr>
        <w:pStyle w:val="9"/>
        <w:rPr>
          <w:rFonts w:hint="default" w:ascii="Times New Roman" w:hAnsi="Times New Roman" w:cs="Times New Roman"/>
          <w:color w:val="auto"/>
          <w:highlight w:val="none"/>
        </w:rPr>
      </w:pPr>
    </w:p>
    <w:p w14:paraId="7903629F">
      <w:pPr>
        <w:pStyle w:val="9"/>
        <w:ind w:left="0" w:leftChars="0" w:firstLine="0" w:firstLineChars="0"/>
        <w:rPr>
          <w:rFonts w:hint="default" w:ascii="Times New Roman" w:hAnsi="Times New Roman" w:cs="Times New Roman"/>
          <w:color w:val="auto"/>
          <w:highlight w:val="none"/>
        </w:rPr>
      </w:pPr>
    </w:p>
    <w:p w14:paraId="000B6E9B">
      <w:pPr>
        <w:pStyle w:val="9"/>
        <w:rPr>
          <w:rFonts w:hint="default" w:ascii="Times New Roman" w:hAnsi="Times New Roman" w:cs="Times New Roman"/>
          <w:color w:val="auto"/>
          <w:highlight w:val="none"/>
        </w:rPr>
      </w:pPr>
    </w:p>
    <w:p w14:paraId="1876B97E">
      <w:pPr>
        <w:pStyle w:val="9"/>
        <w:rPr>
          <w:rFonts w:hint="default" w:ascii="Times New Roman" w:hAnsi="Times New Roman" w:cs="Times New Roman"/>
          <w:color w:val="auto"/>
          <w:highlight w:val="none"/>
        </w:rPr>
      </w:pPr>
    </w:p>
    <w:p w14:paraId="086192A4">
      <w:pPr>
        <w:pStyle w:val="9"/>
        <w:rPr>
          <w:rFonts w:hint="default" w:ascii="Times New Roman" w:hAnsi="Times New Roman" w:cs="Times New Roman"/>
          <w:color w:val="auto"/>
          <w:highlight w:val="none"/>
        </w:rPr>
      </w:pPr>
    </w:p>
    <w:p w14:paraId="575434E3">
      <w:pPr>
        <w:pStyle w:val="9"/>
        <w:ind w:left="0" w:leftChars="0" w:firstLine="0" w:firstLineChars="0"/>
        <w:rPr>
          <w:rFonts w:hint="default" w:ascii="Times New Roman" w:hAnsi="Times New Roman" w:cs="Times New Roman"/>
          <w:color w:val="auto"/>
          <w:highlight w:val="none"/>
        </w:rPr>
      </w:pPr>
    </w:p>
    <w:p w14:paraId="76D72FEE">
      <w:pPr>
        <w:jc w:val="center"/>
        <w:rPr>
          <w:rFonts w:hint="default" w:ascii="Times New Roman" w:hAnsi="Times New Roman" w:cs="Times New Roman"/>
          <w:color w:val="auto"/>
          <w:highlight w:val="none"/>
        </w:rPr>
      </w:pPr>
    </w:p>
    <w:p w14:paraId="55C1E31F">
      <w:pPr>
        <w:jc w:val="center"/>
        <w:rPr>
          <w:rFonts w:hint="default" w:ascii="Times New Roman" w:hAnsi="Times New Roman" w:cs="Times New Roman"/>
          <w:color w:val="auto"/>
          <w:highlight w:val="none"/>
        </w:rPr>
      </w:pPr>
    </w:p>
    <w:p w14:paraId="6E597307">
      <w:pPr>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color w:val="auto"/>
          <w:sz w:val="32"/>
          <w:szCs w:val="32"/>
          <w:highlight w:val="none"/>
          <w:lang w:val="en-US" w:eastAsia="zh-CN"/>
        </w:rPr>
      </w:pPr>
      <w:bookmarkStart w:id="2" w:name="_Toc26098"/>
      <w:bookmarkStart w:id="3" w:name="_Toc2323"/>
      <w:bookmarkStart w:id="4" w:name="_Toc26556"/>
      <w:bookmarkStart w:id="5" w:name="_Toc25525"/>
      <w:bookmarkStart w:id="6" w:name="_Toc24832"/>
      <w:bookmarkStart w:id="7" w:name="_Toc8521"/>
      <w:bookmarkStart w:id="8" w:name="_Toc5468"/>
      <w:bookmarkStart w:id="9" w:name="_Toc2397"/>
      <w:r>
        <w:rPr>
          <w:rFonts w:hint="default" w:ascii="Times New Roman" w:hAnsi="Times New Roman" w:cs="Times New Roman"/>
          <w:b/>
          <w:color w:val="auto"/>
          <w:sz w:val="32"/>
          <w:szCs w:val="32"/>
          <w:highlight w:val="none"/>
        </w:rPr>
        <w:t>中国石油化工股份有限公司西北油田分公司</w:t>
      </w:r>
      <w:bookmarkEnd w:id="2"/>
      <w:bookmarkEnd w:id="3"/>
      <w:bookmarkEnd w:id="4"/>
      <w:bookmarkEnd w:id="5"/>
      <w:bookmarkEnd w:id="6"/>
      <w:bookmarkEnd w:id="7"/>
      <w:bookmarkEnd w:id="8"/>
      <w:bookmarkEnd w:id="9"/>
    </w:p>
    <w:p w14:paraId="2610B17D">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32"/>
          <w:szCs w:val="32"/>
          <w:highlight w:val="none"/>
        </w:rPr>
        <w:sectPr>
          <w:headerReference r:id="rId3" w:type="first"/>
          <w:footerReference r:id="rId4" w:type="default"/>
          <w:pgSz w:w="11906" w:h="16838"/>
          <w:pgMar w:top="1440" w:right="1797" w:bottom="1440" w:left="1797" w:header="935" w:footer="1134" w:gutter="0"/>
          <w:pgBorders>
            <w:top w:val="none" w:sz="0" w:space="0"/>
            <w:left w:val="none" w:sz="0" w:space="0"/>
            <w:bottom w:val="none" w:sz="0" w:space="0"/>
            <w:right w:val="none" w:sz="0" w:space="0"/>
          </w:pgBorders>
          <w:pgNumType w:fmt="decimal" w:start="1"/>
          <w:cols w:space="720" w:num="1"/>
          <w:titlePg/>
          <w:docGrid w:linePitch="326" w:charSpace="0"/>
        </w:sectPr>
      </w:pPr>
      <w:r>
        <w:rPr>
          <w:rFonts w:hint="default" w:ascii="Times New Roman" w:hAnsi="Times New Roman" w:cs="Times New Roman"/>
          <w:b/>
          <w:color w:val="auto"/>
          <w:sz w:val="32"/>
          <w:szCs w:val="32"/>
          <w:highlight w:val="none"/>
        </w:rPr>
        <w:t>202</w:t>
      </w:r>
      <w:r>
        <w:rPr>
          <w:rFonts w:hint="eastAsia" w:cs="Times New Roman"/>
          <w:b/>
          <w:color w:val="auto"/>
          <w:sz w:val="32"/>
          <w:szCs w:val="32"/>
          <w:highlight w:val="none"/>
          <w:lang w:val="en-US" w:eastAsia="zh-CN"/>
        </w:rPr>
        <w:t>5</w:t>
      </w:r>
      <w:r>
        <w:rPr>
          <w:rFonts w:hint="default" w:ascii="Times New Roman" w:hAnsi="Times New Roman" w:cs="Times New Roman"/>
          <w:b/>
          <w:color w:val="auto"/>
          <w:sz w:val="32"/>
          <w:szCs w:val="32"/>
          <w:highlight w:val="none"/>
        </w:rPr>
        <w:t>年</w:t>
      </w:r>
      <w:r>
        <w:rPr>
          <w:rFonts w:hint="eastAsia" w:cs="Times New Roman"/>
          <w:b/>
          <w:color w:val="auto"/>
          <w:sz w:val="32"/>
          <w:szCs w:val="32"/>
          <w:highlight w:val="none"/>
          <w:lang w:val="en-US" w:eastAsia="zh-CN"/>
        </w:rPr>
        <w:t>5</w:t>
      </w:r>
      <w:r>
        <w:rPr>
          <w:rFonts w:hint="default" w:ascii="Times New Roman" w:hAnsi="Times New Roman" w:cs="Times New Roman"/>
          <w:b/>
          <w:color w:val="auto"/>
          <w:sz w:val="32"/>
          <w:szCs w:val="32"/>
          <w:highlight w:val="none"/>
        </w:rPr>
        <w:t>月</w:t>
      </w:r>
    </w:p>
    <w:p w14:paraId="236B6542">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36"/>
          <w:szCs w:val="36"/>
          <w:highlight w:val="none"/>
        </w:rPr>
      </w:pPr>
      <w:bookmarkStart w:id="10" w:name="_Toc13513"/>
      <w:bookmarkStart w:id="11" w:name="_Toc4040"/>
      <w:bookmarkStart w:id="12" w:name="_Toc16690"/>
      <w:r>
        <w:rPr>
          <w:rFonts w:hint="default" w:ascii="Times New Roman" w:hAnsi="Times New Roman" w:cs="Times New Roman"/>
          <w:color w:val="auto"/>
          <w:sz w:val="36"/>
          <w:szCs w:val="36"/>
          <w:highlight w:val="none"/>
        </w:rPr>
        <w:t>1.概述</w:t>
      </w:r>
      <w:bookmarkEnd w:id="10"/>
      <w:bookmarkEnd w:id="11"/>
      <w:bookmarkEnd w:id="12"/>
    </w:p>
    <w:p w14:paraId="002E9952">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13" w:name="_Toc508291867"/>
      <w:bookmarkStart w:id="14" w:name="_Toc42981087"/>
      <w:bookmarkStart w:id="15" w:name="_Toc26180"/>
      <w:bookmarkStart w:id="16" w:name="_Toc29900"/>
      <w:bookmarkStart w:id="17" w:name="_Toc75438870"/>
      <w:bookmarkStart w:id="18" w:name="_Toc12192"/>
      <w:r>
        <w:rPr>
          <w:rFonts w:hint="default" w:ascii="Times New Roman" w:hAnsi="Times New Roman" w:cs="Times New Roman"/>
          <w:color w:val="auto"/>
          <w:highlight w:val="none"/>
        </w:rPr>
        <w:t>1.1</w:t>
      </w:r>
      <w:r>
        <w:rPr>
          <w:rFonts w:hint="eastAsia"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项目</w:t>
      </w:r>
      <w:bookmarkEnd w:id="13"/>
      <w:bookmarkEnd w:id="14"/>
      <w:r>
        <w:rPr>
          <w:rFonts w:hint="default" w:ascii="Times New Roman" w:hAnsi="Times New Roman" w:cs="Times New Roman"/>
          <w:color w:val="auto"/>
          <w:highlight w:val="none"/>
        </w:rPr>
        <w:t>特点</w:t>
      </w:r>
      <w:bookmarkEnd w:id="15"/>
      <w:bookmarkEnd w:id="16"/>
      <w:bookmarkEnd w:id="17"/>
      <w:bookmarkEnd w:id="18"/>
    </w:p>
    <w:p w14:paraId="7A0270FE">
      <w:pPr>
        <w:pStyle w:val="61"/>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中国石油化工股份有限公司西北油田分公司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以下简称“西北油田分公司”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中国石化上游第二大原油生产企业，油田主体位于新疆维吾尔自治区阿克苏地区、巴音郭楞蒙古自治州境内，部分分布在和田地区境内。总部设在自治区首府乌鲁木齐市，并在巴音郭楞蒙古自治州轮台县建立了前线指挥基地。西北油田分公司塔河油田位于新疆塔里木盆地北部，是中国第一个古生界海相亿吨级大油田，也是塔里木盆地主要石油天然气资源蕴藏区之一，资源量约30亿吨。根据《关于</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中国石油化工股份有限公司西北油田分公司“十四五”规划环境影响报告书</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的审查意见》（新环审〔2022〕147号），中国石油化工股份有限公司西北油田分公司“十四五”规划期间实施23个探矿权，面积约为7.825万平方千米；12个采矿权，面积约为0.565万平方千米。规划实施三维地震勘探1.05万平方千米，新增探井275口、开发井1216口，到2025年建成年产1500万吨油当量油气田</w:t>
      </w:r>
      <w:r>
        <w:rPr>
          <w:rFonts w:hint="default" w:ascii="Times New Roman" w:hAnsi="Times New Roman" w:cs="Times New Roman"/>
          <w:color w:val="auto"/>
          <w:highlight w:val="none"/>
          <w:lang w:eastAsia="zh-CN"/>
        </w:rPr>
        <w:t>。</w:t>
      </w:r>
    </w:p>
    <w:p w14:paraId="23215E82">
      <w:pPr>
        <w:pStyle w:val="61"/>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4"/>
          <w:sz w:val="24"/>
          <w:szCs w:val="24"/>
          <w:highlight w:val="none"/>
          <w:lang w:val="en-US" w:eastAsia="zh-CN"/>
        </w:rPr>
        <w:t>塔河油田奥陶系油藏2024年第五期侧钻项目</w:t>
      </w:r>
      <w:r>
        <w:rPr>
          <w:rFonts w:hint="default" w:ascii="Times New Roman" w:hAnsi="Times New Roman" w:cs="Times New Roman"/>
          <w:color w:val="auto"/>
          <w:kern w:val="24"/>
          <w:szCs w:val="24"/>
          <w:highlight w:val="none"/>
        </w:rPr>
        <w:t>（以下简称“</w:t>
      </w:r>
      <w:r>
        <w:rPr>
          <w:rFonts w:hint="default" w:ascii="Times New Roman" w:hAnsi="Times New Roman" w:cs="Times New Roman"/>
          <w:color w:val="auto"/>
          <w:kern w:val="24"/>
          <w:szCs w:val="24"/>
          <w:highlight w:val="none"/>
          <w:lang w:eastAsia="zh-CN"/>
        </w:rPr>
        <w:t>本项目</w:t>
      </w:r>
      <w:r>
        <w:rPr>
          <w:rFonts w:hint="default" w:ascii="Times New Roman" w:hAnsi="Times New Roman" w:cs="Times New Roman"/>
          <w:color w:val="auto"/>
          <w:kern w:val="24"/>
          <w:szCs w:val="24"/>
          <w:highlight w:val="none"/>
        </w:rPr>
        <w:t>”）</w:t>
      </w:r>
      <w:r>
        <w:rPr>
          <w:rFonts w:hint="default" w:ascii="Times New Roman" w:hAnsi="Times New Roman" w:eastAsia="宋体" w:cs="Times New Roman"/>
          <w:color w:val="auto"/>
          <w:sz w:val="24"/>
          <w:szCs w:val="24"/>
          <w:highlight w:val="none"/>
        </w:rPr>
        <w:t>位于阿克苏地区库车市境内，地处</w:t>
      </w:r>
      <w:r>
        <w:rPr>
          <w:rFonts w:hint="default" w:ascii="Times New Roman" w:hAnsi="Times New Roman" w:cs="Times New Roman"/>
          <w:color w:val="auto"/>
          <w:sz w:val="24"/>
          <w:szCs w:val="24"/>
          <w:highlight w:val="none"/>
          <w:lang w:eastAsia="zh-CN"/>
        </w:rPr>
        <w:t>塔河油田</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区、塔河油田</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eastAsia="zh-CN"/>
        </w:rPr>
        <w:t>区</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rPr>
        <w:t>北</w:t>
      </w:r>
      <w:r>
        <w:rPr>
          <w:rFonts w:hint="default" w:ascii="Times New Roman" w:hAnsi="Times New Roman" w:cs="Times New Roman"/>
          <w:color w:val="auto"/>
          <w:sz w:val="24"/>
          <w:szCs w:val="24"/>
          <w:highlight w:val="none"/>
          <w:lang w:val="en-US" w:eastAsia="zh-CN"/>
        </w:rPr>
        <w:t>部</w:t>
      </w:r>
      <w:r>
        <w:rPr>
          <w:rFonts w:hint="default" w:ascii="Times New Roman" w:hAnsi="Times New Roman" w:eastAsia="宋体" w:cs="Times New Roman"/>
          <w:color w:val="auto"/>
          <w:sz w:val="24"/>
          <w:szCs w:val="24"/>
          <w:highlight w:val="none"/>
        </w:rPr>
        <w:t>距</w:t>
      </w:r>
      <w:r>
        <w:rPr>
          <w:rFonts w:hint="default" w:ascii="Times New Roman" w:hAnsi="Times New Roman" w:cs="Times New Roman"/>
          <w:color w:val="auto"/>
          <w:sz w:val="24"/>
          <w:szCs w:val="24"/>
          <w:highlight w:val="none"/>
          <w:lang w:val="en-US" w:eastAsia="zh-CN"/>
        </w:rPr>
        <w:t>库车市</w:t>
      </w:r>
      <w:r>
        <w:rPr>
          <w:rFonts w:hint="default" w:ascii="Times New Roman" w:hAnsi="Times New Roman" w:eastAsia="宋体" w:cs="Times New Roman"/>
          <w:color w:val="auto"/>
          <w:sz w:val="24"/>
          <w:szCs w:val="24"/>
          <w:highlight w:val="none"/>
        </w:rPr>
        <w:t>约</w:t>
      </w:r>
      <w:r>
        <w:rPr>
          <w:rFonts w:hint="eastAsia" w:ascii="Times New Roman" w:hAnsi="Times New Roman" w:cs="Times New Roman"/>
          <w:color w:val="auto"/>
          <w:sz w:val="24"/>
          <w:szCs w:val="24"/>
          <w:highlight w:val="none"/>
          <w:lang w:val="en-US" w:eastAsia="zh-CN"/>
        </w:rPr>
        <w:t>76</w:t>
      </w:r>
      <w:r>
        <w:rPr>
          <w:rFonts w:hint="default" w:ascii="Times New Roman" w:hAnsi="Times New Roman" w:eastAsia="宋体" w:cs="Times New Roman"/>
          <w:color w:val="auto"/>
          <w:sz w:val="24"/>
          <w:szCs w:val="24"/>
          <w:highlight w:val="none"/>
        </w:rPr>
        <w:t>km，</w:t>
      </w:r>
      <w:r>
        <w:rPr>
          <w:rFonts w:hint="default" w:ascii="Times New Roman" w:hAnsi="Times New Roman"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rPr>
        <w:t>采油</w:t>
      </w:r>
      <w:r>
        <w:rPr>
          <w:rFonts w:hint="default" w:ascii="Times New Roman" w:hAnsi="Times New Roman"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厂管辖。</w:t>
      </w:r>
    </w:p>
    <w:p w14:paraId="5724B5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lang w:val="en-US" w:eastAsia="zh-CN"/>
        </w:rPr>
        <w:t>目前，</w:t>
      </w:r>
      <w:r>
        <w:rPr>
          <w:rFonts w:hint="eastAsia" w:cs="Times New Roman"/>
          <w:color w:val="auto"/>
          <w:highlight w:val="none"/>
          <w:lang w:val="en-US" w:eastAsia="zh-CN"/>
        </w:rPr>
        <w:t>采油三厂所辖的塔河油田10区、8区内有4</w:t>
      </w:r>
      <w:r>
        <w:rPr>
          <w:rFonts w:hint="default" w:ascii="Times New Roman" w:hAnsi="Times New Roman" w:cs="Times New Roman"/>
          <w:color w:val="auto"/>
          <w:highlight w:val="none"/>
          <w:lang w:val="en-US" w:eastAsia="zh-CN"/>
        </w:rPr>
        <w:t>口老井（TH10294X、TH10250、TH10298、TK872X）因油藏压力不足等原因</w:t>
      </w:r>
      <w:r>
        <w:rPr>
          <w:rFonts w:hint="eastAsia" w:cs="Times New Roman"/>
          <w:color w:val="auto"/>
          <w:highlight w:val="none"/>
          <w:lang w:val="en-US" w:eastAsia="zh-CN"/>
        </w:rPr>
        <w:t>产能严重下降或</w:t>
      </w:r>
      <w:r>
        <w:rPr>
          <w:rFonts w:hint="default" w:ascii="Times New Roman" w:hAnsi="Times New Roman" w:cs="Times New Roman"/>
          <w:color w:val="auto"/>
          <w:highlight w:val="none"/>
          <w:lang w:val="en-US" w:eastAsia="zh-CN"/>
        </w:rPr>
        <w:t>处于停</w:t>
      </w:r>
      <w:r>
        <w:rPr>
          <w:rFonts w:hint="eastAsia" w:cs="Times New Roman"/>
          <w:color w:val="auto"/>
          <w:highlight w:val="none"/>
          <w:lang w:val="en-US" w:eastAsia="zh-CN"/>
        </w:rPr>
        <w:t>井</w:t>
      </w:r>
      <w:r>
        <w:rPr>
          <w:rFonts w:hint="default" w:ascii="Times New Roman" w:hAnsi="Times New Roman" w:cs="Times New Roman"/>
          <w:color w:val="auto"/>
          <w:highlight w:val="none"/>
          <w:lang w:val="en-US" w:eastAsia="zh-CN"/>
        </w:rPr>
        <w:t>状态，急需进行侧钻恢复。</w:t>
      </w:r>
      <w:r>
        <w:rPr>
          <w:rFonts w:hint="eastAsia"/>
          <w:color w:val="auto"/>
          <w:highlight w:val="none"/>
        </w:rPr>
        <w:t>建设内容为：①老井侧钻</w:t>
      </w:r>
      <w:r>
        <w:rPr>
          <w:rFonts w:hint="eastAsia"/>
          <w:color w:val="auto"/>
          <w:highlight w:val="none"/>
          <w:lang w:val="en-US" w:eastAsia="zh-CN"/>
        </w:rPr>
        <w:t>4</w:t>
      </w:r>
      <w:r>
        <w:rPr>
          <w:rFonts w:hint="eastAsia"/>
          <w:color w:val="auto"/>
          <w:highlight w:val="none"/>
        </w:rPr>
        <w:t>口</w:t>
      </w:r>
      <w:r>
        <w:rPr>
          <w:rFonts w:hint="eastAsia"/>
          <w:color w:val="auto"/>
          <w:highlight w:val="none"/>
          <w:lang w:eastAsia="zh-CN"/>
        </w:rPr>
        <w:t>（</w:t>
      </w:r>
      <w:r>
        <w:rPr>
          <w:rFonts w:hint="default" w:ascii="Times New Roman" w:hAnsi="Times New Roman" w:cs="Times New Roman"/>
          <w:color w:val="auto"/>
          <w:spacing w:val="-6"/>
          <w:sz w:val="24"/>
          <w:highlight w:val="none"/>
          <w:lang w:val="en-US" w:eastAsia="zh-CN"/>
        </w:rPr>
        <w:t>TH10294</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、TH10250</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、TH10298</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、TK872</w:t>
      </w:r>
      <w:r>
        <w:rPr>
          <w:rFonts w:hint="eastAsia" w:cs="Times New Roman"/>
          <w:color w:val="auto"/>
          <w:spacing w:val="-6"/>
          <w:sz w:val="24"/>
          <w:highlight w:val="none"/>
          <w:lang w:val="en-US" w:eastAsia="zh-CN"/>
        </w:rPr>
        <w:t>CH</w:t>
      </w:r>
      <w:r>
        <w:rPr>
          <w:rFonts w:hint="eastAsia"/>
          <w:color w:val="auto"/>
          <w:highlight w:val="none"/>
          <w:lang w:eastAsia="zh-CN"/>
        </w:rPr>
        <w:t>），</w:t>
      </w:r>
      <w:r>
        <w:rPr>
          <w:rFonts w:hint="eastAsia"/>
          <w:color w:val="auto"/>
          <w:highlight w:val="none"/>
        </w:rPr>
        <w:t>老井不新增地面设施；②新建TH102117X井至T707CH</w:t>
      </w:r>
      <w:r>
        <w:rPr>
          <w:rFonts w:hint="eastAsia"/>
          <w:color w:val="auto"/>
          <w:highlight w:val="none"/>
          <w:lang w:val="en-US" w:eastAsia="zh-CN"/>
        </w:rPr>
        <w:t>井采油管线601</w:t>
      </w:r>
      <w:r>
        <w:rPr>
          <w:rFonts w:hint="eastAsia"/>
          <w:color w:val="auto"/>
          <w:highlight w:val="none"/>
        </w:rPr>
        <w:t>m</w:t>
      </w:r>
      <w:r>
        <w:rPr>
          <w:rFonts w:hint="eastAsia"/>
          <w:color w:val="auto"/>
          <w:highlight w:val="none"/>
          <w:lang w:eastAsia="zh-CN"/>
        </w:rPr>
        <w:t>，</w:t>
      </w:r>
      <w:r>
        <w:rPr>
          <w:rFonts w:hint="eastAsia"/>
          <w:color w:val="auto"/>
          <w:highlight w:val="none"/>
          <w:lang w:val="en-US" w:eastAsia="zh-CN"/>
        </w:rPr>
        <w:t>新建T707CH井场至TH102117X井场掺稀管线601m、燃料气管线601m，</w:t>
      </w:r>
      <w:r>
        <w:rPr>
          <w:rFonts w:hint="eastAsia"/>
          <w:color w:val="auto"/>
          <w:sz w:val="24"/>
          <w:szCs w:val="24"/>
          <w:highlight w:val="none"/>
        </w:rPr>
        <w:t>4口</w:t>
      </w:r>
      <w:r>
        <w:rPr>
          <w:rFonts w:hint="eastAsia"/>
          <w:color w:val="auto"/>
          <w:sz w:val="24"/>
          <w:szCs w:val="24"/>
          <w:highlight w:val="none"/>
          <w:lang w:val="en-US" w:eastAsia="zh-CN"/>
        </w:rPr>
        <w:t>侧钻老</w:t>
      </w:r>
      <w:r>
        <w:rPr>
          <w:rFonts w:hint="eastAsia"/>
          <w:color w:val="auto"/>
          <w:sz w:val="24"/>
          <w:szCs w:val="24"/>
          <w:highlight w:val="none"/>
        </w:rPr>
        <w:t>井管线均可利旧</w:t>
      </w:r>
      <w:r>
        <w:rPr>
          <w:rFonts w:hint="eastAsia"/>
          <w:color w:val="auto"/>
          <w:sz w:val="24"/>
          <w:szCs w:val="24"/>
          <w:highlight w:val="none"/>
          <w:lang w:eastAsia="zh-CN"/>
        </w:rPr>
        <w:t>；</w:t>
      </w:r>
      <w:r>
        <w:rPr>
          <w:rFonts w:hint="eastAsia"/>
          <w:color w:val="auto"/>
          <w:highlight w:val="none"/>
        </w:rPr>
        <w:fldChar w:fldCharType="begin"/>
      </w:r>
      <w:r>
        <w:rPr>
          <w:rFonts w:hint="eastAsia"/>
          <w:color w:val="auto"/>
          <w:highlight w:val="none"/>
        </w:rPr>
        <w:instrText xml:space="preserve"> = 3 \* GB3 \* MERGEFORMAT </w:instrText>
      </w:r>
      <w:r>
        <w:rPr>
          <w:rFonts w:hint="eastAsia"/>
          <w:color w:val="auto"/>
          <w:highlight w:val="none"/>
        </w:rPr>
        <w:fldChar w:fldCharType="separate"/>
      </w:r>
      <w:r>
        <w:rPr>
          <w:color w:val="auto"/>
          <w:highlight w:val="none"/>
        </w:rPr>
        <w:t>③</w:t>
      </w:r>
      <w:r>
        <w:rPr>
          <w:rFonts w:hint="eastAsia"/>
          <w:color w:val="auto"/>
          <w:highlight w:val="none"/>
        </w:rPr>
        <w:fldChar w:fldCharType="end"/>
      </w:r>
      <w:r>
        <w:rPr>
          <w:rFonts w:hint="eastAsia"/>
          <w:color w:val="auto"/>
          <w:sz w:val="24"/>
          <w:szCs w:val="24"/>
          <w:highlight w:val="none"/>
        </w:rPr>
        <w:t>本次部署的4口侧钻井地面配套的</w:t>
      </w:r>
      <w:r>
        <w:rPr>
          <w:rFonts w:hint="eastAsia"/>
          <w:color w:val="auto"/>
          <w:sz w:val="24"/>
          <w:szCs w:val="24"/>
          <w:highlight w:val="none"/>
          <w:lang w:val="en-US" w:eastAsia="zh-CN"/>
        </w:rPr>
        <w:t>热力、</w:t>
      </w:r>
      <w:r>
        <w:rPr>
          <w:rFonts w:hint="eastAsia"/>
          <w:color w:val="auto"/>
          <w:sz w:val="24"/>
          <w:szCs w:val="24"/>
          <w:highlight w:val="none"/>
        </w:rPr>
        <w:t>电力、自控、通信均可利旧</w:t>
      </w:r>
      <w:r>
        <w:rPr>
          <w:rFonts w:hint="eastAsia"/>
          <w:color w:val="auto"/>
          <w:highlight w:val="none"/>
        </w:rPr>
        <w:t>。</w:t>
      </w:r>
      <w:r>
        <w:rPr>
          <w:rFonts w:hint="eastAsia" w:cs="Times New Roman"/>
          <w:color w:val="auto"/>
          <w:highlight w:val="none"/>
          <w:lang w:val="en-US" w:eastAsia="zh-CN"/>
        </w:rPr>
        <w:t>侧钻后单井平均产油</w:t>
      </w:r>
      <w:r>
        <w:rPr>
          <w:rFonts w:hint="eastAsia"/>
          <w:color w:val="auto"/>
          <w:szCs w:val="24"/>
          <w:highlight w:val="none"/>
        </w:rPr>
        <w:t>14t/d，</w:t>
      </w:r>
      <w:r>
        <w:rPr>
          <w:rFonts w:hint="eastAsia"/>
          <w:color w:val="auto"/>
          <w:sz w:val="24"/>
          <w:szCs w:val="24"/>
          <w:highlight w:val="none"/>
        </w:rPr>
        <w:t>最高产油1.42万</w:t>
      </w:r>
      <w:r>
        <w:rPr>
          <w:rFonts w:hint="eastAsia"/>
          <w:color w:val="auto"/>
          <w:sz w:val="24"/>
          <w:szCs w:val="24"/>
          <w:highlight w:val="none"/>
          <w:lang w:val="en-US" w:eastAsia="zh-CN"/>
        </w:rPr>
        <w:t>t/a</w:t>
      </w:r>
      <w:r>
        <w:rPr>
          <w:rFonts w:hint="default" w:ascii="Times New Roman" w:hAnsi="Times New Roman" w:cs="Times New Roman"/>
          <w:color w:val="auto"/>
          <w:highlight w:val="none"/>
        </w:rPr>
        <w:t>。</w:t>
      </w:r>
    </w:p>
    <w:p w14:paraId="328874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pacing w:val="0"/>
          <w:szCs w:val="24"/>
          <w:highlight w:val="none"/>
          <w:lang w:eastAsia="zh-CN"/>
        </w:rPr>
        <w:sectPr>
          <w:headerReference r:id="rId5" w:type="default"/>
          <w:footerReference r:id="rId6" w:type="default"/>
          <w:pgSz w:w="11905" w:h="16838"/>
          <w:pgMar w:top="1440" w:right="1800" w:bottom="1440" w:left="1800" w:header="850" w:footer="1134"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为油气开采项目，所有工程均</w:t>
      </w:r>
      <w:r>
        <w:rPr>
          <w:rFonts w:hint="default" w:ascii="Times New Roman" w:hAnsi="Times New Roman" w:cs="Times New Roman"/>
          <w:color w:val="auto"/>
          <w:kern w:val="2"/>
          <w:szCs w:val="22"/>
          <w:highlight w:val="none"/>
        </w:rPr>
        <w:t>呈点线状分布在已开发油区范围内，</w:t>
      </w:r>
      <w:r>
        <w:rPr>
          <w:rFonts w:hint="default" w:ascii="Times New Roman" w:hAnsi="Times New Roman" w:cs="Times New Roman"/>
          <w:color w:val="auto"/>
          <w:kern w:val="0"/>
          <w:highlight w:val="none"/>
        </w:rPr>
        <w:t>油气外输及处理均依托</w:t>
      </w:r>
      <w:r>
        <w:rPr>
          <w:rFonts w:hint="eastAsia" w:cs="Times New Roman"/>
          <w:color w:val="auto"/>
          <w:kern w:val="0"/>
          <w:highlight w:val="none"/>
          <w:lang w:val="en-US" w:eastAsia="zh-CN"/>
        </w:rPr>
        <w:t>区块</w:t>
      </w:r>
      <w:r>
        <w:rPr>
          <w:rFonts w:hint="default" w:ascii="Times New Roman" w:hAnsi="Times New Roman" w:cs="Times New Roman"/>
          <w:color w:val="auto"/>
          <w:kern w:val="0"/>
          <w:highlight w:val="none"/>
        </w:rPr>
        <w:t>已有地面设施</w:t>
      </w:r>
      <w:r>
        <w:rPr>
          <w:rFonts w:hint="eastAsia" w:cs="Times New Roman"/>
          <w:color w:val="auto"/>
          <w:kern w:val="0"/>
          <w:highlight w:val="none"/>
          <w:lang w:eastAsia="zh-CN"/>
        </w:rPr>
        <w:t>，</w:t>
      </w:r>
      <w:r>
        <w:rPr>
          <w:rFonts w:hint="default" w:ascii="Times New Roman" w:hAnsi="Times New Roman" w:cs="Times New Roman"/>
          <w:color w:val="auto"/>
          <w:highlight w:val="none"/>
        </w:rPr>
        <w:t>为老区块改扩建项目</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cs="Times New Roman"/>
          <w:color w:val="auto"/>
          <w:spacing w:val="0"/>
          <w:kern w:val="0"/>
          <w:szCs w:val="24"/>
          <w:highlight w:val="none"/>
        </w:rPr>
        <w:t>油气集输系统采用</w:t>
      </w:r>
      <w:r>
        <w:rPr>
          <w:rFonts w:hint="eastAsia" w:cs="Times New Roman"/>
          <w:color w:val="auto"/>
          <w:spacing w:val="0"/>
          <w:kern w:val="0"/>
          <w:szCs w:val="24"/>
          <w:highlight w:val="none"/>
          <w:lang w:val="en-US" w:eastAsia="zh-CN"/>
        </w:rPr>
        <w:t>二</w:t>
      </w:r>
      <w:r>
        <w:rPr>
          <w:rFonts w:hint="default" w:ascii="Times New Roman" w:hAnsi="Times New Roman" w:cs="Times New Roman"/>
          <w:color w:val="auto"/>
          <w:spacing w:val="0"/>
          <w:kern w:val="0"/>
          <w:szCs w:val="24"/>
          <w:highlight w:val="none"/>
        </w:rPr>
        <w:t>级布站方式，即：单井——计转站——联合站</w:t>
      </w:r>
      <w:r>
        <w:rPr>
          <w:rFonts w:hint="default" w:ascii="Times New Roman" w:hAnsi="Times New Roman" w:cs="Times New Roman"/>
          <w:color w:val="auto"/>
          <w:spacing w:val="0"/>
          <w:szCs w:val="24"/>
          <w:highlight w:val="none"/>
        </w:rPr>
        <w:t>。单井原油就近进入已建站场，最终输往已建</w:t>
      </w:r>
      <w:r>
        <w:rPr>
          <w:rFonts w:hint="default" w:ascii="Times New Roman" w:hAnsi="Times New Roman" w:cs="Times New Roman"/>
          <w:color w:val="auto"/>
          <w:spacing w:val="0"/>
          <w:szCs w:val="24"/>
          <w:highlight w:val="none"/>
          <w:lang w:eastAsia="zh-CN"/>
        </w:rPr>
        <w:t>塔河油田三号联合站</w:t>
      </w:r>
      <w:r>
        <w:rPr>
          <w:rFonts w:hint="default" w:ascii="Times New Roman" w:hAnsi="Times New Roman" w:cs="Times New Roman"/>
          <w:color w:val="auto"/>
          <w:spacing w:val="0"/>
          <w:szCs w:val="24"/>
          <w:highlight w:val="none"/>
        </w:rPr>
        <w:t>进行油气水处理</w:t>
      </w:r>
      <w:r>
        <w:rPr>
          <w:rFonts w:hint="default" w:ascii="Times New Roman" w:hAnsi="Times New Roman" w:cs="Times New Roman"/>
          <w:color w:val="auto"/>
          <w:spacing w:val="0"/>
          <w:szCs w:val="24"/>
          <w:highlight w:val="none"/>
          <w:lang w:eastAsia="zh-CN"/>
        </w:rPr>
        <w:t>。</w:t>
      </w:r>
    </w:p>
    <w:p w14:paraId="32BD5A2A">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19" w:name="_Toc42981088"/>
      <w:bookmarkStart w:id="20" w:name="_Toc6893"/>
      <w:bookmarkStart w:id="21" w:name="_Toc508291868"/>
      <w:bookmarkStart w:id="22" w:name="_Toc15961"/>
      <w:bookmarkStart w:id="23" w:name="_Toc75438871"/>
      <w:bookmarkStart w:id="24" w:name="_Toc10336"/>
      <w:r>
        <w:rPr>
          <w:rFonts w:hint="default" w:ascii="Times New Roman" w:hAnsi="Times New Roman" w:cs="Times New Roman"/>
          <w:color w:val="auto"/>
          <w:highlight w:val="none"/>
        </w:rPr>
        <w:t>1.2环境影响评价过程</w:t>
      </w:r>
      <w:bookmarkEnd w:id="19"/>
      <w:bookmarkEnd w:id="20"/>
      <w:bookmarkEnd w:id="21"/>
      <w:bookmarkEnd w:id="22"/>
      <w:bookmarkEnd w:id="23"/>
      <w:bookmarkEnd w:id="24"/>
    </w:p>
    <w:p w14:paraId="5F25A743">
      <w:pPr>
        <w:pageBreakBefore w:val="0"/>
        <w:kinsoku/>
        <w:wordWrap/>
        <w:overflowPunct/>
        <w:topLinePunct w:val="0"/>
        <w:autoSpaceDE/>
        <w:autoSpaceDN/>
        <w:bidi w:val="0"/>
        <w:adjustRightInd w:val="0"/>
        <w:snapToGrid w:val="0"/>
        <w:spacing w:line="360" w:lineRule="auto"/>
        <w:ind w:left="24"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eastAsia="zh-CN"/>
        </w:rPr>
        <w:t>本</w:t>
      </w:r>
      <w:r>
        <w:rPr>
          <w:rFonts w:hint="eastAsia"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属于</w:t>
      </w:r>
      <w:r>
        <w:rPr>
          <w:rFonts w:hint="eastAsia" w:cs="Times New Roman"/>
          <w:color w:val="auto"/>
          <w:sz w:val="24"/>
          <w:szCs w:val="24"/>
          <w:highlight w:val="none"/>
          <w:lang w:val="en-US" w:eastAsia="zh-CN"/>
        </w:rPr>
        <w:t>陆上石油</w:t>
      </w:r>
      <w:r>
        <w:rPr>
          <w:rFonts w:hint="default" w:ascii="Times New Roman" w:hAnsi="Times New Roman" w:cs="Times New Roman"/>
          <w:color w:val="auto"/>
          <w:sz w:val="24"/>
          <w:szCs w:val="24"/>
          <w:highlight w:val="none"/>
        </w:rPr>
        <w:t>开采项目</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地处阿克苏地区库车市境内</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highlight w:val="none"/>
        </w:rPr>
        <w:t>根据新水水保〔2019〕4号</w:t>
      </w:r>
      <w:r>
        <w:rPr>
          <w:rFonts w:hint="eastAsia" w:ascii="Times New Roman" w:hAnsi="Times New Roman" w:cs="Times New Roman"/>
          <w:bCs/>
          <w:color w:val="auto"/>
          <w:highlight w:val="none"/>
          <w:lang w:val="en-US" w:eastAsia="zh-CN"/>
        </w:rPr>
        <w:t>文</w:t>
      </w:r>
      <w:r>
        <w:rPr>
          <w:rFonts w:hint="default" w:ascii="Times New Roman" w:hAnsi="Times New Roman" w:cs="Times New Roman"/>
          <w:bCs/>
          <w:color w:val="auto"/>
          <w:highlight w:val="none"/>
        </w:rPr>
        <w:t>，属于塔里木河流域水土流失重点治理区</w:t>
      </w:r>
      <w:r>
        <w:rPr>
          <w:rFonts w:hint="eastAsia" w:ascii="Times New Roman" w:hAnsi="Times New Roman" w:cs="Times New Roman"/>
          <w:bCs/>
          <w:color w:val="auto"/>
          <w:sz w:val="24"/>
          <w:szCs w:val="24"/>
          <w:highlight w:val="none"/>
          <w:lang w:eastAsia="zh-CN"/>
        </w:rPr>
        <w:t>；</w:t>
      </w:r>
      <w:r>
        <w:rPr>
          <w:rFonts w:hint="eastAsia" w:cs="Times New Roman"/>
          <w:bCs/>
          <w:color w:val="auto"/>
          <w:sz w:val="24"/>
          <w:szCs w:val="24"/>
          <w:highlight w:val="none"/>
          <w:lang w:val="en-US" w:eastAsia="zh-CN"/>
        </w:rPr>
        <w:t>项目部分新建管线临时占用天然林，</w:t>
      </w:r>
      <w:r>
        <w:rPr>
          <w:rFonts w:hint="eastAsia" w:ascii="Times New Roman" w:hAnsi="Times New Roman" w:cs="Times New Roman"/>
          <w:bCs/>
          <w:color w:val="auto"/>
          <w:sz w:val="24"/>
          <w:szCs w:val="24"/>
          <w:highlight w:val="none"/>
          <w:lang w:val="en-US" w:eastAsia="zh-CN"/>
        </w:rPr>
        <w:t>同时</w:t>
      </w:r>
      <w:r>
        <w:rPr>
          <w:rFonts w:hint="eastAsia" w:cs="Times New Roman"/>
          <w:bCs/>
          <w:color w:val="auto"/>
          <w:sz w:val="24"/>
          <w:szCs w:val="24"/>
          <w:highlight w:val="none"/>
          <w:lang w:val="en-US" w:eastAsia="zh-CN"/>
        </w:rPr>
        <w:t>评价范围内涉及</w:t>
      </w:r>
      <w:r>
        <w:rPr>
          <w:rFonts w:hint="eastAsia" w:ascii="Times New Roman" w:hAnsi="Times New Roman" w:cs="Times New Roman"/>
          <w:bCs/>
          <w:color w:val="auto"/>
          <w:sz w:val="24"/>
          <w:szCs w:val="24"/>
          <w:highlight w:val="none"/>
          <w:lang w:val="en-US" w:eastAsia="zh-CN"/>
        </w:rPr>
        <w:t>基本农田</w:t>
      </w:r>
      <w:r>
        <w:rPr>
          <w:rFonts w:ascii="Times New Roman" w:hAnsi="Times New Roman" w:cs="Times New Roman"/>
          <w:snapToGrid w:val="0"/>
          <w:color w:val="auto"/>
          <w:highlight w:val="none"/>
        </w:rPr>
        <w:t>。</w:t>
      </w:r>
      <w:r>
        <w:rPr>
          <w:rFonts w:hint="default" w:ascii="Times New Roman" w:hAnsi="Times New Roman" w:cs="Times New Roman"/>
          <w:bCs/>
          <w:color w:val="auto"/>
          <w:sz w:val="24"/>
          <w:szCs w:val="24"/>
          <w:highlight w:val="none"/>
        </w:rPr>
        <w:t>根据《中华人民共和国环境影响评价法</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建设项目环境影响评价分类管理名录</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2021年版</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生态环境</w:t>
      </w:r>
      <w:r>
        <w:rPr>
          <w:rFonts w:hint="eastAsia" w:cs="Times New Roman"/>
          <w:bCs/>
          <w:color w:val="auto"/>
          <w:sz w:val="24"/>
          <w:szCs w:val="24"/>
          <w:highlight w:val="none"/>
          <w:lang w:eastAsia="zh-CN"/>
        </w:rPr>
        <w:t>部</w:t>
      </w:r>
      <w:r>
        <w:rPr>
          <w:rFonts w:hint="default" w:ascii="Times New Roman" w:hAnsi="Times New Roman" w:cs="Times New Roman"/>
          <w:bCs/>
          <w:color w:val="auto"/>
          <w:sz w:val="24"/>
          <w:szCs w:val="24"/>
          <w:highlight w:val="none"/>
        </w:rPr>
        <w:t>令第16号</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本</w:t>
      </w:r>
      <w:r>
        <w:rPr>
          <w:rFonts w:hint="eastAsia" w:cs="Times New Roman"/>
          <w:bCs/>
          <w:color w:val="auto"/>
          <w:sz w:val="24"/>
          <w:szCs w:val="24"/>
          <w:highlight w:val="none"/>
          <w:lang w:val="en-US" w:eastAsia="zh-CN"/>
        </w:rPr>
        <w:t>项目</w:t>
      </w:r>
      <w:r>
        <w:rPr>
          <w:rFonts w:hint="default" w:ascii="Times New Roman" w:hAnsi="Times New Roman" w:cs="Times New Roman"/>
          <w:bCs/>
          <w:color w:val="auto"/>
          <w:sz w:val="24"/>
          <w:szCs w:val="24"/>
          <w:highlight w:val="none"/>
        </w:rPr>
        <w:t>属于分类管理名录“五石油和天然气开采业07</w:t>
      </w:r>
      <w:r>
        <w:rPr>
          <w:rFonts w:hint="eastAsia"/>
          <w:bCs/>
          <w:color w:val="auto"/>
          <w:sz w:val="24"/>
          <w:szCs w:val="24"/>
          <w:highlight w:val="none"/>
        </w:rPr>
        <w:t>陆地</w:t>
      </w:r>
      <w:r>
        <w:rPr>
          <w:rFonts w:hint="eastAsia"/>
          <w:bCs/>
          <w:color w:val="auto"/>
          <w:sz w:val="24"/>
          <w:szCs w:val="24"/>
          <w:highlight w:val="none"/>
          <w:lang w:val="en-US" w:eastAsia="zh-CN"/>
        </w:rPr>
        <w:t>天然气</w:t>
      </w:r>
      <w:r>
        <w:rPr>
          <w:rFonts w:hint="eastAsia"/>
          <w:bCs/>
          <w:color w:val="auto"/>
          <w:sz w:val="24"/>
          <w:szCs w:val="24"/>
          <w:highlight w:val="none"/>
        </w:rPr>
        <w:t>开采071</w:t>
      </w:r>
      <w:r>
        <w:rPr>
          <w:rFonts w:hint="eastAsia"/>
          <w:bCs/>
          <w:color w:val="auto"/>
          <w:sz w:val="24"/>
          <w:szCs w:val="24"/>
          <w:highlight w:val="none"/>
          <w:lang w:val="en-US" w:eastAsia="zh-CN"/>
        </w:rPr>
        <w:t>1</w:t>
      </w:r>
      <w:r>
        <w:rPr>
          <w:rFonts w:hint="default" w:ascii="Times New Roman" w:hAnsi="Times New Roman" w:cs="Times New Roman"/>
          <w:bCs/>
          <w:color w:val="auto"/>
          <w:sz w:val="24"/>
          <w:szCs w:val="24"/>
          <w:highlight w:val="none"/>
        </w:rPr>
        <w:t>”中的“涉及环境敏感区的</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含内部集输管线建设</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”，应编制环境影响报告书</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关于印发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新疆维吾尔自治区建设项目环境影响评价文件分级审批目录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2023年本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新环环评发</w:t>
      </w:r>
      <w:r>
        <w:rPr>
          <w:rFonts w:hint="default" w:ascii="Times New Roman" w:hAnsi="Times New Roman" w:cs="Times New Roman"/>
          <w:bCs/>
          <w:color w:val="auto"/>
          <w:highlight w:val="none"/>
        </w:rPr>
        <w:t>〔2023〕</w:t>
      </w:r>
      <w:r>
        <w:rPr>
          <w:rFonts w:hint="default" w:ascii="Times New Roman" w:hAnsi="Times New Roman" w:cs="Times New Roman"/>
          <w:color w:val="auto"/>
          <w:highlight w:val="none"/>
        </w:rPr>
        <w:t>91号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eastAsia="宋体" w:cs="Times New Roman"/>
          <w:color w:val="auto"/>
          <w:spacing w:val="-4"/>
          <w:sz w:val="24"/>
          <w:szCs w:val="24"/>
          <w:highlight w:val="none"/>
        </w:rPr>
        <w:t>第</w:t>
      </w:r>
      <w:r>
        <w:rPr>
          <w:rFonts w:hint="default" w:ascii="Times New Roman" w:hAnsi="Times New Roman" w:eastAsia="Times New Roman" w:cs="Times New Roman"/>
          <w:color w:val="auto"/>
          <w:spacing w:val="-4"/>
          <w:sz w:val="24"/>
          <w:szCs w:val="24"/>
          <w:highlight w:val="none"/>
        </w:rPr>
        <w:t>7</w:t>
      </w:r>
      <w:r>
        <w:rPr>
          <w:rFonts w:hint="default" w:ascii="Times New Roman" w:hAnsi="Times New Roman" w:eastAsia="宋体" w:cs="Times New Roman"/>
          <w:color w:val="auto"/>
          <w:spacing w:val="-4"/>
          <w:sz w:val="24"/>
          <w:szCs w:val="24"/>
          <w:highlight w:val="none"/>
        </w:rPr>
        <w:t>项</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陆地石油开采0711</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中</w:t>
      </w:r>
      <w:r>
        <w:rPr>
          <w:rFonts w:hint="default" w:ascii="Times New Roman" w:hAnsi="Times New Roman" w:eastAsia="宋体" w:cs="Times New Roman"/>
          <w:color w:val="auto"/>
          <w:spacing w:val="-4"/>
          <w:sz w:val="24"/>
          <w:szCs w:val="24"/>
          <w:highlight w:val="none"/>
          <w:lang w:val="en-US" w:eastAsia="zh-CN"/>
        </w:rPr>
        <w:t>的</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涉及环境敏感区的（含内部集输管线</w:t>
      </w:r>
      <w:r>
        <w:rPr>
          <w:rFonts w:hint="default" w:ascii="Times New Roman" w:hAnsi="Times New Roman" w:eastAsia="宋体" w:cs="Times New Roman"/>
          <w:color w:val="auto"/>
          <w:spacing w:val="-5"/>
          <w:sz w:val="24"/>
          <w:szCs w:val="24"/>
          <w:highlight w:val="none"/>
        </w:rPr>
        <w:t>建设）</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cs="Times New Roman"/>
          <w:color w:val="auto"/>
          <w:highlight w:val="none"/>
        </w:rPr>
        <w:t>，报新疆维吾尔自治区生态环境厅审批。</w:t>
      </w:r>
    </w:p>
    <w:p w14:paraId="3A9082BE">
      <w:pPr>
        <w:pStyle w:val="62"/>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中华人民共和国环境影响评价法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建设项目环境保护管理条例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中有关规定，202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3</w:t>
      </w:r>
      <w:r>
        <w:rPr>
          <w:rFonts w:hint="default" w:ascii="Times New Roman" w:hAnsi="Times New Roman" w:cs="Times New Roman"/>
          <w:color w:val="auto"/>
          <w:highlight w:val="none"/>
        </w:rPr>
        <w:t>月，</w:t>
      </w:r>
      <w:r>
        <w:rPr>
          <w:rFonts w:hint="default" w:ascii="Times New Roman" w:hAnsi="Times New Roman" w:cs="Times New Roman"/>
          <w:color w:val="auto"/>
          <w:highlight w:val="none"/>
          <w:shd w:val="clear" w:color="auto" w:fill="FFFFFF"/>
        </w:rPr>
        <w:t>中国石油化工股份有限公司西北油田分公司</w:t>
      </w:r>
      <w:r>
        <w:rPr>
          <w:rFonts w:hint="default" w:ascii="Times New Roman" w:hAnsi="Times New Roman" w:cs="Times New Roman"/>
          <w:color w:val="auto"/>
          <w:highlight w:val="none"/>
        </w:rPr>
        <w:t>委托新疆天合环境技术咨询有限公司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以下简称“天合公司”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编制</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采油三厂2025年第二期短半径</w:t>
      </w:r>
      <w:r>
        <w:rPr>
          <w:rFonts w:hint="default" w:ascii="Times New Roman" w:hAnsi="Times New Roman" w:cs="Times New Roman"/>
          <w:color w:val="auto"/>
          <w:kern w:val="24"/>
          <w:sz w:val="24"/>
          <w:szCs w:val="24"/>
          <w:highlight w:val="none"/>
          <w:lang w:val="en-US" w:eastAsia="zh-CN"/>
        </w:rPr>
        <w:t>侧钻项目</w:t>
      </w:r>
      <w:r>
        <w:rPr>
          <w:rFonts w:hint="default" w:ascii="Times New Roman" w:hAnsi="Times New Roman" w:cs="Times New Roman"/>
          <w:color w:val="auto"/>
          <w:highlight w:val="none"/>
        </w:rPr>
        <w:t>环境影响报告书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见附件</w:t>
      </w:r>
      <w:r>
        <w:rPr>
          <w:rFonts w:hint="eastAsia"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14:paraId="12210B04">
      <w:pPr>
        <w:pStyle w:val="57"/>
        <w:keepNext w:val="0"/>
        <w:keepLines w:val="0"/>
        <w:pageBreakBefore w:val="0"/>
        <w:widowControl/>
        <w:kinsoku/>
        <w:wordWrap/>
        <w:overflowPunct/>
        <w:topLinePunct w:val="0"/>
        <w:autoSpaceDE/>
        <w:autoSpaceDN/>
        <w:bidi w:val="0"/>
        <w:adjustRightInd/>
        <w:snapToGrid/>
        <w:spacing w:line="348" w:lineRule="auto"/>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Cs/>
          <w:snapToGrid w:val="0"/>
          <w:color w:val="auto"/>
          <w:kern w:val="2"/>
          <w:sz w:val="24"/>
          <w:szCs w:val="24"/>
          <w:highlight w:val="none"/>
          <w:lang w:val="en-US" w:eastAsia="zh-CN" w:bidi="ar-SA"/>
        </w:rPr>
        <w:t>天合公司接受委托后，即进行了现场踏勘和资料收</w:t>
      </w:r>
      <w:r>
        <w:rPr>
          <w:rFonts w:hint="default" w:ascii="Times New Roman" w:hAnsi="Times New Roman" w:cs="Times New Roman"/>
          <w:color w:val="auto"/>
          <w:sz w:val="24"/>
          <w:szCs w:val="24"/>
          <w:highlight w:val="none"/>
        </w:rPr>
        <w:t>集，结合有关资料和当地环境特征，按国家、新疆环境保护政策以及环评技术导则、规范的要求，开展</w:t>
      </w:r>
      <w:r>
        <w:rPr>
          <w:rFonts w:hint="default" w:ascii="Times New Roman" w:hAnsi="Times New Roman"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的环境影响评价工作。对</w:t>
      </w:r>
      <w:r>
        <w:rPr>
          <w:rFonts w:hint="default" w:ascii="Times New Roman" w:hAnsi="Times New Roman" w:cs="Times New Roman"/>
          <w:color w:val="auto"/>
          <w:sz w:val="24"/>
          <w:szCs w:val="24"/>
          <w:highlight w:val="none"/>
          <w:lang w:eastAsia="zh-CN"/>
        </w:rPr>
        <w:t>本</w:t>
      </w:r>
      <w:r>
        <w:rPr>
          <w:rFonts w:hint="eastAsia"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进行初步的工程分析，同时开展初步的环境状况调查。识别</w:t>
      </w:r>
      <w:r>
        <w:rPr>
          <w:rFonts w:hint="default" w:ascii="Times New Roman" w:hAnsi="Times New Roman"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的环境影响因素，筛选主要的环境影响评价因子，明确评价重点和环境保护目标，确定环境影响评价的范围、评价工作等级和评价标准，最后制订工作方案。</w:t>
      </w:r>
      <w:r>
        <w:rPr>
          <w:rFonts w:ascii="Times New Roman" w:hAnsi="Times New Roman" w:eastAsia="宋体" w:cs="Times New Roman"/>
          <w:color w:val="auto"/>
          <w:sz w:val="24"/>
          <w:szCs w:val="24"/>
          <w:highlight w:val="none"/>
        </w:rPr>
        <w:t>202</w:t>
      </w:r>
      <w:r>
        <w:rPr>
          <w:rFonts w:hint="eastAsia"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月委托</w:t>
      </w:r>
      <w:r>
        <w:rPr>
          <w:rFonts w:hint="default" w:ascii="Times New Roman" w:hAnsi="Times New Roman" w:cs="Times New Roman"/>
          <w:color w:val="auto"/>
          <w:highlight w:val="none"/>
          <w:lang w:eastAsia="zh-CN"/>
        </w:rPr>
        <w:t>新疆广宇众联环境监测有限公司</w:t>
      </w:r>
      <w:r>
        <w:rPr>
          <w:rFonts w:ascii="Times New Roman" w:hAnsi="Times New Roman" w:eastAsia="宋体" w:cs="Times New Roman"/>
          <w:color w:val="auto"/>
          <w:sz w:val="24"/>
          <w:szCs w:val="24"/>
          <w:highlight w:val="none"/>
        </w:rPr>
        <w:t>对本工程</w:t>
      </w:r>
      <w:r>
        <w:rPr>
          <w:color w:val="auto"/>
          <w:sz w:val="24"/>
          <w:szCs w:val="24"/>
          <w:highlight w:val="none"/>
        </w:rPr>
        <w:t>区域大气、土壤、</w:t>
      </w:r>
      <w:r>
        <w:rPr>
          <w:rFonts w:hint="eastAsia"/>
          <w:color w:val="auto"/>
          <w:sz w:val="24"/>
          <w:szCs w:val="24"/>
          <w:highlight w:val="none"/>
          <w:lang w:val="en-US" w:eastAsia="zh-CN"/>
        </w:rPr>
        <w:t>地下水、</w:t>
      </w:r>
      <w:r>
        <w:rPr>
          <w:color w:val="auto"/>
          <w:sz w:val="24"/>
          <w:szCs w:val="24"/>
          <w:highlight w:val="none"/>
        </w:rPr>
        <w:t>声环境质量现状进行了</w:t>
      </w:r>
      <w:r>
        <w:rPr>
          <w:rFonts w:hint="eastAsia"/>
          <w:color w:val="auto"/>
          <w:sz w:val="24"/>
          <w:szCs w:val="24"/>
          <w:highlight w:val="none"/>
          <w:lang w:val="en-US" w:eastAsia="zh-CN"/>
        </w:rPr>
        <w:t>采样</w:t>
      </w:r>
      <w:r>
        <w:rPr>
          <w:color w:val="auto"/>
          <w:sz w:val="24"/>
          <w:szCs w:val="24"/>
          <w:highlight w:val="none"/>
        </w:rPr>
        <w:t>监测。</w:t>
      </w:r>
      <w:r>
        <w:rPr>
          <w:rFonts w:hint="default" w:ascii="Times New Roman" w:hAnsi="Times New Roman" w:cs="Times New Roman"/>
          <w:color w:val="auto"/>
          <w:sz w:val="24"/>
          <w:szCs w:val="24"/>
          <w:highlight w:val="none"/>
        </w:rPr>
        <w:t>在进一步工程分析，环境现状调查、监测并开展环境质量现状评价的基础上进行环境影响预测及评价，提出减少环境污染和生态影响的环境管理措施和工程措施。从环境保护的角度确定项目建设的可行性，给出评价结论和提出进一步减缓环境影响的措施，并最终完成环境影响报告书编制。</w:t>
      </w:r>
    </w:p>
    <w:p w14:paraId="6C4C4DE2">
      <w:pPr>
        <w:pStyle w:val="62"/>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24"/>
          <w:sz w:val="24"/>
          <w:szCs w:val="24"/>
          <w:highlight w:val="none"/>
          <w:lang w:val="en-US" w:eastAsia="zh-CN"/>
        </w:rPr>
      </w:pPr>
      <w:r>
        <w:rPr>
          <w:rFonts w:hint="default" w:ascii="Times New Roman" w:hAnsi="Times New Roman" w:eastAsia="宋体" w:cs="Times New Roman"/>
          <w:color w:val="auto"/>
          <w:kern w:val="24"/>
          <w:sz w:val="24"/>
          <w:szCs w:val="24"/>
          <w:highlight w:val="none"/>
          <w:lang w:val="en-US" w:eastAsia="zh-CN"/>
        </w:rPr>
        <w:t>在环评报告编制期间，建设单位于202</w:t>
      </w:r>
      <w:r>
        <w:rPr>
          <w:rFonts w:hint="eastAsia" w:ascii="Times New Roman" w:hAnsi="Times New Roman" w:eastAsia="宋体" w:cs="Times New Roman"/>
          <w:color w:val="auto"/>
          <w:kern w:val="24"/>
          <w:sz w:val="24"/>
          <w:szCs w:val="24"/>
          <w:highlight w:val="none"/>
          <w:lang w:val="en-US" w:eastAsia="zh-CN"/>
        </w:rPr>
        <w:t>5</w:t>
      </w:r>
      <w:r>
        <w:rPr>
          <w:rFonts w:hint="default" w:ascii="Times New Roman" w:hAnsi="Times New Roman" w:eastAsia="宋体" w:cs="Times New Roman"/>
          <w:color w:val="auto"/>
          <w:kern w:val="24"/>
          <w:sz w:val="24"/>
          <w:szCs w:val="24"/>
          <w:highlight w:val="none"/>
          <w:lang w:val="en-US" w:eastAsia="zh-CN"/>
        </w:rPr>
        <w:t>年</w:t>
      </w:r>
      <w:r>
        <w:rPr>
          <w:rFonts w:hint="eastAsia" w:ascii="Times New Roman" w:hAnsi="Times New Roman" w:eastAsia="宋体" w:cs="Times New Roman"/>
          <w:color w:val="auto"/>
          <w:kern w:val="24"/>
          <w:sz w:val="24"/>
          <w:szCs w:val="24"/>
          <w:highlight w:val="none"/>
          <w:lang w:val="en-US" w:eastAsia="zh-CN"/>
        </w:rPr>
        <w:t>3</w:t>
      </w:r>
      <w:r>
        <w:rPr>
          <w:rFonts w:hint="default" w:ascii="Times New Roman" w:hAnsi="Times New Roman" w:eastAsia="宋体" w:cs="Times New Roman"/>
          <w:color w:val="auto"/>
          <w:kern w:val="24"/>
          <w:sz w:val="24"/>
          <w:szCs w:val="24"/>
          <w:highlight w:val="none"/>
          <w:lang w:val="en-US" w:eastAsia="zh-CN"/>
        </w:rPr>
        <w:t>月6日在新疆维吾尔自治区生态环境保护产业协会网站对</w:t>
      </w:r>
      <w:r>
        <w:rPr>
          <w:rFonts w:hint="default" w:ascii="Times New Roman" w:hAnsi="Times New Roman" w:cs="Times New Roman"/>
          <w:color w:val="auto"/>
          <w:kern w:val="24"/>
          <w:sz w:val="24"/>
          <w:szCs w:val="24"/>
          <w:highlight w:val="none"/>
          <w:lang w:val="en-US" w:eastAsia="zh-CN"/>
        </w:rPr>
        <w:t>本项目</w:t>
      </w:r>
      <w:r>
        <w:rPr>
          <w:rFonts w:hint="default" w:ascii="Times New Roman" w:hAnsi="Times New Roman" w:eastAsia="宋体" w:cs="Times New Roman"/>
          <w:color w:val="auto"/>
          <w:kern w:val="24"/>
          <w:sz w:val="24"/>
          <w:szCs w:val="24"/>
          <w:highlight w:val="none"/>
          <w:lang w:val="en-US" w:eastAsia="zh-CN"/>
        </w:rPr>
        <w:t>进行了第一次网络信息公示，并开展项目区域环境质量现状监测工作。在上述工作基础上，天合公司完成了环境影响报告书征求意见稿，随后西北油田分公司按照《环境影响评价公众参与办法》（部令第4号）要求，于202</w:t>
      </w:r>
      <w:r>
        <w:rPr>
          <w:rFonts w:hint="eastAsia" w:ascii="Times New Roman" w:hAnsi="Times New Roman" w:eastAsia="宋体" w:cs="Times New Roman"/>
          <w:color w:val="auto"/>
          <w:kern w:val="24"/>
          <w:sz w:val="24"/>
          <w:szCs w:val="24"/>
          <w:highlight w:val="none"/>
          <w:lang w:val="en-US" w:eastAsia="zh-CN"/>
        </w:rPr>
        <w:t>5</w:t>
      </w:r>
      <w:r>
        <w:rPr>
          <w:rFonts w:hint="default" w:ascii="Times New Roman" w:hAnsi="Times New Roman" w:eastAsia="宋体" w:cs="Times New Roman"/>
          <w:color w:val="auto"/>
          <w:kern w:val="24"/>
          <w:sz w:val="24"/>
          <w:szCs w:val="24"/>
          <w:highlight w:val="none"/>
          <w:lang w:val="en-US" w:eastAsia="zh-CN"/>
        </w:rPr>
        <w:t>年</w:t>
      </w:r>
      <w:r>
        <w:rPr>
          <w:rFonts w:hint="eastAsia" w:ascii="Times New Roman" w:hAnsi="Times New Roman" w:eastAsia="宋体" w:cs="Times New Roman"/>
          <w:color w:val="auto"/>
          <w:kern w:val="24"/>
          <w:sz w:val="24"/>
          <w:szCs w:val="24"/>
          <w:highlight w:val="none"/>
          <w:lang w:val="en-US" w:eastAsia="zh-CN"/>
        </w:rPr>
        <w:t>4</w:t>
      </w:r>
      <w:r>
        <w:rPr>
          <w:rFonts w:hint="default" w:ascii="Times New Roman" w:hAnsi="Times New Roman" w:eastAsia="宋体" w:cs="Times New Roman"/>
          <w:color w:val="auto"/>
          <w:kern w:val="24"/>
          <w:sz w:val="24"/>
          <w:szCs w:val="24"/>
          <w:highlight w:val="none"/>
          <w:lang w:val="en-US" w:eastAsia="zh-CN"/>
        </w:rPr>
        <w:t>月</w:t>
      </w:r>
      <w:r>
        <w:rPr>
          <w:rFonts w:hint="eastAsia" w:cs="Times New Roman"/>
          <w:color w:val="auto"/>
          <w:kern w:val="24"/>
          <w:sz w:val="24"/>
          <w:szCs w:val="24"/>
          <w:highlight w:val="none"/>
          <w:lang w:val="en-US" w:eastAsia="zh-CN"/>
        </w:rPr>
        <w:t>11</w:t>
      </w:r>
      <w:r>
        <w:rPr>
          <w:rFonts w:hint="default" w:ascii="Times New Roman" w:hAnsi="Times New Roman" w:eastAsia="宋体" w:cs="Times New Roman"/>
          <w:color w:val="auto"/>
          <w:kern w:val="24"/>
          <w:sz w:val="24"/>
          <w:szCs w:val="24"/>
          <w:highlight w:val="none"/>
          <w:lang w:val="en-US" w:eastAsia="zh-CN"/>
        </w:rPr>
        <w:t>日在新疆维吾尔自治区生态环境保护产业协会网站对</w:t>
      </w:r>
      <w:r>
        <w:rPr>
          <w:rFonts w:hint="default" w:ascii="Times New Roman" w:hAnsi="Times New Roman" w:cs="Times New Roman"/>
          <w:color w:val="auto"/>
          <w:kern w:val="24"/>
          <w:sz w:val="24"/>
          <w:szCs w:val="24"/>
          <w:highlight w:val="none"/>
          <w:lang w:val="en-US" w:eastAsia="zh-CN"/>
        </w:rPr>
        <w:t>本项目</w:t>
      </w:r>
      <w:r>
        <w:rPr>
          <w:rFonts w:hint="default" w:ascii="Times New Roman" w:hAnsi="Times New Roman" w:eastAsia="宋体" w:cs="Times New Roman"/>
          <w:color w:val="auto"/>
          <w:kern w:val="24"/>
          <w:sz w:val="24"/>
          <w:szCs w:val="24"/>
          <w:highlight w:val="none"/>
          <w:lang w:val="en-US" w:eastAsia="zh-CN"/>
        </w:rPr>
        <w:t>环评信息进行了第二次公示，同时在项目所在地公示栏张贴了环评信息第二次公示材料。建设单位于202</w:t>
      </w:r>
      <w:r>
        <w:rPr>
          <w:rFonts w:hint="eastAsia" w:ascii="Times New Roman" w:hAnsi="Times New Roman" w:eastAsia="宋体" w:cs="Times New Roman"/>
          <w:color w:val="auto"/>
          <w:kern w:val="24"/>
          <w:sz w:val="24"/>
          <w:szCs w:val="24"/>
          <w:highlight w:val="none"/>
          <w:lang w:val="en-US" w:eastAsia="zh-CN"/>
        </w:rPr>
        <w:t>5</w:t>
      </w:r>
      <w:r>
        <w:rPr>
          <w:rFonts w:hint="default" w:ascii="Times New Roman" w:hAnsi="Times New Roman" w:eastAsia="宋体" w:cs="Times New Roman"/>
          <w:color w:val="auto"/>
          <w:kern w:val="24"/>
          <w:sz w:val="24"/>
          <w:szCs w:val="24"/>
          <w:highlight w:val="none"/>
          <w:lang w:val="en-US" w:eastAsia="zh-CN"/>
        </w:rPr>
        <w:t>年</w:t>
      </w:r>
      <w:r>
        <w:rPr>
          <w:rFonts w:hint="eastAsia" w:ascii="Times New Roman" w:hAnsi="Times New Roman" w:eastAsia="宋体" w:cs="Times New Roman"/>
          <w:color w:val="auto"/>
          <w:kern w:val="24"/>
          <w:sz w:val="24"/>
          <w:szCs w:val="24"/>
          <w:highlight w:val="none"/>
          <w:lang w:val="en-US" w:eastAsia="zh-CN"/>
        </w:rPr>
        <w:t>4</w:t>
      </w:r>
      <w:r>
        <w:rPr>
          <w:rFonts w:hint="default" w:ascii="Times New Roman" w:hAnsi="Times New Roman" w:eastAsia="宋体" w:cs="Times New Roman"/>
          <w:color w:val="auto"/>
          <w:kern w:val="24"/>
          <w:sz w:val="24"/>
          <w:szCs w:val="24"/>
          <w:highlight w:val="none"/>
          <w:lang w:val="en-US" w:eastAsia="zh-CN"/>
        </w:rPr>
        <w:t>月</w:t>
      </w:r>
      <w:r>
        <w:rPr>
          <w:rFonts w:hint="eastAsia" w:cs="Times New Roman"/>
          <w:color w:val="auto"/>
          <w:kern w:val="24"/>
          <w:sz w:val="24"/>
          <w:szCs w:val="24"/>
          <w:highlight w:val="none"/>
          <w:lang w:val="en-US" w:eastAsia="zh-CN"/>
        </w:rPr>
        <w:t>16</w:t>
      </w:r>
      <w:r>
        <w:rPr>
          <w:rFonts w:hint="default" w:ascii="Times New Roman" w:hAnsi="Times New Roman" w:eastAsia="宋体" w:cs="Times New Roman"/>
          <w:color w:val="auto"/>
          <w:kern w:val="24"/>
          <w:sz w:val="24"/>
          <w:szCs w:val="24"/>
          <w:highlight w:val="none"/>
          <w:lang w:val="en-US" w:eastAsia="zh-CN"/>
        </w:rPr>
        <w:t>日及202</w:t>
      </w:r>
      <w:r>
        <w:rPr>
          <w:rFonts w:hint="eastAsia" w:ascii="Times New Roman" w:hAnsi="Times New Roman" w:eastAsia="宋体" w:cs="Times New Roman"/>
          <w:color w:val="auto"/>
          <w:kern w:val="24"/>
          <w:sz w:val="24"/>
          <w:szCs w:val="24"/>
          <w:highlight w:val="none"/>
          <w:lang w:val="en-US" w:eastAsia="zh-CN"/>
        </w:rPr>
        <w:t>5</w:t>
      </w:r>
      <w:r>
        <w:rPr>
          <w:rFonts w:hint="default" w:ascii="Times New Roman" w:hAnsi="Times New Roman" w:eastAsia="宋体" w:cs="Times New Roman"/>
          <w:color w:val="auto"/>
          <w:kern w:val="24"/>
          <w:sz w:val="24"/>
          <w:szCs w:val="24"/>
          <w:highlight w:val="none"/>
          <w:lang w:val="en-US" w:eastAsia="zh-CN"/>
        </w:rPr>
        <w:t>年</w:t>
      </w:r>
      <w:r>
        <w:rPr>
          <w:rFonts w:hint="eastAsia" w:ascii="Times New Roman" w:hAnsi="Times New Roman" w:eastAsia="宋体" w:cs="Times New Roman"/>
          <w:color w:val="auto"/>
          <w:kern w:val="24"/>
          <w:sz w:val="24"/>
          <w:szCs w:val="24"/>
          <w:highlight w:val="none"/>
          <w:lang w:val="en-US" w:eastAsia="zh-CN"/>
        </w:rPr>
        <w:t>4</w:t>
      </w:r>
      <w:r>
        <w:rPr>
          <w:rFonts w:hint="default" w:ascii="Times New Roman" w:hAnsi="Times New Roman" w:eastAsia="宋体" w:cs="Times New Roman"/>
          <w:color w:val="auto"/>
          <w:kern w:val="24"/>
          <w:sz w:val="24"/>
          <w:szCs w:val="24"/>
          <w:highlight w:val="none"/>
          <w:lang w:val="en-US" w:eastAsia="zh-CN"/>
        </w:rPr>
        <w:t>月</w:t>
      </w:r>
      <w:r>
        <w:rPr>
          <w:rFonts w:hint="eastAsia" w:cs="Times New Roman"/>
          <w:color w:val="auto"/>
          <w:kern w:val="24"/>
          <w:sz w:val="24"/>
          <w:szCs w:val="24"/>
          <w:highlight w:val="none"/>
          <w:lang w:val="en-US" w:eastAsia="zh-CN"/>
        </w:rPr>
        <w:t>18</w:t>
      </w:r>
      <w:r>
        <w:rPr>
          <w:rFonts w:hint="default" w:ascii="Times New Roman" w:hAnsi="Times New Roman" w:eastAsia="宋体" w:cs="Times New Roman"/>
          <w:color w:val="auto"/>
          <w:kern w:val="24"/>
          <w:sz w:val="24"/>
          <w:szCs w:val="24"/>
          <w:highlight w:val="none"/>
          <w:lang w:val="en-US" w:eastAsia="zh-CN"/>
        </w:rPr>
        <w:t>日在项目所在地的</w:t>
      </w:r>
      <w:r>
        <w:rPr>
          <w:rFonts w:hint="default" w:ascii="Times New Roman" w:hAnsi="Times New Roman" w:cs="Times New Roman"/>
          <w:color w:val="auto"/>
          <w:kern w:val="24"/>
          <w:sz w:val="24"/>
          <w:szCs w:val="24"/>
          <w:highlight w:val="none"/>
          <w:lang w:val="en-US" w:eastAsia="zh-CN"/>
        </w:rPr>
        <w:t>阿克苏日</w:t>
      </w:r>
      <w:r>
        <w:rPr>
          <w:rFonts w:hint="default" w:ascii="Times New Roman" w:hAnsi="Times New Roman" w:eastAsia="宋体" w:cs="Times New Roman"/>
          <w:color w:val="auto"/>
          <w:kern w:val="24"/>
          <w:sz w:val="24"/>
          <w:szCs w:val="24"/>
          <w:highlight w:val="none"/>
          <w:lang w:val="en-US" w:eastAsia="zh-CN"/>
        </w:rPr>
        <w:t>报对项目的环境影响评价信息进行了两次公告。建设单位于202</w:t>
      </w:r>
      <w:r>
        <w:rPr>
          <w:rFonts w:hint="eastAsia" w:ascii="Times New Roman" w:hAnsi="Times New Roman" w:eastAsia="宋体" w:cs="Times New Roman"/>
          <w:color w:val="auto"/>
          <w:kern w:val="24"/>
          <w:sz w:val="24"/>
          <w:szCs w:val="24"/>
          <w:highlight w:val="none"/>
          <w:lang w:val="en-US" w:eastAsia="zh-CN"/>
        </w:rPr>
        <w:t>5</w:t>
      </w:r>
      <w:r>
        <w:rPr>
          <w:rFonts w:hint="default" w:ascii="Times New Roman" w:hAnsi="Times New Roman" w:eastAsia="宋体" w:cs="Times New Roman"/>
          <w:color w:val="auto"/>
          <w:kern w:val="24"/>
          <w:sz w:val="24"/>
          <w:szCs w:val="24"/>
          <w:highlight w:val="none"/>
          <w:lang w:val="en-US" w:eastAsia="zh-CN"/>
        </w:rPr>
        <w:t>年</w:t>
      </w:r>
      <w:r>
        <w:rPr>
          <w:rFonts w:hint="eastAsia" w:cs="Times New Roman"/>
          <w:color w:val="auto"/>
          <w:kern w:val="24"/>
          <w:sz w:val="24"/>
          <w:szCs w:val="24"/>
          <w:highlight w:val="none"/>
          <w:lang w:val="en-US" w:eastAsia="zh-CN"/>
        </w:rPr>
        <w:t>4</w:t>
      </w:r>
      <w:r>
        <w:rPr>
          <w:rFonts w:hint="default" w:ascii="Times New Roman" w:hAnsi="Times New Roman" w:eastAsia="宋体" w:cs="Times New Roman"/>
          <w:color w:val="auto"/>
          <w:kern w:val="24"/>
          <w:sz w:val="24"/>
          <w:szCs w:val="24"/>
          <w:highlight w:val="none"/>
          <w:lang w:val="en-US" w:eastAsia="zh-CN"/>
        </w:rPr>
        <w:t>月</w:t>
      </w:r>
      <w:r>
        <w:rPr>
          <w:rFonts w:hint="eastAsia" w:cs="Times New Roman"/>
          <w:color w:val="auto"/>
          <w:kern w:val="24"/>
          <w:sz w:val="24"/>
          <w:szCs w:val="24"/>
          <w:highlight w:val="none"/>
          <w:lang w:val="en-US" w:eastAsia="zh-CN"/>
        </w:rPr>
        <w:t>28</w:t>
      </w:r>
      <w:r>
        <w:rPr>
          <w:rFonts w:hint="default" w:ascii="Times New Roman" w:hAnsi="Times New Roman" w:eastAsia="宋体" w:cs="Times New Roman"/>
          <w:color w:val="auto"/>
          <w:kern w:val="24"/>
          <w:sz w:val="24"/>
          <w:szCs w:val="24"/>
          <w:highlight w:val="none"/>
          <w:lang w:val="en-US" w:eastAsia="zh-CN"/>
        </w:rPr>
        <w:t>日在新疆维吾尔自治区生态环境保护产业协会网站上进行了环境影响评价报批前公示，公开拟报批的环境影响报告书全文和公众参与说明。载体选择符合《环境影响评价公众参与办法》要求。根据西北油田分公司反馈情况，公示期间未收到反馈意见。</w:t>
      </w:r>
    </w:p>
    <w:p w14:paraId="5688D27E">
      <w:pPr>
        <w:pStyle w:val="57"/>
        <w:keepNext w:val="0"/>
        <w:keepLines w:val="0"/>
        <w:pageBreakBefore w:val="0"/>
        <w:widowControl/>
        <w:kinsoku/>
        <w:wordWrap/>
        <w:overflowPunct/>
        <w:topLinePunct w:val="0"/>
        <w:autoSpaceDE/>
        <w:autoSpaceDN/>
        <w:bidi w:val="0"/>
        <w:adjustRightInd/>
        <w:snapToGrid/>
        <w:spacing w:line="348" w:lineRule="auto"/>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报告书经生态环境主管部门批准后，可以作为</w:t>
      </w:r>
      <w:r>
        <w:rPr>
          <w:rFonts w:hint="default" w:ascii="Times New Roman" w:hAnsi="Times New Roman"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建设期、运营期的环境保护管理依据。</w:t>
      </w:r>
    </w:p>
    <w:p w14:paraId="02F3C973">
      <w:pPr>
        <w:pStyle w:val="62"/>
        <w:keepNext w:val="0"/>
        <w:keepLines w:val="0"/>
        <w:pageBreakBefore w:val="0"/>
        <w:widowControl/>
        <w:kinsoku/>
        <w:wordWrap/>
        <w:overflowPunct/>
        <w:topLinePunct w:val="0"/>
        <w:autoSpaceDE/>
        <w:autoSpaceDN/>
        <w:bidi w:val="0"/>
        <w:adjustRightInd/>
        <w:snapToGrid/>
        <w:spacing w:line="348" w:lineRule="auto"/>
        <w:ind w:firstLine="480"/>
        <w:jc w:val="both"/>
        <w:textAlignment w:val="auto"/>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环境影响评价工作一般分为三个阶段，第一阶段包括资料收集、工程分析和影响识别等工作，第二阶段包括生态环境现状监测、现状调查与评价、环境影响预测与评价等工作，第三阶段包括提出预防或减缓不利影响的环境保护措施、制定环境监测计划、从生态环境影响的角度给出工程建设项目是否可行的结论等工作</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环境影响报告书编制阶段见图1.2-1环境影响评价工作程序图</w:t>
      </w:r>
      <w:r>
        <w:rPr>
          <w:rFonts w:hint="eastAsia" w:ascii="Times New Roman" w:hAnsi="Times New Roman" w:cs="Times New Roman"/>
          <w:color w:val="auto"/>
          <w:sz w:val="24"/>
          <w:szCs w:val="24"/>
          <w:highlight w:val="none"/>
          <w:lang w:eastAsia="zh-CN"/>
        </w:rPr>
        <w:t>。</w:t>
      </w:r>
    </w:p>
    <w:p w14:paraId="48A84CE7">
      <w:pPr>
        <w:pStyle w:val="62"/>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24"/>
          <w:sz w:val="24"/>
          <w:szCs w:val="24"/>
          <w:highlight w:val="none"/>
          <w:lang w:val="en-US" w:eastAsia="zh-CN"/>
        </w:rPr>
        <w:sectPr>
          <w:pgSz w:w="11905" w:h="16838"/>
          <w:pgMar w:top="1440" w:right="1800" w:bottom="1440" w:left="1800" w:header="794" w:footer="1134" w:gutter="0"/>
          <w:pgBorders>
            <w:top w:val="none" w:sz="0" w:space="0"/>
            <w:left w:val="none" w:sz="0" w:space="0"/>
            <w:bottom w:val="none" w:sz="0" w:space="0"/>
            <w:right w:val="none" w:sz="0" w:space="0"/>
          </w:pgBorders>
          <w:pgNumType w:fmt="decimal" w:start="1"/>
          <w:cols w:space="720" w:num="1"/>
          <w:rtlGutter w:val="0"/>
          <w:docGrid w:linePitch="312" w:charSpace="0"/>
        </w:sectPr>
      </w:pPr>
    </w:p>
    <w:p w14:paraId="2592A56B">
      <w:pPr>
        <w:ind w:firstLine="0"/>
        <w:rPr>
          <w:rFonts w:hint="default" w:ascii="Times New Roman" w:hAnsi="Times New Roman" w:cs="Times New Roman"/>
          <w:color w:val="auto"/>
          <w:highlight w:val="none"/>
        </w:rPr>
      </w:pPr>
    </w:p>
    <w:p w14:paraId="1B578CD5">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1122045</wp:posOffset>
                </wp:positionH>
                <wp:positionV relativeFrom="paragraph">
                  <wp:posOffset>71755</wp:posOffset>
                </wp:positionV>
                <wp:extent cx="2936875" cy="553720"/>
                <wp:effectExtent l="4445" t="5080" r="11430" b="12700"/>
                <wp:wrapNone/>
                <wp:docPr id="34" name="矩形 34"/>
                <wp:cNvGraphicFramePr/>
                <a:graphic xmlns:a="http://schemas.openxmlformats.org/drawingml/2006/main">
                  <a:graphicData uri="http://schemas.microsoft.com/office/word/2010/wordprocessingShape">
                    <wps:wsp>
                      <wps:cNvSpPr/>
                      <wps:spPr>
                        <a:xfrm>
                          <a:off x="0" y="0"/>
                          <a:ext cx="2936875" cy="553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D2B952">
                            <w:pPr>
                              <w:pStyle w:val="66"/>
                              <w:ind w:firstLine="315" w:firstLineChars="150"/>
                              <w:jc w:val="center"/>
                              <w:rPr>
                                <w:rFonts w:hint="eastAsia"/>
                                <w:szCs w:val="21"/>
                                <w:lang w:val="en-US" w:eastAsia="zh-CN"/>
                              </w:rPr>
                            </w:pPr>
                            <w:r>
                              <w:rPr>
                                <w:rFonts w:hint="eastAsia"/>
                                <w:szCs w:val="21"/>
                                <w:lang w:val="en-US" w:eastAsia="zh-CN"/>
                              </w:rPr>
                              <w:t>收集分析工程技术文件</w:t>
                            </w:r>
                          </w:p>
                          <w:p w14:paraId="7B05C0B9">
                            <w:pPr>
                              <w:pStyle w:val="66"/>
                              <w:ind w:firstLine="315" w:firstLineChars="150"/>
                              <w:jc w:val="center"/>
                              <w:rPr>
                                <w:rFonts w:hint="default" w:eastAsia="宋体"/>
                                <w:szCs w:val="21"/>
                                <w:lang w:val="en-US" w:eastAsia="zh-CN"/>
                              </w:rPr>
                            </w:pPr>
                            <w:r>
                              <w:rPr>
                                <w:rFonts w:hint="eastAsia"/>
                                <w:szCs w:val="21"/>
                                <w:lang w:val="en-US" w:eastAsia="zh-CN"/>
                              </w:rPr>
                              <w:t>以及相关基础资料</w:t>
                            </w:r>
                          </w:p>
                        </w:txbxContent>
                      </wps:txbx>
                      <wps:bodyPr upright="1"/>
                    </wps:wsp>
                  </a:graphicData>
                </a:graphic>
              </wp:anchor>
            </w:drawing>
          </mc:Choice>
          <mc:Fallback>
            <w:pict>
              <v:rect id="_x0000_s1026" o:spid="_x0000_s1026" o:spt="1" style="position:absolute;left:0pt;margin-left:88.35pt;margin-top:5.65pt;height:43.6pt;width:231.25pt;z-index:251663360;mso-width-relative:page;mso-height-relative:page;" fillcolor="#FFFFFF" filled="t" stroked="t" coordsize="21600,21600" o:gfxdata="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oLeX2AAAAAkBAAAPAAAAAAAAAAEAIAAAACIA&#10;AABkcnMvZG93bnJldi54bWxQSwECFAAUAAAACACHTuJAVOZnIgkCAAA5BAAADgAAAAAAAAABACAA&#10;AAAnAQAAZHJzL2Uyb0RvYy54bWxQSwUGAAAAAAYABgBZAQAAogUAAAAA&#10;">
                <v:fill on="t" focussize="0,0"/>
                <v:stroke color="#000000" joinstyle="miter"/>
                <v:imagedata o:title=""/>
                <o:lock v:ext="edit" aspectratio="f"/>
                <v:textbox>
                  <w:txbxContent>
                    <w:p w14:paraId="1FD2B952">
                      <w:pPr>
                        <w:pStyle w:val="66"/>
                        <w:ind w:firstLine="315" w:firstLineChars="150"/>
                        <w:jc w:val="center"/>
                        <w:rPr>
                          <w:rFonts w:hint="eastAsia"/>
                          <w:szCs w:val="21"/>
                          <w:lang w:val="en-US" w:eastAsia="zh-CN"/>
                        </w:rPr>
                      </w:pPr>
                      <w:r>
                        <w:rPr>
                          <w:rFonts w:hint="eastAsia"/>
                          <w:szCs w:val="21"/>
                          <w:lang w:val="en-US" w:eastAsia="zh-CN"/>
                        </w:rPr>
                        <w:t>收集分析工程技术文件</w:t>
                      </w:r>
                    </w:p>
                    <w:p w14:paraId="7B05C0B9">
                      <w:pPr>
                        <w:pStyle w:val="66"/>
                        <w:ind w:firstLine="315" w:firstLineChars="150"/>
                        <w:jc w:val="center"/>
                        <w:rPr>
                          <w:rFonts w:hint="default" w:eastAsia="宋体"/>
                          <w:szCs w:val="21"/>
                          <w:lang w:val="en-US" w:eastAsia="zh-CN"/>
                        </w:rPr>
                      </w:pPr>
                      <w:r>
                        <w:rPr>
                          <w:rFonts w:hint="eastAsia"/>
                          <w:szCs w:val="21"/>
                          <w:lang w:val="en-US" w:eastAsia="zh-CN"/>
                        </w:rPr>
                        <w:t>以及相关基础资料</w:t>
                      </w:r>
                    </w:p>
                  </w:txbxContent>
                </v:textbox>
              </v:rect>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50800</wp:posOffset>
                </wp:positionH>
                <wp:positionV relativeFrom="paragraph">
                  <wp:posOffset>-127635</wp:posOffset>
                </wp:positionV>
                <wp:extent cx="5181600" cy="6897370"/>
                <wp:effectExtent l="4445" t="4445" r="14605" b="13335"/>
                <wp:wrapNone/>
                <wp:docPr id="39" name="矩形 39"/>
                <wp:cNvGraphicFramePr/>
                <a:graphic xmlns:a="http://schemas.openxmlformats.org/drawingml/2006/main">
                  <a:graphicData uri="http://schemas.microsoft.com/office/word/2010/wordprocessingShape">
                    <wps:wsp>
                      <wps:cNvSpPr/>
                      <wps:spPr>
                        <a:xfrm>
                          <a:off x="0" y="0"/>
                          <a:ext cx="5181600" cy="6897370"/>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4pt;margin-top:-10.05pt;height:543.1pt;width:408pt;z-index:251679744;mso-width-relative:page;mso-height-relative:page;" filled="f" stroked="t" coordsize="21600,21600" o:gfxdata="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v1iE9YAAAAKAQAADwAAAAAAAAABACAAAAAiAAAAZHJzL2Rvd25yZXYueG1s&#10;UEsBAhQAFAAAAAgAh07iQFaKSTT6AQAA9wMAAA4AAAAAAAAAAQAgAAAAJQEAAGRycy9lMm9Eb2Mu&#10;eG1sUEsFBgAAAAAGAAYAWQEAAJEFAAAAAA==&#10;">
                <v:fill on="f" focussize="0,0"/>
                <v:stroke color="#000000" joinstyle="miter" dashstyle="dash"/>
                <v:imagedata o:title=""/>
                <o:lock v:ext="edit" aspectratio="f"/>
              </v:rect>
            </w:pict>
          </mc:Fallback>
        </mc:AlternateContent>
      </w:r>
    </w:p>
    <w:p w14:paraId="60CCEAC3">
      <w:pPr>
        <w:spacing w:line="400" w:lineRule="atLeast"/>
        <w:ind w:firstLine="480"/>
        <w:rPr>
          <w:rFonts w:hint="default" w:ascii="Times New Roman" w:hAnsi="Times New Roman" w:cs="Times New Roman"/>
          <w:color w:val="auto"/>
          <w:highlight w:val="none"/>
        </w:rPr>
      </w:pPr>
    </w:p>
    <w:p w14:paraId="7EBE27C5">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2580640</wp:posOffset>
                </wp:positionH>
                <wp:positionV relativeFrom="paragraph">
                  <wp:posOffset>102870</wp:posOffset>
                </wp:positionV>
                <wp:extent cx="6350" cy="424180"/>
                <wp:effectExtent l="36830" t="0" r="33020" b="13970"/>
                <wp:wrapNone/>
                <wp:docPr id="40" name="直接箭头连接符 40"/>
                <wp:cNvGraphicFramePr/>
                <a:graphic xmlns:a="http://schemas.openxmlformats.org/drawingml/2006/main">
                  <a:graphicData uri="http://schemas.microsoft.com/office/word/2010/wordprocessingShape">
                    <wps:wsp>
                      <wps:cNvCnPr/>
                      <wps:spPr>
                        <a:xfrm flipH="1">
                          <a:off x="0" y="0"/>
                          <a:ext cx="6350" cy="4241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pt;margin-top:8.1pt;height:33.4pt;width:0.5pt;z-index:251664384;mso-width-relative:page;mso-height-relative:page;" filled="f" stroked="t" coordsize="21600,21600" o:gfxdata="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Quxv2AAAAAkBAAAPAAAA&#10;AAAAAAEAIAAAACIAAABkcnMvZG93bnJldi54bWxQSwECFAAUAAAACACHTuJA0u7BpBUCAAAMBAAA&#10;DgAAAAAAAAABACAAAAAnAQAAZHJzL2Uyb0RvYy54bWxQSwUGAAAAAAYABgBZAQAArgUAAAAA&#10;">
                <v:fill on="f" focussize="0,0"/>
                <v:stroke color="#000000" joinstyle="round" endarrow="block"/>
                <v:imagedata o:title=""/>
                <o:lock v:ext="edit" aspectratio="f"/>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45" name="矩形 45"/>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14:paraId="27F578E8">
                            <w:pPr>
                              <w:pStyle w:val="66"/>
                              <w:ind w:firstLine="480"/>
                            </w:pPr>
                            <w:r>
                              <w:rPr>
                                <w:rFonts w:hint="eastAsia"/>
                              </w:rPr>
                              <w:t>第</w:t>
                            </w:r>
                            <w:r>
                              <w:rPr>
                                <w:rFonts w:hint="eastAsia"/>
                                <w:lang w:val="en-US" w:eastAsia="zh-CN"/>
                              </w:rPr>
                              <w:t>第</w:t>
                            </w:r>
                            <w:r>
                              <w:rPr>
                                <w:rFonts w:hint="eastAsia"/>
                              </w:rPr>
                              <w:t>一阶段</w:t>
                            </w:r>
                          </w:p>
                        </w:txbxContent>
                      </wps:txbx>
                      <wps:bodyPr upright="1"/>
                    </wps:wsp>
                  </a:graphicData>
                </a:graphic>
              </wp:anchor>
            </w:drawing>
          </mc:Choice>
          <mc:Fallback>
            <w:pict>
              <v:rect id="_x0000_s1026" o:spid="_x0000_s1026" o:spt="1" style="position:absolute;left:0pt;margin-left:7.9pt;margin-top:12.35pt;height:88.5pt;width:21pt;z-index:251676672;mso-width-relative:page;mso-height-relative:page;" filled="f" stroked="f" coordsize="21600,21600" o:gfxdata="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BT&#10;qaXXAAAACAEAAA8AAAAAAAAAAQAgAAAAIgAAAGRycy9kb3ducmV2LnhtbFBLAQIUABQAAAAIAIdO&#10;4kDXpPaYsgEAAFoDAAAOAAAAAAAAAAEAIAAAACYBAABkcnMvZTJvRG9jLnhtbFBLBQYAAAAABgAG&#10;AFkBAABKBQAAAAA=&#10;">
                <v:fill on="f" focussize="0,0"/>
                <v:stroke on="f"/>
                <v:imagedata o:title=""/>
                <o:lock v:ext="edit" aspectratio="f"/>
                <v:textbox>
                  <w:txbxContent>
                    <w:p w14:paraId="27F578E8">
                      <w:pPr>
                        <w:pStyle w:val="66"/>
                        <w:ind w:firstLine="480"/>
                      </w:pPr>
                      <w:r>
                        <w:rPr>
                          <w:rFonts w:hint="eastAsia"/>
                        </w:rPr>
                        <w:t>第</w:t>
                      </w:r>
                      <w:r>
                        <w:rPr>
                          <w:rFonts w:hint="eastAsia"/>
                          <w:lang w:val="en-US" w:eastAsia="zh-CN"/>
                        </w:rPr>
                        <w:t>第</w:t>
                      </w:r>
                      <w:r>
                        <w:rPr>
                          <w:rFonts w:hint="eastAsia"/>
                        </w:rPr>
                        <w:t>一阶段</w:t>
                      </w:r>
                    </w:p>
                  </w:txbxContent>
                </v:textbox>
              </v:rect>
            </w:pict>
          </mc:Fallback>
        </mc:AlternateContent>
      </w:r>
    </w:p>
    <w:p w14:paraId="4271567C">
      <w:pPr>
        <w:spacing w:line="400" w:lineRule="atLeast"/>
        <w:ind w:firstLine="480"/>
        <w:rPr>
          <w:rFonts w:hint="default" w:ascii="Times New Roman" w:hAnsi="Times New Roman" w:cs="Times New Roman"/>
          <w:color w:val="auto"/>
          <w:highlight w:val="none"/>
        </w:rPr>
      </w:pPr>
    </w:p>
    <w:p w14:paraId="2AE7DF10">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1142365</wp:posOffset>
                </wp:positionH>
                <wp:positionV relativeFrom="paragraph">
                  <wp:posOffset>28575</wp:posOffset>
                </wp:positionV>
                <wp:extent cx="2838450" cy="687705"/>
                <wp:effectExtent l="4445" t="4445" r="14605" b="12700"/>
                <wp:wrapNone/>
                <wp:docPr id="46" name="矩形 46"/>
                <wp:cNvGraphicFramePr/>
                <a:graphic xmlns:a="http://schemas.openxmlformats.org/drawingml/2006/main">
                  <a:graphicData uri="http://schemas.microsoft.com/office/word/2010/wordprocessingShape">
                    <wps:wsp>
                      <wps:cNvSpPr/>
                      <wps:spPr>
                        <a:xfrm>
                          <a:off x="0" y="0"/>
                          <a:ext cx="2838450" cy="687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4C7DE8">
                            <w:pPr>
                              <w:pStyle w:val="66"/>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进行工程分析，识别环境影响</w:t>
                            </w:r>
                          </w:p>
                          <w:p w14:paraId="1DE21E58">
                            <w:pPr>
                              <w:pStyle w:val="66"/>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并筛选评价因子，明确环境影响</w:t>
                            </w:r>
                          </w:p>
                          <w:p w14:paraId="20806FCE">
                            <w:pPr>
                              <w:pStyle w:val="66"/>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评价工作重点和环境保护目标</w:t>
                            </w:r>
                          </w:p>
                        </w:txbxContent>
                      </wps:txbx>
                      <wps:bodyPr upright="1"/>
                    </wps:wsp>
                  </a:graphicData>
                </a:graphic>
              </wp:anchor>
            </w:drawing>
          </mc:Choice>
          <mc:Fallback>
            <w:pict>
              <v:rect id="_x0000_s1026" o:spid="_x0000_s1026" o:spt="1" style="position:absolute;left:0pt;margin-left:89.95pt;margin-top:2.25pt;height:54.15pt;width:223.5pt;z-index:251662336;mso-width-relative:page;mso-height-relative:page;" fillcolor="#FFFFFF" filled="t" stroked="t" coordsize="21600,21600" o:gfxdata="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UL0DWAAAACQEAAA8AAAAAAAAAAQAgAAAAIgAAAGRy&#10;cy9kb3ducmV2LnhtbFBLAQIUABQAAAAIAIdO4kAiSdnOBwIAADkEAAAOAAAAAAAAAAEAIAAAACUB&#10;AABkcnMvZTJvRG9jLnhtbFBLBQYAAAAABgAGAFkBAACeBQAAAAA=&#10;">
                <v:fill on="t" focussize="0,0"/>
                <v:stroke color="#000000" joinstyle="miter"/>
                <v:imagedata o:title=""/>
                <o:lock v:ext="edit" aspectratio="f"/>
                <v:textbox>
                  <w:txbxContent>
                    <w:p w14:paraId="694C7DE8">
                      <w:pPr>
                        <w:pStyle w:val="66"/>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进行工程分析，识别环境影响</w:t>
                      </w:r>
                    </w:p>
                    <w:p w14:paraId="1DE21E58">
                      <w:pPr>
                        <w:pStyle w:val="66"/>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并筛选评价因子，明确环境影响</w:t>
                      </w:r>
                    </w:p>
                    <w:p w14:paraId="20806FCE">
                      <w:pPr>
                        <w:pStyle w:val="66"/>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评价工作重点和环境保护目标</w:t>
                      </w:r>
                    </w:p>
                  </w:txbxContent>
                </v:textbox>
              </v:rect>
            </w:pict>
          </mc:Fallback>
        </mc:AlternateContent>
      </w:r>
    </w:p>
    <w:p w14:paraId="1272165E">
      <w:pPr>
        <w:spacing w:line="400" w:lineRule="atLeast"/>
        <w:ind w:firstLine="480"/>
        <w:rPr>
          <w:rFonts w:hint="default" w:ascii="Times New Roman" w:hAnsi="Times New Roman" w:cs="Times New Roman"/>
          <w:color w:val="auto"/>
          <w:highlight w:val="none"/>
        </w:rPr>
      </w:pPr>
    </w:p>
    <w:p w14:paraId="5007A82A">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2581275</wp:posOffset>
                </wp:positionH>
                <wp:positionV relativeFrom="paragraph">
                  <wp:posOffset>224155</wp:posOffset>
                </wp:positionV>
                <wp:extent cx="4445" cy="352425"/>
                <wp:effectExtent l="36830" t="0" r="34925" b="9525"/>
                <wp:wrapNone/>
                <wp:docPr id="47" name="直接箭头连接符 47"/>
                <wp:cNvGraphicFramePr/>
                <a:graphic xmlns:a="http://schemas.openxmlformats.org/drawingml/2006/main">
                  <a:graphicData uri="http://schemas.microsoft.com/office/word/2010/wordprocessingShape">
                    <wps:wsp>
                      <wps:cNvCnPr>
                        <a:endCxn id="48" idx="0"/>
                      </wps:cNvCnPr>
                      <wps:spPr>
                        <a:xfrm flipH="1">
                          <a:off x="0" y="0"/>
                          <a:ext cx="4445" cy="3524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5pt;margin-top:17.65pt;height:27.75pt;width:0.35pt;z-index:251665408;mso-width-relative:page;mso-height-relative:page;" filled="f" stroked="t" coordsize="21600,21600" o:gfxdata="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4j7P2QAAAAkBAAAPAAAAAAAAAAEAIAAAACIAAABkcnMvZG93bnJldi54bWxQSwECFAAUAAAACACH&#10;TuJAUCAXbCMCAAA0BAAADgAAAAAAAAABACAAAAAoAQAAZHJzL2Uyb0RvYy54bWxQSwUGAAAAAAYA&#10;BgBZAQAAvQUAAAAA&#10;">
                <v:fill on="f" focussize="0,0"/>
                <v:stroke color="#000000" joinstyle="round" endarrow="block"/>
                <v:imagedata o:title=""/>
                <o:lock v:ext="edit" aspectratio="f"/>
              </v:shape>
            </w:pict>
          </mc:Fallback>
        </mc:AlternateContent>
      </w:r>
    </w:p>
    <w:p w14:paraId="714E2F11">
      <w:pPr>
        <w:spacing w:line="400" w:lineRule="atLeast"/>
        <w:ind w:firstLine="480"/>
        <w:rPr>
          <w:rFonts w:hint="default" w:ascii="Times New Roman" w:hAnsi="Times New Roman" w:cs="Times New Roman"/>
          <w:color w:val="auto"/>
          <w:highlight w:val="none"/>
        </w:rPr>
      </w:pPr>
    </w:p>
    <w:p w14:paraId="27AC6FC6">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1467485</wp:posOffset>
                </wp:positionH>
                <wp:positionV relativeFrom="paragraph">
                  <wp:posOffset>68580</wp:posOffset>
                </wp:positionV>
                <wp:extent cx="2226945" cy="504825"/>
                <wp:effectExtent l="5080" t="5080" r="15875" b="4445"/>
                <wp:wrapNone/>
                <wp:docPr id="48" name="矩形 48"/>
                <wp:cNvGraphicFramePr/>
                <a:graphic xmlns:a="http://schemas.openxmlformats.org/drawingml/2006/main">
                  <a:graphicData uri="http://schemas.microsoft.com/office/word/2010/wordprocessingShape">
                    <wps:wsp>
                      <wps:cNvSpPr/>
                      <wps:spPr>
                        <a:xfrm>
                          <a:off x="0" y="0"/>
                          <a:ext cx="222694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8ACC60">
                            <w:pPr>
                              <w:pStyle w:val="66"/>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确定评价工作等级、</w:t>
                            </w:r>
                          </w:p>
                          <w:p w14:paraId="2F71BAB5">
                            <w:pPr>
                              <w:pStyle w:val="66"/>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评价范围和评价标准</w:t>
                            </w:r>
                          </w:p>
                        </w:txbxContent>
                      </wps:txbx>
                      <wps:bodyPr upright="1"/>
                    </wps:wsp>
                  </a:graphicData>
                </a:graphic>
              </wp:anchor>
            </w:drawing>
          </mc:Choice>
          <mc:Fallback>
            <w:pict>
              <v:rect id="_x0000_s1026" o:spid="_x0000_s1026" o:spt="1" style="position:absolute;left:0pt;margin-left:115.55pt;margin-top:5.4pt;height:39.75pt;width:175.35pt;z-index:251666432;mso-width-relative:page;mso-height-relative:page;" fillcolor="#FFFFFF" filled="t" stroked="t" coordsize="21600,21600" o:gfxdata="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SbOHXAAAACQEAAA8AAAAAAAAAAQAgAAAAIgAAAGRy&#10;cy9kb3ducmV2LnhtbFBLAQIUABQAAAAIAIdO4kBmxIh3BgIAADkEAAAOAAAAAAAAAAEAIAAAACYB&#10;AABkcnMvZTJvRG9jLnhtbFBLBQYAAAAABgAGAFkBAACeBQAAAAA=&#10;">
                <v:fill on="t" focussize="0,0"/>
                <v:stroke color="#000000" joinstyle="miter"/>
                <v:imagedata o:title=""/>
                <o:lock v:ext="edit" aspectratio="f"/>
                <v:textbox>
                  <w:txbxContent>
                    <w:p w14:paraId="0A8ACC60">
                      <w:pPr>
                        <w:pStyle w:val="66"/>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确定评价工作等级、</w:t>
                      </w:r>
                    </w:p>
                    <w:p w14:paraId="2F71BAB5">
                      <w:pPr>
                        <w:pStyle w:val="66"/>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评价范围和评价标准</w:t>
                      </w:r>
                    </w:p>
                  </w:txbxContent>
                </v:textbox>
              </v:rect>
            </w:pict>
          </mc:Fallback>
        </mc:AlternateContent>
      </w:r>
    </w:p>
    <w:p w14:paraId="0448208B">
      <w:pPr>
        <w:spacing w:line="400" w:lineRule="atLeast"/>
        <w:ind w:firstLine="480"/>
        <w:rPr>
          <w:rFonts w:hint="default" w:ascii="Times New Roman" w:hAnsi="Times New Roman" w:cs="Times New Roman"/>
          <w:color w:val="auto"/>
          <w:highlight w:val="none"/>
        </w:rPr>
      </w:pPr>
    </w:p>
    <w:p w14:paraId="050A06D6">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2574290</wp:posOffset>
                </wp:positionH>
                <wp:positionV relativeFrom="paragraph">
                  <wp:posOffset>63500</wp:posOffset>
                </wp:positionV>
                <wp:extent cx="8255" cy="496570"/>
                <wp:effectExtent l="36830" t="0" r="31115" b="17780"/>
                <wp:wrapNone/>
                <wp:docPr id="49" name="直接箭头连接符 49"/>
                <wp:cNvGraphicFramePr/>
                <a:graphic xmlns:a="http://schemas.openxmlformats.org/drawingml/2006/main">
                  <a:graphicData uri="http://schemas.microsoft.com/office/word/2010/wordprocessingShape">
                    <wps:wsp>
                      <wps:cNvCnPr/>
                      <wps:spPr>
                        <a:xfrm flipH="1">
                          <a:off x="0" y="0"/>
                          <a:ext cx="8255" cy="4965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7pt;margin-top:5pt;height:39.1pt;width:0.65pt;z-index:251667456;mso-width-relative:page;mso-height-relative:page;" filled="f" stroked="t" coordsize="21600,21600" o:gfxdata="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CS4dgAAAAJAQAADwAA&#10;AAAAAAABACAAAAAiAAAAZHJzL2Rvd25yZXYueG1sUEsBAhQAFAAAAAgAh07iQMxM2kQWAgAADAQA&#10;AA4AAAAAAAAAAQAgAAAAJwEAAGRycy9lMm9Eb2MueG1sUEsFBgAAAAAGAAYAWQEAAK8FAAAAAA==&#10;">
                <v:fill on="f" focussize="0,0"/>
                <v:stroke color="#000000" joinstyle="round" endarrow="block"/>
                <v:imagedata o:title=""/>
                <o:lock v:ext="edit" aspectratio="f"/>
              </v:shape>
            </w:pict>
          </mc:Fallback>
        </mc:AlternateContent>
      </w:r>
    </w:p>
    <w:p w14:paraId="376D4087">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100965</wp:posOffset>
                </wp:positionH>
                <wp:positionV relativeFrom="paragraph">
                  <wp:posOffset>1270</wp:posOffset>
                </wp:positionV>
                <wp:extent cx="5124450" cy="23495"/>
                <wp:effectExtent l="0" t="4445" r="0" b="10160"/>
                <wp:wrapNone/>
                <wp:docPr id="51" name="直接箭头连接符 51"/>
                <wp:cNvGraphicFramePr/>
                <a:graphic xmlns:a="http://schemas.openxmlformats.org/drawingml/2006/main">
                  <a:graphicData uri="http://schemas.microsoft.com/office/word/2010/wordprocessingShape">
                    <wps:wsp>
                      <wps:cNvCnPr/>
                      <wps:spPr>
                        <a:xfrm flipV="1">
                          <a:off x="0" y="0"/>
                          <a:ext cx="5124450" cy="2349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flip:y;margin-left:7.95pt;margin-top:0.1pt;height:1.85pt;width:403.5pt;z-index:251674624;mso-width-relative:page;mso-height-relative:page;" filled="f" stroked="t" coordsize="21600,21600" o:gfxdata="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4o0G0wAAAAUBAAAPAAAAAAAAAAEAIAAAACIAAABkcnMv&#10;ZG93bnJldi54bWxQSwECFAAUAAAACACHTuJAlLk6ywgCAAD7AwAADgAAAAAAAAABACAAAAAiAQAA&#10;ZHJzL2Uyb0RvYy54bWxQSwUGAAAAAAYABgBZAQAAnAUAAAAA&#10;">
                <v:fill on="f" focussize="0,0"/>
                <v:stroke color="#000000" joinstyle="round" dashstyle="dash"/>
                <v:imagedata o:title=""/>
                <o:lock v:ext="edit" aspectratio="f"/>
              </v:shape>
            </w:pict>
          </mc:Fallback>
        </mc:AlternateContent>
      </w:r>
    </w:p>
    <w:p w14:paraId="59175B17">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1320800</wp:posOffset>
                </wp:positionH>
                <wp:positionV relativeFrom="paragraph">
                  <wp:posOffset>53975</wp:posOffset>
                </wp:positionV>
                <wp:extent cx="2466975" cy="311785"/>
                <wp:effectExtent l="5080" t="5080" r="4445" b="6985"/>
                <wp:wrapNone/>
                <wp:docPr id="43" name="矩形 43"/>
                <wp:cNvGraphicFramePr/>
                <a:graphic xmlns:a="http://schemas.openxmlformats.org/drawingml/2006/main">
                  <a:graphicData uri="http://schemas.microsoft.com/office/word/2010/wordprocessingShape">
                    <wps:wsp>
                      <wps:cNvSpPr/>
                      <wps:spPr>
                        <a:xfrm>
                          <a:off x="0" y="0"/>
                          <a:ext cx="24669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CEEFF2">
                            <w:pPr>
                              <w:pStyle w:val="66"/>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现状监测并进行调查与评价</w:t>
                            </w:r>
                          </w:p>
                        </w:txbxContent>
                      </wps:txbx>
                      <wps:bodyPr upright="1"/>
                    </wps:wsp>
                  </a:graphicData>
                </a:graphic>
              </wp:anchor>
            </w:drawing>
          </mc:Choice>
          <mc:Fallback>
            <w:pict>
              <v:rect id="_x0000_s1026" o:spid="_x0000_s1026" o:spt="1" style="position:absolute;left:0pt;margin-left:104pt;margin-top:4.25pt;height:24.55pt;width:194.25pt;z-index:251680768;mso-width-relative:page;mso-height-relative:page;" fillcolor="#FFFFFF" filled="t" stroked="t" coordsize="21600,21600" o:gfxdata="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ImdK1gAAAAgBAAAPAAAAAAAAAAEAIAAAACIAAABk&#10;cnMvZG93bnJldi54bWxQSwECFAAUAAAACACHTuJAHh9y6AgCAAA5BAAADgAAAAAAAAABACAAAAAl&#10;AQAAZHJzL2Uyb0RvYy54bWxQSwUGAAAAAAYABgBZAQAAnwUAAAAA&#10;">
                <v:fill on="t" focussize="0,0"/>
                <v:stroke color="#000000" joinstyle="miter"/>
                <v:imagedata o:title=""/>
                <o:lock v:ext="edit" aspectratio="f"/>
                <v:textbox>
                  <w:txbxContent>
                    <w:p w14:paraId="47CEEFF2">
                      <w:pPr>
                        <w:pStyle w:val="66"/>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现状监测并进行调查与评价</w:t>
                      </w:r>
                    </w:p>
                  </w:txbxContent>
                </v:textbox>
              </v:rect>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112395</wp:posOffset>
                </wp:positionH>
                <wp:positionV relativeFrom="paragraph">
                  <wp:posOffset>172085</wp:posOffset>
                </wp:positionV>
                <wp:extent cx="266700" cy="1094740"/>
                <wp:effectExtent l="0" t="0" r="0" b="0"/>
                <wp:wrapNone/>
                <wp:docPr id="59" name="矩形 59"/>
                <wp:cNvGraphicFramePr/>
                <a:graphic xmlns:a="http://schemas.openxmlformats.org/drawingml/2006/main">
                  <a:graphicData uri="http://schemas.microsoft.com/office/word/2010/wordprocessingShape">
                    <wps:wsp>
                      <wps:cNvSpPr/>
                      <wps:spPr>
                        <a:xfrm>
                          <a:off x="0" y="0"/>
                          <a:ext cx="266700" cy="1094740"/>
                        </a:xfrm>
                        <a:prstGeom prst="rect">
                          <a:avLst/>
                        </a:prstGeom>
                        <a:noFill/>
                        <a:ln w="9525">
                          <a:noFill/>
                        </a:ln>
                        <a:effectLst/>
                      </wps:spPr>
                      <wps:txbx>
                        <w:txbxContent>
                          <w:p w14:paraId="30777928">
                            <w:pPr>
                              <w:pStyle w:val="66"/>
                              <w:ind w:firstLine="480"/>
                            </w:pPr>
                            <w:r>
                              <w:rPr>
                                <w:rFonts w:hint="eastAsia"/>
                              </w:rPr>
                              <w:t>第</w:t>
                            </w:r>
                            <w:r>
                              <w:rPr>
                                <w:rFonts w:hint="eastAsia"/>
                                <w:lang w:val="en-US" w:eastAsia="zh-CN"/>
                              </w:rPr>
                              <w:t>第</w:t>
                            </w:r>
                            <w:r>
                              <w:rPr>
                                <w:rFonts w:hint="eastAsia"/>
                              </w:rPr>
                              <w:t>二阶段</w:t>
                            </w:r>
                          </w:p>
                        </w:txbxContent>
                      </wps:txbx>
                      <wps:bodyPr upright="1"/>
                    </wps:wsp>
                  </a:graphicData>
                </a:graphic>
              </wp:anchor>
            </w:drawing>
          </mc:Choice>
          <mc:Fallback>
            <w:pict>
              <v:rect id="_x0000_s1026" o:spid="_x0000_s1026" o:spt="1" style="position:absolute;left:0pt;margin-left:8.85pt;margin-top:13.55pt;height:86.2pt;width:21pt;z-index:251677696;mso-width-relative:page;mso-height-relative:page;" filled="f" stroked="f" coordsize="21600,21600" o:gfxdata="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WJmq2AAAAAgBAAAPAAAAAAAAAAEAIAAAACIAAABkcnMvZG93bnJldi54bWxQSwECFAAUAAAACACH&#10;TuJAb5IgKLIBAABaAwAADgAAAAAAAAABACAAAAAnAQAAZHJzL2Uyb0RvYy54bWxQSwUGAAAAAAYA&#10;BgBZAQAASwUAAAAA&#10;">
                <v:fill on="f" focussize="0,0"/>
                <v:stroke on="f"/>
                <v:imagedata o:title=""/>
                <o:lock v:ext="edit" aspectratio="f"/>
                <v:textbox>
                  <w:txbxContent>
                    <w:p w14:paraId="30777928">
                      <w:pPr>
                        <w:pStyle w:val="66"/>
                        <w:ind w:firstLine="480"/>
                      </w:pPr>
                      <w:r>
                        <w:rPr>
                          <w:rFonts w:hint="eastAsia"/>
                        </w:rPr>
                        <w:t>第</w:t>
                      </w:r>
                      <w:r>
                        <w:rPr>
                          <w:rFonts w:hint="eastAsia"/>
                          <w:lang w:val="en-US" w:eastAsia="zh-CN"/>
                        </w:rPr>
                        <w:t>第</w:t>
                      </w:r>
                      <w:r>
                        <w:rPr>
                          <w:rFonts w:hint="eastAsia"/>
                        </w:rPr>
                        <w:t>二阶段</w:t>
                      </w:r>
                    </w:p>
                  </w:txbxContent>
                </v:textbox>
              </v:rect>
            </w:pict>
          </mc:Fallback>
        </mc:AlternateContent>
      </w:r>
    </w:p>
    <w:p w14:paraId="06D28EBD">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2558415</wp:posOffset>
                </wp:positionH>
                <wp:positionV relativeFrom="paragraph">
                  <wp:posOffset>99695</wp:posOffset>
                </wp:positionV>
                <wp:extent cx="7620" cy="535940"/>
                <wp:effectExtent l="36830" t="0" r="31750" b="16510"/>
                <wp:wrapNone/>
                <wp:docPr id="61" name="直接箭头连接符 61"/>
                <wp:cNvGraphicFramePr/>
                <a:graphic xmlns:a="http://schemas.openxmlformats.org/drawingml/2006/main">
                  <a:graphicData uri="http://schemas.microsoft.com/office/word/2010/wordprocessingShape">
                    <wps:wsp>
                      <wps:cNvCnPr/>
                      <wps:spPr>
                        <a:xfrm flipH="1">
                          <a:off x="0" y="0"/>
                          <a:ext cx="7620" cy="5359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45pt;margin-top:7.85pt;height:42.2pt;width:0.6pt;z-index:251668480;mso-width-relative:page;mso-height-relative:page;" filled="f" stroked="t" coordsize="21600,21600" o:gfxdata="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B649NgAAAAKAQAADwAA&#10;AAAAAAABACAAAAAiAAAAZHJzL2Rvd25yZXYueG1sUEsBAhQAFAAAAAgAh07iQAD0g/cWAgAADAQA&#10;AA4AAAAAAAAAAQAgAAAAJwEAAGRycy9lMm9Eb2MueG1sUEsFBgAAAAAGAAYAWQEAAK8FAAAAAA==&#10;">
                <v:fill on="f" focussize="0,0"/>
                <v:stroke color="#000000" joinstyle="round" endarrow="block"/>
                <v:imagedata o:title=""/>
                <o:lock v:ext="edit" aspectratio="f"/>
              </v:shape>
            </w:pict>
          </mc:Fallback>
        </mc:AlternateContent>
      </w:r>
    </w:p>
    <w:p w14:paraId="6E72C354">
      <w:pPr>
        <w:spacing w:line="400" w:lineRule="atLeast"/>
        <w:ind w:firstLine="480"/>
        <w:rPr>
          <w:rFonts w:hint="default" w:ascii="Times New Roman" w:hAnsi="Times New Roman" w:cs="Times New Roman"/>
          <w:color w:val="auto"/>
          <w:highlight w:val="none"/>
        </w:rPr>
      </w:pPr>
    </w:p>
    <w:p w14:paraId="4FF01510">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1326515</wp:posOffset>
                </wp:positionH>
                <wp:positionV relativeFrom="paragraph">
                  <wp:posOffset>135890</wp:posOffset>
                </wp:positionV>
                <wp:extent cx="2466975" cy="389255"/>
                <wp:effectExtent l="5080" t="4445" r="4445" b="6350"/>
                <wp:wrapNone/>
                <wp:docPr id="63" name="矩形 63"/>
                <wp:cNvGraphicFramePr/>
                <a:graphic xmlns:a="http://schemas.openxmlformats.org/drawingml/2006/main">
                  <a:graphicData uri="http://schemas.microsoft.com/office/word/2010/wordprocessingShape">
                    <wps:wsp>
                      <wps:cNvSpPr/>
                      <wps:spPr>
                        <a:xfrm>
                          <a:off x="0" y="0"/>
                          <a:ext cx="2466975" cy="389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77047D">
                            <w:pPr>
                              <w:pStyle w:val="66"/>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各环境要素和专题环境影响预测与评价</w:t>
                            </w:r>
                          </w:p>
                        </w:txbxContent>
                      </wps:txbx>
                      <wps:bodyPr upright="1"/>
                    </wps:wsp>
                  </a:graphicData>
                </a:graphic>
              </wp:anchor>
            </w:drawing>
          </mc:Choice>
          <mc:Fallback>
            <w:pict>
              <v:rect id="_x0000_s1026" o:spid="_x0000_s1026" o:spt="1" style="position:absolute;left:0pt;margin-left:104.45pt;margin-top:10.7pt;height:30.65pt;width:194.25pt;z-index:251669504;mso-width-relative:page;mso-height-relative:page;" fillcolor="#FFFFFF" filled="t" stroked="t" coordsize="21600,21600" o:gfxdata="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bpqo1wAAAAkBAAAPAAAAAAAAAAEAIAAAACIAAABk&#10;cnMvZG93bnJldi54bWxQSwECFAAUAAAACACHTuJADlI7pwcCAAA5BAAADgAAAAAAAAABACAAAAAm&#10;AQAAZHJzL2Uyb0RvYy54bWxQSwUGAAAAAAYABgBZAQAAnwUAAAAA&#10;">
                <v:fill on="t" focussize="0,0"/>
                <v:stroke color="#000000" joinstyle="miter"/>
                <v:imagedata o:title=""/>
                <o:lock v:ext="edit" aspectratio="f"/>
                <v:textbox>
                  <w:txbxContent>
                    <w:p w14:paraId="6E77047D">
                      <w:pPr>
                        <w:pStyle w:val="66"/>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各环境要素和专题环境影响预测与评价</w:t>
                      </w:r>
                    </w:p>
                  </w:txbxContent>
                </v:textbox>
              </v:rect>
            </w:pict>
          </mc:Fallback>
        </mc:AlternateContent>
      </w:r>
    </w:p>
    <w:p w14:paraId="512EB48B">
      <w:pPr>
        <w:spacing w:line="400" w:lineRule="atLeast"/>
        <w:ind w:firstLine="480"/>
        <w:rPr>
          <w:rFonts w:hint="default" w:ascii="Times New Roman" w:hAnsi="Times New Roman" w:cs="Times New Roman"/>
          <w:color w:val="auto"/>
          <w:highlight w:val="none"/>
        </w:rPr>
      </w:pPr>
    </w:p>
    <w:p w14:paraId="0CD615CC">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2559685</wp:posOffset>
                </wp:positionH>
                <wp:positionV relativeFrom="paragraph">
                  <wp:posOffset>17145</wp:posOffset>
                </wp:positionV>
                <wp:extent cx="635" cy="589915"/>
                <wp:effectExtent l="38100" t="0" r="37465" b="635"/>
                <wp:wrapNone/>
                <wp:docPr id="64" name="直接箭头连接符 64"/>
                <wp:cNvGraphicFramePr/>
                <a:graphic xmlns:a="http://schemas.openxmlformats.org/drawingml/2006/main">
                  <a:graphicData uri="http://schemas.microsoft.com/office/word/2010/wordprocessingShape">
                    <wps:wsp>
                      <wps:cNvCnPr>
                        <a:stCxn id="63" idx="2"/>
                        <a:endCxn id="68" idx="0"/>
                      </wps:cNvCnPr>
                      <wps:spPr>
                        <a:xfrm flipH="1">
                          <a:off x="0" y="0"/>
                          <a:ext cx="635" cy="589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5pt;margin-top:1.35pt;height:46.45pt;width:0.05pt;z-index:251670528;mso-width-relative:page;mso-height-relative:page;" filled="f" stroked="t" coordsize="21600,21600" o:gfxdata="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v3gRtcAAAAIAQAADwAAAAAAAAABACAAAAAiAAAAZHJzL2Rvd25yZXYueG1sUEsB&#10;AhQAFAAAAAgAh07iQEk+ev8vAgAATQQAAA4AAAAAAAAAAQAgAAAAJgEAAGRycy9lMm9Eb2MueG1s&#10;UEsFBgAAAAAGAAYAWQEAAMcFAAAAAA==&#10;">
                <v:fill on="f" focussize="0,0"/>
                <v:stroke color="#000000" joinstyle="round" endarrow="block"/>
                <v:imagedata o:title=""/>
                <o:lock v:ext="edit" aspectratio="f"/>
              </v:shape>
            </w:pict>
          </mc:Fallback>
        </mc:AlternateContent>
      </w:r>
    </w:p>
    <w:p w14:paraId="18BCA45B">
      <w:pPr>
        <w:spacing w:line="400" w:lineRule="atLeast"/>
        <w:ind w:firstLine="480"/>
        <w:rPr>
          <w:rFonts w:hint="default" w:ascii="Times New Roman" w:hAnsi="Times New Roman" w:cs="Times New Roman"/>
          <w:color w:val="auto"/>
          <w:sz w:val="15"/>
          <w:szCs w:val="15"/>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66040</wp:posOffset>
                </wp:positionH>
                <wp:positionV relativeFrom="paragraph">
                  <wp:posOffset>109855</wp:posOffset>
                </wp:positionV>
                <wp:extent cx="5206365" cy="2540"/>
                <wp:effectExtent l="0" t="0" r="0" b="0"/>
                <wp:wrapNone/>
                <wp:docPr id="66" name="直接箭头连接符 66"/>
                <wp:cNvGraphicFramePr/>
                <a:graphic xmlns:a="http://schemas.openxmlformats.org/drawingml/2006/main">
                  <a:graphicData uri="http://schemas.microsoft.com/office/word/2010/wordprocessingShape">
                    <wps:wsp>
                      <wps:cNvCnPr/>
                      <wps:spPr>
                        <a:xfrm flipV="1">
                          <a:off x="0" y="0"/>
                          <a:ext cx="5206365" cy="254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5.2pt;margin-top:8.65pt;height:0.2pt;width:409.95pt;z-index:251675648;mso-width-relative:page;mso-height-relative:page;" filled="f" stroked="t" coordsize="21600,21600" o:gfxdata="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ZrYubVAAAACAEAAA8AAAAAAAAAAQAgAAAA&#10;IgAAAGRycy9kb3ducmV2LnhtbFBLAQIUABQAAAAIAIdO4kBNd5iGDgIAAAgEAAAOAAAAAAAAAAEA&#10;IAAAACQBAABkcnMvZTJvRG9jLnhtbFBLBQYAAAAABgAGAFkBAACkBQAAAAA=&#10;">
                <v:fill on="f" focussize="0,0"/>
                <v:stroke color="#000000" joinstyle="round" dashstyle="dash"/>
                <v:imagedata o:title=""/>
                <o:lock v:ext="edit" aspectratio="f"/>
              </v:shape>
            </w:pict>
          </mc:Fallback>
        </mc:AlternateContent>
      </w:r>
    </w:p>
    <w:p w14:paraId="220811B0">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1175385</wp:posOffset>
                </wp:positionH>
                <wp:positionV relativeFrom="paragraph">
                  <wp:posOffset>99060</wp:posOffset>
                </wp:positionV>
                <wp:extent cx="2768600" cy="727075"/>
                <wp:effectExtent l="4445" t="4445" r="8255" b="11430"/>
                <wp:wrapNone/>
                <wp:docPr id="68" name="矩形 68"/>
                <wp:cNvGraphicFramePr/>
                <a:graphic xmlns:a="http://schemas.openxmlformats.org/drawingml/2006/main">
                  <a:graphicData uri="http://schemas.microsoft.com/office/word/2010/wordprocessingShape">
                    <wps:wsp>
                      <wps:cNvSpPr/>
                      <wps:spPr>
                        <a:xfrm>
                          <a:off x="0" y="0"/>
                          <a:ext cx="2768600" cy="727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268D52">
                            <w:pPr>
                              <w:pStyle w:val="66"/>
                              <w:ind w:firstLine="420" w:firstLineChars="200"/>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确定科学合理、可行的工程方案，提出预防或减缓不利影响的对策或措施，制定相应的环境管理要求或环境监测计划</w:t>
                            </w:r>
                          </w:p>
                        </w:txbxContent>
                      </wps:txbx>
                      <wps:bodyPr upright="1"/>
                    </wps:wsp>
                  </a:graphicData>
                </a:graphic>
              </wp:anchor>
            </w:drawing>
          </mc:Choice>
          <mc:Fallback>
            <w:pict>
              <v:rect id="_x0000_s1026" o:spid="_x0000_s1026" o:spt="1" style="position:absolute;left:0pt;margin-left:92.55pt;margin-top:7.8pt;height:57.25pt;width:218pt;z-index:251671552;mso-width-relative:page;mso-height-relative:page;" fillcolor="#FFFFFF" filled="t" stroked="t" coordsize="21600,21600" o:gfxdata="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xXkE9cAAAAKAQAADwAAAAAAAAABACAAAAAiAAAAZHJz&#10;L2Rvd25yZXYueG1sUEsBAhQAFAAAAAgAh07iQHaMBngFAgAAOQQAAA4AAAAAAAAAAQAgAAAAJgEA&#10;AGRycy9lMm9Eb2MueG1sUEsFBgAAAAAGAAYAWQEAAJ0FAAAAAA==&#10;">
                <v:fill on="t" focussize="0,0"/>
                <v:stroke color="#000000" joinstyle="miter"/>
                <v:imagedata o:title=""/>
                <o:lock v:ext="edit" aspectratio="f"/>
                <v:textbox>
                  <w:txbxContent>
                    <w:p w14:paraId="61268D52">
                      <w:pPr>
                        <w:pStyle w:val="66"/>
                        <w:ind w:firstLine="420" w:firstLineChars="200"/>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确定科学合理、可行的工程方案，提出预防或减缓不利影响的对策或措施，制定相应的环境管理要求或环境监测计划</w:t>
                      </w:r>
                    </w:p>
                  </w:txbxContent>
                </v:textbox>
              </v:rect>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92710</wp:posOffset>
                </wp:positionH>
                <wp:positionV relativeFrom="paragraph">
                  <wp:posOffset>59690</wp:posOffset>
                </wp:positionV>
                <wp:extent cx="266700" cy="1260475"/>
                <wp:effectExtent l="0" t="0" r="0" b="0"/>
                <wp:wrapNone/>
                <wp:docPr id="70" name="矩形 70"/>
                <wp:cNvGraphicFramePr/>
                <a:graphic xmlns:a="http://schemas.openxmlformats.org/drawingml/2006/main">
                  <a:graphicData uri="http://schemas.microsoft.com/office/word/2010/wordprocessingShape">
                    <wps:wsp>
                      <wps:cNvSpPr/>
                      <wps:spPr>
                        <a:xfrm>
                          <a:off x="0" y="0"/>
                          <a:ext cx="266700" cy="1260475"/>
                        </a:xfrm>
                        <a:prstGeom prst="rect">
                          <a:avLst/>
                        </a:prstGeom>
                        <a:noFill/>
                        <a:ln w="9525">
                          <a:noFill/>
                        </a:ln>
                        <a:effectLst/>
                      </wps:spPr>
                      <wps:txbx>
                        <w:txbxContent>
                          <w:p w14:paraId="5109585C">
                            <w:pPr>
                              <w:pStyle w:val="66"/>
                              <w:ind w:firstLine="480"/>
                            </w:pPr>
                            <w:r>
                              <w:rPr>
                                <w:rFonts w:hint="eastAsia"/>
                              </w:rPr>
                              <w:t>第</w:t>
                            </w:r>
                            <w:r>
                              <w:rPr>
                                <w:rFonts w:hint="eastAsia"/>
                                <w:lang w:val="en-US" w:eastAsia="zh-CN"/>
                              </w:rPr>
                              <w:t>第</w:t>
                            </w:r>
                            <w:r>
                              <w:rPr>
                                <w:rFonts w:hint="eastAsia"/>
                              </w:rPr>
                              <w:t>三阶段</w:t>
                            </w:r>
                          </w:p>
                        </w:txbxContent>
                      </wps:txbx>
                      <wps:bodyPr upright="1"/>
                    </wps:wsp>
                  </a:graphicData>
                </a:graphic>
              </wp:anchor>
            </w:drawing>
          </mc:Choice>
          <mc:Fallback>
            <w:pict>
              <v:rect id="_x0000_s1026" o:spid="_x0000_s1026" o:spt="1" style="position:absolute;left:0pt;margin-left:7.3pt;margin-top:4.7pt;height:99.25pt;width:21pt;z-index:251678720;mso-width-relative:page;mso-height-relative:page;" filled="f" stroked="f" coordsize="21600,21600" o:gfxdata="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8BXX&#10;1wAAAAcBAAAPAAAAAAAAAAEAIAAAACIAAABkcnMvZG93bnJldi54bWxQSwECFAAUAAAACACHTuJA&#10;jiwfqbABAABaAwAADgAAAAAAAAABACAAAAAmAQAAZHJzL2Uyb0RvYy54bWxQSwUGAAAAAAYABgBZ&#10;AQAASAUAAAAA&#10;">
                <v:fill on="f" focussize="0,0"/>
                <v:stroke on="f"/>
                <v:imagedata o:title=""/>
                <o:lock v:ext="edit" aspectratio="f"/>
                <v:textbox>
                  <w:txbxContent>
                    <w:p w14:paraId="5109585C">
                      <w:pPr>
                        <w:pStyle w:val="66"/>
                        <w:ind w:firstLine="480"/>
                      </w:pPr>
                      <w:r>
                        <w:rPr>
                          <w:rFonts w:hint="eastAsia"/>
                        </w:rPr>
                        <w:t>第</w:t>
                      </w:r>
                      <w:r>
                        <w:rPr>
                          <w:rFonts w:hint="eastAsia"/>
                          <w:lang w:val="en-US" w:eastAsia="zh-CN"/>
                        </w:rPr>
                        <w:t>第</w:t>
                      </w:r>
                      <w:r>
                        <w:rPr>
                          <w:rFonts w:hint="eastAsia"/>
                        </w:rPr>
                        <w:t>三阶段</w:t>
                      </w:r>
                    </w:p>
                  </w:txbxContent>
                </v:textbox>
              </v:rect>
            </w:pict>
          </mc:Fallback>
        </mc:AlternateContent>
      </w:r>
    </w:p>
    <w:p w14:paraId="3BD60219">
      <w:pPr>
        <w:spacing w:line="400" w:lineRule="atLeast"/>
        <w:ind w:firstLine="480"/>
        <w:rPr>
          <w:rFonts w:hint="default" w:ascii="Times New Roman" w:hAnsi="Times New Roman" w:cs="Times New Roman"/>
          <w:color w:val="auto"/>
          <w:highlight w:val="none"/>
        </w:rPr>
      </w:pPr>
    </w:p>
    <w:p w14:paraId="4CFC80FD">
      <w:pPr>
        <w:spacing w:line="400" w:lineRule="atLeast"/>
        <w:ind w:firstLine="480"/>
        <w:rPr>
          <w:rFonts w:hint="default" w:ascii="Times New Roman" w:hAnsi="Times New Roman" w:cs="Times New Roman"/>
          <w:color w:val="auto"/>
          <w:highlight w:val="none"/>
        </w:rPr>
      </w:pPr>
    </w:p>
    <w:p w14:paraId="114F32D0">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2546350</wp:posOffset>
                </wp:positionH>
                <wp:positionV relativeFrom="paragraph">
                  <wp:posOffset>59690</wp:posOffset>
                </wp:positionV>
                <wp:extent cx="635" cy="230505"/>
                <wp:effectExtent l="37465" t="0" r="38100" b="17145"/>
                <wp:wrapNone/>
                <wp:docPr id="71" name="直接箭头连接符 71"/>
                <wp:cNvGraphicFramePr/>
                <a:graphic xmlns:a="http://schemas.openxmlformats.org/drawingml/2006/main">
                  <a:graphicData uri="http://schemas.microsoft.com/office/word/2010/wordprocessingShape">
                    <wps:wsp>
                      <wps:cNvCnPr/>
                      <wps:spPr>
                        <a:xfrm>
                          <a:off x="0" y="0"/>
                          <a:ext cx="635" cy="2305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5pt;margin-top:4.7pt;height:18.15pt;width:0.05pt;z-index:251672576;mso-width-relative:page;mso-height-relative:page;" filled="f" stroked="t" coordsize="21600,21600" o:gfxdata="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DYrTYAAAACAEAAA8AAAAAAAAAAQAgAAAA&#10;IgAAAGRycy9kb3ducmV2LnhtbFBLAQIUABQAAAAIAIdO4kCqLWOECwIAAAEEAAAOAAAAAAAAAAEA&#10;IAAAACcBAABkcnMvZTJvRG9jLnhtbFBLBQYAAAAABgAGAFkBAACkBQAAAAA=&#10;">
                <v:fill on="f" focussize="0,0"/>
                <v:stroke color="#000000" joinstyle="round" endarrow="block"/>
                <v:imagedata o:title=""/>
                <o:lock v:ext="edit" aspectratio="f"/>
              </v:shape>
            </w:pict>
          </mc:Fallback>
        </mc:AlternateContent>
      </w:r>
    </w:p>
    <w:p w14:paraId="5CF70C65">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1172845</wp:posOffset>
                </wp:positionH>
                <wp:positionV relativeFrom="paragraph">
                  <wp:posOffset>46355</wp:posOffset>
                </wp:positionV>
                <wp:extent cx="2764155" cy="527685"/>
                <wp:effectExtent l="4445" t="4445" r="12700" b="20320"/>
                <wp:wrapNone/>
                <wp:docPr id="72" name="矩形 72"/>
                <wp:cNvGraphicFramePr/>
                <a:graphic xmlns:a="http://schemas.openxmlformats.org/drawingml/2006/main">
                  <a:graphicData uri="http://schemas.microsoft.com/office/word/2010/wordprocessingShape">
                    <wps:wsp>
                      <wps:cNvSpPr/>
                      <wps:spPr>
                        <a:xfrm>
                          <a:off x="0" y="0"/>
                          <a:ext cx="2764155" cy="527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D38EE0">
                            <w:pPr>
                              <w:pStyle w:val="66"/>
                              <w:jc w:val="center"/>
                              <w:rPr>
                                <w:rFonts w:hint="eastAsia"/>
                                <w:szCs w:val="21"/>
                                <w:lang w:val="en-US" w:eastAsia="zh-CN"/>
                              </w:rPr>
                            </w:pPr>
                            <w:r>
                              <w:rPr>
                                <w:rFonts w:hint="eastAsia"/>
                                <w:szCs w:val="21"/>
                                <w:lang w:val="en-US" w:eastAsia="zh-CN"/>
                              </w:rPr>
                              <w:t>从生态环境影响的角度给出</w:t>
                            </w:r>
                          </w:p>
                          <w:p w14:paraId="4213031C">
                            <w:pPr>
                              <w:pStyle w:val="66"/>
                              <w:jc w:val="center"/>
                              <w:rPr>
                                <w:rFonts w:hint="default" w:eastAsia="宋体"/>
                                <w:szCs w:val="21"/>
                                <w:lang w:val="en-US" w:eastAsia="zh-CN"/>
                              </w:rPr>
                            </w:pPr>
                            <w:r>
                              <w:rPr>
                                <w:rFonts w:hint="eastAsia"/>
                                <w:szCs w:val="21"/>
                                <w:lang w:val="en-US" w:eastAsia="zh-CN"/>
                              </w:rPr>
                              <w:t>工程建设项目是否可行的结论</w:t>
                            </w:r>
                          </w:p>
                        </w:txbxContent>
                      </wps:txbx>
                      <wps:bodyPr upright="1"/>
                    </wps:wsp>
                  </a:graphicData>
                </a:graphic>
              </wp:anchor>
            </w:drawing>
          </mc:Choice>
          <mc:Fallback>
            <w:pict>
              <v:rect id="_x0000_s1026" o:spid="_x0000_s1026" o:spt="1" style="position:absolute;left:0pt;margin-left:92.35pt;margin-top:3.65pt;height:41.55pt;width:217.65pt;z-index:251673600;mso-width-relative:page;mso-height-relative:page;" fillcolor="#FFFFFF" filled="t" stroked="t" coordsize="21600,21600" o:gfxdata="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Vuo81gAAAAgBAAAPAAAAAAAAAAEAIAAAACIAAABkcnMv&#10;ZG93bnJldi54bWxQSwECFAAUAAAACACHTuJAyTdJsQUCAAA5BAAADgAAAAAAAAABACAAAAAlAQAA&#10;ZHJzL2Uyb0RvYy54bWxQSwUGAAAAAAYABgBZAQAAnAUAAAAA&#10;">
                <v:fill on="t" focussize="0,0"/>
                <v:stroke color="#000000" joinstyle="miter"/>
                <v:imagedata o:title=""/>
                <o:lock v:ext="edit" aspectratio="f"/>
                <v:textbox>
                  <w:txbxContent>
                    <w:p w14:paraId="15D38EE0">
                      <w:pPr>
                        <w:pStyle w:val="66"/>
                        <w:jc w:val="center"/>
                        <w:rPr>
                          <w:rFonts w:hint="eastAsia"/>
                          <w:szCs w:val="21"/>
                          <w:lang w:val="en-US" w:eastAsia="zh-CN"/>
                        </w:rPr>
                      </w:pPr>
                      <w:r>
                        <w:rPr>
                          <w:rFonts w:hint="eastAsia"/>
                          <w:szCs w:val="21"/>
                          <w:lang w:val="en-US" w:eastAsia="zh-CN"/>
                        </w:rPr>
                        <w:t>从生态环境影响的角度给出</w:t>
                      </w:r>
                    </w:p>
                    <w:p w14:paraId="4213031C">
                      <w:pPr>
                        <w:pStyle w:val="66"/>
                        <w:jc w:val="center"/>
                        <w:rPr>
                          <w:rFonts w:hint="default" w:eastAsia="宋体"/>
                          <w:szCs w:val="21"/>
                          <w:lang w:val="en-US" w:eastAsia="zh-CN"/>
                        </w:rPr>
                      </w:pPr>
                      <w:r>
                        <w:rPr>
                          <w:rFonts w:hint="eastAsia"/>
                          <w:szCs w:val="21"/>
                          <w:lang w:val="en-US" w:eastAsia="zh-CN"/>
                        </w:rPr>
                        <w:t>工程建设项目是否可行的结论</w:t>
                      </w:r>
                    </w:p>
                  </w:txbxContent>
                </v:textbox>
              </v:rect>
            </w:pict>
          </mc:Fallback>
        </mc:AlternateContent>
      </w:r>
    </w:p>
    <w:p w14:paraId="5E1E3F7E">
      <w:pPr>
        <w:spacing w:line="400" w:lineRule="atLeast"/>
        <w:ind w:firstLine="480"/>
        <w:rPr>
          <w:rFonts w:hint="default" w:ascii="Times New Roman" w:hAnsi="Times New Roman" w:cs="Times New Roman"/>
          <w:color w:val="auto"/>
          <w:highlight w:val="none"/>
        </w:rPr>
      </w:pPr>
    </w:p>
    <w:p w14:paraId="2A8CB695">
      <w:pPr>
        <w:ind w:firstLine="480"/>
        <w:rPr>
          <w:rFonts w:hint="default" w:ascii="Times New Roman" w:hAnsi="Times New Roman" w:cs="Times New Roman"/>
          <w:color w:val="auto"/>
          <w:highlight w:val="none"/>
        </w:rPr>
      </w:pPr>
    </w:p>
    <w:p w14:paraId="15E6B99B">
      <w:pPr>
        <w:spacing w:before="47" w:line="185" w:lineRule="auto"/>
        <w:jc w:val="center"/>
        <w:rPr>
          <w:rFonts w:hint="default" w:ascii="Times New Roman" w:hAnsi="Times New Roman" w:eastAsia="黑体" w:cs="Times New Roman"/>
          <w:b w:val="0"/>
          <w:bCs/>
          <w:color w:val="auto"/>
          <w:sz w:val="21"/>
          <w:szCs w:val="21"/>
          <w:highlight w:val="none"/>
        </w:rPr>
      </w:pPr>
    </w:p>
    <w:p w14:paraId="4D295F1F">
      <w:pPr>
        <w:spacing w:before="47" w:line="185" w:lineRule="auto"/>
        <w:jc w:val="center"/>
        <w:rPr>
          <w:rFonts w:hint="default" w:ascii="Times New Roman" w:hAnsi="Times New Roman" w:eastAsia="黑体" w:cs="Times New Roman"/>
          <w:b w:val="0"/>
          <w:bCs/>
          <w:color w:val="auto"/>
          <w:sz w:val="21"/>
          <w:szCs w:val="21"/>
          <w:highlight w:val="none"/>
        </w:rPr>
      </w:pPr>
    </w:p>
    <w:p w14:paraId="354760BA">
      <w:pPr>
        <w:spacing w:before="47" w:line="185" w:lineRule="auto"/>
        <w:jc w:val="center"/>
        <w:rPr>
          <w:rFonts w:hint="default" w:ascii="Times New Roman" w:hAnsi="Times New Roman" w:eastAsia="Times New Roman" w:cs="Times New Roman"/>
          <w:color w:val="auto"/>
          <w:sz w:val="24"/>
          <w:szCs w:val="24"/>
          <w:highlight w:val="none"/>
        </w:rPr>
      </w:pPr>
      <w:r>
        <w:rPr>
          <w:rFonts w:hint="default" w:ascii="Times New Roman" w:hAnsi="Times New Roman" w:eastAsia="黑体" w:cs="Times New Roman"/>
          <w:b w:val="0"/>
          <w:bCs/>
          <w:color w:val="auto"/>
          <w:sz w:val="21"/>
          <w:szCs w:val="21"/>
          <w:highlight w:val="none"/>
        </w:rPr>
        <w:t>图1.2-1环境影响评价工作程序图</w:t>
      </w:r>
    </w:p>
    <w:p w14:paraId="4A25A1E0">
      <w:pPr>
        <w:pStyle w:val="5"/>
        <w:keepNext/>
        <w:keepLines/>
        <w:pageBreakBefore w:val="0"/>
        <w:widowControl w:val="0"/>
        <w:kinsoku/>
        <w:wordWrap/>
        <w:overflowPunct/>
        <w:topLinePunct w:val="0"/>
        <w:autoSpaceDE/>
        <w:autoSpaceDN/>
        <w:bidi w:val="0"/>
        <w:adjustRightInd w:val="0"/>
        <w:snapToGrid w:val="0"/>
        <w:spacing w:before="313" w:beforeLines="100" w:after="0" w:line="360" w:lineRule="auto"/>
        <w:textAlignment w:val="auto"/>
        <w:rPr>
          <w:rFonts w:hint="default" w:ascii="Times New Roman" w:hAnsi="Times New Roman" w:cs="Times New Roman"/>
          <w:color w:val="auto"/>
          <w:highlight w:val="none"/>
        </w:rPr>
      </w:pPr>
      <w:bookmarkStart w:id="25" w:name="_Toc201"/>
      <w:bookmarkStart w:id="26" w:name="_Toc4710"/>
      <w:bookmarkStart w:id="27" w:name="_Toc75438872"/>
      <w:bookmarkStart w:id="28" w:name="_Toc5302"/>
      <w:r>
        <w:rPr>
          <w:rFonts w:hint="default" w:ascii="Times New Roman" w:hAnsi="Times New Roman" w:cs="Times New Roman"/>
          <w:color w:val="auto"/>
          <w:highlight w:val="none"/>
        </w:rPr>
        <w:t>1.3分析判定相关情况</w:t>
      </w:r>
      <w:bookmarkEnd w:id="25"/>
      <w:bookmarkEnd w:id="26"/>
      <w:bookmarkEnd w:id="27"/>
      <w:bookmarkEnd w:id="28"/>
    </w:p>
    <w:p w14:paraId="0DA153DB">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zh-CN"/>
        </w:rPr>
      </w:pPr>
      <w:r>
        <w:rPr>
          <w:rFonts w:hint="default" w:ascii="Times New Roman" w:hAnsi="Times New Roman" w:cs="Times New Roman"/>
          <w:b/>
          <w:bCs w:val="0"/>
          <w:color w:val="auto"/>
          <w:sz w:val="24"/>
          <w:szCs w:val="24"/>
          <w:highlight w:val="none"/>
          <w:lang w:eastAsia="zh-CN"/>
        </w:rPr>
        <w:t>（</w:t>
      </w:r>
      <w:r>
        <w:rPr>
          <w:rFonts w:hint="default" w:ascii="Times New Roman" w:hAnsi="Times New Roman" w:cs="Times New Roman"/>
          <w:b/>
          <w:bCs w:val="0"/>
          <w:color w:val="auto"/>
          <w:sz w:val="24"/>
          <w:szCs w:val="24"/>
          <w:highlight w:val="none"/>
        </w:rPr>
        <w:t>1</w:t>
      </w:r>
      <w:r>
        <w:rPr>
          <w:rFonts w:hint="default" w:ascii="Times New Roman" w:hAnsi="Times New Roman" w:cs="Times New Roman"/>
          <w:b/>
          <w:bCs w:val="0"/>
          <w:color w:val="auto"/>
          <w:sz w:val="24"/>
          <w:szCs w:val="24"/>
          <w:highlight w:val="none"/>
          <w:lang w:eastAsia="zh-CN"/>
        </w:rPr>
        <w:t>）</w:t>
      </w:r>
      <w:r>
        <w:rPr>
          <w:rFonts w:hint="default" w:ascii="Times New Roman" w:hAnsi="Times New Roman" w:cs="Times New Roman"/>
          <w:b/>
          <w:bCs w:val="0"/>
          <w:color w:val="auto"/>
          <w:sz w:val="24"/>
          <w:szCs w:val="24"/>
          <w:highlight w:val="none"/>
        </w:rPr>
        <w:t>产业政策符合性判定结论</w:t>
      </w:r>
    </w:p>
    <w:p w14:paraId="4D40D754">
      <w:pPr>
        <w:pStyle w:val="62"/>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根据《产业结构调整指导目录（20</w:t>
      </w:r>
      <w:r>
        <w:rPr>
          <w:rFonts w:hint="default" w:ascii="Times New Roman" w:hAnsi="Times New Roman" w:cs="Times New Roman"/>
          <w:color w:val="auto"/>
          <w:highlight w:val="none"/>
          <w:lang w:val="en-US" w:eastAsia="zh-CN"/>
        </w:rPr>
        <w:t>24</w:t>
      </w:r>
      <w:r>
        <w:rPr>
          <w:rFonts w:hint="default" w:ascii="Times New Roman" w:hAnsi="Times New Roman" w:cs="Times New Roman"/>
          <w:color w:val="auto"/>
          <w:highlight w:val="none"/>
          <w:lang w:val="zh-CN"/>
        </w:rPr>
        <w:t>年本）》，</w:t>
      </w:r>
      <w:r>
        <w:rPr>
          <w:rFonts w:hint="default" w:ascii="Times New Roman" w:hAnsi="Times New Roman" w:cs="Times New Roman"/>
          <w:color w:val="auto"/>
          <w:highlight w:val="none"/>
          <w:lang w:val="en-US" w:eastAsia="zh-CN"/>
        </w:rPr>
        <w:t>本项目属于</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第一类鼓励类”中“七、石油天然气”中“1.</w:t>
      </w:r>
      <w:r>
        <w:rPr>
          <w:rFonts w:hint="default" w:ascii="Times New Roman" w:hAnsi="Times New Roman" w:cs="Times New Roman"/>
          <w:color w:val="auto"/>
          <w:highlight w:val="none"/>
          <w:lang w:val="zh-CN"/>
        </w:rPr>
        <w:t>常规石油、天然气勘探与开采”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本项目的建设符合国家产业政策。</w:t>
      </w:r>
    </w:p>
    <w:p w14:paraId="34BB99B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zh-CN"/>
        </w:rPr>
      </w:pPr>
      <w:r>
        <w:rPr>
          <w:rFonts w:hint="default" w:ascii="Times New Roman" w:hAnsi="Times New Roman" w:cs="Times New Roman"/>
          <w:b/>
          <w:bCs w:val="0"/>
          <w:color w:val="auto"/>
          <w:sz w:val="24"/>
          <w:szCs w:val="24"/>
          <w:highlight w:val="none"/>
          <w:lang w:val="zh-CN"/>
        </w:rPr>
        <w:t>（</w:t>
      </w:r>
      <w:r>
        <w:rPr>
          <w:rFonts w:hint="default" w:ascii="Times New Roman" w:hAnsi="Times New Roman" w:eastAsia="宋体" w:cs="Times New Roman"/>
          <w:b/>
          <w:bCs w:val="0"/>
          <w:color w:val="auto"/>
          <w:sz w:val="24"/>
          <w:szCs w:val="24"/>
          <w:highlight w:val="none"/>
        </w:rPr>
        <w:t>2</w:t>
      </w:r>
      <w:r>
        <w:rPr>
          <w:rFonts w:hint="default" w:ascii="Times New Roman" w:hAnsi="Times New Roman" w:cs="Times New Roman"/>
          <w:b/>
          <w:bCs w:val="0"/>
          <w:color w:val="auto"/>
          <w:sz w:val="24"/>
          <w:szCs w:val="24"/>
          <w:highlight w:val="none"/>
          <w:lang w:val="zh-CN"/>
        </w:rPr>
        <w:t>）</w:t>
      </w:r>
      <w:r>
        <w:rPr>
          <w:rFonts w:hint="default" w:ascii="Times New Roman" w:hAnsi="Times New Roman" w:eastAsia="宋体" w:cs="Times New Roman"/>
          <w:b/>
          <w:bCs w:val="0"/>
          <w:color w:val="auto"/>
          <w:sz w:val="24"/>
          <w:szCs w:val="24"/>
          <w:highlight w:val="none"/>
        </w:rPr>
        <w:t>政策、法规符合性分析</w:t>
      </w:r>
    </w:p>
    <w:p w14:paraId="360CAE5E">
      <w:pPr>
        <w:pStyle w:val="62"/>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本项目属于</w:t>
      </w:r>
      <w:r>
        <w:rPr>
          <w:rFonts w:hint="default" w:ascii="Times New Roman" w:hAnsi="Times New Roman" w:cs="Times New Roman"/>
          <w:color w:val="auto"/>
          <w:highlight w:val="none"/>
          <w:lang w:val="en-US" w:eastAsia="zh-CN"/>
        </w:rPr>
        <w:t>西</w:t>
      </w:r>
      <w:r>
        <w:rPr>
          <w:rFonts w:hint="default" w:ascii="Times New Roman" w:hAnsi="Times New Roman" w:cs="Times New Roman"/>
          <w:color w:val="auto"/>
          <w:highlight w:val="none"/>
        </w:rPr>
        <w:t>北油田分公司</w:t>
      </w:r>
      <w:r>
        <w:rPr>
          <w:rFonts w:hint="default" w:ascii="Times New Roman" w:hAnsi="Times New Roman" w:cs="Times New Roman"/>
          <w:color w:val="auto"/>
          <w:highlight w:val="none"/>
          <w:lang w:val="zh-CN"/>
        </w:rPr>
        <w:t>石油天然气开发项目，工程占地范围内不涉及依法划定的国家公园、自然保护区、世界自然遗产、自然公园、生态保护红线等</w:t>
      </w:r>
      <w:r>
        <w:rPr>
          <w:rFonts w:hint="default" w:ascii="Times New Roman" w:hAnsi="Times New Roman" w:cs="Times New Roman"/>
          <w:color w:val="auto"/>
          <w:highlight w:val="none"/>
          <w:lang w:val="en-US" w:eastAsia="zh-CN"/>
        </w:rPr>
        <w:t>重要</w:t>
      </w:r>
      <w:r>
        <w:rPr>
          <w:rFonts w:hint="default" w:ascii="Times New Roman" w:hAnsi="Times New Roman" w:cs="Times New Roman"/>
          <w:color w:val="auto"/>
          <w:highlight w:val="none"/>
          <w:lang w:val="zh-CN"/>
        </w:rPr>
        <w:t>生态</w:t>
      </w:r>
      <w:r>
        <w:rPr>
          <w:rFonts w:hint="default" w:ascii="Times New Roman" w:hAnsi="Times New Roman" w:cs="Times New Roman"/>
          <w:color w:val="auto"/>
          <w:highlight w:val="none"/>
          <w:lang w:val="en-US" w:eastAsia="zh-CN"/>
        </w:rPr>
        <w:t>敏感</w:t>
      </w:r>
      <w:r>
        <w:rPr>
          <w:rFonts w:hint="default" w:ascii="Times New Roman" w:hAnsi="Times New Roman" w:cs="Times New Roman"/>
          <w:color w:val="auto"/>
          <w:highlight w:val="none"/>
          <w:lang w:val="zh-CN"/>
        </w:rPr>
        <w:t>区。符合《新疆维吾尔自治区煤炭石油天然气开发环境保护条例》《石油天然气开采业污染防治技术政策》《新疆维吾尔自治区大气污染防治条例》《关于进一步加强石油天然气行业环境影响评价管理的通知》（环办环评函〔2019〕910号）等相关政策、法律法规相关要求。</w:t>
      </w:r>
    </w:p>
    <w:p w14:paraId="434281DB">
      <w:pPr>
        <w:pStyle w:val="62"/>
        <w:keepNext w:val="0"/>
        <w:keepLines w:val="0"/>
        <w:pageBreakBefore w:val="0"/>
        <w:widowControl w:val="0"/>
        <w:kinsoku/>
        <w:wordWrap/>
        <w:overflowPunct/>
        <w:bidi w:val="0"/>
        <w:adjustRightInd w:val="0"/>
        <w:snapToGrid w:val="0"/>
        <w:spacing w:line="360" w:lineRule="auto"/>
        <w:ind w:firstLine="482"/>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zh-CN"/>
        </w:rPr>
        <w:t>（3）</w:t>
      </w:r>
      <w:r>
        <w:rPr>
          <w:rFonts w:hint="default" w:ascii="Times New Roman" w:hAnsi="Times New Roman" w:cs="Times New Roman"/>
          <w:b/>
          <w:bCs/>
          <w:color w:val="auto"/>
          <w:highlight w:val="none"/>
        </w:rPr>
        <w:t>规划符合性判定结论</w:t>
      </w:r>
    </w:p>
    <w:p w14:paraId="293FF490">
      <w:pPr>
        <w:pStyle w:val="62"/>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b w:val="0"/>
          <w:bCs w:val="0"/>
          <w:color w:val="auto"/>
          <w:highlight w:val="none"/>
          <w:lang w:val="zh-CN"/>
        </w:rPr>
      </w:pPr>
      <w:r>
        <w:rPr>
          <w:rFonts w:hint="default" w:ascii="Times New Roman" w:hAnsi="Times New Roman" w:cs="Times New Roman"/>
          <w:b w:val="0"/>
          <w:bCs w:val="0"/>
          <w:color w:val="auto"/>
          <w:highlight w:val="none"/>
          <w:lang w:val="zh-CN"/>
        </w:rPr>
        <w:t>本项目属于中国石油化工股份有限公司西北油田分公司滚动开发项目，符合《新疆维吾尔自治区国民经济和社会发展第十四个五年规划和2035年远景目标纲要》《新疆生态环境保护“十四五”规划》和</w:t>
      </w:r>
      <w:r>
        <w:rPr>
          <w:rFonts w:hint="default" w:ascii="Times New Roman" w:hAnsi="Times New Roman" w:cs="Times New Roman"/>
          <w:b w:val="0"/>
          <w:bCs w:val="0"/>
          <w:color w:val="auto"/>
          <w:highlight w:val="none"/>
          <w:lang w:eastAsia="zh-CN" w:bidi="ar"/>
        </w:rPr>
        <w:t>《</w:t>
      </w:r>
      <w:r>
        <w:rPr>
          <w:rFonts w:hint="default" w:ascii="Times New Roman" w:hAnsi="Times New Roman" w:cs="Times New Roman"/>
          <w:b w:val="0"/>
          <w:bCs w:val="0"/>
          <w:color w:val="auto"/>
          <w:highlight w:val="none"/>
          <w:lang w:val="en-US" w:eastAsia="zh-CN" w:bidi="ar"/>
        </w:rPr>
        <w:t>中国石油化工股份有限公司西北油田分公司</w:t>
      </w:r>
      <w:r>
        <w:rPr>
          <w:rFonts w:hint="default" w:ascii="Times New Roman" w:hAnsi="Times New Roman" w:cs="Times New Roman"/>
          <w:b w:val="0"/>
          <w:bCs w:val="0"/>
          <w:color w:val="auto"/>
          <w:highlight w:val="none"/>
          <w:lang w:bidi="ar"/>
        </w:rPr>
        <w:t>“十四五”规划</w:t>
      </w:r>
      <w:r>
        <w:rPr>
          <w:rFonts w:hint="default" w:ascii="Times New Roman" w:hAnsi="Times New Roman" w:cs="Times New Roman"/>
          <w:b w:val="0"/>
          <w:bCs w:val="0"/>
          <w:color w:val="auto"/>
          <w:highlight w:val="none"/>
          <w:lang w:eastAsia="zh-CN" w:bidi="ar"/>
        </w:rPr>
        <w:t>》</w:t>
      </w:r>
      <w:r>
        <w:rPr>
          <w:rFonts w:hint="default" w:ascii="Times New Roman" w:hAnsi="Times New Roman" w:cs="Times New Roman"/>
          <w:b w:val="0"/>
          <w:bCs w:val="0"/>
          <w:color w:val="auto"/>
          <w:highlight w:val="none"/>
          <w:lang w:val="zh-CN"/>
        </w:rPr>
        <w:t>的相关要求。</w:t>
      </w:r>
    </w:p>
    <w:p w14:paraId="37635A61">
      <w:pPr>
        <w:pStyle w:val="62"/>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b w:val="0"/>
          <w:bCs w:val="0"/>
          <w:color w:val="auto"/>
          <w:highlight w:val="none"/>
          <w:lang w:val="zh-CN"/>
        </w:rPr>
      </w:pPr>
      <w:r>
        <w:rPr>
          <w:rFonts w:hint="default" w:ascii="Times New Roman" w:hAnsi="Times New Roman" w:cs="Times New Roman"/>
          <w:b w:val="0"/>
          <w:bCs w:val="0"/>
          <w:color w:val="auto"/>
          <w:highlight w:val="none"/>
          <w:lang w:val="zh-CN"/>
        </w:rPr>
        <w:t>本项目位于塔河油田矿权范围内，不属于主体功能区规划中确定的国家和自治区层面的禁止开发区域，所进行的石油天然气勘探活动符合“全国重要的能源基地”定位。因此本项目的建设符合《新疆维吾尔自治区主体功能区规划》</w:t>
      </w:r>
      <w:r>
        <w:rPr>
          <w:rFonts w:hint="default" w:ascii="Times New Roman" w:hAnsi="Times New Roman" w:cs="Times New Roman"/>
          <w:b w:val="0"/>
          <w:bCs w:val="0"/>
          <w:color w:val="auto"/>
          <w:highlight w:val="none"/>
          <w:lang w:val="en-US" w:eastAsia="zh-CN"/>
        </w:rPr>
        <w:t>和</w:t>
      </w:r>
      <w:r>
        <w:rPr>
          <w:rFonts w:hint="default" w:ascii="Times New Roman" w:hAnsi="Times New Roman" w:cs="Times New Roman"/>
          <w:b w:val="0"/>
          <w:bCs w:val="0"/>
          <w:color w:val="auto"/>
          <w:highlight w:val="none"/>
          <w:lang w:val="zh-CN"/>
        </w:rPr>
        <w:t>《新疆生态功能区划》</w:t>
      </w:r>
      <w:r>
        <w:rPr>
          <w:rFonts w:hint="default" w:ascii="Times New Roman" w:hAnsi="Times New Roman" w:cs="Times New Roman"/>
          <w:b w:val="0"/>
          <w:bCs w:val="0"/>
          <w:color w:val="auto"/>
          <w:highlight w:val="none"/>
          <w:lang w:val="en-US" w:eastAsia="zh-CN"/>
        </w:rPr>
        <w:t>等规划</w:t>
      </w:r>
      <w:r>
        <w:rPr>
          <w:rFonts w:hint="default" w:ascii="Times New Roman" w:hAnsi="Times New Roman" w:cs="Times New Roman"/>
          <w:b w:val="0"/>
          <w:bCs w:val="0"/>
          <w:color w:val="auto"/>
          <w:highlight w:val="none"/>
        </w:rPr>
        <w:t>相关要求</w:t>
      </w:r>
      <w:r>
        <w:rPr>
          <w:rFonts w:hint="default" w:ascii="Times New Roman" w:hAnsi="Times New Roman" w:cs="Times New Roman"/>
          <w:b w:val="0"/>
          <w:bCs w:val="0"/>
          <w:color w:val="auto"/>
          <w:highlight w:val="none"/>
          <w:lang w:val="zh-CN"/>
        </w:rPr>
        <w:t>。</w:t>
      </w:r>
    </w:p>
    <w:p w14:paraId="119210B2">
      <w:pPr>
        <w:pStyle w:val="62"/>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（4）选址合理性分析判定结论</w:t>
      </w:r>
    </w:p>
    <w:p w14:paraId="64264FE0">
      <w:pPr>
        <w:pStyle w:val="57"/>
        <w:pageBreakBefore w:val="0"/>
        <w:widowControl w:val="0"/>
        <w:kinsoku/>
        <w:wordWrap/>
        <w:overflowPunct/>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lang w:eastAsia="zh-CN"/>
        </w:rPr>
        <w:t>本项目</w:t>
      </w:r>
      <w:r>
        <w:rPr>
          <w:rFonts w:hint="default" w:ascii="Times New Roman" w:hAnsi="Times New Roman" w:cs="Times New Roman"/>
          <w:b w:val="0"/>
          <w:bCs w:val="0"/>
          <w:color w:val="auto"/>
          <w:highlight w:val="none"/>
        </w:rPr>
        <w:t>为塔河油田滚动开发项目，</w:t>
      </w:r>
      <w:r>
        <w:rPr>
          <w:rFonts w:hint="default" w:ascii="Times New Roman" w:hAnsi="Times New Roman" w:cs="Times New Roman"/>
          <w:color w:val="auto"/>
          <w:highlight w:val="none"/>
        </w:rPr>
        <w:t>符合《石油天然气开采业污染防治技术政策》《新疆煤炭石油天然气开发环境保护条例》《挥发性有机物VOCs污染防治技术政策》中的相关要求，根据现场调查，</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不涉及依法划定的国家公园、自然保护区、世界自然遗产、自然公园、生态保护红线等生态敏感区；评价区域属于塔里木河流域重点治理区，不属于重要生态敏感区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符合新疆及阿克苏地区经济发展规划、环保规划。</w:t>
      </w:r>
    </w:p>
    <w:p w14:paraId="7B85C518">
      <w:pPr>
        <w:pStyle w:val="57"/>
        <w:keepNext w:val="0"/>
        <w:keepLines w:val="0"/>
        <w:pageBreakBefore w:val="0"/>
        <w:widowControl w:val="0"/>
        <w:kinsoku/>
        <w:wordWrap/>
        <w:overflowPunct/>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土地利用类型</w:t>
      </w:r>
      <w:r>
        <w:rPr>
          <w:rFonts w:hint="default" w:ascii="Times New Roman" w:hAnsi="Times New Roman" w:cs="Times New Roman"/>
          <w:color w:val="auto"/>
          <w:highlight w:val="none"/>
          <w:lang w:val="en-US" w:eastAsia="zh-CN"/>
        </w:rPr>
        <w:t>主要</w:t>
      </w:r>
      <w:r>
        <w:rPr>
          <w:rFonts w:hint="default" w:ascii="Times New Roman" w:hAnsi="Times New Roman" w:cs="Times New Roman"/>
          <w:color w:val="auto"/>
          <w:highlight w:val="none"/>
        </w:rPr>
        <w:t>为</w:t>
      </w:r>
      <w:r>
        <w:rPr>
          <w:rFonts w:hint="eastAsia" w:cs="Times New Roman"/>
          <w:color w:val="auto"/>
          <w:kern w:val="0"/>
          <w:szCs w:val="20"/>
          <w:highlight w:val="none"/>
          <w:lang w:val="en-US" w:eastAsia="zh-CN"/>
        </w:rPr>
        <w:t>灌木林地、</w:t>
      </w:r>
      <w:r>
        <w:rPr>
          <w:rFonts w:hint="default" w:ascii="Times New Roman" w:hAnsi="Times New Roman" w:eastAsia="宋体" w:cs="Times New Roman"/>
          <w:color w:val="auto"/>
          <w:kern w:val="0"/>
          <w:szCs w:val="20"/>
          <w:highlight w:val="none"/>
        </w:rPr>
        <w:t>天然牧草地</w:t>
      </w:r>
      <w:r>
        <w:rPr>
          <w:rFonts w:hint="default" w:ascii="Times New Roman" w:hAnsi="Times New Roman" w:eastAsia="宋体" w:cs="Times New Roman"/>
          <w:color w:val="auto"/>
          <w:kern w:val="0"/>
          <w:szCs w:val="20"/>
          <w:highlight w:val="none"/>
          <w:lang w:val="en-US" w:eastAsia="zh-CN"/>
        </w:rPr>
        <w:t>等</w:t>
      </w:r>
      <w:r>
        <w:rPr>
          <w:rFonts w:hint="default" w:ascii="Times New Roman" w:hAnsi="Times New Roman" w:cs="Times New Roman"/>
          <w:color w:val="auto"/>
          <w:highlight w:val="none"/>
        </w:rPr>
        <w:t>，不</w:t>
      </w:r>
      <w:r>
        <w:rPr>
          <w:rFonts w:hint="eastAsia" w:cs="Times New Roman"/>
          <w:color w:val="auto"/>
          <w:highlight w:val="none"/>
          <w:lang w:val="en-US" w:eastAsia="zh-CN"/>
        </w:rPr>
        <w:t>占用</w:t>
      </w:r>
      <w:r>
        <w:rPr>
          <w:rFonts w:hint="default" w:ascii="Times New Roman" w:hAnsi="Times New Roman" w:cs="Times New Roman"/>
          <w:color w:val="auto"/>
          <w:highlight w:val="none"/>
        </w:rPr>
        <w:t>基本农田，</w:t>
      </w:r>
      <w:r>
        <w:rPr>
          <w:rFonts w:hint="eastAsia" w:cs="Times New Roman"/>
          <w:color w:val="auto"/>
          <w:highlight w:val="none"/>
          <w:lang w:val="en-US" w:eastAsia="zh-CN"/>
        </w:rPr>
        <w:t>部分新建管线临时占用的天然林</w:t>
      </w:r>
      <w:r>
        <w:rPr>
          <w:rFonts w:hint="default" w:ascii="Times New Roman" w:hAnsi="Times New Roman" w:cs="Times New Roman"/>
          <w:color w:val="auto"/>
          <w:highlight w:val="none"/>
        </w:rPr>
        <w:t>属于国家二级公益林。</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在管线选线过程中注意避让植被覆盖度高的区域，尽量减少对植被的生态扰动；</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运营期废气主要为油气开采过程中排放的无组织挥发烃类</w:t>
      </w:r>
      <w:r>
        <w:rPr>
          <w:rFonts w:hint="eastAsia" w:cs="Times New Roman"/>
          <w:color w:val="auto"/>
          <w:highlight w:val="none"/>
          <w:lang w:val="en-US" w:eastAsia="zh-CN"/>
        </w:rPr>
        <w:t>及硫化氢</w:t>
      </w:r>
      <w:r>
        <w:rPr>
          <w:rFonts w:hint="default" w:ascii="Times New Roman" w:hAnsi="Times New Roman" w:cs="Times New Roman"/>
          <w:color w:val="auto"/>
          <w:highlight w:val="none"/>
        </w:rPr>
        <w:t>，产生的废气为持续的长期影响，但废气污染物均可以得到较好扩散，对大气污染物浓度贡献值小，且项目区地域空旷，项目实施后不会对周围环境产生明显影响；废水</w:t>
      </w:r>
      <w:r>
        <w:rPr>
          <w:rFonts w:hint="default" w:ascii="Times New Roman" w:hAnsi="Times New Roman" w:cs="Times New Roman"/>
          <w:color w:val="auto"/>
          <w:highlight w:val="none"/>
          <w:lang w:val="en-US" w:eastAsia="zh-CN"/>
        </w:rPr>
        <w:t>不外排</w:t>
      </w:r>
      <w:r>
        <w:rPr>
          <w:rFonts w:hint="default" w:ascii="Times New Roman" w:hAnsi="Times New Roman" w:cs="Times New Roman"/>
          <w:color w:val="auto"/>
          <w:highlight w:val="none"/>
        </w:rPr>
        <w:t>，固体废物能够实现妥善处置，综上所述，</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建成后所在区域的环境功能不会发生改变，对环境的影响属可接受的范围，项目的选址从环保角度认为可行。</w:t>
      </w:r>
    </w:p>
    <w:p w14:paraId="7B671528">
      <w:pPr>
        <w:pStyle w:val="62"/>
        <w:keepNext w:val="0"/>
        <w:keepLines w:val="0"/>
        <w:pageBreakBefore w:val="0"/>
        <w:widowControl w:val="0"/>
        <w:kinsoku/>
        <w:wordWrap/>
        <w:overflowPunct/>
        <w:bidi w:val="0"/>
        <w:adjustRightInd w:val="0"/>
        <w:snapToGrid w:val="0"/>
        <w:spacing w:line="360" w:lineRule="auto"/>
        <w:ind w:firstLine="482"/>
        <w:textAlignment w:val="auto"/>
        <w:rPr>
          <w:rFonts w:hint="default" w:ascii="Times New Roman" w:hAnsi="Times New Roman" w:cs="Times New Roman"/>
          <w:b/>
          <w:bCs w:val="0"/>
          <w:color w:val="auto"/>
          <w:highlight w:val="none"/>
          <w:lang w:val="zh-CN"/>
        </w:rPr>
      </w:pPr>
      <w:r>
        <w:rPr>
          <w:rFonts w:hint="default" w:ascii="Times New Roman" w:hAnsi="Times New Roman" w:cs="Times New Roman"/>
          <w:b/>
          <w:bCs w:val="0"/>
          <w:color w:val="auto"/>
          <w:highlight w:val="none"/>
          <w:lang w:eastAsia="zh-CN"/>
        </w:rPr>
        <w:t>（</w:t>
      </w:r>
      <w:r>
        <w:rPr>
          <w:rFonts w:hint="default" w:ascii="Times New Roman" w:hAnsi="Times New Roman" w:cs="Times New Roman"/>
          <w:b/>
          <w:bCs w:val="0"/>
          <w:color w:val="auto"/>
          <w:highlight w:val="none"/>
        </w:rPr>
        <w:t>5</w:t>
      </w:r>
      <w:r>
        <w:rPr>
          <w:rFonts w:hint="default" w:ascii="Times New Roman" w:hAnsi="Times New Roman" w:cs="Times New Roman"/>
          <w:b/>
          <w:bCs w:val="0"/>
          <w:color w:val="auto"/>
          <w:highlight w:val="none"/>
          <w:lang w:eastAsia="zh-CN"/>
        </w:rPr>
        <w:t>）</w:t>
      </w:r>
      <w:r>
        <w:rPr>
          <w:rFonts w:hint="default" w:ascii="Times New Roman" w:hAnsi="Times New Roman" w:cs="Times New Roman"/>
          <w:b/>
          <w:bCs w:val="0"/>
          <w:color w:val="auto"/>
          <w:highlight w:val="none"/>
        </w:rPr>
        <w:t>三线一单符合性判定结论</w:t>
      </w:r>
    </w:p>
    <w:p w14:paraId="5A3F66A2">
      <w:pPr>
        <w:keepNext w:val="0"/>
        <w:keepLines w:val="0"/>
        <w:pageBreakBefore w:val="0"/>
        <w:kinsoku/>
        <w:wordWrap/>
        <w:overflowPunct/>
        <w:autoSpaceDN/>
        <w:bidi w:val="0"/>
        <w:spacing w:line="360" w:lineRule="auto"/>
        <w:ind w:firstLine="480" w:firstLineChars="200"/>
        <w:textAlignment w:val="auto"/>
        <w:rPr>
          <w:rFonts w:hint="default" w:ascii="Times New Roman" w:hAnsi="宋体" w:eastAsia="宋体" w:cs="宋体"/>
          <w:color w:val="auto"/>
          <w:sz w:val="24"/>
          <w:szCs w:val="24"/>
          <w:highlight w:val="none"/>
          <w:lang w:eastAsia="zh-CN"/>
        </w:rPr>
      </w:pPr>
      <w:r>
        <w:rPr>
          <w:rFonts w:hint="default" w:ascii="Times New Roman" w:hAnsi="宋体" w:eastAsia="宋体" w:cs="宋体"/>
          <w:color w:val="auto"/>
          <w:sz w:val="24"/>
          <w:szCs w:val="24"/>
          <w:highlight w:val="none"/>
        </w:rPr>
        <w:t>根据</w:t>
      </w:r>
      <w:r>
        <w:rPr>
          <w:rFonts w:hint="default" w:ascii="Times New Roman" w:hAnsi="宋体" w:eastAsia="宋体" w:cs="宋体"/>
          <w:color w:val="auto"/>
          <w:sz w:val="24"/>
          <w:szCs w:val="24"/>
          <w:highlight w:val="none"/>
          <w:lang w:val="en-US" w:eastAsia="zh-CN"/>
        </w:rPr>
        <w:t>《</w:t>
      </w:r>
      <w:r>
        <w:rPr>
          <w:rFonts w:hint="eastAsia" w:ascii="Times New Roman" w:hAnsi="宋体" w:eastAsia="宋体" w:cs="宋体"/>
          <w:color w:val="auto"/>
          <w:sz w:val="24"/>
          <w:szCs w:val="24"/>
          <w:highlight w:val="none"/>
          <w:lang w:val="en-US" w:eastAsia="zh-CN"/>
        </w:rPr>
        <w:t>关于印发</w:t>
      </w:r>
      <w:r>
        <w:rPr>
          <w:rFonts w:hint="eastAsia" w:hAnsi="宋体" w:cs="宋体"/>
          <w:color w:val="auto"/>
          <w:sz w:val="24"/>
          <w:szCs w:val="24"/>
          <w:highlight w:val="none"/>
          <w:lang w:val="en-US" w:eastAsia="zh-CN"/>
        </w:rPr>
        <w:t>〈</w:t>
      </w:r>
      <w:r>
        <w:rPr>
          <w:rFonts w:hint="default" w:ascii="Times New Roman" w:hAnsi="宋体" w:eastAsia="宋体" w:cs="宋体"/>
          <w:color w:val="auto"/>
          <w:sz w:val="24"/>
          <w:szCs w:val="24"/>
          <w:highlight w:val="none"/>
          <w:lang w:val="en-US" w:eastAsia="zh-CN"/>
        </w:rPr>
        <w:t>新疆维吾尔自治区生态环境分区管控动态更新成果</w:t>
      </w:r>
      <w:r>
        <w:rPr>
          <w:rFonts w:hint="eastAsia" w:hAnsi="宋体" w:cs="宋体"/>
          <w:color w:val="auto"/>
          <w:sz w:val="24"/>
          <w:szCs w:val="24"/>
          <w:highlight w:val="none"/>
          <w:lang w:val="en-US" w:eastAsia="zh-CN"/>
        </w:rPr>
        <w:t>〉</w:t>
      </w:r>
      <w:r>
        <w:rPr>
          <w:rFonts w:hint="eastAsia" w:ascii="Times New Roman" w:hAnsi="宋体" w:eastAsia="宋体" w:cs="宋体"/>
          <w:color w:val="auto"/>
          <w:sz w:val="24"/>
          <w:szCs w:val="24"/>
          <w:highlight w:val="none"/>
          <w:lang w:val="en-US" w:eastAsia="zh-CN"/>
        </w:rPr>
        <w:t>的通知</w:t>
      </w:r>
      <w:r>
        <w:rPr>
          <w:rFonts w:hint="default" w:ascii="Times New Roman" w:hAnsi="宋体" w:eastAsia="宋体" w:cs="宋体"/>
          <w:color w:val="auto"/>
          <w:sz w:val="24"/>
          <w:szCs w:val="24"/>
          <w:highlight w:val="none"/>
          <w:lang w:val="en-US" w:eastAsia="zh-CN"/>
        </w:rPr>
        <w:t>》</w:t>
      </w:r>
      <w:r>
        <w:rPr>
          <w:rFonts w:hint="eastAsia" w:ascii="Times New Roman" w:hAnsi="宋体" w:eastAsia="宋体" w:cs="宋体"/>
          <w:color w:val="auto"/>
          <w:sz w:val="24"/>
          <w:szCs w:val="24"/>
          <w:highlight w:val="none"/>
          <w:lang w:val="en-US" w:eastAsia="zh-CN"/>
        </w:rPr>
        <w:t>（</w:t>
      </w:r>
      <w:r>
        <w:rPr>
          <w:rFonts w:hint="default" w:ascii="Times New Roman" w:hAnsi="宋体" w:eastAsia="宋体" w:cs="宋体"/>
          <w:color w:val="auto"/>
          <w:sz w:val="24"/>
          <w:szCs w:val="24"/>
          <w:highlight w:val="none"/>
          <w:lang w:val="zh-CN"/>
        </w:rPr>
        <w:t>新环环评发〔2024〕157号</w:t>
      </w:r>
      <w:r>
        <w:rPr>
          <w:rFonts w:hint="eastAsia" w:ascii="Times New Roman" w:hAnsi="宋体" w:eastAsia="宋体" w:cs="宋体"/>
          <w:color w:val="auto"/>
          <w:sz w:val="24"/>
          <w:szCs w:val="24"/>
          <w:highlight w:val="none"/>
          <w:lang w:val="en-US" w:eastAsia="zh-CN"/>
        </w:rPr>
        <w:t>）和</w:t>
      </w:r>
      <w:r>
        <w:rPr>
          <w:rFonts w:hint="eastAsia" w:ascii="Times New Roman" w:hAnsi="宋体" w:eastAsia="宋体" w:cs="宋体"/>
          <w:color w:val="auto"/>
          <w:sz w:val="24"/>
          <w:szCs w:val="24"/>
          <w:highlight w:val="none"/>
          <w:lang w:eastAsia="zh-CN"/>
        </w:rPr>
        <w:t>《</w:t>
      </w:r>
      <w:r>
        <w:rPr>
          <w:rFonts w:hint="eastAsia" w:ascii="Times New Roman" w:hAnsi="宋体" w:eastAsia="宋体" w:cs="宋体"/>
          <w:color w:val="auto"/>
          <w:sz w:val="24"/>
          <w:szCs w:val="24"/>
          <w:highlight w:val="none"/>
          <w:lang w:val="en-US" w:eastAsia="zh-CN"/>
        </w:rPr>
        <w:t>阿克苏地区生态环境分区管控方案（2023年版）</w:t>
      </w:r>
      <w:r>
        <w:rPr>
          <w:rFonts w:hint="eastAsia" w:ascii="Times New Roman" w:hAnsi="宋体" w:eastAsia="宋体" w:cs="宋体"/>
          <w:color w:val="auto"/>
          <w:sz w:val="24"/>
          <w:szCs w:val="24"/>
          <w:highlight w:val="none"/>
          <w:lang w:eastAsia="zh-CN"/>
        </w:rPr>
        <w:t>》</w:t>
      </w:r>
      <w:r>
        <w:rPr>
          <w:rFonts w:hint="default" w:ascii="Times New Roman" w:hAnsi="宋体" w:eastAsia="宋体" w:cs="宋体"/>
          <w:color w:val="auto"/>
          <w:sz w:val="24"/>
          <w:szCs w:val="24"/>
          <w:highlight w:val="none"/>
        </w:rPr>
        <w:t>，</w:t>
      </w:r>
      <w:r>
        <w:rPr>
          <w:rFonts w:hint="default" w:ascii="Times New Roman" w:hAnsi="宋体" w:eastAsia="宋体" w:cs="宋体"/>
          <w:color w:val="auto"/>
          <w:sz w:val="24"/>
          <w:szCs w:val="24"/>
          <w:highlight w:val="none"/>
          <w:lang w:val="en-US" w:eastAsia="zh-CN"/>
        </w:rPr>
        <w:t>本项目位于库车市一般管控单元（环境管控单元编码：ZH65290230001），不涉及生态保护红线。</w:t>
      </w:r>
    </w:p>
    <w:p w14:paraId="1C4EC72B">
      <w:pPr>
        <w:keepNext w:val="0"/>
        <w:keepLines w:val="0"/>
        <w:pageBreakBefore w:val="0"/>
        <w:kinsoku/>
        <w:wordWrap/>
        <w:overflowPunct/>
        <w:autoSpaceDN/>
        <w:bidi w:val="0"/>
        <w:spacing w:line="360" w:lineRule="auto"/>
        <w:ind w:firstLine="480" w:firstLineChars="200"/>
        <w:textAlignment w:val="auto"/>
        <w:rPr>
          <w:rFonts w:hint="eastAsia" w:hAnsi="宋体"/>
          <w:color w:val="auto"/>
          <w:sz w:val="24"/>
          <w:szCs w:val="24"/>
          <w:highlight w:val="none"/>
        </w:rPr>
      </w:pPr>
      <w:r>
        <w:rPr>
          <w:rFonts w:hint="eastAsia" w:hAnsi="宋体"/>
          <w:color w:val="auto"/>
          <w:sz w:val="24"/>
          <w:szCs w:val="24"/>
          <w:highlight w:val="none"/>
        </w:rPr>
        <w:t>本项目采出水随采出液最终输送至</w:t>
      </w:r>
      <w:r>
        <w:rPr>
          <w:rFonts w:hint="eastAsia" w:hAnsi="宋体"/>
          <w:color w:val="auto"/>
          <w:sz w:val="24"/>
          <w:szCs w:val="24"/>
          <w:highlight w:val="none"/>
          <w:lang w:val="en-US" w:eastAsia="zh-CN"/>
        </w:rPr>
        <w:t>塔河油田三号</w:t>
      </w:r>
      <w:r>
        <w:rPr>
          <w:rFonts w:hint="eastAsia" w:hAnsi="宋体"/>
          <w:color w:val="auto"/>
          <w:sz w:val="24"/>
          <w:szCs w:val="24"/>
          <w:highlight w:val="none"/>
        </w:rPr>
        <w:t>联合站处理，井下作业废水采用专用废水回收罐收集，酸碱中和后运至塔河油田绿色环保站处理，废水均不向外环境排放；本项目所在区域属于大气环境质量不达标区域，本项目已提出持续改善、防风固沙、生态修复的要求，项目实施后建设单位应不断强化大气污染防治措施，改善区域环境空气质量。本项目在正常状况下不会造成土壤污染，不会增加土壤环境风险</w:t>
      </w:r>
      <w:r>
        <w:rPr>
          <w:rFonts w:hint="eastAsia"/>
          <w:color w:val="auto"/>
          <w:sz w:val="24"/>
          <w:szCs w:val="24"/>
          <w:highlight w:val="none"/>
        </w:rPr>
        <w:t>；</w:t>
      </w:r>
      <w:r>
        <w:rPr>
          <w:rFonts w:hint="eastAsia" w:hAnsi="宋体"/>
          <w:color w:val="auto"/>
          <w:sz w:val="24"/>
          <w:szCs w:val="24"/>
          <w:highlight w:val="none"/>
        </w:rPr>
        <w:t>水资源消耗、土地资源、能源消耗等均不超过自治区下达的总量和强度控制目标；满足生态环境准入清单中空间布局约束、污染物排放管控、环境风险管控及资源利用效率的相关要求，符合新疆维吾尔自治区、</w:t>
      </w:r>
      <w:r>
        <w:rPr>
          <w:rFonts w:hint="eastAsia"/>
          <w:color w:val="auto"/>
          <w:sz w:val="24"/>
          <w:szCs w:val="24"/>
          <w:highlight w:val="none"/>
        </w:rPr>
        <w:t>七大片区、阿克苏地区</w:t>
      </w:r>
      <w:r>
        <w:rPr>
          <w:rFonts w:hint="eastAsia" w:hAnsi="宋体"/>
          <w:color w:val="auto"/>
          <w:sz w:val="24"/>
          <w:szCs w:val="24"/>
          <w:highlight w:val="none"/>
        </w:rPr>
        <w:t>“三线一单”生态环境分区管控方案要求。</w:t>
      </w:r>
    </w:p>
    <w:p w14:paraId="22DAD53B">
      <w:pPr>
        <w:pStyle w:val="5"/>
        <w:keepNext/>
        <w:keepLines/>
        <w:pageBreakBefore w:val="0"/>
        <w:widowControl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auto"/>
          <w:highlight w:val="none"/>
        </w:rPr>
      </w:pPr>
      <w:bookmarkStart w:id="29" w:name="_Toc491102337"/>
      <w:bookmarkStart w:id="30" w:name="_Toc75438873"/>
      <w:bookmarkStart w:id="31" w:name="_Toc23512"/>
      <w:bookmarkStart w:id="32" w:name="_Toc36583798"/>
      <w:bookmarkStart w:id="33" w:name="_Toc32542"/>
      <w:bookmarkStart w:id="34" w:name="_Toc507411699"/>
      <w:bookmarkStart w:id="35" w:name="_Toc494278968"/>
      <w:bookmarkStart w:id="36" w:name="_Toc9189"/>
      <w:bookmarkStart w:id="37" w:name="_Toc507411698"/>
      <w:bookmarkStart w:id="38" w:name="_Toc491102336"/>
      <w:bookmarkStart w:id="39" w:name="_Toc494278967"/>
      <w:r>
        <w:rPr>
          <w:rFonts w:hint="default" w:ascii="Times New Roman" w:hAnsi="Times New Roman" w:cs="Times New Roman"/>
          <w:color w:val="auto"/>
          <w:highlight w:val="none"/>
        </w:rPr>
        <w:t>1.4关注的主要环境问题及环境影响</w:t>
      </w:r>
      <w:bookmarkEnd w:id="29"/>
      <w:bookmarkEnd w:id="30"/>
      <w:bookmarkEnd w:id="31"/>
      <w:bookmarkEnd w:id="32"/>
      <w:bookmarkEnd w:id="33"/>
      <w:bookmarkEnd w:id="34"/>
      <w:bookmarkEnd w:id="35"/>
      <w:bookmarkEnd w:id="36"/>
    </w:p>
    <w:p w14:paraId="0B31D3CB">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为</w:t>
      </w:r>
      <w:r>
        <w:rPr>
          <w:rFonts w:hint="eastAsia" w:cs="Times New Roman"/>
          <w:color w:val="auto"/>
          <w:highlight w:val="none"/>
          <w:lang w:val="en-US" w:eastAsia="zh-CN"/>
        </w:rPr>
        <w:t>陆上石油</w:t>
      </w:r>
      <w:r>
        <w:rPr>
          <w:rFonts w:hint="default" w:ascii="Times New Roman" w:hAnsi="Times New Roman" w:cs="Times New Roman"/>
          <w:color w:val="auto"/>
          <w:highlight w:val="none"/>
        </w:rPr>
        <w:t>开采项目，环境影响主要来源于</w:t>
      </w:r>
      <w:r>
        <w:rPr>
          <w:rFonts w:hint="default" w:ascii="Times New Roman" w:hAnsi="Times New Roman" w:cs="Times New Roman"/>
          <w:color w:val="auto"/>
          <w:highlight w:val="none"/>
          <w:lang w:val="en-US" w:eastAsia="zh-CN"/>
        </w:rPr>
        <w:t>施工期的</w:t>
      </w:r>
      <w:r>
        <w:rPr>
          <w:rFonts w:hint="eastAsia" w:cs="Times New Roman"/>
          <w:color w:val="auto"/>
          <w:highlight w:val="none"/>
          <w:lang w:val="en-US" w:eastAsia="zh-CN"/>
        </w:rPr>
        <w:t>钻井、集输管线建设</w:t>
      </w:r>
      <w:r>
        <w:rPr>
          <w:rFonts w:hint="default" w:ascii="Times New Roman" w:hAnsi="Times New Roman" w:cs="Times New Roman"/>
          <w:color w:val="auto"/>
          <w:highlight w:val="none"/>
        </w:rPr>
        <w:t>等过程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运营期的</w:t>
      </w:r>
      <w:r>
        <w:rPr>
          <w:rFonts w:hint="default" w:ascii="Times New Roman" w:hAnsi="Times New Roman" w:cs="Times New Roman"/>
          <w:color w:val="auto"/>
          <w:highlight w:val="none"/>
        </w:rPr>
        <w:t>采油、井下作业等各工艺过程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环境影响包括施工期和运营期污染物排放造成的环境污染和占地及施工造成的生态影响。根据现状调查，</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不</w:t>
      </w:r>
      <w:r>
        <w:rPr>
          <w:rFonts w:hint="default" w:ascii="Times New Roman" w:hAnsi="Times New Roman" w:cs="Times New Roman"/>
          <w:color w:val="auto"/>
          <w:highlight w:val="none"/>
          <w:lang w:val="en-US" w:eastAsia="zh-CN"/>
        </w:rPr>
        <w:t>涉及</w:t>
      </w:r>
      <w:r>
        <w:rPr>
          <w:rFonts w:hint="default" w:ascii="Times New Roman" w:hAnsi="Times New Roman" w:cs="Times New Roman"/>
          <w:color w:val="auto"/>
          <w:highlight w:val="none"/>
        </w:rPr>
        <w:t>自然保护区、风景名胜区、水源保护区等敏感区，主要环境敏感保护目标为塔里木河流域</w:t>
      </w:r>
      <w:r>
        <w:rPr>
          <w:rFonts w:hint="default" w:ascii="Times New Roman" w:hAnsi="Times New Roman" w:cs="Times New Roman"/>
          <w:color w:val="auto"/>
          <w:highlight w:val="none"/>
          <w:lang w:val="en-US" w:eastAsia="zh-CN"/>
        </w:rPr>
        <w:t>水土流失</w:t>
      </w:r>
      <w:r>
        <w:rPr>
          <w:rFonts w:hint="default" w:ascii="Times New Roman" w:hAnsi="Times New Roman" w:cs="Times New Roman"/>
          <w:color w:val="auto"/>
          <w:highlight w:val="none"/>
        </w:rPr>
        <w:t>重点治理区</w:t>
      </w:r>
      <w:r>
        <w:rPr>
          <w:rFonts w:hint="eastAsia" w:cs="Times New Roman"/>
          <w:color w:val="auto"/>
          <w:highlight w:val="none"/>
          <w:lang w:eastAsia="zh-CN"/>
        </w:rPr>
        <w:t>、</w:t>
      </w:r>
      <w:r>
        <w:rPr>
          <w:rFonts w:hint="eastAsia" w:cs="Times New Roman"/>
          <w:color w:val="auto"/>
          <w:highlight w:val="none"/>
          <w:lang w:val="en-US" w:eastAsia="zh-CN"/>
        </w:rPr>
        <w:t>天然林和基本农田</w:t>
      </w:r>
      <w:r>
        <w:rPr>
          <w:rFonts w:hint="default" w:ascii="Times New Roman" w:hAnsi="Times New Roman" w:cs="Times New Roman"/>
          <w:color w:val="auto"/>
          <w:highlight w:val="none"/>
        </w:rPr>
        <w:t>。重点关注施工过程的各项污染物产生以及可能发生的风险对区域环境产生的影响、施工过程中产生的生态环境问题以及生态恢复措施；施工过程中产生的扬尘、施工机械及运输车辆产生的燃油废气、</w:t>
      </w:r>
      <w:r>
        <w:rPr>
          <w:rFonts w:hint="eastAsia" w:cs="Times New Roman"/>
          <w:color w:val="auto"/>
          <w:highlight w:val="none"/>
          <w:lang w:val="en-US" w:eastAsia="zh-CN"/>
        </w:rPr>
        <w:t>钻井废水、废酸化压裂液、管道试压废水、</w:t>
      </w:r>
      <w:r>
        <w:rPr>
          <w:rFonts w:hint="default" w:ascii="Times New Roman" w:hAnsi="Times New Roman" w:cs="Times New Roman"/>
          <w:color w:val="auto"/>
          <w:highlight w:val="none"/>
        </w:rPr>
        <w:t>生活污水、施工废料、生活垃圾、废油和含油废弃物等；</w:t>
      </w:r>
      <w:r>
        <w:rPr>
          <w:rFonts w:hint="default" w:ascii="Times New Roman" w:hAnsi="Times New Roman" w:cs="Times New Roman"/>
          <w:color w:val="auto"/>
          <w:highlight w:val="none"/>
          <w:lang w:eastAsia="zh-CN"/>
        </w:rPr>
        <w:t>运营期</w:t>
      </w:r>
      <w:r>
        <w:rPr>
          <w:rFonts w:hint="eastAsia" w:cs="Times New Roman"/>
          <w:color w:val="auto"/>
          <w:highlight w:val="none"/>
          <w:lang w:val="en-US" w:eastAsia="zh-CN"/>
        </w:rPr>
        <w:t>开采和</w:t>
      </w:r>
      <w:r>
        <w:rPr>
          <w:rFonts w:hint="default" w:ascii="Times New Roman" w:hAnsi="Times New Roman" w:cs="Times New Roman"/>
          <w:color w:val="auto"/>
          <w:sz w:val="24"/>
          <w:szCs w:val="24"/>
          <w:highlight w:val="none"/>
        </w:rPr>
        <w:t>集输过程无组织排放烃类、硫化氢</w:t>
      </w:r>
      <w:r>
        <w:rPr>
          <w:rFonts w:hint="eastAsia" w:cs="Times New Roman"/>
          <w:color w:val="auto"/>
          <w:sz w:val="24"/>
          <w:szCs w:val="24"/>
          <w:highlight w:val="none"/>
          <w:lang w:eastAsia="zh-CN"/>
        </w:rPr>
        <w:t>、</w:t>
      </w:r>
      <w:r>
        <w:rPr>
          <w:rFonts w:hint="default" w:ascii="Times New Roman" w:hAnsi="Times New Roman" w:cs="Times New Roman"/>
          <w:color w:val="auto"/>
          <w:highlight w:val="none"/>
        </w:rPr>
        <w:t>井下作业废水、采出水、废洗井液</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落地油、清管废渣、废润滑油、废防渗材料等对环境产生的影响。</w:t>
      </w:r>
    </w:p>
    <w:p w14:paraId="7277BD36">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环境空气</w:t>
      </w:r>
    </w:p>
    <w:p w14:paraId="474FD536">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施工期对空气环境的影响主要是施工活动产生的扬尘、施工机械及运输车辆产生的燃油废气对环境空气产生的短期影响；</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对空气环境的影响主要为</w:t>
      </w:r>
      <w:r>
        <w:rPr>
          <w:rFonts w:hint="default" w:ascii="Times New Roman" w:hAnsi="Times New Roman" w:cs="Times New Roman"/>
          <w:color w:val="auto"/>
          <w:sz w:val="24"/>
          <w:szCs w:val="24"/>
          <w:highlight w:val="none"/>
        </w:rPr>
        <w:t>集输过程</w:t>
      </w:r>
      <w:r>
        <w:rPr>
          <w:rFonts w:hint="default" w:ascii="Times New Roman" w:hAnsi="Times New Roman" w:cs="Times New Roman"/>
          <w:color w:val="auto"/>
          <w:highlight w:val="none"/>
        </w:rPr>
        <w:t>无组织挥发烃类、硫化氢气体排放至大气环境，对其产生的长期影响。</w:t>
      </w:r>
    </w:p>
    <w:p w14:paraId="2962C11A">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水环境</w:t>
      </w:r>
    </w:p>
    <w:p w14:paraId="07744142">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评价区内无地表水体。施工期</w:t>
      </w:r>
      <w:r>
        <w:rPr>
          <w:rFonts w:hint="default" w:ascii="Times New Roman" w:hAnsi="Times New Roman" w:eastAsia="宋体" w:cs="Times New Roman"/>
          <w:color w:val="auto"/>
          <w:highlight w:val="none"/>
          <w:lang w:eastAsia="zh-CN"/>
        </w:rPr>
        <w:t>钻井过程中产生的钻井废水与钻井泥浆、岩屑一同进入不落地系统进行分离处理，分离后的液相回用于钻井液配制，不外排</w:t>
      </w:r>
      <w:r>
        <w:rPr>
          <w:rFonts w:hint="default" w:ascii="Times New Roman" w:hAnsi="Times New Roman" w:cs="Times New Roman"/>
          <w:color w:val="auto"/>
          <w:highlight w:val="none"/>
          <w:lang w:eastAsia="zh-CN"/>
        </w:rPr>
        <w:t>；生活污水经井场撬装式污水处理站处理后，用于生活区、井场及通井路降尘，不外排地表水环境；酸化压裂废水</w:t>
      </w:r>
      <w:r>
        <w:rPr>
          <w:rFonts w:hint="default" w:ascii="Times New Roman" w:hAnsi="Times New Roman" w:cs="Times New Roman"/>
          <w:color w:val="auto"/>
          <w:highlight w:val="none"/>
          <w:lang w:val="en-US" w:eastAsia="zh-CN"/>
        </w:rPr>
        <w:t>在酸化压裂作业结束后返排的压裂废水收集在酸液罐内，拉运至塔河油田绿色环保站处理</w:t>
      </w:r>
      <w:r>
        <w:rPr>
          <w:rFonts w:hint="default" w:ascii="Times New Roman" w:hAnsi="Times New Roman" w:eastAsia="宋体" w:cs="Times New Roman"/>
          <w:color w:val="auto"/>
          <w:highlight w:val="none"/>
        </w:rPr>
        <w:t>。</w:t>
      </w:r>
    </w:p>
    <w:p w14:paraId="47597EE5">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本项目运营期</w:t>
      </w:r>
      <w:r>
        <w:rPr>
          <w:rFonts w:hint="default" w:ascii="Times New Roman" w:hAnsi="Times New Roman" w:eastAsia="宋体" w:cs="Times New Roman"/>
          <w:color w:val="auto"/>
          <w:highlight w:val="none"/>
        </w:rPr>
        <w:t>在正常情况下，井下作业废水拉运至依托</w:t>
      </w:r>
      <w:r>
        <w:rPr>
          <w:rFonts w:hint="default" w:ascii="Times New Roman" w:hAnsi="Times New Roman" w:eastAsia="宋体" w:cs="Times New Roman"/>
          <w:color w:val="auto"/>
          <w:highlight w:val="none"/>
          <w:lang w:val="en-US" w:eastAsia="zh-CN"/>
        </w:rPr>
        <w:t>塔河油田绿色</w:t>
      </w:r>
      <w:r>
        <w:rPr>
          <w:rFonts w:hint="default" w:ascii="Times New Roman" w:hAnsi="Times New Roman" w:eastAsia="宋体" w:cs="Times New Roman"/>
          <w:color w:val="auto"/>
          <w:highlight w:val="none"/>
        </w:rPr>
        <w:t>环保站处置，不外排；油水分离产生的含油污水等废水均依托联合站</w:t>
      </w:r>
      <w:r>
        <w:rPr>
          <w:rFonts w:hint="default" w:ascii="Times New Roman" w:hAnsi="Times New Roman" w:eastAsia="宋体" w:cs="Times New Roman"/>
          <w:color w:val="auto"/>
          <w:highlight w:val="none"/>
          <w:lang w:val="en-US" w:eastAsia="zh-CN"/>
        </w:rPr>
        <w:t>采出水</w:t>
      </w:r>
      <w:r>
        <w:rPr>
          <w:rFonts w:hint="default" w:ascii="Times New Roman" w:hAnsi="Times New Roman" w:eastAsia="宋体" w:cs="Times New Roman"/>
          <w:color w:val="auto"/>
          <w:highlight w:val="none"/>
        </w:rPr>
        <w:t>处理系统处理达标后回注，不外排。可能对水产生影响的主要为管线泄漏或井喷等事故状况下，含油污水进入水环境对其产生污染影响。</w:t>
      </w:r>
    </w:p>
    <w:p w14:paraId="4397D895">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声环境</w:t>
      </w:r>
    </w:p>
    <w:p w14:paraId="12A02C1A">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施工期对声环境的影响主要为施工机械、车辆运行产生的噪声对周围声环境产生的影响，</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对声环境的影响主要为井场生产设备运行产生的噪声对周围声环境产生的影响。</w:t>
      </w:r>
    </w:p>
    <w:p w14:paraId="3814568D">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土壤环境</w:t>
      </w:r>
    </w:p>
    <w:p w14:paraId="765D8520">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钻井工程</w:t>
      </w:r>
      <w:r>
        <w:rPr>
          <w:rFonts w:hint="default" w:ascii="Times New Roman" w:hAnsi="Times New Roman" w:cs="Times New Roman"/>
          <w:color w:val="auto"/>
          <w:highlight w:val="none"/>
        </w:rPr>
        <w:t>、管道建设时对土壤环境的扰动影响。项目</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和</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产生的落地油、含油污水等污染物在风险事故状况下可能对土壤环境造成污染影响。</w:t>
      </w:r>
    </w:p>
    <w:p w14:paraId="4922A1F1">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生态环境</w:t>
      </w:r>
    </w:p>
    <w:p w14:paraId="2E600867">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eastAsia" w:cs="Times New Roman"/>
          <w:color w:val="auto"/>
          <w:highlight w:val="none"/>
          <w:lang w:val="en-US" w:eastAsia="zh-CN"/>
        </w:rPr>
        <w:t>老井侧钻</w:t>
      </w:r>
      <w:r>
        <w:rPr>
          <w:rFonts w:hint="default" w:ascii="Times New Roman" w:hAnsi="Times New Roman" w:cs="Times New Roman"/>
          <w:color w:val="auto"/>
          <w:highlight w:val="none"/>
        </w:rPr>
        <w:t>、管道铺设发生的临时占地，以及因机械设备、车辆的碾压、人员的践踏等活动将会对地表植被造成一定程度的破坏。临时占地暂时改变了土地利用形式，使区域的生产能力受到暂时性影响。</w:t>
      </w:r>
    </w:p>
    <w:p w14:paraId="20BEF980">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固体废物</w:t>
      </w:r>
    </w:p>
    <w:p w14:paraId="28C941AA">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施工期产生的固体废物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弃土、</w:t>
      </w:r>
      <w:r>
        <w:rPr>
          <w:rFonts w:hint="default" w:ascii="Times New Roman" w:hAnsi="Times New Roman" w:cs="Times New Roman"/>
          <w:color w:val="auto"/>
          <w:highlight w:val="none"/>
          <w:lang w:val="en-US" w:eastAsia="zh-CN"/>
        </w:rPr>
        <w:t>施工废料</w:t>
      </w:r>
      <w:r>
        <w:rPr>
          <w:rFonts w:hint="default" w:ascii="Times New Roman" w:hAnsi="Times New Roman" w:cs="Times New Roman"/>
          <w:color w:val="auto"/>
          <w:highlight w:val="none"/>
        </w:rPr>
        <w:t>、生活垃圾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废油、含油废弃物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及</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产生的固体废弃物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落地油、</w:t>
      </w:r>
      <w:r>
        <w:rPr>
          <w:rFonts w:hint="default" w:ascii="Times New Roman" w:hAnsi="Times New Roman" w:cs="Times New Roman"/>
          <w:color w:val="auto"/>
          <w:highlight w:val="none"/>
          <w:lang w:val="en-US" w:eastAsia="zh-CN"/>
        </w:rPr>
        <w:t>清管废渣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废润滑油、废防渗材料</w:t>
      </w:r>
      <w:r>
        <w:rPr>
          <w:rFonts w:hint="eastAsia" w:cs="Times New Roman"/>
          <w:color w:val="auto"/>
          <w:highlight w:val="none"/>
          <w:lang w:val="en-US" w:eastAsia="zh-CN"/>
        </w:rPr>
        <w:t>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对环境的影响。</w:t>
      </w:r>
    </w:p>
    <w:p w14:paraId="23DD8F1C">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环境风险</w:t>
      </w:r>
    </w:p>
    <w:p w14:paraId="6F789189">
      <w:pPr>
        <w:pStyle w:val="62"/>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的主要环境风险是</w:t>
      </w:r>
      <w:r>
        <w:rPr>
          <w:rFonts w:hint="default" w:ascii="Times New Roman" w:hAnsi="Times New Roman" w:cs="Times New Roman"/>
          <w:color w:val="auto"/>
          <w:highlight w:val="none"/>
          <w:lang w:val="en-US" w:eastAsia="zh-CN"/>
        </w:rPr>
        <w:t>原油</w:t>
      </w:r>
      <w:r>
        <w:rPr>
          <w:rFonts w:hint="eastAsia" w:cs="Times New Roman"/>
          <w:color w:val="auto"/>
          <w:highlight w:val="none"/>
          <w:lang w:val="en-US" w:eastAsia="zh-CN"/>
        </w:rPr>
        <w:t>、天然气、硫化氢</w:t>
      </w:r>
      <w:r>
        <w:rPr>
          <w:rFonts w:hint="default" w:ascii="Times New Roman" w:hAnsi="Times New Roman" w:cs="Times New Roman"/>
          <w:color w:val="auto"/>
          <w:highlight w:val="none"/>
        </w:rPr>
        <w:t>泄漏对区域内的大气环境、地下水环境、土壤环境、生态环境具有潜在危害性。</w:t>
      </w:r>
    </w:p>
    <w:bookmarkEnd w:id="37"/>
    <w:bookmarkEnd w:id="38"/>
    <w:bookmarkEnd w:id="39"/>
    <w:p w14:paraId="6DFDDFDB">
      <w:pPr>
        <w:pStyle w:val="5"/>
        <w:keepNext/>
        <w:keepLines/>
        <w:pageBreakBefore w:val="0"/>
        <w:widowControl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auto"/>
          <w:highlight w:val="none"/>
        </w:rPr>
      </w:pPr>
      <w:bookmarkStart w:id="40" w:name="_Toc491102338"/>
      <w:bookmarkStart w:id="41" w:name="_Toc536"/>
      <w:bookmarkStart w:id="42" w:name="_Toc36583799"/>
      <w:bookmarkStart w:id="43" w:name="_Toc507411700"/>
      <w:bookmarkStart w:id="44" w:name="_Toc75438874"/>
      <w:bookmarkStart w:id="45" w:name="_Toc494278969"/>
      <w:bookmarkStart w:id="46" w:name="_Toc26534"/>
      <w:bookmarkStart w:id="47" w:name="_Toc12791"/>
      <w:r>
        <w:rPr>
          <w:rFonts w:hint="default" w:ascii="Times New Roman" w:hAnsi="Times New Roman" w:cs="Times New Roman"/>
          <w:color w:val="auto"/>
          <w:highlight w:val="none"/>
        </w:rPr>
        <w:t>1.5环境影响评价的主要结论</w:t>
      </w:r>
      <w:bookmarkEnd w:id="40"/>
      <w:bookmarkEnd w:id="41"/>
      <w:bookmarkEnd w:id="42"/>
      <w:bookmarkEnd w:id="43"/>
      <w:bookmarkEnd w:id="44"/>
      <w:bookmarkEnd w:id="45"/>
      <w:bookmarkEnd w:id="46"/>
      <w:bookmarkEnd w:id="47"/>
    </w:p>
    <w:p w14:paraId="7DA856FF">
      <w:pPr>
        <w:pStyle w:val="62"/>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rPr>
      </w:pPr>
      <w:bookmarkStart w:id="48" w:name="_Toc297590918"/>
      <w:bookmarkStart w:id="49" w:name="_Toc374724170"/>
      <w:bookmarkStart w:id="50" w:name="_Toc297590765"/>
      <w:bookmarkStart w:id="51" w:name="_Toc280954895"/>
      <w:bookmarkStart w:id="52" w:name="_Toc280954972"/>
      <w:bookmarkStart w:id="53" w:name="_Toc361761815"/>
      <w:bookmarkStart w:id="54" w:name="_Toc353966723"/>
      <w:bookmarkStart w:id="55" w:name="_Toc508291872"/>
      <w:bookmarkStart w:id="56" w:name="_Toc42981092"/>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属于</w:t>
      </w:r>
      <w:r>
        <w:rPr>
          <w:rFonts w:hint="default" w:ascii="Times New Roman" w:hAnsi="Times New Roman" w:cs="Times New Roman"/>
          <w:color w:val="auto"/>
          <w:highlight w:val="none"/>
          <w:lang w:eastAsia="zh-CN"/>
        </w:rPr>
        <w:t>《产业结构调整指导目录（2024年本）》，“七、石油天然气”中</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lang w:eastAsia="zh-CN"/>
        </w:rPr>
        <w:t>“1.常规石油、天然气勘探与开采”</w:t>
      </w:r>
      <w:r>
        <w:rPr>
          <w:rFonts w:hint="default" w:ascii="Times New Roman" w:hAnsi="Times New Roman" w:cs="Times New Roman"/>
          <w:color w:val="auto"/>
          <w:highlight w:val="none"/>
          <w:lang w:val="zh-CN"/>
        </w:rPr>
        <w:t>属鼓励类项目</w:t>
      </w:r>
      <w:r>
        <w:rPr>
          <w:rFonts w:hint="default" w:ascii="Times New Roman" w:hAnsi="Times New Roman" w:cs="Times New Roman"/>
          <w:color w:val="auto"/>
          <w:highlight w:val="none"/>
        </w:rPr>
        <w:t>，项目建设符合国家产业政策；符合《新疆维吾尔自治区煤炭石油天然气开发环境保护条例》《新疆维吾尔自治区大气污染防治条例》《石油天然气开采业污染防治技术政策》等法规和政策要求；符合《新疆维吾尔自治区国民经济和社会发展第十四个五年规划和2035年远景目标纲要》《新疆生态环境保护“十四五”规划》《新疆维吾尔自治区主体功能区规划》等要求；项目不涉及国家公园、自然保护区、风景名胜区等环境敏感区域，项目区占地涉及国家二级公益林，需要办理相关用地手续后方可开工建设；项目符合“三线一单”要求；建设单位按照《环境影响评价公众参与办法》，在</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环评过程中开展了公众参与调查，至信息公告的截止日期没有收到相关反馈信息。</w:t>
      </w:r>
    </w:p>
    <w:p w14:paraId="7CFA4058">
      <w:pPr>
        <w:pStyle w:val="62"/>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rPr>
      </w:pPr>
      <w:r>
        <w:rPr>
          <w:rStyle w:val="64"/>
          <w:rFonts w:hint="default" w:ascii="Times New Roman" w:hAnsi="Times New Roman" w:cs="Times New Roman"/>
          <w:b w:val="0"/>
          <w:bCs/>
          <w:color w:val="auto"/>
          <w:sz w:val="24"/>
          <w:szCs w:val="24"/>
          <w:highlight w:val="none"/>
          <w:lang w:eastAsia="zh-CN"/>
        </w:rPr>
        <w:t>本项目</w:t>
      </w:r>
      <w:r>
        <w:rPr>
          <w:rStyle w:val="64"/>
          <w:rFonts w:hint="default" w:ascii="Times New Roman" w:hAnsi="Times New Roman" w:cs="Times New Roman"/>
          <w:b w:val="0"/>
          <w:bCs/>
          <w:color w:val="auto"/>
          <w:sz w:val="24"/>
          <w:szCs w:val="24"/>
          <w:highlight w:val="none"/>
        </w:rPr>
        <w:t>符合国家产业政策和新疆经济发展规划，符合新疆及阿克苏地区“三线一单”要求，公众认同性较好。只要在建设和运营过程中认真落实各项污染防治措施、生态修复措施、风险防范措施及应急措施，各项污染物均能够做到达标排放，其生态破坏可降至最低，环境风险可以接受，从环境保护角度看，</w:t>
      </w:r>
      <w:r>
        <w:rPr>
          <w:rStyle w:val="64"/>
          <w:rFonts w:hint="default" w:ascii="Times New Roman" w:hAnsi="Times New Roman" w:cs="Times New Roman"/>
          <w:b w:val="0"/>
          <w:bCs/>
          <w:color w:val="auto"/>
          <w:sz w:val="24"/>
          <w:szCs w:val="24"/>
          <w:highlight w:val="none"/>
          <w:lang w:eastAsia="zh-CN"/>
        </w:rPr>
        <w:t>本项目</w:t>
      </w:r>
      <w:r>
        <w:rPr>
          <w:rStyle w:val="64"/>
          <w:rFonts w:hint="default" w:ascii="Times New Roman" w:hAnsi="Times New Roman" w:cs="Times New Roman"/>
          <w:b w:val="0"/>
          <w:bCs/>
          <w:color w:val="auto"/>
          <w:sz w:val="24"/>
          <w:szCs w:val="24"/>
          <w:highlight w:val="none"/>
        </w:rPr>
        <w:t>选址合理，建设是可行的。</w:t>
      </w:r>
    </w:p>
    <w:p w14:paraId="23DA7874">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Style w:val="65"/>
          <w:rFonts w:hint="default" w:ascii="Times New Roman" w:hAnsi="Times New Roman" w:cs="Times New Roman"/>
          <w:b/>
          <w:color w:val="auto"/>
          <w:highlight w:val="none"/>
        </w:rPr>
      </w:pPr>
      <w:r>
        <w:rPr>
          <w:rFonts w:hint="default" w:ascii="Times New Roman" w:hAnsi="Times New Roman" w:cs="Times New Roman"/>
          <w:color w:val="auto"/>
          <w:highlight w:val="none"/>
        </w:rPr>
        <w:br w:type="page"/>
      </w:r>
      <w:bookmarkStart w:id="57" w:name="_Toc8448"/>
      <w:bookmarkStart w:id="58" w:name="_Toc75438875"/>
      <w:bookmarkStart w:id="59" w:name="_Toc5678"/>
      <w:bookmarkStart w:id="60" w:name="_Toc27730"/>
      <w:r>
        <w:rPr>
          <w:rStyle w:val="65"/>
          <w:rFonts w:hint="default" w:ascii="Times New Roman" w:hAnsi="Times New Roman" w:cs="Times New Roman"/>
          <w:b/>
          <w:color w:val="auto"/>
          <w:sz w:val="36"/>
          <w:szCs w:val="36"/>
          <w:highlight w:val="none"/>
        </w:rPr>
        <w:t>2.</w:t>
      </w:r>
      <w:bookmarkEnd w:id="48"/>
      <w:bookmarkEnd w:id="49"/>
      <w:bookmarkEnd w:id="50"/>
      <w:bookmarkEnd w:id="51"/>
      <w:bookmarkEnd w:id="52"/>
      <w:bookmarkEnd w:id="53"/>
      <w:bookmarkEnd w:id="54"/>
      <w:r>
        <w:rPr>
          <w:rStyle w:val="65"/>
          <w:rFonts w:hint="default" w:ascii="Times New Roman" w:hAnsi="Times New Roman" w:cs="Times New Roman"/>
          <w:b/>
          <w:color w:val="auto"/>
          <w:sz w:val="36"/>
          <w:szCs w:val="36"/>
          <w:highlight w:val="none"/>
        </w:rPr>
        <w:t>总则</w:t>
      </w:r>
      <w:bookmarkEnd w:id="55"/>
      <w:bookmarkEnd w:id="56"/>
      <w:bookmarkEnd w:id="57"/>
      <w:bookmarkEnd w:id="58"/>
      <w:bookmarkEnd w:id="59"/>
      <w:bookmarkEnd w:id="60"/>
    </w:p>
    <w:p w14:paraId="07EE2699">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61" w:name="_Toc75438876"/>
      <w:bookmarkStart w:id="62" w:name="_Toc500856896"/>
      <w:bookmarkStart w:id="63" w:name="_Toc507411702"/>
      <w:bookmarkStart w:id="64" w:name="_Toc24337"/>
      <w:bookmarkStart w:id="65" w:name="_Toc32270"/>
      <w:bookmarkStart w:id="66" w:name="_Toc36583801"/>
      <w:bookmarkStart w:id="67" w:name="_Toc390851518"/>
      <w:bookmarkStart w:id="68" w:name="_Toc2363"/>
      <w:bookmarkStart w:id="69" w:name="_Toc479866261"/>
      <w:bookmarkStart w:id="70" w:name="_Toc491102341"/>
      <w:bookmarkStart w:id="71" w:name="_Toc494278972"/>
      <w:r>
        <w:rPr>
          <w:rFonts w:hint="default" w:ascii="Times New Roman" w:hAnsi="Times New Roman" w:cs="Times New Roman"/>
          <w:color w:val="auto"/>
          <w:highlight w:val="none"/>
        </w:rPr>
        <w:t>2.1评价目的</w:t>
      </w:r>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highlight w:val="none"/>
        </w:rPr>
        <w:t>原则</w:t>
      </w:r>
      <w:bookmarkEnd w:id="61"/>
      <w:bookmarkEnd w:id="62"/>
      <w:bookmarkEnd w:id="63"/>
      <w:bookmarkEnd w:id="64"/>
      <w:bookmarkEnd w:id="65"/>
      <w:bookmarkEnd w:id="66"/>
      <w:bookmarkEnd w:id="67"/>
      <w:bookmarkEnd w:id="68"/>
    </w:p>
    <w:p w14:paraId="241895C2">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72" w:name="_Toc500856897"/>
      <w:bookmarkStart w:id="73" w:name="_Toc18046"/>
      <w:bookmarkStart w:id="74" w:name="_Toc10362"/>
      <w:bookmarkStart w:id="75" w:name="_Toc14698"/>
      <w:bookmarkStart w:id="76" w:name="_Toc26299"/>
      <w:bookmarkStart w:id="77" w:name="_Toc500856898"/>
      <w:bookmarkStart w:id="78" w:name="_Toc27595"/>
      <w:bookmarkStart w:id="79" w:name="_Toc22461"/>
      <w:r>
        <w:rPr>
          <w:rFonts w:hint="default" w:ascii="Times New Roman" w:hAnsi="Times New Roman" w:cs="Times New Roman"/>
          <w:color w:val="auto"/>
          <w:highlight w:val="none"/>
        </w:rPr>
        <w:t>2.1.1评价目的</w:t>
      </w:r>
      <w:bookmarkEnd w:id="72"/>
      <w:bookmarkEnd w:id="73"/>
      <w:bookmarkEnd w:id="74"/>
      <w:bookmarkEnd w:id="75"/>
    </w:p>
    <w:p w14:paraId="44EEE328">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通过实地调查与现状监测，了解</w:t>
      </w:r>
      <w:r>
        <w:rPr>
          <w:rFonts w:hint="default" w:ascii="Times New Roman" w:hAnsi="Times New Roman" w:cs="Times New Roman"/>
          <w:snapToGrid w:val="0"/>
          <w:color w:val="auto"/>
          <w:sz w:val="24"/>
          <w:highlight w:val="none"/>
        </w:rPr>
        <w:t>项目区</w:t>
      </w:r>
      <w:r>
        <w:rPr>
          <w:rFonts w:hint="default" w:ascii="Times New Roman" w:hAnsi="Times New Roman" w:cs="Times New Roman"/>
          <w:color w:val="auto"/>
          <w:sz w:val="24"/>
          <w:highlight w:val="none"/>
        </w:rPr>
        <w:t>的自然环境、社会环境和经济状况、自然资源及土地利用情况，掌握油田所在区域的环境质量和生态现状。</w:t>
      </w:r>
    </w:p>
    <w:p w14:paraId="63D2843C">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通过工程分析，明确</w:t>
      </w: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施工期、</w:t>
      </w:r>
      <w:r>
        <w:rPr>
          <w:rFonts w:hint="default" w:ascii="Times New Roman" w:hAnsi="Times New Roman" w:cs="Times New Roman"/>
          <w:color w:val="auto"/>
          <w:sz w:val="24"/>
          <w:highlight w:val="none"/>
          <w:lang w:eastAsia="zh-CN"/>
        </w:rPr>
        <w:t>运营期</w:t>
      </w:r>
      <w:r>
        <w:rPr>
          <w:rFonts w:hint="default" w:ascii="Times New Roman" w:hAnsi="Times New Roman" w:cs="Times New Roman"/>
          <w:color w:val="auto"/>
          <w:sz w:val="24"/>
          <w:highlight w:val="none"/>
        </w:rPr>
        <w:t>和</w:t>
      </w:r>
      <w:r>
        <w:rPr>
          <w:rFonts w:hint="default" w:ascii="Times New Roman" w:hAnsi="Times New Roman" w:cs="Times New Roman"/>
          <w:color w:val="auto"/>
          <w:sz w:val="24"/>
          <w:highlight w:val="none"/>
          <w:lang w:eastAsia="zh-CN"/>
        </w:rPr>
        <w:t>退役期</w:t>
      </w:r>
      <w:r>
        <w:rPr>
          <w:rFonts w:hint="default" w:ascii="Times New Roman" w:hAnsi="Times New Roman" w:cs="Times New Roman"/>
          <w:color w:val="auto"/>
          <w:sz w:val="24"/>
          <w:highlight w:val="none"/>
        </w:rPr>
        <w:t>主要污染源、污染物种类、排放强度，分析环境污染的影响特征，预测和评价</w:t>
      </w: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施工期、</w:t>
      </w:r>
      <w:r>
        <w:rPr>
          <w:rFonts w:hint="default" w:ascii="Times New Roman" w:hAnsi="Times New Roman" w:cs="Times New Roman"/>
          <w:color w:val="auto"/>
          <w:sz w:val="24"/>
          <w:highlight w:val="none"/>
          <w:lang w:eastAsia="zh-CN"/>
        </w:rPr>
        <w:t>运营期</w:t>
      </w:r>
      <w:r>
        <w:rPr>
          <w:rFonts w:hint="default" w:ascii="Times New Roman" w:hAnsi="Times New Roman" w:cs="Times New Roman"/>
          <w:color w:val="auto"/>
          <w:sz w:val="24"/>
          <w:highlight w:val="none"/>
        </w:rPr>
        <w:t>及</w:t>
      </w:r>
      <w:r>
        <w:rPr>
          <w:rFonts w:hint="default" w:ascii="Times New Roman" w:hAnsi="Times New Roman" w:cs="Times New Roman"/>
          <w:color w:val="auto"/>
          <w:sz w:val="24"/>
          <w:highlight w:val="none"/>
          <w:lang w:eastAsia="zh-CN"/>
        </w:rPr>
        <w:t>退役期</w:t>
      </w:r>
      <w:r>
        <w:rPr>
          <w:rFonts w:hint="default" w:ascii="Times New Roman" w:hAnsi="Times New Roman" w:cs="Times New Roman"/>
          <w:color w:val="auto"/>
          <w:sz w:val="24"/>
          <w:highlight w:val="none"/>
        </w:rPr>
        <w:t>对环境的影响程度，并提出采取的污染防治和生态保护措施。</w:t>
      </w:r>
    </w:p>
    <w:p w14:paraId="77EA93B4">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对油气田开发过程中拟采取的环境保护措施进行论证，提出油田开发建设施工期、</w:t>
      </w:r>
      <w:r>
        <w:rPr>
          <w:rFonts w:hint="default" w:ascii="Times New Roman" w:hAnsi="Times New Roman" w:cs="Times New Roman"/>
          <w:color w:val="auto"/>
          <w:sz w:val="24"/>
          <w:highlight w:val="none"/>
          <w:lang w:eastAsia="zh-CN"/>
        </w:rPr>
        <w:t>运营期</w:t>
      </w:r>
      <w:r>
        <w:rPr>
          <w:rFonts w:hint="default" w:ascii="Times New Roman" w:hAnsi="Times New Roman" w:cs="Times New Roman"/>
          <w:color w:val="auto"/>
          <w:sz w:val="24"/>
          <w:highlight w:val="none"/>
        </w:rPr>
        <w:t>和退役期污染防治措施及生态保护措施对策及建议。</w:t>
      </w:r>
    </w:p>
    <w:p w14:paraId="06F1C504">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评价</w:t>
      </w: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对国家产业政策、区域总体发展规划、城市功能区划、环境保护规划、清洁生产、达标排放和污染物</w:t>
      </w:r>
      <w:r>
        <w:rPr>
          <w:rFonts w:hint="eastAsia"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rPr>
        <w:t>总量控制的符合性</w:t>
      </w:r>
      <w:r>
        <w:rPr>
          <w:rFonts w:hint="default" w:ascii="Times New Roman" w:hAnsi="Times New Roman" w:cs="Times New Roman"/>
          <w:color w:val="auto"/>
          <w:sz w:val="24"/>
          <w:highlight w:val="none"/>
          <w:lang w:eastAsia="zh-CN"/>
        </w:rPr>
        <w:t>。</w:t>
      </w:r>
    </w:p>
    <w:p w14:paraId="25BB6BF0">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分析</w:t>
      </w: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可能存在的事故隐患，预测风险事故可能产生的环境影响程度，提出环境风险防范措施。</w:t>
      </w:r>
    </w:p>
    <w:p w14:paraId="6356DF3F">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通过上述评价，论证项目在环境方面的可行性，给出环境影响评价结论，为</w:t>
      </w: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的设计、施工、验收及建成投产后的环境管理提供技术依据，为生态环境主管部门提供决策依据。</w:t>
      </w:r>
    </w:p>
    <w:p w14:paraId="1A26C73C">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黑体" w:cs="Times New Roman"/>
          <w:b/>
          <w:bCs/>
          <w:color w:val="auto"/>
          <w:sz w:val="28"/>
          <w:szCs w:val="28"/>
          <w:highlight w:val="none"/>
        </w:rPr>
      </w:pPr>
      <w:r>
        <w:rPr>
          <w:rFonts w:hint="default" w:ascii="Times New Roman" w:hAnsi="Times New Roman" w:eastAsia="黑体" w:cs="Times New Roman"/>
          <w:b/>
          <w:bCs/>
          <w:color w:val="auto"/>
          <w:sz w:val="28"/>
          <w:szCs w:val="28"/>
          <w:highlight w:val="none"/>
        </w:rPr>
        <w:t>2.1.2评价原则</w:t>
      </w:r>
      <w:bookmarkEnd w:id="76"/>
      <w:bookmarkEnd w:id="77"/>
      <w:bookmarkEnd w:id="78"/>
      <w:bookmarkEnd w:id="79"/>
    </w:p>
    <w:p w14:paraId="361B6788">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依法评价</w:t>
      </w:r>
    </w:p>
    <w:p w14:paraId="2375D274">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贯彻执行我国环境保护相关法律法规、标准、政策和规划等，优化项目建设，服务环境管理。</w:t>
      </w:r>
    </w:p>
    <w:p w14:paraId="25E26D32">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科学评价</w:t>
      </w:r>
    </w:p>
    <w:p w14:paraId="77295B03">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规范环境影响评价方法，科学分析项目建设对环境质量的影响。</w:t>
      </w:r>
    </w:p>
    <w:p w14:paraId="0E2D6E8D">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突出重点</w:t>
      </w:r>
    </w:p>
    <w:p w14:paraId="27D12A5D">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14:paraId="1A8844FA">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80" w:name="_Toc36583802"/>
      <w:bookmarkStart w:id="81" w:name="_Toc507411703"/>
      <w:bookmarkStart w:id="82" w:name="_Toc75438877"/>
      <w:bookmarkStart w:id="83" w:name="_Toc9518"/>
      <w:bookmarkStart w:id="84" w:name="_Toc76"/>
      <w:bookmarkStart w:id="85" w:name="_Toc8583"/>
      <w:r>
        <w:rPr>
          <w:rFonts w:hint="default" w:ascii="Times New Roman" w:hAnsi="Times New Roman" w:cs="Times New Roman"/>
          <w:color w:val="auto"/>
          <w:highlight w:val="none"/>
        </w:rPr>
        <w:t>2.2编制依据</w:t>
      </w:r>
      <w:bookmarkEnd w:id="69"/>
      <w:bookmarkEnd w:id="70"/>
      <w:bookmarkEnd w:id="71"/>
      <w:bookmarkEnd w:id="80"/>
      <w:bookmarkEnd w:id="81"/>
      <w:bookmarkEnd w:id="82"/>
      <w:bookmarkEnd w:id="83"/>
      <w:bookmarkEnd w:id="84"/>
      <w:bookmarkEnd w:id="85"/>
    </w:p>
    <w:p w14:paraId="4DBDEC6C">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86" w:name="_Toc2342"/>
      <w:bookmarkStart w:id="87" w:name="_Toc330418763"/>
      <w:bookmarkStart w:id="88" w:name="_Toc24005"/>
      <w:bookmarkStart w:id="89" w:name="_Toc330418978"/>
      <w:bookmarkStart w:id="90" w:name="_Toc313911250"/>
      <w:bookmarkStart w:id="91" w:name="_Toc312148934"/>
      <w:bookmarkStart w:id="92" w:name="_Toc329026110"/>
      <w:bookmarkStart w:id="93" w:name="_Toc122"/>
      <w:bookmarkStart w:id="94" w:name="_Toc332317908"/>
      <w:bookmarkStart w:id="95" w:name="_Toc465181728"/>
      <w:r>
        <w:rPr>
          <w:rFonts w:hint="default" w:ascii="Times New Roman" w:hAnsi="Times New Roman" w:cs="Times New Roman"/>
          <w:color w:val="auto"/>
          <w:highlight w:val="none"/>
        </w:rPr>
        <w:t>2.2.1法律法规与条例</w:t>
      </w:r>
      <w:bookmarkEnd w:id="86"/>
      <w:bookmarkEnd w:id="87"/>
      <w:bookmarkEnd w:id="88"/>
      <w:bookmarkEnd w:id="89"/>
      <w:bookmarkEnd w:id="90"/>
      <w:bookmarkEnd w:id="91"/>
      <w:bookmarkEnd w:id="92"/>
      <w:bookmarkEnd w:id="93"/>
      <w:bookmarkEnd w:id="94"/>
      <w:bookmarkEnd w:id="95"/>
    </w:p>
    <w:p w14:paraId="2016D47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国家和地方法律法规一览表见表2.2-1。</w:t>
      </w:r>
    </w:p>
    <w:p w14:paraId="72393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表2.2-1</w:t>
      </w:r>
      <w:r>
        <w:rPr>
          <w:rFonts w:hint="eastAsia"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国家和地方法律法规一览表</w:t>
      </w:r>
    </w:p>
    <w:tbl>
      <w:tblPr>
        <w:tblStyle w:val="35"/>
        <w:tblW w:w="54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4"/>
        <w:gridCol w:w="5686"/>
        <w:gridCol w:w="2280"/>
        <w:gridCol w:w="1062"/>
      </w:tblGrid>
      <w:tr w14:paraId="3A9F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9FE6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序号</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236D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依据名称</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4A25A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会议、主席令、文号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18D4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实施时间</w:t>
            </w:r>
          </w:p>
        </w:tc>
      </w:tr>
      <w:tr w14:paraId="3B20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BB0B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一</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66F0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环境保护相关法律</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7398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0"/>
            <w:vAlign w:val="center"/>
          </w:tcPr>
          <w:p w14:paraId="0D572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r>
      <w:tr w14:paraId="43CC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B01B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5C20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中华人民共和国环境保护法（2014年修</w:t>
            </w:r>
            <w:r>
              <w:rPr>
                <w:rFonts w:hint="default" w:ascii="Times New Roman" w:hAnsi="Times New Roman" w:eastAsia="宋体" w:cs="Times New Roman"/>
                <w:color w:val="auto"/>
                <w:sz w:val="21"/>
                <w:szCs w:val="21"/>
                <w:highlight w:val="none"/>
                <w:u w:val="none"/>
                <w:lang w:val="en-US" w:eastAsia="zh-CN"/>
              </w:rPr>
              <w:t>订</w:t>
            </w:r>
            <w:r>
              <w:rPr>
                <w:rFonts w:hint="default" w:ascii="Times New Roman" w:hAnsi="Times New Roman" w:eastAsia="宋体" w:cs="Times New Roman"/>
                <w:color w:val="auto"/>
                <w:sz w:val="21"/>
                <w:szCs w:val="21"/>
                <w:highlight w:val="none"/>
                <w:u w:val="none"/>
              </w:rPr>
              <w:t>）</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C591D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12届人大第8次会议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A3A6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2015-01-01</w:t>
            </w:r>
          </w:p>
        </w:tc>
      </w:tr>
      <w:tr w14:paraId="7B7B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09A8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9C28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中华人民共和国环境影响评价法（2018年修正）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CC93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13届人大第7次会议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97350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2018-12-29</w:t>
            </w:r>
          </w:p>
        </w:tc>
      </w:tr>
      <w:tr w14:paraId="72E4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0145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15C8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中华人民共和国大气污染防治法（2018年修正）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CDAC8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13届人大第6次会议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658B6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2018-10-26</w:t>
            </w:r>
          </w:p>
        </w:tc>
      </w:tr>
      <w:tr w14:paraId="3E6D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442E1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DAF1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中华人民共和国水污染防治法（2017年修正）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08D1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12届人大第28次会议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A327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2017-06-27</w:t>
            </w:r>
          </w:p>
        </w:tc>
      </w:tr>
      <w:tr w14:paraId="1074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F5D7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BD9C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中华人民共和国噪声污染防治法（2021年修正）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4F0A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13届人大第</w:t>
            </w:r>
            <w:r>
              <w:rPr>
                <w:rFonts w:hint="default" w:ascii="Times New Roman" w:hAnsi="Times New Roman" w:eastAsia="宋体" w:cs="Times New Roman"/>
                <w:color w:val="auto"/>
                <w:sz w:val="21"/>
                <w:szCs w:val="21"/>
                <w:highlight w:val="none"/>
                <w:u w:val="none"/>
                <w:lang w:val="en-US" w:eastAsia="zh-CN"/>
              </w:rPr>
              <w:t>32</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6938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2022-</w:t>
            </w:r>
            <w:r>
              <w:rPr>
                <w:rFonts w:hint="default" w:ascii="Times New Roman" w:hAnsi="Times New Roman" w:eastAsia="宋体"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u w:val="none"/>
              </w:rPr>
              <w:t>6-05</w:t>
            </w:r>
          </w:p>
        </w:tc>
      </w:tr>
      <w:tr w14:paraId="41DB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7602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9F17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中华人民共和国固体废物污染环境防治法（2020年修订）</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C8F47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13届人大第17次会议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2364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2020-09-01</w:t>
            </w:r>
          </w:p>
        </w:tc>
      </w:tr>
      <w:tr w14:paraId="4077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66FF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2525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中华人民共和国水法（2016年修正）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B63C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12届人大第21次会议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BB03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2016-07-02</w:t>
            </w:r>
          </w:p>
        </w:tc>
      </w:tr>
      <w:tr w14:paraId="54EA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0F228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FF64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中华人民共和国水土保持法（2010年修订）</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98B1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11届人大第18次会议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F6907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2011-03-01</w:t>
            </w:r>
          </w:p>
        </w:tc>
      </w:tr>
      <w:tr w14:paraId="7D4B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0F7C2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7AFD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中华人民共和国清洁生产促进法（2012年修正）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3864A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11届人大第25次会议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DE209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2012-07-01</w:t>
            </w:r>
          </w:p>
        </w:tc>
      </w:tr>
      <w:tr w14:paraId="42BF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DDE4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A087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中华人民共和国节约能源法（2016年修正）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DE523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12届人大第21次会议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21CB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2016-07-02</w:t>
            </w:r>
          </w:p>
        </w:tc>
      </w:tr>
      <w:tr w14:paraId="57F2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C9189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5E53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中华人民共和国土地管理法（2019年修订）</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369A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13届人大第12次会议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8A206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2020-01-01</w:t>
            </w:r>
          </w:p>
        </w:tc>
      </w:tr>
      <w:tr w14:paraId="31E3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1429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8BB6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中华人民共和国防洪法（2016年修正）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6893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12届人大第21次会议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F80F4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2016-07-02</w:t>
            </w:r>
          </w:p>
        </w:tc>
      </w:tr>
      <w:tr w14:paraId="294E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934A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19CE2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中华人民共和国草原法（</w:t>
            </w:r>
            <w:r>
              <w:rPr>
                <w:rFonts w:hint="default" w:ascii="Times New Roman" w:hAnsi="Times New Roman" w:eastAsia="宋体" w:cs="Times New Roman"/>
                <w:color w:val="auto"/>
                <w:sz w:val="21"/>
                <w:szCs w:val="21"/>
                <w:highlight w:val="none"/>
                <w:u w:val="none"/>
                <w:lang w:val="en-US" w:eastAsia="zh-CN"/>
              </w:rPr>
              <w:t>2021</w:t>
            </w:r>
            <w:r>
              <w:rPr>
                <w:rFonts w:hint="default" w:ascii="Times New Roman" w:hAnsi="Times New Roman" w:eastAsia="宋体" w:cs="Times New Roman"/>
                <w:color w:val="auto"/>
                <w:sz w:val="21"/>
                <w:szCs w:val="21"/>
                <w:highlight w:val="none"/>
                <w:u w:val="none"/>
              </w:rPr>
              <w:t>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CB33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13</w:t>
            </w:r>
            <w:r>
              <w:rPr>
                <w:rFonts w:hint="default" w:ascii="Times New Roman" w:hAnsi="Times New Roman" w:eastAsia="宋体" w:cs="Times New Roman"/>
                <w:color w:val="auto"/>
                <w:sz w:val="21"/>
                <w:szCs w:val="21"/>
                <w:highlight w:val="none"/>
                <w:u w:val="none"/>
              </w:rPr>
              <w:t>届人大</w:t>
            </w:r>
            <w:r>
              <w:rPr>
                <w:rFonts w:hint="default" w:ascii="Times New Roman" w:hAnsi="Times New Roman" w:eastAsia="宋体" w:cs="Times New Roman"/>
                <w:color w:val="auto"/>
                <w:sz w:val="21"/>
                <w:szCs w:val="21"/>
                <w:highlight w:val="none"/>
                <w:u w:val="none"/>
                <w:lang w:val="en-US" w:eastAsia="zh-CN"/>
              </w:rPr>
              <w:t>第28</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7F541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2021</w:t>
            </w:r>
            <w:r>
              <w:rPr>
                <w:rFonts w:hint="default" w:ascii="Times New Roman" w:hAnsi="Times New Roman" w:eastAsia="宋体" w:cs="Times New Roman"/>
                <w:color w:val="auto"/>
                <w:sz w:val="21"/>
                <w:szCs w:val="21"/>
                <w:highlight w:val="none"/>
                <w:u w:val="none"/>
              </w:rPr>
              <w:t>-0</w:t>
            </w:r>
            <w:r>
              <w:rPr>
                <w:rFonts w:hint="default"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rPr>
              <w:t>-29</w:t>
            </w:r>
          </w:p>
        </w:tc>
      </w:tr>
      <w:tr w14:paraId="57F9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44A0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0F73A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中华人民共和国野生动物保护法（2023年修正）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DC52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13届人大第38次会议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D634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2023-05-01</w:t>
            </w:r>
          </w:p>
        </w:tc>
      </w:tr>
      <w:tr w14:paraId="2B3A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6E62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6478B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中华人民共和国石油天然气管道保护法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1904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11届人大15次会议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98BE7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2010-10-01</w:t>
            </w:r>
          </w:p>
        </w:tc>
      </w:tr>
      <w:tr w14:paraId="609D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97DE9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6C3B3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中华人民共和国突发事件应对法</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2024年修订</w:t>
            </w:r>
            <w:r>
              <w:rPr>
                <w:rFonts w:hint="default" w:ascii="Times New Roman" w:hAnsi="Times New Roman" w:cs="Times New Roman"/>
                <w:color w:val="auto"/>
                <w:sz w:val="21"/>
                <w:szCs w:val="21"/>
                <w:highlight w:val="none"/>
                <w:u w:val="none"/>
                <w:lang w:eastAsia="zh-CN"/>
              </w:rPr>
              <w:t>）</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D889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r>
              <w:rPr>
                <w:rFonts w:hint="default" w:ascii="Times New Roman" w:hAnsi="Times New Roman"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rPr>
              <w:t>届人大第</w:t>
            </w:r>
            <w:r>
              <w:rPr>
                <w:rFonts w:hint="default" w:ascii="Times New Roman" w:hAnsi="Times New Roman"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EEAB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w:t>
            </w:r>
            <w:r>
              <w:rPr>
                <w:rFonts w:hint="default" w:ascii="Times New Roman" w:hAnsi="Times New Roman" w:cs="Times New Roman"/>
                <w:color w:val="auto"/>
                <w:sz w:val="21"/>
                <w:szCs w:val="21"/>
                <w:highlight w:val="none"/>
                <w:u w:val="none"/>
                <w:lang w:val="en-US" w:eastAsia="zh-CN"/>
              </w:rPr>
              <w:t>24</w:t>
            </w:r>
            <w:r>
              <w:rPr>
                <w:rFonts w:hint="default" w:ascii="Times New Roman" w:hAnsi="Times New Roman" w:eastAsia="宋体" w:cs="Times New Roman"/>
                <w:color w:val="auto"/>
                <w:sz w:val="21"/>
                <w:szCs w:val="21"/>
                <w:highlight w:val="none"/>
                <w:u w:val="none"/>
              </w:rPr>
              <w:t>-</w:t>
            </w:r>
            <w:r>
              <w:rPr>
                <w:rFonts w:hint="default" w:ascii="Times New Roman" w:hAnsi="Times New Roman" w:cs="Times New Roman"/>
                <w:color w:val="auto"/>
                <w:sz w:val="21"/>
                <w:szCs w:val="21"/>
                <w:highlight w:val="none"/>
                <w:u w:val="none"/>
                <w:lang w:val="en-US" w:eastAsia="zh-CN"/>
              </w:rPr>
              <w:t>06</w:t>
            </w:r>
            <w:r>
              <w:rPr>
                <w:rFonts w:hint="default" w:ascii="Times New Roman" w:hAnsi="Times New Roman" w:eastAsia="宋体" w:cs="Times New Roman"/>
                <w:color w:val="auto"/>
                <w:sz w:val="21"/>
                <w:szCs w:val="21"/>
                <w:highlight w:val="none"/>
                <w:u w:val="none"/>
              </w:rPr>
              <w:t>-</w:t>
            </w:r>
            <w:r>
              <w:rPr>
                <w:rFonts w:hint="default" w:ascii="Times New Roman" w:hAnsi="Times New Roman" w:cs="Times New Roman"/>
                <w:color w:val="auto"/>
                <w:sz w:val="21"/>
                <w:szCs w:val="21"/>
                <w:highlight w:val="none"/>
                <w:u w:val="none"/>
                <w:lang w:val="en-US" w:eastAsia="zh-CN"/>
              </w:rPr>
              <w:t>28</w:t>
            </w:r>
          </w:p>
        </w:tc>
      </w:tr>
      <w:tr w14:paraId="6712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1635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4D78B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中华人民共和国防沙治沙法（2018年修正）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6595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13届人大第6次会议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A757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2018-10-26</w:t>
            </w:r>
          </w:p>
        </w:tc>
      </w:tr>
      <w:tr w14:paraId="3191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7A1C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A78F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中华人民共和国土壤污染防治法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AD52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15届人大第5次会议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C6A8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2019-01-01</w:t>
            </w:r>
          </w:p>
        </w:tc>
      </w:tr>
      <w:tr w14:paraId="0DA1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D984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44F9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中华人民共和国</w:t>
            </w:r>
            <w:r>
              <w:rPr>
                <w:rFonts w:hint="default" w:ascii="Times New Roman" w:hAnsi="Times New Roman" w:eastAsia="宋体" w:cs="Times New Roman"/>
                <w:color w:val="auto"/>
                <w:sz w:val="21"/>
                <w:szCs w:val="21"/>
                <w:highlight w:val="none"/>
                <w:u w:val="none"/>
                <w:lang w:val="en-US" w:eastAsia="zh-CN"/>
              </w:rPr>
              <w:t>安全生产法（2021年修正）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1FD65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r>
              <w:rPr>
                <w:rFonts w:hint="default" w:ascii="Times New Roman" w:hAnsi="Times New Roman" w:eastAsia="宋体" w:cs="Times New Roman"/>
                <w:color w:val="auto"/>
                <w:sz w:val="21"/>
                <w:szCs w:val="21"/>
                <w:highlight w:val="none"/>
                <w:u w:val="none"/>
                <w:lang w:val="en-US" w:eastAsia="zh-CN"/>
              </w:rPr>
              <w:t>3</w:t>
            </w:r>
            <w:r>
              <w:rPr>
                <w:rFonts w:hint="default" w:ascii="Times New Roman" w:hAnsi="Times New Roman" w:eastAsia="宋体" w:cs="Times New Roman"/>
                <w:color w:val="auto"/>
                <w:sz w:val="21"/>
                <w:szCs w:val="21"/>
                <w:highlight w:val="none"/>
                <w:u w:val="none"/>
              </w:rPr>
              <w:t>届人大第</w:t>
            </w:r>
            <w:r>
              <w:rPr>
                <w:rFonts w:hint="default" w:ascii="Times New Roman" w:hAnsi="Times New Roman" w:eastAsia="宋体" w:cs="Times New Roman"/>
                <w:color w:val="auto"/>
                <w:sz w:val="21"/>
                <w:szCs w:val="21"/>
                <w:highlight w:val="none"/>
                <w:u w:val="none"/>
                <w:lang w:val="en-US" w:eastAsia="zh-CN"/>
              </w:rPr>
              <w:t>29</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FDC6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2021-09-01</w:t>
            </w:r>
          </w:p>
        </w:tc>
      </w:tr>
      <w:tr w14:paraId="080E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F0A73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87C7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中华人民共和国</w:t>
            </w:r>
            <w:r>
              <w:rPr>
                <w:rFonts w:hint="default" w:ascii="Times New Roman" w:hAnsi="Times New Roman" w:eastAsia="宋体" w:cs="Times New Roman"/>
                <w:color w:val="auto"/>
                <w:sz w:val="21"/>
                <w:szCs w:val="21"/>
                <w:highlight w:val="none"/>
                <w:u w:val="none"/>
                <w:lang w:val="en-US" w:eastAsia="zh-CN"/>
              </w:rPr>
              <w:t>矿产资源</w:t>
            </w:r>
            <w:r>
              <w:rPr>
                <w:rFonts w:hint="default" w:ascii="Times New Roman" w:hAnsi="Times New Roman" w:eastAsia="宋体" w:cs="Times New Roman"/>
                <w:color w:val="auto"/>
                <w:sz w:val="21"/>
                <w:szCs w:val="21"/>
                <w:highlight w:val="none"/>
                <w:u w:val="none"/>
              </w:rPr>
              <w:t>法（20</w:t>
            </w:r>
            <w:r>
              <w:rPr>
                <w:rFonts w:hint="default" w:ascii="Times New Roman" w:hAnsi="Times New Roman" w:eastAsia="宋体" w:cs="Times New Roman"/>
                <w:color w:val="auto"/>
                <w:sz w:val="21"/>
                <w:szCs w:val="21"/>
                <w:highlight w:val="none"/>
                <w:u w:val="none"/>
                <w:lang w:val="en-US" w:eastAsia="zh-CN"/>
              </w:rPr>
              <w:t>09</w:t>
            </w:r>
            <w:r>
              <w:rPr>
                <w:rFonts w:hint="default" w:ascii="Times New Roman" w:hAnsi="Times New Roman" w:eastAsia="宋体" w:cs="Times New Roman"/>
                <w:color w:val="auto"/>
                <w:sz w:val="21"/>
                <w:szCs w:val="21"/>
                <w:highlight w:val="none"/>
                <w:u w:val="none"/>
              </w:rPr>
              <w:t>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F89C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eastAsia="zh-CN"/>
              </w:rPr>
              <w:t>中华人民共和国主席令第18号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E249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w:t>
            </w:r>
            <w:r>
              <w:rPr>
                <w:rFonts w:hint="default" w:ascii="Times New Roman" w:hAnsi="Times New Roman" w:eastAsia="宋体" w:cs="Times New Roman"/>
                <w:color w:val="auto"/>
                <w:sz w:val="21"/>
                <w:szCs w:val="21"/>
                <w:highlight w:val="none"/>
                <w:u w:val="none"/>
                <w:lang w:val="en-US" w:eastAsia="zh-CN"/>
              </w:rPr>
              <w:t>09-</w:t>
            </w:r>
            <w:r>
              <w:rPr>
                <w:rFonts w:hint="default" w:ascii="Times New Roman" w:hAnsi="Times New Roman" w:eastAsia="宋体" w:cs="Times New Roman"/>
                <w:color w:val="auto"/>
                <w:sz w:val="21"/>
                <w:szCs w:val="21"/>
                <w:highlight w:val="none"/>
                <w:u w:val="none"/>
              </w:rPr>
              <w:t>0</w:t>
            </w:r>
            <w:r>
              <w:rPr>
                <w:rFonts w:hint="default" w:ascii="Times New Roman" w:hAnsi="Times New Roman" w:eastAsia="宋体" w:cs="Times New Roman"/>
                <w:color w:val="auto"/>
                <w:sz w:val="21"/>
                <w:szCs w:val="21"/>
                <w:highlight w:val="none"/>
                <w:u w:val="none"/>
                <w:lang w:val="en-US" w:eastAsia="zh-CN"/>
              </w:rPr>
              <w:t>8</w:t>
            </w:r>
            <w:r>
              <w:rPr>
                <w:rFonts w:hint="default" w:ascii="Times New Roman" w:hAnsi="Times New Roman" w:eastAsia="宋体" w:cs="Times New Roman"/>
                <w:color w:val="auto"/>
                <w:sz w:val="21"/>
                <w:szCs w:val="21"/>
                <w:highlight w:val="none"/>
                <w:u w:val="none"/>
              </w:rPr>
              <w:t>-</w:t>
            </w:r>
            <w:r>
              <w:rPr>
                <w:rFonts w:hint="default" w:ascii="Times New Roman" w:hAnsi="Times New Roman" w:eastAsia="宋体" w:cs="Times New Roman"/>
                <w:color w:val="auto"/>
                <w:sz w:val="21"/>
                <w:szCs w:val="21"/>
                <w:highlight w:val="none"/>
                <w:u w:val="none"/>
                <w:lang w:val="en-US" w:eastAsia="zh-CN"/>
              </w:rPr>
              <w:t>27</w:t>
            </w:r>
          </w:p>
        </w:tc>
      </w:tr>
      <w:tr w14:paraId="541F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9109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二</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D9D9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行政法规与国务院发布的规范性文件</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BDB0B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0"/>
            <w:vAlign w:val="center"/>
          </w:tcPr>
          <w:p w14:paraId="6D5A2E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r>
      <w:tr w14:paraId="7CA3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5333A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08B7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建设项目环境保护管理条例（2017年修正）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7E7B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国务院令682号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5C7E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2017-10-01</w:t>
            </w:r>
          </w:p>
        </w:tc>
      </w:tr>
      <w:tr w14:paraId="468E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67F6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CDDC0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中华人民共和国野生植物保护条例（2017年修正）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AC98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国务院令687号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3E6C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2017-10-07</w:t>
            </w:r>
          </w:p>
        </w:tc>
      </w:tr>
      <w:tr w14:paraId="2F0D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B6856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E07F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bookmarkStart w:id="96" w:name="_Hlk36632259"/>
            <w:r>
              <w:rPr>
                <w:rFonts w:hint="default" w:ascii="Times New Roman" w:hAnsi="Times New Roman" w:eastAsia="宋体" w:cs="Times New Roman"/>
                <w:color w:val="auto"/>
                <w:sz w:val="21"/>
                <w:szCs w:val="21"/>
                <w:highlight w:val="none"/>
                <w:u w:val="none"/>
              </w:rPr>
              <w:fldChar w:fldCharType="begin"/>
            </w:r>
            <w:r>
              <w:rPr>
                <w:rFonts w:hint="default" w:ascii="Times New Roman" w:hAnsi="Times New Roman" w:eastAsia="宋体" w:cs="Times New Roman"/>
                <w:color w:val="auto"/>
                <w:sz w:val="21"/>
                <w:szCs w:val="21"/>
                <w:highlight w:val="none"/>
                <w:u w:val="none"/>
              </w:rPr>
              <w:instrText xml:space="preserve"> HYPERLINK "javascript:SLC(38905,0)" </w:instrText>
            </w:r>
            <w:r>
              <w:rPr>
                <w:rFonts w:hint="default" w:ascii="Times New Roman" w:hAnsi="Times New Roman" w:eastAsia="宋体" w:cs="Times New Roman"/>
                <w:color w:val="auto"/>
                <w:sz w:val="21"/>
                <w:szCs w:val="21"/>
                <w:highlight w:val="none"/>
                <w:u w:val="none"/>
              </w:rPr>
              <w:fldChar w:fldCharType="separate"/>
            </w:r>
            <w:r>
              <w:rPr>
                <w:rFonts w:hint="default" w:ascii="Times New Roman" w:hAnsi="Times New Roman" w:eastAsia="宋体" w:cs="Times New Roman"/>
                <w:color w:val="auto"/>
                <w:sz w:val="21"/>
                <w:szCs w:val="21"/>
                <w:highlight w:val="none"/>
                <w:u w:val="none"/>
              </w:rPr>
              <w:t>危险化学品安全管理条例</w:t>
            </w:r>
            <w:r>
              <w:rPr>
                <w:rFonts w:hint="default" w:ascii="Times New Roman" w:hAnsi="Times New Roman" w:eastAsia="宋体" w:cs="Times New Roman"/>
                <w:color w:val="auto"/>
                <w:sz w:val="21"/>
                <w:szCs w:val="21"/>
                <w:highlight w:val="none"/>
                <w:u w:val="none"/>
              </w:rPr>
              <w:fldChar w:fldCharType="end"/>
            </w:r>
            <w:bookmarkEnd w:id="96"/>
            <w:r>
              <w:rPr>
                <w:rFonts w:hint="default" w:ascii="Times New Roman" w:hAnsi="Times New Roman" w:eastAsia="宋体" w:cs="Times New Roman"/>
                <w:color w:val="auto"/>
                <w:sz w:val="21"/>
                <w:szCs w:val="21"/>
                <w:highlight w:val="none"/>
                <w:u w:val="none"/>
              </w:rPr>
              <w:t>（2013年修正）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7838D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国务院令645号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0B26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2013-12-07</w:t>
            </w:r>
          </w:p>
        </w:tc>
      </w:tr>
      <w:tr w14:paraId="7035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6363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51640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中华人民共和国土地管理法实施条例（2021年修订）</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6410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国务院令第743号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F52E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2021-09-01</w:t>
            </w:r>
          </w:p>
        </w:tc>
      </w:tr>
      <w:tr w14:paraId="43F6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2EB09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47E84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国务院关于加强环境保护重点工作的意见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499A7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国发〔2012〕35号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FB78A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2011-10-17</w:t>
            </w:r>
          </w:p>
        </w:tc>
      </w:tr>
      <w:tr w14:paraId="5B43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12EC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D460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国务院关于印发大气污染防治行动计划的通知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46CB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国发〔2013〕37号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420D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2013-</w:t>
            </w:r>
            <w:r>
              <w:rPr>
                <w:rFonts w:hint="default" w:ascii="Times New Roman" w:hAnsi="Times New Roman"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u w:val="none"/>
              </w:rPr>
              <w:t>9-10</w:t>
            </w:r>
          </w:p>
        </w:tc>
      </w:tr>
      <w:tr w14:paraId="735B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1BAC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84554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国务院关于印发水污染防治行动计划的通知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AAF3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国发〔2015〕17号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E7864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2015-04-02</w:t>
            </w:r>
          </w:p>
        </w:tc>
      </w:tr>
      <w:tr w14:paraId="39E6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F7E3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2F647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国务院关于印发土壤污染防治行动计划的通知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2B8BB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国发〔2016〕31号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DD8E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2016-05-28</w:t>
            </w:r>
          </w:p>
        </w:tc>
      </w:tr>
      <w:tr w14:paraId="4BA7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B557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643F0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国务院关于印发《空气质量持续改善行动计划》的通知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C581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国发〔2023〕24号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E5BA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2023-12-07</w:t>
            </w:r>
          </w:p>
        </w:tc>
      </w:tr>
      <w:tr w14:paraId="321B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A469B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4A4B0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突发事件应急预案管理办法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F9BB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国办发〔2024〕5号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08F67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2024-01-31</w:t>
            </w:r>
          </w:p>
        </w:tc>
      </w:tr>
      <w:tr w14:paraId="0B8E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7AE67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0C3D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中共中央</w:t>
            </w:r>
            <w:r>
              <w:rPr>
                <w:rFonts w:hint="eastAsia" w:cs="Times New Roman"/>
                <w:color w:val="auto"/>
                <w:sz w:val="21"/>
                <w:szCs w:val="21"/>
                <w:highlight w:val="none"/>
                <w:u w:val="none"/>
                <w:lang w:val="en-US" w:eastAsia="zh-CN"/>
              </w:rPr>
              <w:t xml:space="preserve"> </w:t>
            </w:r>
            <w:r>
              <w:rPr>
                <w:rFonts w:hint="default" w:ascii="Times New Roman" w:hAnsi="Times New Roman" w:eastAsia="宋体" w:cs="Times New Roman"/>
                <w:color w:val="auto"/>
                <w:sz w:val="21"/>
                <w:szCs w:val="21"/>
                <w:highlight w:val="none"/>
                <w:u w:val="none"/>
              </w:rPr>
              <w:t>国务院关于全面加强生态环境保护坚决打好污染防治攻坚战的意见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0910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中发〔2018〕17号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C07E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2018-06-16</w:t>
            </w:r>
          </w:p>
        </w:tc>
      </w:tr>
      <w:tr w14:paraId="7F96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BC7FA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0E1D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中华人民共和国森林法实施条例</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B268E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国务院令第278号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49C61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2018-03-19</w:t>
            </w:r>
          </w:p>
        </w:tc>
      </w:tr>
      <w:tr w14:paraId="6DF7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8FAA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13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A46D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中华人民共和国陆生野生动物保护实施条例（2016年修正）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E2492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国务院令第</w:t>
            </w:r>
            <w:r>
              <w:rPr>
                <w:rFonts w:hint="default" w:ascii="Times New Roman" w:hAnsi="Times New Roman" w:eastAsia="宋体" w:cs="Times New Roman"/>
                <w:color w:val="auto"/>
                <w:sz w:val="21"/>
                <w:szCs w:val="21"/>
                <w:highlight w:val="none"/>
                <w:u w:val="none"/>
                <w:lang w:val="en-US" w:eastAsia="zh-CN"/>
              </w:rPr>
              <w:t>666</w:t>
            </w:r>
            <w:r>
              <w:rPr>
                <w:rFonts w:hint="default" w:ascii="Times New Roman" w:hAnsi="Times New Roman" w:eastAsia="宋体" w:cs="Times New Roman"/>
                <w:color w:val="auto"/>
                <w:sz w:val="21"/>
                <w:szCs w:val="21"/>
                <w:highlight w:val="none"/>
                <w:u w:val="none"/>
              </w:rPr>
              <w:t>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DEF6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2016-02-06</w:t>
            </w:r>
          </w:p>
        </w:tc>
      </w:tr>
      <w:tr w14:paraId="473F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7F76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790E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排污许可管理条例</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670B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国务院令第736号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329C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2021-03-01</w:t>
            </w:r>
          </w:p>
        </w:tc>
      </w:tr>
      <w:tr w14:paraId="40F1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5676D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0A100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中华人民共和国土地管理法实施条例（2021年修订）</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1D212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国务院令第7</w:t>
            </w:r>
            <w:r>
              <w:rPr>
                <w:rFonts w:hint="default" w:ascii="Times New Roman" w:hAnsi="Times New Roman" w:eastAsia="宋体" w:cs="Times New Roman"/>
                <w:color w:val="auto"/>
                <w:sz w:val="21"/>
                <w:szCs w:val="21"/>
                <w:highlight w:val="none"/>
                <w:u w:val="none"/>
                <w:lang w:val="en-US" w:eastAsia="zh-CN"/>
              </w:rPr>
              <w:t>43</w:t>
            </w:r>
            <w:r>
              <w:rPr>
                <w:rFonts w:hint="default" w:ascii="Times New Roman" w:hAnsi="Times New Roman" w:eastAsia="宋体" w:cs="Times New Roman"/>
                <w:color w:val="auto"/>
                <w:sz w:val="21"/>
                <w:szCs w:val="21"/>
                <w:highlight w:val="none"/>
                <w:u w:val="none"/>
              </w:rPr>
              <w:t>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D0397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2021-09-01</w:t>
            </w:r>
          </w:p>
        </w:tc>
      </w:tr>
      <w:tr w14:paraId="0BD6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BA1D6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0AA99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lang w:val="en-US" w:eastAsia="zh-CN"/>
              </w:rPr>
              <w:t>生态保护补偿条例</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E4A8D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国务院令第779号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78A95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2024-04-06</w:t>
            </w:r>
          </w:p>
        </w:tc>
      </w:tr>
      <w:tr w14:paraId="075B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4D2A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3406B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中共中央</w:t>
            </w:r>
            <w:r>
              <w:rPr>
                <w:rFonts w:hint="eastAsia" w:cs="Times New Roman"/>
                <w:color w:val="auto"/>
                <w:sz w:val="21"/>
                <w:szCs w:val="21"/>
                <w:highlight w:val="none"/>
                <w:u w:val="none"/>
                <w:lang w:val="en-US" w:eastAsia="zh-CN"/>
              </w:rPr>
              <w:t xml:space="preserve"> </w:t>
            </w:r>
            <w:r>
              <w:rPr>
                <w:rFonts w:hint="default" w:ascii="Times New Roman" w:hAnsi="Times New Roman" w:eastAsia="宋体" w:cs="Times New Roman"/>
                <w:color w:val="auto"/>
                <w:sz w:val="21"/>
                <w:szCs w:val="21"/>
                <w:highlight w:val="none"/>
                <w:u w:val="none"/>
              </w:rPr>
              <w:t>国务院关于深入打好污染防治攻坚战的意见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DA03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国务院〔2021〕32号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8921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2021-11-02</w:t>
            </w:r>
          </w:p>
        </w:tc>
      </w:tr>
      <w:tr w14:paraId="18F2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926F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94CA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地下水管理条例</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34FE9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中华人民共和国国务院令第748号公布</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A9D5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2021-12-01</w:t>
            </w:r>
          </w:p>
        </w:tc>
      </w:tr>
      <w:tr w14:paraId="4893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FB3B7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2124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中共中央办公厅</w:t>
            </w:r>
            <w:r>
              <w:rPr>
                <w:rFonts w:hint="eastAsia" w:cs="Times New Roman"/>
                <w:color w:val="auto"/>
                <w:sz w:val="21"/>
                <w:szCs w:val="21"/>
                <w:highlight w:val="none"/>
                <w:u w:val="none"/>
                <w:lang w:val="en-US" w:eastAsia="zh-CN"/>
              </w:rPr>
              <w:t xml:space="preserve"> </w:t>
            </w:r>
            <w:r>
              <w:rPr>
                <w:rFonts w:hint="default" w:ascii="Times New Roman" w:hAnsi="Times New Roman" w:cs="Times New Roman"/>
                <w:color w:val="auto"/>
                <w:sz w:val="21"/>
                <w:szCs w:val="21"/>
                <w:highlight w:val="none"/>
                <w:u w:val="none"/>
                <w:lang w:val="en-US" w:eastAsia="zh-CN"/>
              </w:rPr>
              <w:t>国务院办公厅关于加强生态环境分区管控的意见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65B7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新华社北京3月17日电</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015C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2024-03-06</w:t>
            </w:r>
          </w:p>
        </w:tc>
      </w:tr>
      <w:tr w14:paraId="582F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FD8E0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三</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78B8F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部门规章与部门发布的规范性文件</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08177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0"/>
            <w:vAlign w:val="center"/>
          </w:tcPr>
          <w:p w14:paraId="61E9C0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r>
      <w:tr w14:paraId="3E1A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0CD69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F862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环境影响评价公众参与办法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06D3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生态环境部令第4号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12E0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2019-01-01</w:t>
            </w:r>
          </w:p>
        </w:tc>
      </w:tr>
      <w:tr w14:paraId="57A6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4136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A953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国家危险废物名录（202</w:t>
            </w:r>
            <w:r>
              <w:rPr>
                <w:rFonts w:hint="eastAsia"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highlight w:val="none"/>
                <w:u w:val="none"/>
              </w:rPr>
              <w:t>年版）</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6E4B1DC">
            <w:pPr>
              <w:keepNext w:val="0"/>
              <w:keepLines w:val="0"/>
              <w:widowControl/>
              <w:suppressLineNumbers w:val="0"/>
              <w:spacing w:before="0" w:beforeAutospacing="0" w:after="0" w:afterAutospacing="0" w:line="300" w:lineRule="exact"/>
              <w:ind w:left="0" w:leftChars="0" w:right="0" w:rightChars="0" w:firstLine="0" w:firstLineChars="0"/>
              <w:jc w:val="left"/>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lang w:val="en-US" w:eastAsia="en-US" w:bidi="ar-SA"/>
              </w:rPr>
              <w:t>生态环境部令第</w:t>
            </w:r>
            <w:r>
              <w:rPr>
                <w:rFonts w:hint="eastAsia" w:ascii="Times New Roman" w:hAnsi="Times New Roman" w:cs="Times New Roman"/>
                <w:color w:val="auto"/>
                <w:sz w:val="21"/>
                <w:szCs w:val="21"/>
                <w:highlight w:val="none"/>
                <w:lang w:val="en-US" w:eastAsia="zh-CN" w:bidi="ar-SA"/>
              </w:rPr>
              <w:t>36</w:t>
            </w:r>
            <w:r>
              <w:rPr>
                <w:rFonts w:hint="default" w:ascii="Times New Roman" w:hAnsi="Times New Roman" w:cs="Times New Roman"/>
                <w:color w:val="auto"/>
                <w:sz w:val="21"/>
                <w:szCs w:val="21"/>
                <w:highlight w:val="none"/>
                <w:lang w:val="en-US" w:eastAsia="en-US" w:bidi="ar-SA"/>
              </w:rPr>
              <w:t>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1A77BC0">
            <w:pPr>
              <w:keepNext w:val="0"/>
              <w:keepLines w:val="0"/>
              <w:widowControl/>
              <w:suppressLineNumbers w:val="0"/>
              <w:spacing w:before="0" w:beforeAutospacing="0" w:after="0" w:afterAutospacing="0" w:line="300" w:lineRule="exact"/>
              <w:ind w:left="0" w:leftChars="0" w:right="0" w:rightChars="0" w:firstLine="0" w:firstLineChars="0"/>
              <w:jc w:val="left"/>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lang w:val="en-US" w:eastAsia="en-US" w:bidi="ar-SA"/>
              </w:rPr>
              <w:t>202</w:t>
            </w:r>
            <w:r>
              <w:rPr>
                <w:rFonts w:hint="eastAsia" w:ascii="Times New Roman" w:hAnsi="Times New Roman" w:cs="Times New Roman"/>
                <w:color w:val="auto"/>
                <w:sz w:val="21"/>
                <w:szCs w:val="21"/>
                <w:highlight w:val="none"/>
                <w:lang w:val="en-US" w:eastAsia="zh-CN" w:bidi="ar-SA"/>
              </w:rPr>
              <w:t>5</w:t>
            </w:r>
            <w:r>
              <w:rPr>
                <w:rFonts w:hint="default" w:ascii="Times New Roman" w:hAnsi="Times New Roman" w:cs="Times New Roman"/>
                <w:color w:val="auto"/>
                <w:sz w:val="21"/>
                <w:szCs w:val="21"/>
                <w:highlight w:val="none"/>
                <w:lang w:val="en-US" w:eastAsia="en-US" w:bidi="ar-SA"/>
              </w:rPr>
              <w:t>-</w:t>
            </w:r>
            <w:r>
              <w:rPr>
                <w:rFonts w:hint="eastAsia" w:ascii="Times New Roman" w:hAnsi="Times New Roman" w:cs="Times New Roman"/>
                <w:color w:val="auto"/>
                <w:sz w:val="21"/>
                <w:szCs w:val="21"/>
                <w:highlight w:val="none"/>
                <w:lang w:val="en-US" w:eastAsia="zh-CN" w:bidi="ar-SA"/>
              </w:rPr>
              <w:t>1</w:t>
            </w:r>
            <w:r>
              <w:rPr>
                <w:rFonts w:hint="default" w:ascii="Times New Roman" w:hAnsi="Times New Roman" w:cs="Times New Roman"/>
                <w:color w:val="auto"/>
                <w:sz w:val="21"/>
                <w:szCs w:val="21"/>
                <w:highlight w:val="none"/>
                <w:lang w:val="en-US" w:eastAsia="en-US" w:bidi="ar-SA"/>
              </w:rPr>
              <w:t>-</w:t>
            </w:r>
            <w:r>
              <w:rPr>
                <w:rFonts w:hint="eastAsia" w:ascii="Times New Roman" w:hAnsi="Times New Roman" w:cs="Times New Roman"/>
                <w:color w:val="auto"/>
                <w:sz w:val="21"/>
                <w:szCs w:val="21"/>
                <w:highlight w:val="none"/>
                <w:lang w:val="en-US" w:eastAsia="zh-CN" w:bidi="ar-SA"/>
              </w:rPr>
              <w:t>1</w:t>
            </w:r>
          </w:p>
        </w:tc>
      </w:tr>
      <w:tr w14:paraId="2651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0363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9211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建设项目环境影响评价分类管理名录（2021年版）</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C6157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生态环境部令第16号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6AB86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2021-01-01</w:t>
            </w:r>
          </w:p>
        </w:tc>
      </w:tr>
      <w:tr w14:paraId="30CC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13D51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8DBF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产业结构调整指导目录（</w:t>
            </w:r>
            <w:r>
              <w:rPr>
                <w:rFonts w:hint="default" w:ascii="Times New Roman" w:hAnsi="Times New Roman" w:cs="Times New Roman"/>
                <w:color w:val="auto"/>
                <w:sz w:val="21"/>
                <w:szCs w:val="21"/>
                <w:highlight w:val="none"/>
                <w:u w:val="none"/>
                <w:lang w:val="en-US" w:eastAsia="zh-CN"/>
              </w:rPr>
              <w:t>2024</w:t>
            </w:r>
            <w:r>
              <w:rPr>
                <w:rFonts w:hint="default" w:ascii="Times New Roman" w:hAnsi="Times New Roman" w:eastAsia="宋体" w:cs="Times New Roman"/>
                <w:color w:val="auto"/>
                <w:sz w:val="21"/>
                <w:szCs w:val="21"/>
                <w:highlight w:val="none"/>
                <w:u w:val="none"/>
              </w:rPr>
              <w:t>年本）</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9877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国家发展和改革委员会令第</w:t>
            </w:r>
            <w:r>
              <w:rPr>
                <w:rFonts w:hint="default" w:ascii="Times New Roman" w:hAnsi="Times New Roman"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rPr>
              <w:t>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951F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2024-02-01</w:t>
            </w:r>
          </w:p>
        </w:tc>
      </w:tr>
      <w:tr w14:paraId="4862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ACF0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788AC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关于进一步加强环境影响评价管理防范环境风险的通知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45409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环发〔2012〕77号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B4BFA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2012-07-03</w:t>
            </w:r>
          </w:p>
        </w:tc>
      </w:tr>
      <w:tr w14:paraId="12B7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FBFE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C9B2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关于加强西部地区环境影响评价工作的通知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045D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环发〔2011〕150号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00CE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2011-12-29</w:t>
            </w:r>
          </w:p>
        </w:tc>
      </w:tr>
      <w:tr w14:paraId="27CA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85625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A5E0B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关于切实加强风险防范严格环境影响评价管理的通知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304A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环发〔2012〕98号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8BB58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2012-08-07</w:t>
            </w:r>
          </w:p>
        </w:tc>
      </w:tr>
      <w:tr w14:paraId="5FF8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0270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F3C33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关于加强国家重点生态功能区环境保护和管理的意见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0910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环发〔2013〕16号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CCA6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2013-01-22</w:t>
            </w:r>
          </w:p>
        </w:tc>
      </w:tr>
      <w:tr w14:paraId="2621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49F5B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DCE3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关于印发《企业事业单位突发环境事件应急预案备案管理办法（试行）》的通知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DB1A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环发〔2015〕4号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42131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2015-01-08</w:t>
            </w:r>
          </w:p>
        </w:tc>
      </w:tr>
      <w:tr w14:paraId="1739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3098F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B0509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关于以改善环境质量为核心加强环境影响评价管理的通知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AAE5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环环评〔2016〕150号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FBC2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2016-10-27</w:t>
            </w:r>
          </w:p>
        </w:tc>
      </w:tr>
      <w:tr w14:paraId="0678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09DB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874B8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关于强化建设项目环境影响评价事中事后监管的实施意见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27D12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环环评〔2018〕11号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C9A6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2018-01-25</w:t>
            </w:r>
          </w:p>
        </w:tc>
      </w:tr>
      <w:tr w14:paraId="4636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3B56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F4734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关于印发地下水污染防治实施方案的通知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A2F2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环土壤〔2019〕25号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4E4B6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2019-03-28</w:t>
            </w:r>
          </w:p>
        </w:tc>
      </w:tr>
      <w:tr w14:paraId="25A4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71EB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8F8E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
              </w:rPr>
              <w:t>关于进一步加强石油天然气行业环境影响评价管理的通知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47B1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
              </w:rPr>
              <w:t>环办环评函〔2019〕910号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6737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
              </w:rPr>
              <w:t>2019-12-13</w:t>
            </w:r>
          </w:p>
        </w:tc>
      </w:tr>
      <w:tr w14:paraId="33BD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84E8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A3291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eastAsia" w:cs="Times New Roman"/>
                <w:color w:val="auto"/>
                <w:sz w:val="21"/>
                <w:szCs w:val="21"/>
                <w:highlight w:val="none"/>
                <w:u w:val="none"/>
                <w:lang w:val="en" w:eastAsia="zh-CN"/>
              </w:rPr>
              <w:t>关于印发〈</w:t>
            </w:r>
            <w:r>
              <w:rPr>
                <w:rFonts w:hint="default" w:ascii="Times New Roman" w:hAnsi="Times New Roman" w:eastAsia="宋体" w:cs="Times New Roman"/>
                <w:color w:val="auto"/>
                <w:sz w:val="21"/>
                <w:szCs w:val="21"/>
                <w:highlight w:val="none"/>
                <w:u w:val="none"/>
                <w:lang w:val="en"/>
              </w:rPr>
              <w:t>生态保护红线划定指南</w:t>
            </w:r>
            <w:r>
              <w:rPr>
                <w:rFonts w:hint="eastAsia" w:cs="Times New Roman"/>
                <w:color w:val="auto"/>
                <w:sz w:val="21"/>
                <w:szCs w:val="21"/>
                <w:highlight w:val="none"/>
                <w:u w:val="none"/>
                <w:lang w:val="en" w:eastAsia="zh-CN"/>
              </w:rPr>
              <w:t>〉</w:t>
            </w:r>
            <w:r>
              <w:rPr>
                <w:rFonts w:hint="default" w:ascii="Times New Roman" w:hAnsi="Times New Roman" w:eastAsia="宋体" w:cs="Times New Roman"/>
                <w:color w:val="auto"/>
                <w:sz w:val="21"/>
                <w:szCs w:val="21"/>
                <w:highlight w:val="none"/>
                <w:u w:val="none"/>
                <w:lang w:val="en"/>
              </w:rPr>
              <w:t>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4711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default" w:ascii="Times New Roman" w:hAnsi="Times New Roman" w:eastAsia="宋体" w:cs="Times New Roman"/>
                <w:color w:val="auto"/>
                <w:sz w:val="21"/>
                <w:szCs w:val="21"/>
                <w:highlight w:val="none"/>
                <w:u w:val="none"/>
                <w:lang w:val="en"/>
              </w:rPr>
              <w:t>环办生态〔2017〕48号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3211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default" w:ascii="Times New Roman" w:hAnsi="Times New Roman" w:eastAsia="宋体" w:cs="Times New Roman"/>
                <w:color w:val="auto"/>
                <w:sz w:val="21"/>
                <w:szCs w:val="21"/>
                <w:highlight w:val="none"/>
                <w:u w:val="none"/>
                <w:lang w:val="en"/>
              </w:rPr>
              <w:t>2017-05-27</w:t>
            </w:r>
          </w:p>
        </w:tc>
      </w:tr>
      <w:tr w14:paraId="7587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94806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14323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default" w:ascii="Times New Roman" w:hAnsi="Times New Roman" w:eastAsia="宋体" w:cs="Times New Roman"/>
                <w:color w:val="auto"/>
                <w:sz w:val="21"/>
                <w:szCs w:val="21"/>
                <w:highlight w:val="none"/>
                <w:u w:val="none"/>
              </w:rPr>
              <w:t>石油天然气开采业污染防治技术政策</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65CE0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eastAsia" w:cs="Times New Roman"/>
                <w:color w:val="auto"/>
                <w:sz w:val="21"/>
                <w:szCs w:val="21"/>
                <w:highlight w:val="none"/>
                <w:u w:val="none"/>
                <w:lang w:val="en-US" w:eastAsia="zh-CN"/>
              </w:rPr>
              <w:t>环境保护</w:t>
            </w:r>
            <w:r>
              <w:rPr>
                <w:rFonts w:hint="default" w:ascii="Times New Roman" w:hAnsi="Times New Roman" w:eastAsia="宋体" w:cs="Times New Roman"/>
                <w:color w:val="auto"/>
                <w:sz w:val="21"/>
                <w:szCs w:val="21"/>
                <w:highlight w:val="none"/>
                <w:u w:val="none"/>
              </w:rPr>
              <w:t>部公告2012年第18号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88AB1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default" w:ascii="Times New Roman" w:hAnsi="Times New Roman" w:eastAsia="宋体" w:cs="Times New Roman"/>
                <w:color w:val="auto"/>
                <w:sz w:val="21"/>
                <w:szCs w:val="21"/>
                <w:highlight w:val="none"/>
                <w:u w:val="none"/>
              </w:rPr>
              <w:t>2012-03-17</w:t>
            </w:r>
          </w:p>
        </w:tc>
      </w:tr>
      <w:tr w14:paraId="3890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8DCF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D5E1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default" w:ascii="Times New Roman" w:hAnsi="Times New Roman" w:eastAsia="宋体" w:cs="Times New Roman"/>
                <w:color w:val="auto"/>
                <w:sz w:val="21"/>
                <w:szCs w:val="21"/>
                <w:highlight w:val="none"/>
                <w:u w:val="none"/>
              </w:rPr>
              <w:t>关于做好沙区开发建设项目环评中防沙治沙内容评价工作的意见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C5879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default" w:ascii="Times New Roman" w:hAnsi="Times New Roman" w:eastAsia="宋体" w:cs="Times New Roman"/>
                <w:color w:val="auto"/>
                <w:sz w:val="21"/>
                <w:szCs w:val="21"/>
                <w:highlight w:val="none"/>
                <w:u w:val="none"/>
              </w:rPr>
              <w:t>林沙发〔2013〕136号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78E1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
              </w:rPr>
            </w:pPr>
            <w:r>
              <w:rPr>
                <w:rFonts w:hint="default" w:ascii="Times New Roman" w:hAnsi="Times New Roman" w:eastAsia="宋体" w:cs="Times New Roman"/>
                <w:color w:val="auto"/>
                <w:sz w:val="21"/>
                <w:szCs w:val="21"/>
                <w:highlight w:val="none"/>
                <w:u w:val="none"/>
              </w:rPr>
              <w:t>2013-09-01</w:t>
            </w:r>
          </w:p>
        </w:tc>
      </w:tr>
      <w:tr w14:paraId="7BCF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F1E63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113BE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危险废物转移管理办法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BB55C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生态环境部公安部交通运输部23号令</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7869B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2021-11-30</w:t>
            </w:r>
          </w:p>
        </w:tc>
      </w:tr>
      <w:tr w14:paraId="3C7F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AFF22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DDF5D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建设项目危险废物环境影响评价技术指南</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E8ED64A">
            <w:pPr>
              <w:keepNext w:val="0"/>
              <w:keepLines w:val="0"/>
              <w:pageBreakBefore w:val="0"/>
              <w:widowControl w:val="0"/>
              <w:kinsoku/>
              <w:wordWrap/>
              <w:overflowPunct/>
              <w:topLinePunct w:val="0"/>
              <w:autoSpaceDE/>
              <w:autoSpaceDN/>
              <w:bidi w:val="0"/>
              <w:adjustRightInd w:val="0"/>
              <w:snapToGrid w:val="0"/>
              <w:spacing w:line="240" w:lineRule="auto"/>
              <w:ind w:left="210" w:hanging="210" w:hangingChars="10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生态环境部公告 2017年第43号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F04F6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2017-10-01</w:t>
            </w:r>
          </w:p>
        </w:tc>
      </w:tr>
      <w:tr w14:paraId="2014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A6E32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F845B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固体废物分类与代码目录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A785D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生态环境部公告2024年第4号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5E4F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2024-01-19</w:t>
            </w:r>
          </w:p>
        </w:tc>
      </w:tr>
      <w:tr w14:paraId="115D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443C9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4A99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危险废物环境管理指南陆上石油天然气开采</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BD9FCDD">
            <w:pPr>
              <w:keepNext w:val="0"/>
              <w:keepLines w:val="0"/>
              <w:pageBreakBefore w:val="0"/>
              <w:widowControl w:val="0"/>
              <w:kinsoku/>
              <w:wordWrap/>
              <w:overflowPunct/>
              <w:topLinePunct w:val="0"/>
              <w:autoSpaceDE/>
              <w:autoSpaceDN/>
              <w:bidi w:val="0"/>
              <w:adjustRightInd w:val="0"/>
              <w:snapToGrid w:val="0"/>
              <w:spacing w:line="240" w:lineRule="auto"/>
              <w:ind w:left="210" w:hanging="210" w:hangingChars="10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生态环境部公告2021年第74号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83E2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2021-12-21</w:t>
            </w:r>
          </w:p>
        </w:tc>
      </w:tr>
      <w:tr w14:paraId="38D5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9327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bookmarkStart w:id="97" w:name="_Hlk120544279"/>
            <w:r>
              <w:rPr>
                <w:rFonts w:hint="default" w:ascii="Times New Roman" w:hAnsi="Times New Roman" w:eastAsia="宋体" w:cs="Times New Roman"/>
                <w:color w:val="auto"/>
                <w:sz w:val="21"/>
                <w:szCs w:val="21"/>
                <w:highlight w:val="none"/>
                <w:u w:val="none"/>
              </w:rPr>
              <w:t>21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0680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关于在南疆四地州深度贫困地区实施</w:t>
            </w:r>
            <w:r>
              <w:rPr>
                <w:rFonts w:hint="eastAsia"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环境影响评价技术导则大气环境（HJ2.2-2018）</w:t>
            </w:r>
            <w:r>
              <w:rPr>
                <w:rFonts w:hint="eastAsia"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差别化政策有关事宜的复函</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580A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环办环评函〔2019〕590号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F7E2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2019-06-30</w:t>
            </w:r>
          </w:p>
        </w:tc>
      </w:tr>
      <w:bookmarkEnd w:id="97"/>
      <w:tr w14:paraId="7EA9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1D64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E29F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危险废物排除管理清单（2021年版）</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01F37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生态环境部公告2021年第66号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D09C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2021-12-03</w:t>
            </w:r>
          </w:p>
        </w:tc>
      </w:tr>
      <w:tr w14:paraId="1D38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5DF6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0D15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挥发性有机物（VOCs）污染防治技术政策</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07772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生态环境部公告2013年第31号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6BFD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2013-05-24</w:t>
            </w:r>
          </w:p>
        </w:tc>
      </w:tr>
      <w:tr w14:paraId="09AF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D8E5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6E80C3A">
            <w:pPr>
              <w:keepNext w:val="0"/>
              <w:keepLines w:val="0"/>
              <w:widowControl/>
              <w:suppressLineNumbers w:val="0"/>
              <w:spacing w:before="0" w:beforeAutospacing="0" w:after="0" w:afterAutospacing="0" w:line="300" w:lineRule="exact"/>
              <w:ind w:left="0" w:leftChars="0" w:right="0" w:rightChars="0" w:firstLine="0" w:firstLineChars="0"/>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Cs/>
                <w:color w:val="auto"/>
                <w:sz w:val="21"/>
                <w:szCs w:val="21"/>
                <w:highlight w:val="none"/>
                <w:lang w:val="en-US" w:eastAsia="zh-CN" w:bidi="ar-SA"/>
              </w:rPr>
              <w:t>关于发布《重点监管单位土壤污染隐患排查指南（试行）》的公告</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929EEA6">
            <w:pPr>
              <w:keepNext w:val="0"/>
              <w:keepLines w:val="0"/>
              <w:widowControl/>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Cs/>
                <w:color w:val="auto"/>
                <w:sz w:val="21"/>
                <w:szCs w:val="21"/>
                <w:highlight w:val="none"/>
                <w:lang w:val="en-US" w:eastAsia="zh-CN" w:bidi="ar-SA"/>
              </w:rPr>
              <w:t>生态环境部公告2021第1号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2EA8342">
            <w:pPr>
              <w:keepNext w:val="0"/>
              <w:keepLines w:val="0"/>
              <w:widowControl/>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Cs/>
                <w:color w:val="auto"/>
                <w:sz w:val="21"/>
                <w:szCs w:val="21"/>
                <w:highlight w:val="none"/>
                <w:lang w:val="en-US" w:eastAsia="zh-CN" w:bidi="ar-SA"/>
              </w:rPr>
              <w:t>2020-01-04</w:t>
            </w:r>
          </w:p>
        </w:tc>
      </w:tr>
      <w:tr w14:paraId="663C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B1CC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407073E">
            <w:pPr>
              <w:keepNext w:val="0"/>
              <w:keepLines w:val="0"/>
              <w:widowControl/>
              <w:suppressLineNumbers w:val="0"/>
              <w:spacing w:before="0" w:beforeAutospacing="0" w:after="0" w:afterAutospacing="0" w:line="300" w:lineRule="exact"/>
              <w:ind w:left="0" w:leftChars="0" w:right="0" w:rightChars="0" w:firstLine="0" w:firstLineChars="0"/>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Cs/>
                <w:color w:val="auto"/>
                <w:sz w:val="21"/>
                <w:szCs w:val="21"/>
                <w:highlight w:val="none"/>
                <w:lang w:val="en-US" w:eastAsia="zh-CN" w:bidi="ar-SA"/>
              </w:rPr>
              <w:t>关于发布《一般工业固体废物管理台账制定指南（试行）》的公告</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8F350E1">
            <w:pPr>
              <w:keepNext w:val="0"/>
              <w:keepLines w:val="0"/>
              <w:widowControl/>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Cs/>
                <w:color w:val="auto"/>
                <w:sz w:val="21"/>
                <w:szCs w:val="21"/>
                <w:highlight w:val="none"/>
                <w:lang w:val="en-US" w:eastAsia="zh-CN" w:bidi="ar-SA"/>
              </w:rPr>
              <w:t>生态环境部公告2021年第82号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F6053EF">
            <w:pPr>
              <w:keepNext w:val="0"/>
              <w:keepLines w:val="0"/>
              <w:widowControl/>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Cs/>
                <w:color w:val="auto"/>
                <w:sz w:val="21"/>
                <w:szCs w:val="21"/>
                <w:highlight w:val="none"/>
                <w:lang w:val="en-US" w:eastAsia="zh-CN" w:bidi="ar-SA"/>
              </w:rPr>
              <w:t>2021-12-30</w:t>
            </w:r>
          </w:p>
        </w:tc>
      </w:tr>
      <w:tr w14:paraId="0D3F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7AB0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98105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关于加快解决当前挥发性有机物治理突出问题的通知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450E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环大气〔2021〕65号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5C810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2021-08-04</w:t>
            </w:r>
          </w:p>
        </w:tc>
      </w:tr>
      <w:tr w14:paraId="37AC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FC09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29CC7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石油和天然气开采行业清洁生产评价体系指标（试行）</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DA423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国家发改委公告2009第3号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1B69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2009-02-19</w:t>
            </w:r>
          </w:p>
        </w:tc>
      </w:tr>
      <w:tr w14:paraId="5D73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9271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5B7DB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国家重点保护野生植物名录（2021年）</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60EC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国家林业和草原局农业农村部公告2021年第15号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2FF3F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2021-09-</w:t>
            </w:r>
            <w:r>
              <w:rPr>
                <w:rFonts w:hint="default" w:ascii="Times New Roman" w:hAnsi="Times New Roman" w:eastAsia="宋体" w:cs="Times New Roman"/>
                <w:color w:val="auto"/>
                <w:sz w:val="21"/>
                <w:szCs w:val="21"/>
                <w:highlight w:val="none"/>
                <w:u w:val="none"/>
                <w:lang w:val="en-US" w:eastAsia="zh-CN"/>
              </w:rPr>
              <w:t>07</w:t>
            </w:r>
          </w:p>
        </w:tc>
      </w:tr>
      <w:tr w14:paraId="097D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C5F7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5C7D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国家重点保护野生动物名录（2021年）</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2B68F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国家林业和草原局农业农村部公告2021年第3号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09658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2021-02-</w:t>
            </w:r>
            <w:r>
              <w:rPr>
                <w:rFonts w:hint="default" w:ascii="Times New Roman" w:hAnsi="Times New Roman" w:eastAsia="宋体" w:cs="Times New Roman"/>
                <w:color w:val="auto"/>
                <w:sz w:val="21"/>
                <w:szCs w:val="21"/>
                <w:highlight w:val="none"/>
                <w:u w:val="none"/>
                <w:lang w:val="en-US" w:eastAsia="zh-CN"/>
              </w:rPr>
              <w:t>05</w:t>
            </w:r>
          </w:p>
        </w:tc>
      </w:tr>
      <w:tr w14:paraId="6A2B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98DEA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30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8758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关于印发《建设项目环境影响评价政府信息公开指南（试行）》的通知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67BE0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环办〔2013〕103号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2E16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2014-01-01</w:t>
            </w:r>
          </w:p>
        </w:tc>
      </w:tr>
      <w:tr w14:paraId="6DAE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BDDD5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DDE24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关于发布《建设项目竣工环境保护验收暂行办法》的公告</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99F4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国环规环评〔2017〕4号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4D7E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2017-11-20</w:t>
            </w:r>
          </w:p>
        </w:tc>
      </w:tr>
      <w:tr w14:paraId="5C5D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B95A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0063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突发事件应急预案管理办法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CD0CF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国办发〔20</w:t>
            </w:r>
            <w:r>
              <w:rPr>
                <w:rFonts w:hint="default" w:ascii="Times New Roman" w:hAnsi="Times New Roman" w:eastAsia="宋体" w:cs="Times New Roman"/>
                <w:color w:val="auto"/>
                <w:sz w:val="21"/>
                <w:szCs w:val="21"/>
                <w:highlight w:val="none"/>
                <w:u w:val="none"/>
                <w:lang w:val="en-US" w:eastAsia="zh-CN"/>
              </w:rPr>
              <w:t>24</w:t>
            </w:r>
            <w:r>
              <w:rPr>
                <w:rFonts w:hint="default" w:ascii="Times New Roman" w:hAnsi="Times New Roman" w:eastAsia="宋体" w:cs="Times New Roman"/>
                <w:color w:val="auto"/>
                <w:sz w:val="21"/>
                <w:szCs w:val="21"/>
                <w:highlight w:val="none"/>
                <w:u w:val="none"/>
              </w:rPr>
              <w:t>〕</w:t>
            </w:r>
            <w:r>
              <w:rPr>
                <w:rFonts w:hint="default" w:ascii="Times New Roman" w:hAnsi="Times New Roman" w:eastAsia="宋体"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highlight w:val="none"/>
                <w:u w:val="none"/>
              </w:rPr>
              <w:t>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6DC00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w:t>
            </w:r>
            <w:r>
              <w:rPr>
                <w:rFonts w:hint="default" w:ascii="Times New Roman" w:hAnsi="Times New Roman" w:cs="Times New Roman"/>
                <w:color w:val="auto"/>
                <w:sz w:val="21"/>
                <w:szCs w:val="21"/>
                <w:highlight w:val="none"/>
                <w:u w:val="none"/>
                <w:lang w:val="en-US" w:eastAsia="zh-CN"/>
              </w:rPr>
              <w:t>24-01-31</w:t>
            </w:r>
          </w:p>
        </w:tc>
      </w:tr>
      <w:tr w14:paraId="79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057F1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84D5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关于规范临时用地管理的通知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7203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自然资规〔2021〕2号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DCA4F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2021-11-04</w:t>
            </w:r>
          </w:p>
        </w:tc>
      </w:tr>
      <w:tr w14:paraId="2E6C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4268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34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54F755B">
            <w:pPr>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自然资源部生态环境部国家林业和草原局关于加强生态保护红线管理的通知（试行）</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DFFB874">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zh-CN" w:bidi="ar-SA"/>
              </w:rPr>
              <w:t>自然资发〔2022〕142号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E914C0A">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2022-08-16</w:t>
            </w:r>
          </w:p>
        </w:tc>
      </w:tr>
      <w:tr w14:paraId="4257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3D1D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w:t>
            </w:r>
            <w:r>
              <w:rPr>
                <w:rFonts w:hint="eastAsia" w:cs="Times New Roman"/>
                <w:color w:val="auto"/>
                <w:sz w:val="21"/>
                <w:szCs w:val="21"/>
                <w:highlight w:val="none"/>
                <w:u w:val="none"/>
                <w:lang w:val="en-US" w:eastAsia="zh-CN"/>
              </w:rPr>
              <w:t>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0DF64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国家级公益林管理办法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878A8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林资发</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2017</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34号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E599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2017-05-08</w:t>
            </w:r>
          </w:p>
        </w:tc>
      </w:tr>
      <w:tr w14:paraId="300C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ADD10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w:t>
            </w:r>
            <w:r>
              <w:rPr>
                <w:rFonts w:hint="eastAsia" w:cs="Times New Roman"/>
                <w:color w:val="auto"/>
                <w:sz w:val="21"/>
                <w:szCs w:val="21"/>
                <w:highlight w:val="none"/>
                <w:u w:val="none"/>
                <w:lang w:val="en-US" w:eastAsia="zh-CN"/>
              </w:rPr>
              <w:t>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C392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关于印发《“十四五”噪声污染防治行动计划》的通知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2B01B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环大气〔2023〕1号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C383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2023-01-03</w:t>
            </w:r>
          </w:p>
        </w:tc>
      </w:tr>
      <w:tr w14:paraId="458C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39ED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四</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00CE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地方</w:t>
            </w:r>
            <w:r>
              <w:rPr>
                <w:rFonts w:hint="eastAsia" w:cs="Times New Roman"/>
                <w:b/>
                <w:bCs/>
                <w:color w:val="auto"/>
                <w:sz w:val="21"/>
                <w:szCs w:val="21"/>
                <w:highlight w:val="none"/>
                <w:u w:val="none"/>
                <w:lang w:val="en-US" w:eastAsia="zh-CN"/>
              </w:rPr>
              <w:t>性</w:t>
            </w:r>
            <w:r>
              <w:rPr>
                <w:rFonts w:hint="default" w:ascii="Times New Roman" w:hAnsi="Times New Roman" w:eastAsia="宋体" w:cs="Times New Roman"/>
                <w:b/>
                <w:bCs/>
                <w:color w:val="auto"/>
                <w:sz w:val="21"/>
                <w:szCs w:val="21"/>
                <w:highlight w:val="none"/>
                <w:u w:val="none"/>
              </w:rPr>
              <w:t>法规及通知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47C1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0"/>
            <w:vAlign w:val="center"/>
          </w:tcPr>
          <w:p w14:paraId="007C9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p>
        </w:tc>
      </w:tr>
      <w:tr w14:paraId="1A2D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46A2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B2BA5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新疆维吾尔自治区环境保护条例（2018年修正）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3B410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自治区</w:t>
            </w:r>
            <w:r>
              <w:rPr>
                <w:rFonts w:hint="eastAsia" w:cs="Times New Roman"/>
                <w:color w:val="auto"/>
                <w:sz w:val="21"/>
                <w:szCs w:val="21"/>
                <w:highlight w:val="none"/>
                <w:u w:val="none"/>
                <w:lang w:val="en-US" w:eastAsia="zh-CN"/>
              </w:rPr>
              <w:t>第十三届</w:t>
            </w:r>
            <w:r>
              <w:rPr>
                <w:rFonts w:hint="default" w:ascii="Times New Roman" w:hAnsi="Times New Roman" w:eastAsia="宋体" w:cs="Times New Roman"/>
                <w:color w:val="auto"/>
                <w:sz w:val="21"/>
                <w:szCs w:val="21"/>
                <w:highlight w:val="none"/>
                <w:u w:val="none"/>
              </w:rPr>
              <w:t>人大第</w:t>
            </w:r>
            <w:r>
              <w:rPr>
                <w:rFonts w:hint="eastAsia" w:cs="Times New Roman"/>
                <w:color w:val="auto"/>
                <w:sz w:val="21"/>
                <w:szCs w:val="21"/>
                <w:highlight w:val="none"/>
                <w:u w:val="none"/>
                <w:lang w:val="en-US" w:eastAsia="zh-CN"/>
              </w:rPr>
              <w:t>六</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AE780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2018-09-21</w:t>
            </w:r>
          </w:p>
        </w:tc>
      </w:tr>
      <w:tr w14:paraId="278B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F925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5E863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新疆维吾尔自治区野生植物保护条例（2018年修正）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4158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自治区</w:t>
            </w:r>
            <w:r>
              <w:rPr>
                <w:rFonts w:hint="eastAsia" w:cs="Times New Roman"/>
                <w:color w:val="auto"/>
                <w:sz w:val="21"/>
                <w:szCs w:val="21"/>
                <w:highlight w:val="none"/>
                <w:u w:val="none"/>
                <w:lang w:val="en-US" w:eastAsia="zh-CN"/>
              </w:rPr>
              <w:t>第十三届</w:t>
            </w:r>
            <w:r>
              <w:rPr>
                <w:rFonts w:hint="default" w:ascii="Times New Roman" w:hAnsi="Times New Roman" w:eastAsia="宋体" w:cs="Times New Roman"/>
                <w:color w:val="auto"/>
                <w:sz w:val="21"/>
                <w:szCs w:val="21"/>
                <w:highlight w:val="none"/>
                <w:u w:val="none"/>
              </w:rPr>
              <w:t>人大第</w:t>
            </w:r>
            <w:r>
              <w:rPr>
                <w:rFonts w:hint="eastAsia" w:cs="Times New Roman"/>
                <w:color w:val="auto"/>
                <w:sz w:val="21"/>
                <w:szCs w:val="21"/>
                <w:highlight w:val="none"/>
                <w:u w:val="none"/>
                <w:lang w:val="en-US" w:eastAsia="zh-CN"/>
              </w:rPr>
              <w:t>六</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1999D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2018-09-21</w:t>
            </w:r>
          </w:p>
        </w:tc>
      </w:tr>
      <w:tr w14:paraId="2839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3EB9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41A0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新疆维吾尔自治区煤炭石油天然气开发环境保护条例（2018年修正）</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4B41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自治区</w:t>
            </w:r>
            <w:r>
              <w:rPr>
                <w:rFonts w:hint="eastAsia" w:cs="Times New Roman"/>
                <w:color w:val="auto"/>
                <w:sz w:val="21"/>
                <w:szCs w:val="21"/>
                <w:highlight w:val="none"/>
                <w:u w:val="none"/>
                <w:lang w:val="en-US" w:eastAsia="zh-CN"/>
              </w:rPr>
              <w:t>第十三届</w:t>
            </w:r>
            <w:r>
              <w:rPr>
                <w:rFonts w:hint="default" w:ascii="Times New Roman" w:hAnsi="Times New Roman" w:eastAsia="宋体" w:cs="Times New Roman"/>
                <w:color w:val="auto"/>
                <w:sz w:val="21"/>
                <w:szCs w:val="21"/>
                <w:highlight w:val="none"/>
                <w:u w:val="none"/>
              </w:rPr>
              <w:t>人大第</w:t>
            </w:r>
            <w:r>
              <w:rPr>
                <w:rFonts w:hint="eastAsia" w:cs="Times New Roman"/>
                <w:color w:val="auto"/>
                <w:sz w:val="21"/>
                <w:szCs w:val="21"/>
                <w:highlight w:val="none"/>
                <w:u w:val="none"/>
                <w:lang w:val="en-US" w:eastAsia="zh-CN"/>
              </w:rPr>
              <w:t>六</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131E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2018-09-21</w:t>
            </w:r>
          </w:p>
        </w:tc>
      </w:tr>
      <w:tr w14:paraId="7493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2424A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47EF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新疆维吾尔自治区大气污染防治条例</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C617D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自治区</w:t>
            </w:r>
            <w:r>
              <w:rPr>
                <w:rFonts w:hint="eastAsia" w:cs="Times New Roman"/>
                <w:color w:val="auto"/>
                <w:sz w:val="21"/>
                <w:szCs w:val="21"/>
                <w:highlight w:val="none"/>
                <w:u w:val="none"/>
                <w:lang w:val="en-US" w:eastAsia="zh-CN"/>
              </w:rPr>
              <w:t>第十三届</w:t>
            </w:r>
            <w:r>
              <w:rPr>
                <w:rFonts w:hint="default" w:ascii="Times New Roman" w:hAnsi="Times New Roman" w:eastAsia="宋体" w:cs="Times New Roman"/>
                <w:color w:val="auto"/>
                <w:sz w:val="21"/>
                <w:szCs w:val="21"/>
                <w:highlight w:val="none"/>
                <w:u w:val="none"/>
              </w:rPr>
              <w:t>人大第</w:t>
            </w:r>
            <w:r>
              <w:rPr>
                <w:rFonts w:hint="eastAsia" w:cs="Times New Roman"/>
                <w:color w:val="auto"/>
                <w:sz w:val="21"/>
                <w:szCs w:val="21"/>
                <w:highlight w:val="none"/>
                <w:u w:val="none"/>
                <w:lang w:val="en-US" w:eastAsia="zh-CN"/>
              </w:rPr>
              <w:t>七</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8542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2019-01-01</w:t>
            </w:r>
          </w:p>
        </w:tc>
      </w:tr>
      <w:tr w14:paraId="76D6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99AB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2684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新疆维吾尔自治区地下水资源管理条例（2017年修订）</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1121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自治区</w:t>
            </w:r>
            <w:r>
              <w:rPr>
                <w:rFonts w:hint="eastAsia" w:cs="Times New Roman"/>
                <w:color w:val="auto"/>
                <w:sz w:val="21"/>
                <w:szCs w:val="21"/>
                <w:highlight w:val="none"/>
                <w:u w:val="none"/>
                <w:lang w:val="en-US" w:eastAsia="zh-CN"/>
              </w:rPr>
              <w:t>第十二</w:t>
            </w:r>
            <w:r>
              <w:rPr>
                <w:rFonts w:hint="default" w:ascii="Times New Roman" w:hAnsi="Times New Roman" w:eastAsia="宋体" w:cs="Times New Roman"/>
                <w:color w:val="auto"/>
                <w:sz w:val="21"/>
                <w:szCs w:val="21"/>
                <w:highlight w:val="none"/>
                <w:u w:val="none"/>
              </w:rPr>
              <w:t>届人大第</w:t>
            </w:r>
            <w:r>
              <w:rPr>
                <w:rFonts w:hint="eastAsia" w:cs="Times New Roman"/>
                <w:color w:val="auto"/>
                <w:sz w:val="21"/>
                <w:szCs w:val="21"/>
                <w:highlight w:val="none"/>
                <w:u w:val="none"/>
                <w:lang w:val="en-US" w:eastAsia="zh-CN"/>
              </w:rPr>
              <w:t>二十九</w:t>
            </w:r>
            <w:r>
              <w:rPr>
                <w:rFonts w:hint="default" w:ascii="Times New Roman" w:hAnsi="Times New Roman" w:eastAsia="宋体" w:cs="Times New Roman"/>
                <w:color w:val="auto"/>
                <w:sz w:val="21"/>
                <w:szCs w:val="21"/>
                <w:highlight w:val="none"/>
                <w:u w:val="none"/>
              </w:rPr>
              <w:t>次会议</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93370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2017-</w:t>
            </w:r>
            <w:r>
              <w:rPr>
                <w:rFonts w:hint="default" w:ascii="Times New Roman" w:hAnsi="Times New Roman" w:eastAsia="宋体" w:cs="Times New Roman"/>
                <w:color w:val="auto"/>
                <w:sz w:val="21"/>
                <w:szCs w:val="21"/>
                <w:highlight w:val="none"/>
                <w:u w:val="none"/>
                <w:lang w:val="en-US" w:eastAsia="zh-CN"/>
              </w:rPr>
              <w:t>07-01</w:t>
            </w:r>
          </w:p>
        </w:tc>
      </w:tr>
      <w:tr w14:paraId="5C30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C8AE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C860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w:t>
            </w:r>
            <w:r>
              <w:rPr>
                <w:rFonts w:hint="default" w:ascii="Times New Roman" w:hAnsi="Times New Roman" w:cs="Times New Roman"/>
                <w:color w:val="auto"/>
                <w:sz w:val="21"/>
                <w:szCs w:val="21"/>
                <w:highlight w:val="none"/>
                <w:u w:val="none"/>
                <w:lang w:val="en-US" w:eastAsia="zh-CN"/>
              </w:rPr>
              <w:t>发布</w:t>
            </w:r>
            <w:r>
              <w:rPr>
                <w:rFonts w:hint="default" w:ascii="Times New Roman" w:hAnsi="Times New Roman" w:eastAsia="宋体" w:cs="Times New Roman"/>
                <w:color w:val="auto"/>
                <w:sz w:val="21"/>
                <w:szCs w:val="21"/>
                <w:highlight w:val="none"/>
                <w:u w:val="none"/>
              </w:rPr>
              <w:t>《排放源统计调查产排污核算方法和系数手册》</w:t>
            </w:r>
            <w:r>
              <w:rPr>
                <w:rFonts w:hint="default" w:ascii="Times New Roman" w:hAnsi="Times New Roman" w:cs="Times New Roman"/>
                <w:color w:val="auto"/>
                <w:sz w:val="21"/>
                <w:szCs w:val="21"/>
                <w:highlight w:val="none"/>
                <w:u w:val="none"/>
                <w:lang w:val="en-US" w:eastAsia="zh-CN"/>
              </w:rPr>
              <w:t>的公告</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0190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生态环境部公告2021年第24号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6DB1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2021-06-11</w:t>
            </w:r>
          </w:p>
        </w:tc>
      </w:tr>
      <w:tr w14:paraId="4656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EEB7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7604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新疆国家重点保护野生植物名录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4D71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新林护字〔2022〕8号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13EB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2022-03-09</w:t>
            </w:r>
          </w:p>
        </w:tc>
      </w:tr>
      <w:tr w14:paraId="6299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74FA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3204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新疆国家重点保护野生动物名录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0417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自治区林业和草原局与农业农村厅2021年修订</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1254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2021-07-28</w:t>
            </w:r>
          </w:p>
        </w:tc>
      </w:tr>
      <w:tr w14:paraId="0E20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3802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83F8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新疆维吾尔自治区重点保护野生动物名录</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lang w:val="en-US" w:eastAsia="zh-CN"/>
              </w:rPr>
              <w:t>修订</w:t>
            </w:r>
            <w:r>
              <w:rPr>
                <w:rFonts w:hint="default" w:ascii="Times New Roman" w:hAnsi="Times New Roman" w:eastAsia="宋体" w:cs="Times New Roman"/>
                <w:color w:val="auto"/>
                <w:sz w:val="21"/>
                <w:szCs w:val="21"/>
                <w:highlight w:val="none"/>
                <w:u w:val="none"/>
                <w:lang w:eastAsia="zh-CN"/>
              </w:rPr>
              <w:t>）</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E00A4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新政发〔2022〕75号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FE98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2022-09-18</w:t>
            </w:r>
          </w:p>
        </w:tc>
      </w:tr>
      <w:tr w14:paraId="484B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BE0D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B7A0C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新疆生态功能区划</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CA044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新政函〔2005〕96号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078D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2005-07-14</w:t>
            </w:r>
          </w:p>
        </w:tc>
      </w:tr>
      <w:tr w14:paraId="19D8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1B480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5F067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关于印发新疆维吾尔自治区大气污染防治行动计划实施方案的通知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7AEF9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新政发〔2014〕35号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E30FE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2014-04-17</w:t>
            </w:r>
          </w:p>
        </w:tc>
      </w:tr>
      <w:tr w14:paraId="7EBF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25FB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C056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关于印发新疆维吾尔自治区水污染防治工作方案的通知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3205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新政发〔2016〕21号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8E72B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2016-01-29</w:t>
            </w:r>
          </w:p>
        </w:tc>
      </w:tr>
      <w:tr w14:paraId="233A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374F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1762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关于印发新疆维吾尔自治区土壤污染防治工作方案的通知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1CCB6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新政发〔2017〕25号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C67F6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2017-03-01</w:t>
            </w:r>
          </w:p>
        </w:tc>
      </w:tr>
      <w:tr w14:paraId="58CA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6B882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0B707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转发《关于强化建设项目环境影响评价事中事后监管的实施意见》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B8B3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新环办发〔2018〕80号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49163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2018-03-27</w:t>
            </w:r>
          </w:p>
        </w:tc>
      </w:tr>
      <w:tr w14:paraId="6C18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ADAA6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4C794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关于进一步加强和规范油气田开发项目环境保护管理工作的通知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1990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新环发〔2018〕133号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E0E5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2018-09-06</w:t>
            </w:r>
          </w:p>
        </w:tc>
      </w:tr>
      <w:tr w14:paraId="2D9E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1A6A5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3A39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关于含油污泥处置有关事宜的通知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DC3E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新环办发〔2018〕20号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4A17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2018-12-20</w:t>
            </w:r>
          </w:p>
        </w:tc>
      </w:tr>
      <w:tr w14:paraId="3E6B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9FAF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ED40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自治区党委、自治区人民政府印发《关于全面加强生态环境保护坚决打好污染防治攻坚战实施方案》的通知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13E8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新党发〔2018〕23号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837FE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2018-09-04</w:t>
            </w:r>
          </w:p>
        </w:tc>
      </w:tr>
      <w:tr w14:paraId="3D9A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621D6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8261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关于印发《新疆维吾尔自治区重点行业生态环境准入条件（2024年）》的通知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78241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6"/>
                <w:sz w:val="21"/>
                <w:szCs w:val="21"/>
                <w:highlight w:val="none"/>
                <w:u w:val="none"/>
              </w:rPr>
            </w:pPr>
            <w:r>
              <w:rPr>
                <w:rFonts w:hint="default" w:ascii="Times New Roman" w:hAnsi="Times New Roman" w:eastAsia="宋体" w:cs="Times New Roman"/>
                <w:color w:val="auto"/>
                <w:spacing w:val="-6"/>
                <w:sz w:val="21"/>
                <w:szCs w:val="21"/>
                <w:highlight w:val="none"/>
                <w:u w:val="none"/>
              </w:rPr>
              <w:t>新环环评发〔2024〕93号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3AFC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w:t>
            </w:r>
            <w:r>
              <w:rPr>
                <w:rFonts w:hint="default" w:ascii="Times New Roman" w:hAnsi="Times New Roman" w:cs="Times New Roman"/>
                <w:color w:val="auto"/>
                <w:sz w:val="21"/>
                <w:szCs w:val="21"/>
                <w:highlight w:val="none"/>
                <w:u w:val="none"/>
                <w:lang w:val="en-US" w:eastAsia="zh-CN"/>
              </w:rPr>
              <w:t>24</w:t>
            </w:r>
            <w:r>
              <w:rPr>
                <w:rFonts w:hint="default" w:ascii="Times New Roman" w:hAnsi="Times New Roman" w:eastAsia="宋体" w:cs="Times New Roman"/>
                <w:color w:val="auto"/>
                <w:sz w:val="21"/>
                <w:szCs w:val="21"/>
                <w:highlight w:val="none"/>
                <w:u w:val="none"/>
              </w:rPr>
              <w:t>-0</w:t>
            </w:r>
            <w:r>
              <w:rPr>
                <w:rFonts w:hint="default" w:ascii="Times New Roman" w:hAnsi="Times New Roman" w:cs="Times New Roman"/>
                <w:color w:val="auto"/>
                <w:sz w:val="21"/>
                <w:szCs w:val="21"/>
                <w:highlight w:val="none"/>
                <w:u w:val="none"/>
                <w:lang w:val="en-US" w:eastAsia="zh-CN"/>
              </w:rPr>
              <w:t>6</w:t>
            </w:r>
            <w:r>
              <w:rPr>
                <w:rFonts w:hint="default" w:ascii="Times New Roman" w:hAnsi="Times New Roman" w:eastAsia="宋体" w:cs="Times New Roman"/>
                <w:color w:val="auto"/>
                <w:sz w:val="21"/>
                <w:szCs w:val="21"/>
                <w:highlight w:val="none"/>
                <w:u w:val="none"/>
              </w:rPr>
              <w:t>-</w:t>
            </w:r>
            <w:r>
              <w:rPr>
                <w:rFonts w:hint="default" w:ascii="Times New Roman" w:hAnsi="Times New Roman" w:cs="Times New Roman"/>
                <w:color w:val="auto"/>
                <w:sz w:val="21"/>
                <w:szCs w:val="21"/>
                <w:highlight w:val="none"/>
                <w:u w:val="none"/>
                <w:lang w:val="en-US" w:eastAsia="zh-CN"/>
              </w:rPr>
              <w:t>13</w:t>
            </w:r>
          </w:p>
        </w:tc>
      </w:tr>
      <w:tr w14:paraId="2A19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1DACA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1149F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转发《关于进一步加强石油天然气行业环境影响评价管理的通知》的通知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3B458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6"/>
                <w:sz w:val="21"/>
                <w:szCs w:val="21"/>
                <w:highlight w:val="none"/>
                <w:u w:val="none"/>
              </w:rPr>
            </w:pPr>
            <w:r>
              <w:rPr>
                <w:rFonts w:hint="default" w:ascii="Times New Roman" w:hAnsi="Times New Roman" w:eastAsia="宋体" w:cs="Times New Roman"/>
                <w:color w:val="auto"/>
                <w:spacing w:val="-6"/>
                <w:sz w:val="21"/>
                <w:szCs w:val="21"/>
                <w:highlight w:val="none"/>
                <w:u w:val="none"/>
              </w:rPr>
              <w:t>新环评价发〔2020〕142号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B81E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2020-07-29</w:t>
            </w:r>
          </w:p>
        </w:tc>
      </w:tr>
      <w:tr w14:paraId="35E1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64FD80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16493B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关于加强建设项目环境影响后评价管理的通知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19ED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6"/>
                <w:sz w:val="21"/>
                <w:szCs w:val="21"/>
                <w:highlight w:val="none"/>
                <w:u w:val="none"/>
              </w:rPr>
            </w:pPr>
            <w:r>
              <w:rPr>
                <w:rFonts w:hint="default" w:ascii="Times New Roman" w:hAnsi="Times New Roman" w:eastAsia="宋体" w:cs="Times New Roman"/>
                <w:color w:val="auto"/>
                <w:spacing w:val="-6"/>
                <w:sz w:val="21"/>
                <w:szCs w:val="21"/>
                <w:highlight w:val="none"/>
                <w:u w:val="none"/>
              </w:rPr>
              <w:t>新环环评发〔2020〕162号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74DE9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2020-09-11</w:t>
            </w:r>
          </w:p>
        </w:tc>
      </w:tr>
      <w:tr w14:paraId="08DB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C9BD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21</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371C7D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关于加强沙区建设项目环境影响评价工作的通知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89A1C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6"/>
                <w:sz w:val="21"/>
                <w:szCs w:val="21"/>
                <w:highlight w:val="none"/>
                <w:u w:val="none"/>
              </w:rPr>
            </w:pPr>
            <w:r>
              <w:rPr>
                <w:rFonts w:hint="default" w:ascii="Times New Roman" w:hAnsi="Times New Roman" w:eastAsia="宋体" w:cs="Times New Roman"/>
                <w:color w:val="auto"/>
                <w:spacing w:val="-6"/>
                <w:sz w:val="21"/>
                <w:szCs w:val="21"/>
                <w:highlight w:val="none"/>
                <w:u w:val="none"/>
              </w:rPr>
              <w:t>新环环评发〔2020〕138号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159B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2020-09-04</w:t>
            </w:r>
          </w:p>
        </w:tc>
      </w:tr>
      <w:tr w14:paraId="4157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3B2E9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22</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2596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新疆维吾尔自治区实施</w:t>
            </w:r>
            <w:r>
              <w:rPr>
                <w:rFonts w:hint="eastAsia"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中华人民共和国水土保持法</w:t>
            </w:r>
            <w:r>
              <w:rPr>
                <w:rFonts w:hint="eastAsia"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办法</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F3593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2013年7月31日修订</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E3BE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2013-10-01</w:t>
            </w:r>
          </w:p>
        </w:tc>
      </w:tr>
      <w:tr w14:paraId="518B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0A96C4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23</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F6E9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新疆维吾尔自治区主体功能区规划</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A1D7F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自治区发展和改革委员会</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2E07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2012-10</w:t>
            </w:r>
          </w:p>
        </w:tc>
      </w:tr>
      <w:tr w14:paraId="69E5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15456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24</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FBFE5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关于印发《新疆维吾尔自治区“三线一单”生态环境分区管控方案》的通知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6B9C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新政发〔2021〕18号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16C4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2021-02-21</w:t>
            </w:r>
          </w:p>
        </w:tc>
      </w:tr>
      <w:tr w14:paraId="5E8B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5FD58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bookmarkStart w:id="98" w:name="_Hlk121838417"/>
            <w:r>
              <w:rPr>
                <w:rFonts w:hint="default" w:ascii="Times New Roman" w:hAnsi="Times New Roman" w:eastAsia="宋体" w:cs="Times New Roman"/>
                <w:color w:val="auto"/>
                <w:sz w:val="21"/>
                <w:szCs w:val="21"/>
                <w:highlight w:val="none"/>
                <w:u w:val="none"/>
              </w:rPr>
              <w:t>25</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7F9A2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关于印发《新疆维吾尔自治区生态环境分区管控动态更新成果》的通知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B4C9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新环环评发</w:t>
            </w:r>
            <w:r>
              <w:rPr>
                <w:rFonts w:hint="default" w:ascii="Times New Roman" w:hAnsi="Times New Roman" w:eastAsia="宋体" w:cs="Times New Roman"/>
                <w:color w:val="auto"/>
                <w:sz w:val="21"/>
                <w:szCs w:val="21"/>
                <w:highlight w:val="none"/>
                <w:u w:val="none"/>
              </w:rPr>
              <w:t>〔202</w:t>
            </w:r>
            <w:r>
              <w:rPr>
                <w:rFonts w:hint="eastAsia"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157</w:t>
            </w:r>
            <w:r>
              <w:rPr>
                <w:rFonts w:hint="default" w:ascii="Times New Roman" w:hAnsi="Times New Roman" w:eastAsia="宋体" w:cs="Times New Roman"/>
                <w:color w:val="auto"/>
                <w:sz w:val="21"/>
                <w:szCs w:val="21"/>
                <w:highlight w:val="none"/>
                <w:u w:val="none"/>
              </w:rPr>
              <w:t>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6A3A0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2024-11-15</w:t>
            </w:r>
          </w:p>
        </w:tc>
      </w:tr>
      <w:tr w14:paraId="48C3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96B0E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26</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2CF64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关于印发《新疆维吾尔自治区七大片区“三线一单”生态环境分区管控要求》（2021年版）的通知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F83D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新环环评发〔2021〕162号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72A6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2021-07-26</w:t>
            </w:r>
          </w:p>
        </w:tc>
      </w:tr>
      <w:tr w14:paraId="232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298099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27</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CC44C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关于印发《阿克苏地区“三线一单”生态环境分区管控方案》的通知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5EAA98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阿行署发〔2021〕81号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E85C4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2021-07-10</w:t>
            </w:r>
          </w:p>
        </w:tc>
      </w:tr>
      <w:tr w14:paraId="64F2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C438C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28</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67EC3E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关于《中国石油化工股份有限公司西北油田分公司“十四五”规划环境影响报告书》的审查意见</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46B90D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新环审〔2022〕147号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776E1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2022-07-25</w:t>
            </w:r>
          </w:p>
        </w:tc>
      </w:tr>
      <w:tr w14:paraId="2628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4BA02F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29</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5D363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关于印发新疆</w:t>
            </w:r>
            <w:r>
              <w:rPr>
                <w:rFonts w:hint="eastAsia" w:cs="Times New Roman"/>
                <w:color w:val="auto"/>
                <w:sz w:val="21"/>
                <w:szCs w:val="21"/>
                <w:highlight w:val="none"/>
                <w:u w:val="none"/>
                <w:lang w:val="en-US" w:eastAsia="zh-CN"/>
              </w:rPr>
              <w:t xml:space="preserve"> </w:t>
            </w:r>
            <w:r>
              <w:rPr>
                <w:rFonts w:hint="default" w:ascii="Times New Roman" w:hAnsi="Times New Roman" w:eastAsia="宋体" w:cs="Times New Roman"/>
                <w:color w:val="auto"/>
                <w:sz w:val="21"/>
                <w:szCs w:val="21"/>
                <w:highlight w:val="none"/>
                <w:u w:val="none"/>
                <w:lang w:val="en-US" w:eastAsia="zh-CN"/>
              </w:rPr>
              <w:t>自治区级水土流失重点预防区和重点治理区复核划分成果的通知</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2D089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新水水保〔2019〕4号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E270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2019-01-21</w:t>
            </w:r>
          </w:p>
        </w:tc>
      </w:tr>
      <w:tr w14:paraId="1CCE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2" w:type="pct"/>
            <w:tcBorders>
              <w:top w:val="single" w:color="auto" w:sz="4" w:space="0"/>
              <w:left w:val="single" w:color="auto" w:sz="4" w:space="0"/>
              <w:bottom w:val="single" w:color="auto" w:sz="4" w:space="0"/>
              <w:right w:val="single" w:color="auto" w:sz="4" w:space="0"/>
            </w:tcBorders>
            <w:noWrap w:val="0"/>
            <w:vAlign w:val="center"/>
          </w:tcPr>
          <w:p w14:paraId="768EF0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30</w:t>
            </w:r>
          </w:p>
        </w:tc>
        <w:tc>
          <w:tcPr>
            <w:tcW w:w="3059" w:type="pct"/>
            <w:tcBorders>
              <w:top w:val="single" w:color="auto" w:sz="4" w:space="0"/>
              <w:left w:val="single" w:color="auto" w:sz="4" w:space="0"/>
              <w:bottom w:val="single" w:color="auto" w:sz="4" w:space="0"/>
              <w:right w:val="single" w:color="auto" w:sz="4" w:space="0"/>
            </w:tcBorders>
            <w:noWrap w:val="0"/>
            <w:vAlign w:val="center"/>
          </w:tcPr>
          <w:p w14:paraId="4CF5E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新疆维吾尔自治区建设项目使用林地审核审批管理办法（试行）</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31E13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新林资字〔2015〕497号</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4FBD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2015-01-01</w:t>
            </w:r>
          </w:p>
        </w:tc>
      </w:tr>
      <w:bookmarkEnd w:id="98"/>
    </w:tbl>
    <w:p w14:paraId="62287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sz w:val="21"/>
          <w:szCs w:val="21"/>
          <w:highlight w:val="none"/>
        </w:rPr>
      </w:pPr>
    </w:p>
    <w:p w14:paraId="0335CA2B">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bCs/>
          <w:color w:val="auto"/>
          <w:sz w:val="28"/>
          <w:szCs w:val="28"/>
          <w:highlight w:val="none"/>
        </w:rPr>
      </w:pPr>
      <w:bookmarkStart w:id="99" w:name="_Toc13800"/>
      <w:bookmarkStart w:id="100" w:name="_Toc22540"/>
      <w:bookmarkStart w:id="101" w:name="_Toc4442"/>
      <w:r>
        <w:rPr>
          <w:rFonts w:hint="default" w:ascii="Times New Roman" w:hAnsi="Times New Roman" w:eastAsia="宋体" w:cs="Times New Roman"/>
          <w:b/>
          <w:bCs/>
          <w:color w:val="auto"/>
          <w:sz w:val="28"/>
          <w:szCs w:val="28"/>
          <w:highlight w:val="none"/>
        </w:rPr>
        <w:t>2.2.2环评有关技术规定</w:t>
      </w:r>
      <w:bookmarkEnd w:id="99"/>
      <w:bookmarkEnd w:id="100"/>
      <w:bookmarkEnd w:id="101"/>
    </w:p>
    <w:p w14:paraId="2A29764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环评有关技术规定见表2.2-2。</w:t>
      </w:r>
    </w:p>
    <w:p w14:paraId="73431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表2.2-2环评技术导则规范依据一览表</w:t>
      </w:r>
    </w:p>
    <w:tbl>
      <w:tblPr>
        <w:tblStyle w:val="35"/>
        <w:tblW w:w="53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5295"/>
        <w:gridCol w:w="2169"/>
        <w:gridCol w:w="1368"/>
      </w:tblGrid>
      <w:tr w14:paraId="2CA7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7124844">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8747255">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依据名称</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C0C8069">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标准号</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6F378165">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实施时间</w:t>
            </w:r>
          </w:p>
        </w:tc>
      </w:tr>
      <w:tr w14:paraId="44F6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264A7A8E">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77075438">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建设项目环境影响评价技术导则总纲</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276F48B">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HJ2.1-2016</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32E57A2F">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2017-</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w:t>
            </w:r>
          </w:p>
        </w:tc>
      </w:tr>
      <w:tr w14:paraId="3F15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718E9678">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2542E04">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环境影响评价技术导则大气环境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6E8155A6">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HJ2.2-2018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371D2DAA">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2018-12-01</w:t>
            </w:r>
          </w:p>
        </w:tc>
      </w:tr>
      <w:tr w14:paraId="1EC6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6F04D248">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2CC89C1">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环境影响评价技术导则地表水环境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15E93A0A">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HJ2.3-2018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7890C1F">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2019-03-01</w:t>
            </w:r>
          </w:p>
        </w:tc>
      </w:tr>
      <w:tr w14:paraId="417A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5A585889">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FD1B917">
            <w:pPr>
              <w:widowControl/>
              <w:spacing w:before="100" w:beforeAutospacing="1" w:after="100" w:afterAutospacing="1"/>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HYPERLINK "http://kjs.mep.gov.cn/hjbhbz/bzwb/other/pjjsdz/201001/t20100107_183907.htm"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环境影响评价技术导则声环境</w:t>
            </w:r>
            <w:r>
              <w:rPr>
                <w:rFonts w:hint="default" w:ascii="Times New Roman" w:hAnsi="Times New Roman" w:cs="Times New Roman"/>
                <w:color w:val="auto"/>
                <w:sz w:val="21"/>
                <w:szCs w:val="21"/>
                <w:highlight w:val="none"/>
              </w:rPr>
              <w:fldChar w:fldCharType="end"/>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73555A6D">
            <w:pPr>
              <w:widowControl/>
              <w:spacing w:before="100" w:beforeAutospacing="1" w:after="100" w:afterAutospacing="1"/>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HJ2.4-2021</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1239A61">
            <w:pPr>
              <w:widowControl/>
              <w:spacing w:before="100" w:beforeAutospacing="1" w:after="100" w:afterAutospacing="1"/>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2022-07-01</w:t>
            </w:r>
          </w:p>
        </w:tc>
      </w:tr>
      <w:tr w14:paraId="0DF1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2114B867">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7ABB6043">
            <w:pPr>
              <w:widowControl/>
              <w:spacing w:before="100" w:beforeAutospacing="1" w:after="100" w:afterAutospacing="1"/>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HYPERLINK "http://kjs.mep.gov.cn/hjbhbz/bzwb/other/pjjsdz/199806/t19980601_68415.htm"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环境影响评价技术导则生态影响</w:t>
            </w:r>
            <w:r>
              <w:rPr>
                <w:rFonts w:hint="default" w:ascii="Times New Roman" w:hAnsi="Times New Roman" w:cs="Times New Roman"/>
                <w:color w:val="auto"/>
                <w:sz w:val="21"/>
                <w:szCs w:val="21"/>
                <w:highlight w:val="none"/>
              </w:rPr>
              <w:fldChar w:fldCharType="end"/>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68B6B291">
            <w:pPr>
              <w:widowControl/>
              <w:spacing w:before="100" w:beforeAutospacing="1" w:after="100" w:afterAutospacing="1"/>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HJ19-2022</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3A65AD9C">
            <w:pPr>
              <w:widowControl/>
              <w:spacing w:before="100" w:beforeAutospacing="1" w:after="100" w:afterAutospacing="1"/>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2022-07-01</w:t>
            </w:r>
          </w:p>
        </w:tc>
      </w:tr>
      <w:tr w14:paraId="5762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16BB64B">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1B6265E">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环境影响评价技术导则地下水环境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6EE009AF">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HJ610-2016</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335E8B76">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2016-01-07</w:t>
            </w:r>
          </w:p>
        </w:tc>
      </w:tr>
      <w:tr w14:paraId="7AA1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110F6E2">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051B3906">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环境影响评价技术导则陆地石油天然气开发建设项目</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689ABC34">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HJ349-2023</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16245E02">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default"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-01</w:t>
            </w:r>
          </w:p>
        </w:tc>
      </w:tr>
      <w:tr w14:paraId="0EA5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44B59558">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3BE5CB61">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058437F">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HJ169-2018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CFB4668">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2019-03-01</w:t>
            </w:r>
          </w:p>
        </w:tc>
      </w:tr>
      <w:tr w14:paraId="5A4F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0DFAF451">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3E373300">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环境影响评价技术导则土壤影响（试行）</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1896F4AA">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HJ964-2018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22B96D1">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2019-07-01</w:t>
            </w:r>
          </w:p>
        </w:tc>
      </w:tr>
      <w:tr w14:paraId="3BD3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17EA489">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CC421CF">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水土保持综合治理技术规范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41E3D3B3">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GB/T16453.1~6-2008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67D3264">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2009-02-01</w:t>
            </w:r>
          </w:p>
        </w:tc>
      </w:tr>
      <w:tr w14:paraId="4832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405D485A">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5954CEE">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开发建设项目水土保持技术规范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3DE3B11">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GB50433-2008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079047D3">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2008-07-01</w:t>
            </w:r>
          </w:p>
        </w:tc>
      </w:tr>
      <w:tr w14:paraId="4AEE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25D0DC85">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7196064F">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危险化学品重大危险源辨识</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69E71055">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GB18218-2018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4864E351">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2018-11-19</w:t>
            </w:r>
          </w:p>
        </w:tc>
      </w:tr>
      <w:tr w14:paraId="5C2B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F0B6767">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40C283C9">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危险废物收集贮存运输技术规范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1069E83A">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HJ2025-2012</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3378F9DD">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2013-03-01</w:t>
            </w:r>
          </w:p>
        </w:tc>
      </w:tr>
      <w:tr w14:paraId="4FF0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2D80DC8B">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14</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5A119D7E">
            <w:pPr>
              <w:ind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危险废物贮存污染控制标准</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76B3AFD4">
            <w:pPr>
              <w:ind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GB18597-2023</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048E397B">
            <w:pPr>
              <w:ind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微软雅黑" w:cs="Times New Roman"/>
                <w:color w:val="auto"/>
                <w:sz w:val="21"/>
                <w:szCs w:val="21"/>
                <w:highlight w:val="none"/>
                <w:shd w:val="clear" w:color="auto" w:fill="FFFFFF"/>
              </w:rPr>
              <w:t>2023-02-03</w:t>
            </w:r>
          </w:p>
        </w:tc>
      </w:tr>
      <w:tr w14:paraId="295F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64D27602">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4CFFFD90">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rPr>
              <w:t>危险废物识别标志设置技术规范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0EB806D6">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rPr>
              <w:t>HJ1276-2022</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87506D4">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2023-07-01</w:t>
            </w:r>
          </w:p>
        </w:tc>
      </w:tr>
      <w:tr w14:paraId="13C4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265DA258">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16</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4B98D929">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危险废物鉴别标准通则</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77E41B9A">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GB5085.7</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2019</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3F4EFA18">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-01-01</w:t>
            </w:r>
          </w:p>
        </w:tc>
      </w:tr>
      <w:tr w14:paraId="74B5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094421FF">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17</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785C1244">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石油天然气工业健康、安全与环境管理体系</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6D65409E">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SY/T6276-2014</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A4BC753">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2015-03-01</w:t>
            </w:r>
          </w:p>
        </w:tc>
      </w:tr>
      <w:tr w14:paraId="3FC6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1258909C">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18</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40D75F91">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石油化工企业环境保护设计规范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55DE3C7A">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SH/T3024-2017</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05F27081">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2018-01-01</w:t>
            </w:r>
          </w:p>
        </w:tc>
      </w:tr>
      <w:tr w14:paraId="64B9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6DB06D97">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19</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7EFFC377">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 w:eastAsia="zh-CN" w:bidi="ar-SA"/>
              </w:rPr>
            </w:pPr>
            <w:r>
              <w:rPr>
                <w:rFonts w:hint="default" w:ascii="Times New Roman" w:hAnsi="Times New Roman" w:eastAsia="宋体" w:cs="Times New Roman"/>
                <w:color w:val="auto"/>
                <w:sz w:val="21"/>
                <w:szCs w:val="21"/>
                <w:highlight w:val="none"/>
                <w:lang w:val="en"/>
              </w:rPr>
              <w:t>一般工业固体废物贮存和填埋污染控制标准</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53198FE">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 w:eastAsia="zh-CN" w:bidi="ar-SA"/>
              </w:rPr>
            </w:pPr>
            <w:r>
              <w:rPr>
                <w:rFonts w:hint="default" w:ascii="Times New Roman" w:hAnsi="Times New Roman" w:eastAsia="宋体" w:cs="Times New Roman"/>
                <w:color w:val="auto"/>
                <w:sz w:val="21"/>
                <w:szCs w:val="21"/>
                <w:highlight w:val="none"/>
                <w:lang w:val="en"/>
              </w:rPr>
              <w:t>GB18599-2020</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5F63B55">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 w:eastAsia="zh-CN" w:bidi="ar-SA"/>
              </w:rPr>
            </w:pPr>
            <w:r>
              <w:rPr>
                <w:rFonts w:hint="default" w:ascii="Times New Roman" w:hAnsi="Times New Roman" w:eastAsia="宋体" w:cs="Times New Roman"/>
                <w:color w:val="auto"/>
                <w:sz w:val="21"/>
                <w:szCs w:val="21"/>
                <w:highlight w:val="none"/>
                <w:lang w:val="zh-CN"/>
              </w:rPr>
              <w:t>2021-07-01</w:t>
            </w:r>
          </w:p>
        </w:tc>
      </w:tr>
      <w:tr w14:paraId="7A90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1F28F0B8">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20</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292B0E57">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油气田钻井固体废物综合利用污染控制要求</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7BB32E37">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DB65/T3997-2017</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3E186FA7">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2017-05-30</w:t>
            </w:r>
          </w:p>
        </w:tc>
      </w:tr>
      <w:tr w14:paraId="6DC5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51E6B86C">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21</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1F4E7715">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油气田含油污泥综合利用污染控制要求</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7B6B1F85">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DB65/T3998-2017</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27B65DCD">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2017-05-30</w:t>
            </w:r>
          </w:p>
        </w:tc>
      </w:tr>
      <w:tr w14:paraId="1D92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267EB42">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22</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30874333">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val="zh-CN"/>
              </w:rPr>
              <w:t>油气田含油污泥及钻井固体废物处理处置技术规范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1067E37F">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DB65/T3999-2017</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2C18B2E6">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2017-05-30</w:t>
            </w:r>
          </w:p>
        </w:tc>
      </w:tr>
      <w:tr w14:paraId="1241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506352D">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23</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6B1F2E74">
            <w:pPr>
              <w:ind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碎屑岩油藏注水水质指标技术要求及分析方法</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6DC19627">
            <w:pPr>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SY/T5329-2022</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ADA4AAF">
            <w:pPr>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rPr>
              <w:t>2022-11-04</w:t>
            </w:r>
          </w:p>
        </w:tc>
      </w:tr>
      <w:tr w14:paraId="1C1E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264FDA14">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24</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7F573C13">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陆上石油天然气开采含油污泥资源化综合利用及污染控制技术要求</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2ABE7F42">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SY/T301-2016</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22D0B019">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2017-05-01</w:t>
            </w:r>
          </w:p>
        </w:tc>
      </w:tr>
      <w:tr w14:paraId="6A7A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53CE5275">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25</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434C83A7">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陆上石油天然气开采业绿色矿山建设规范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5B4C888">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DZ/T0317-2018</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F18BE9E">
            <w:pPr>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2018-10-01</w:t>
            </w:r>
          </w:p>
        </w:tc>
      </w:tr>
      <w:tr w14:paraId="33A2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53A2CDD4">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26</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28F50482">
            <w:pPr>
              <w:pStyle w:val="51"/>
              <w:shd w:val="clear" w:color="auto" w:fill="FFFFFF"/>
              <w:jc w:val="left"/>
              <w:rPr>
                <w:rFonts w:hint="default" w:ascii="Times New Roman" w:hAnsi="Times New Roman" w:cs="Times New Roman"/>
                <w:color w:val="auto"/>
                <w:kern w:val="2"/>
                <w:sz w:val="21"/>
                <w:szCs w:val="21"/>
                <w:highlight w:val="none"/>
                <w:lang w:val="zh-CN" w:eastAsia="zh-CN" w:bidi="ar-SA"/>
              </w:rPr>
            </w:pPr>
            <w:r>
              <w:rPr>
                <w:rFonts w:hint="default" w:ascii="Times New Roman" w:hAnsi="Times New Roman" w:cs="Times New Roman"/>
                <w:color w:val="auto"/>
                <w:sz w:val="21"/>
                <w:szCs w:val="21"/>
                <w:highlight w:val="none"/>
                <w:lang w:val="en-US" w:eastAsia="zh-CN"/>
              </w:rPr>
              <w:t>油田注水工程设计规范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170C531">
            <w:pPr>
              <w:pStyle w:val="51"/>
              <w:shd w:val="clear" w:color="auto" w:fill="FFFFFF"/>
              <w:jc w:val="left"/>
              <w:rPr>
                <w:rFonts w:hint="default" w:ascii="Times New Roman" w:hAnsi="Times New Roman" w:cs="Times New Roman"/>
                <w:color w:val="auto"/>
                <w:kern w:val="2"/>
                <w:sz w:val="21"/>
                <w:szCs w:val="21"/>
                <w:highlight w:val="none"/>
                <w:lang w:val="zh-CN" w:eastAsia="zh-CN" w:bidi="ar-SA"/>
              </w:rPr>
            </w:pPr>
            <w:r>
              <w:rPr>
                <w:rFonts w:hint="default" w:ascii="Times New Roman" w:hAnsi="Times New Roman" w:cs="Times New Roman"/>
                <w:color w:val="auto"/>
                <w:sz w:val="21"/>
                <w:szCs w:val="21"/>
                <w:highlight w:val="none"/>
                <w:lang w:val="en-US" w:eastAsia="zh-CN"/>
              </w:rPr>
              <w:t>GB50391-2014</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6647C843">
            <w:pPr>
              <w:pStyle w:val="51"/>
              <w:shd w:val="clear" w:color="auto" w:fill="FFFFFF"/>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2015-05-01</w:t>
            </w:r>
          </w:p>
        </w:tc>
      </w:tr>
      <w:tr w14:paraId="4D9C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3D6FFE28">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27</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61E503BD">
            <w:pPr>
              <w:pStyle w:val="51"/>
              <w:shd w:val="clear" w:color="auto" w:fill="FFFFFF"/>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石油天然气工业套管和油管的维护和使用</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0DA575CF">
            <w:pPr>
              <w:pStyle w:val="51"/>
              <w:shd w:val="clear" w:color="auto" w:fill="FFFFFF"/>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GB/T17745-2011</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0B5EFAB2">
            <w:pPr>
              <w:pStyle w:val="51"/>
              <w:shd w:val="clear" w:color="auto" w:fill="FFFFFF"/>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2011-10-01</w:t>
            </w:r>
          </w:p>
        </w:tc>
      </w:tr>
      <w:tr w14:paraId="7E27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14FD2D0F">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28</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11362BE7">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油气回收处理设施技术标准</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7E7B0E34">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GB/T50759-2022</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14867D2C">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2022-12-01</w:t>
            </w:r>
          </w:p>
        </w:tc>
      </w:tr>
      <w:tr w14:paraId="3AFF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2BD1E12B">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29</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2D54BBAE">
            <w:pPr>
              <w:pStyle w:val="51"/>
              <w:shd w:val="clear" w:color="auto" w:fill="FFFFFF"/>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石油化工工程防渗技术规范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7C4F371C">
            <w:pPr>
              <w:pStyle w:val="51"/>
              <w:shd w:val="clear" w:color="auto" w:fill="FFFFFF"/>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GB/T50934</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6C9158A7">
            <w:pPr>
              <w:pStyle w:val="51"/>
              <w:shd w:val="clear" w:color="auto" w:fill="FFFFFF"/>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2014-06-01</w:t>
            </w:r>
          </w:p>
        </w:tc>
      </w:tr>
      <w:tr w14:paraId="2D66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707FA04A">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30</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3CA9AF5B">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油田注水工程施工技术规范</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3C994907">
            <w:pPr>
              <w:pStyle w:val="51"/>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SY/T4122-2020</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49FB242C">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2021-02-01</w:t>
            </w:r>
          </w:p>
        </w:tc>
      </w:tr>
      <w:tr w14:paraId="6B84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61EB68CC">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31</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2BA5652D">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陆上石油天然气生产环境保护推荐作法</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53F4973B">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SY/T6628-2005</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688956C8">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2005-11-01</w:t>
            </w:r>
          </w:p>
        </w:tc>
      </w:tr>
      <w:tr w14:paraId="201E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tcBorders>
              <w:top w:val="single" w:color="auto" w:sz="4" w:space="0"/>
              <w:left w:val="single" w:color="auto" w:sz="4" w:space="0"/>
              <w:bottom w:val="single" w:color="auto" w:sz="4" w:space="0"/>
              <w:right w:val="single" w:color="auto" w:sz="4" w:space="0"/>
            </w:tcBorders>
            <w:noWrap w:val="0"/>
            <w:vAlign w:val="center"/>
          </w:tcPr>
          <w:p w14:paraId="4D8266ED">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32</w:t>
            </w:r>
          </w:p>
        </w:tc>
        <w:tc>
          <w:tcPr>
            <w:tcW w:w="2850" w:type="pct"/>
            <w:tcBorders>
              <w:top w:val="single" w:color="auto" w:sz="4" w:space="0"/>
              <w:left w:val="single" w:color="auto" w:sz="4" w:space="0"/>
              <w:bottom w:val="single" w:color="auto" w:sz="4" w:space="0"/>
              <w:right w:val="single" w:color="auto" w:sz="4" w:space="0"/>
            </w:tcBorders>
            <w:noWrap w:val="0"/>
            <w:vAlign w:val="center"/>
          </w:tcPr>
          <w:p w14:paraId="637CD5E8">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废弃井及长停井处置指南</w:t>
            </w:r>
          </w:p>
        </w:tc>
        <w:tc>
          <w:tcPr>
            <w:tcW w:w="1167" w:type="pct"/>
            <w:tcBorders>
              <w:top w:val="single" w:color="auto" w:sz="4" w:space="0"/>
              <w:left w:val="single" w:color="auto" w:sz="4" w:space="0"/>
              <w:bottom w:val="single" w:color="auto" w:sz="4" w:space="0"/>
              <w:right w:val="single" w:color="auto" w:sz="4" w:space="0"/>
            </w:tcBorders>
            <w:noWrap w:val="0"/>
            <w:vAlign w:val="center"/>
          </w:tcPr>
          <w:p w14:paraId="5C77B4E4">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SY/T6646-2017</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156AE83A">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2018-03-01</w:t>
            </w:r>
          </w:p>
        </w:tc>
      </w:tr>
      <w:tr w14:paraId="52B3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noWrap w:val="0"/>
            <w:vAlign w:val="center"/>
          </w:tcPr>
          <w:p w14:paraId="64D849D7">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33</w:t>
            </w:r>
          </w:p>
        </w:tc>
        <w:tc>
          <w:tcPr>
            <w:tcW w:w="2850" w:type="pct"/>
            <w:noWrap w:val="0"/>
            <w:vAlign w:val="center"/>
          </w:tcPr>
          <w:p w14:paraId="793CDC07">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生物多样性观测技术导则</w:t>
            </w:r>
          </w:p>
        </w:tc>
        <w:tc>
          <w:tcPr>
            <w:tcW w:w="1167" w:type="pct"/>
            <w:noWrap w:val="0"/>
            <w:vAlign w:val="center"/>
          </w:tcPr>
          <w:p w14:paraId="1513D835">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HJ710.1~13-2014</w:t>
            </w:r>
          </w:p>
        </w:tc>
        <w:tc>
          <w:tcPr>
            <w:tcW w:w="736" w:type="pct"/>
            <w:noWrap w:val="0"/>
            <w:vAlign w:val="center"/>
          </w:tcPr>
          <w:p w14:paraId="3F9962AF">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2015-01-01</w:t>
            </w:r>
          </w:p>
        </w:tc>
      </w:tr>
      <w:tr w14:paraId="156F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noWrap w:val="0"/>
            <w:vAlign w:val="center"/>
          </w:tcPr>
          <w:p w14:paraId="10773D52">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34</w:t>
            </w:r>
          </w:p>
        </w:tc>
        <w:tc>
          <w:tcPr>
            <w:tcW w:w="2850" w:type="pct"/>
            <w:noWrap w:val="0"/>
            <w:vAlign w:val="center"/>
          </w:tcPr>
          <w:p w14:paraId="323C0EA1">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污染源源强核算技术指南准则</w:t>
            </w:r>
          </w:p>
        </w:tc>
        <w:tc>
          <w:tcPr>
            <w:tcW w:w="1167" w:type="pct"/>
            <w:noWrap w:val="0"/>
            <w:vAlign w:val="center"/>
          </w:tcPr>
          <w:p w14:paraId="1A5AB4C6">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HJ884-2018</w:t>
            </w:r>
          </w:p>
        </w:tc>
        <w:tc>
          <w:tcPr>
            <w:tcW w:w="736" w:type="pct"/>
            <w:noWrap w:val="0"/>
            <w:vAlign w:val="center"/>
          </w:tcPr>
          <w:p w14:paraId="4CAEB851">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2018-03-17</w:t>
            </w:r>
          </w:p>
        </w:tc>
      </w:tr>
      <w:tr w14:paraId="6A16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5" w:type="pct"/>
            <w:noWrap w:val="0"/>
            <w:vAlign w:val="center"/>
          </w:tcPr>
          <w:p w14:paraId="56A8D838">
            <w:pPr>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850" w:type="pct"/>
            <w:noWrap w:val="0"/>
            <w:vAlign w:val="center"/>
          </w:tcPr>
          <w:p w14:paraId="572D9DD1">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排污单位自行监测技术指南陆上石油天然气开采工业</w:t>
            </w:r>
          </w:p>
        </w:tc>
        <w:tc>
          <w:tcPr>
            <w:tcW w:w="1167" w:type="pct"/>
            <w:noWrap w:val="0"/>
            <w:vAlign w:val="center"/>
          </w:tcPr>
          <w:p w14:paraId="5627BA15">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HJ1248-2022</w:t>
            </w:r>
          </w:p>
        </w:tc>
        <w:tc>
          <w:tcPr>
            <w:tcW w:w="736" w:type="pct"/>
            <w:noWrap w:val="0"/>
            <w:vAlign w:val="center"/>
          </w:tcPr>
          <w:p w14:paraId="53A77B06">
            <w:pPr>
              <w:pStyle w:val="51"/>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2022-07-01</w:t>
            </w:r>
          </w:p>
        </w:tc>
      </w:tr>
    </w:tbl>
    <w:p w14:paraId="5783B723">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bCs/>
          <w:color w:val="auto"/>
          <w:sz w:val="28"/>
          <w:szCs w:val="28"/>
          <w:highlight w:val="none"/>
        </w:rPr>
      </w:pPr>
      <w:bookmarkStart w:id="102" w:name="_Toc16851"/>
      <w:bookmarkStart w:id="103" w:name="_Toc21873"/>
      <w:bookmarkStart w:id="104" w:name="_Toc24142"/>
      <w:r>
        <w:rPr>
          <w:rFonts w:hint="default" w:ascii="Times New Roman" w:hAnsi="Times New Roman" w:eastAsia="宋体" w:cs="Times New Roman"/>
          <w:b/>
          <w:bCs/>
          <w:color w:val="auto"/>
          <w:sz w:val="28"/>
          <w:szCs w:val="28"/>
          <w:highlight w:val="none"/>
        </w:rPr>
        <w:t>2.2.3相关文件和技术资料</w:t>
      </w:r>
      <w:bookmarkEnd w:id="102"/>
      <w:bookmarkEnd w:id="103"/>
      <w:bookmarkEnd w:id="104"/>
    </w:p>
    <w:p w14:paraId="36EBA7C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采油三厂2025年第二期短半径</w:t>
      </w:r>
      <w:r>
        <w:rPr>
          <w:rFonts w:hint="default" w:ascii="Times New Roman" w:hAnsi="Times New Roman" w:cs="Times New Roman"/>
          <w:color w:val="auto"/>
          <w:sz w:val="24"/>
          <w:highlight w:val="none"/>
          <w:lang w:eastAsia="zh-CN"/>
        </w:rPr>
        <w:t>侧钻项目环境影响评价</w:t>
      </w:r>
      <w:r>
        <w:rPr>
          <w:rFonts w:hint="default" w:ascii="Times New Roman" w:hAnsi="Times New Roman" w:cs="Times New Roman"/>
          <w:color w:val="auto"/>
          <w:sz w:val="24"/>
          <w:highlight w:val="none"/>
        </w:rPr>
        <w:t>委托书，中国石油化工股份有限公司西北油田分公司</w:t>
      </w:r>
      <w:r>
        <w:rPr>
          <w:rFonts w:hint="eastAsia" w:cs="Times New Roman"/>
          <w:color w:val="auto"/>
          <w:sz w:val="24"/>
          <w:highlight w:val="none"/>
          <w:lang w:val="en-US" w:eastAsia="zh-CN"/>
        </w:rPr>
        <w:t>采油三厂</w:t>
      </w:r>
      <w:r>
        <w:rPr>
          <w:rFonts w:hint="default" w:ascii="Times New Roman" w:hAnsi="Times New Roman" w:cs="Times New Roman"/>
          <w:color w:val="auto"/>
          <w:sz w:val="24"/>
          <w:highlight w:val="none"/>
        </w:rPr>
        <w:t>；</w:t>
      </w:r>
    </w:p>
    <w:p w14:paraId="3878D03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eastAsia="zh-CN"/>
        </w:rPr>
        <w:t>）</w:t>
      </w:r>
      <w:r>
        <w:rPr>
          <w:rFonts w:hint="eastAsia" w:cs="Times New Roman"/>
          <w:color w:val="auto"/>
          <w:kern w:val="24"/>
          <w:sz w:val="24"/>
          <w:szCs w:val="24"/>
          <w:highlight w:val="none"/>
          <w:lang w:val="en-US" w:eastAsia="zh-CN"/>
        </w:rPr>
        <w:t>采油三厂</w:t>
      </w:r>
      <w:r>
        <w:rPr>
          <w:rFonts w:hint="eastAsia" w:cs="Times New Roman"/>
          <w:color w:val="auto"/>
          <w:sz w:val="24"/>
          <w:highlight w:val="none"/>
          <w:lang w:val="en-US" w:eastAsia="zh-CN"/>
        </w:rPr>
        <w:t>2025年第二期短半径</w:t>
      </w:r>
      <w:r>
        <w:rPr>
          <w:rFonts w:hint="default" w:ascii="Times New Roman" w:hAnsi="Times New Roman" w:cs="Times New Roman"/>
          <w:color w:val="auto"/>
          <w:sz w:val="24"/>
          <w:highlight w:val="none"/>
          <w:lang w:eastAsia="zh-CN"/>
        </w:rPr>
        <w:t>侧钻项目</w:t>
      </w:r>
      <w:r>
        <w:rPr>
          <w:rFonts w:hint="default" w:ascii="Times New Roman" w:hAnsi="Times New Roman" w:cs="Times New Roman"/>
          <w:snapToGrid w:val="0"/>
          <w:color w:val="auto"/>
          <w:highlight w:val="none"/>
        </w:rPr>
        <w:t>相关资料，</w:t>
      </w:r>
      <w:r>
        <w:rPr>
          <w:rFonts w:hint="default" w:ascii="Times New Roman" w:hAnsi="Times New Roman" w:cs="Times New Roman"/>
          <w:color w:val="auto"/>
          <w:sz w:val="24"/>
          <w:highlight w:val="none"/>
        </w:rPr>
        <w:t>中国石油化工股份有限公司西北油田分公司</w:t>
      </w:r>
      <w:r>
        <w:rPr>
          <w:rFonts w:hint="default" w:ascii="Times New Roman" w:hAnsi="Times New Roman" w:cs="Times New Roman"/>
          <w:color w:val="auto"/>
          <w:sz w:val="24"/>
          <w:highlight w:val="none"/>
          <w:lang w:eastAsia="zh-CN"/>
        </w:rPr>
        <w:t>。</w:t>
      </w:r>
    </w:p>
    <w:p w14:paraId="2DC6B6F5">
      <w:pPr>
        <w:pStyle w:val="47"/>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105" w:name="_Toc21974"/>
      <w:bookmarkStart w:id="106" w:name="_Toc21178"/>
      <w:r>
        <w:rPr>
          <w:rFonts w:hint="default" w:ascii="Times New Roman" w:hAnsi="Times New Roman" w:cs="Times New Roman"/>
          <w:color w:val="auto"/>
          <w:highlight w:val="none"/>
        </w:rPr>
        <w:t>2.3环境影响因素识别和评价因子筛选</w:t>
      </w:r>
      <w:bookmarkEnd w:id="105"/>
      <w:bookmarkEnd w:id="106"/>
    </w:p>
    <w:p w14:paraId="381250BE">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107" w:name="_Toc500856904"/>
      <w:r>
        <w:rPr>
          <w:rFonts w:hint="default" w:ascii="Times New Roman" w:hAnsi="Times New Roman" w:cs="Times New Roman"/>
          <w:color w:val="auto"/>
          <w:highlight w:val="none"/>
        </w:rPr>
        <w:t>2.3.1环境影响因素识别</w:t>
      </w:r>
      <w:bookmarkEnd w:id="107"/>
    </w:p>
    <w:p w14:paraId="556A9E80">
      <w:pPr>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本项目主要包括钻井工程、地面工程、油气开采、集输等内容，对环境的影响主要表现在施工期、运营期和</w:t>
      </w:r>
      <w:r>
        <w:rPr>
          <w:rFonts w:hint="default" w:ascii="Times New Roman" w:hAnsi="Times New Roman" w:cs="Times New Roman"/>
          <w:color w:val="auto"/>
          <w:highlight w:val="none"/>
          <w:lang w:val="en-US" w:eastAsia="zh-CN"/>
        </w:rPr>
        <w:t>退役期</w:t>
      </w:r>
      <w:r>
        <w:rPr>
          <w:rFonts w:hint="default" w:ascii="Times New Roman" w:hAnsi="Times New Roman" w:cs="Times New Roman"/>
          <w:color w:val="auto"/>
          <w:highlight w:val="none"/>
          <w:lang w:eastAsia="zh-CN"/>
        </w:rPr>
        <w:t>。施工期以钻井工程以及管线敷设，道路等配套工程建设过程中造成的生态影响为主，运营期以油气开采和集输过程中产生的污染为主。环境影响因素识别表见表</w:t>
      </w:r>
      <w:r>
        <w:rPr>
          <w:rFonts w:hint="default" w:ascii="Times New Roman" w:hAnsi="Times New Roman" w:eastAsia="宋体" w:cs="Times New Roman"/>
          <w:color w:val="auto"/>
          <w:highlight w:val="none"/>
        </w:rPr>
        <w:t>2.3-1</w:t>
      </w:r>
      <w:r>
        <w:rPr>
          <w:rFonts w:hint="default" w:ascii="Times New Roman" w:hAnsi="Times New Roman" w:eastAsia="宋体" w:cs="Times New Roman"/>
          <w:color w:val="auto"/>
          <w:highlight w:val="none"/>
          <w:lang w:val="en-US" w:eastAsia="zh-CN"/>
        </w:rPr>
        <w:t>。</w:t>
      </w:r>
    </w:p>
    <w:p w14:paraId="705A6989">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108" w:name="_Toc500856905"/>
      <w:r>
        <w:rPr>
          <w:rFonts w:hint="default" w:ascii="Times New Roman" w:hAnsi="Times New Roman" w:cs="Times New Roman"/>
          <w:color w:val="auto"/>
          <w:highlight w:val="none"/>
        </w:rPr>
        <w:t>2.3.2评价因子</w:t>
      </w:r>
      <w:bookmarkEnd w:id="108"/>
    </w:p>
    <w:p w14:paraId="618395E5">
      <w:pPr>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auto"/>
          <w:highlight w:val="none"/>
        </w:rPr>
        <w:sectPr>
          <w:pgSz w:w="11905" w:h="16838"/>
          <w:pgMar w:top="1440" w:right="1689" w:bottom="1440" w:left="1689" w:header="794" w:footer="1134"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环境影响要素识别、环境影响因子表征和环境影响程度，筛选的评价因子见表2.3-2。</w:t>
      </w:r>
    </w:p>
    <w:p w14:paraId="1772CF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sz w:val="21"/>
          <w:szCs w:val="21"/>
          <w:highlight w:val="none"/>
          <w:lang w:eastAsia="zh-CN"/>
        </w:rPr>
      </w:pPr>
      <w:r>
        <w:rPr>
          <w:rFonts w:hint="default" w:ascii="Times New Roman" w:hAnsi="Times New Roman" w:eastAsia="黑体" w:cs="Times New Roman"/>
          <w:b w:val="0"/>
          <w:bCs/>
          <w:color w:val="auto"/>
          <w:sz w:val="21"/>
          <w:szCs w:val="21"/>
          <w:highlight w:val="none"/>
        </w:rPr>
        <w:t>表2.3-1</w:t>
      </w:r>
      <w:r>
        <w:rPr>
          <w:rFonts w:hint="default" w:ascii="Times New Roman" w:hAnsi="Times New Roman" w:eastAsia="黑体" w:cs="Times New Roman"/>
          <w:b w:val="0"/>
          <w:bCs/>
          <w:color w:val="auto"/>
          <w:sz w:val="21"/>
          <w:szCs w:val="21"/>
          <w:highlight w:val="none"/>
          <w:lang w:val="en-US" w:eastAsia="zh-CN"/>
        </w:rPr>
        <w:t>环境</w:t>
      </w:r>
      <w:r>
        <w:rPr>
          <w:rFonts w:hint="default" w:ascii="Times New Roman" w:hAnsi="Times New Roman" w:eastAsia="黑体" w:cs="Times New Roman"/>
          <w:b w:val="0"/>
          <w:bCs/>
          <w:color w:val="auto"/>
          <w:sz w:val="21"/>
          <w:szCs w:val="21"/>
          <w:highlight w:val="none"/>
        </w:rPr>
        <w:t>影响因素识别</w:t>
      </w:r>
      <w:r>
        <w:rPr>
          <w:rFonts w:hint="default" w:ascii="Times New Roman" w:hAnsi="Times New Roman" w:eastAsia="黑体" w:cs="Times New Roman"/>
          <w:b w:val="0"/>
          <w:bCs/>
          <w:color w:val="auto"/>
          <w:sz w:val="21"/>
          <w:szCs w:val="21"/>
          <w:highlight w:val="none"/>
          <w:lang w:eastAsia="zh-CN"/>
        </w:rPr>
        <w:t>表</w:t>
      </w:r>
    </w:p>
    <w:tbl>
      <w:tblPr>
        <w:tblStyle w:val="35"/>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97"/>
        <w:gridCol w:w="880"/>
        <w:gridCol w:w="1047"/>
        <w:gridCol w:w="822"/>
        <w:gridCol w:w="943"/>
        <w:gridCol w:w="875"/>
        <w:gridCol w:w="988"/>
        <w:gridCol w:w="974"/>
        <w:gridCol w:w="1123"/>
        <w:gridCol w:w="858"/>
        <w:gridCol w:w="1165"/>
        <w:gridCol w:w="1039"/>
        <w:gridCol w:w="1126"/>
        <w:gridCol w:w="1129"/>
      </w:tblGrid>
      <w:tr w14:paraId="692A6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vMerge w:val="restart"/>
            <w:tcBorders>
              <w:top w:val="single" w:color="auto" w:sz="4" w:space="0"/>
              <w:left w:val="single" w:color="auto" w:sz="4" w:space="0"/>
              <w:bottom w:val="single" w:color="auto" w:sz="4" w:space="0"/>
              <w:right w:val="single" w:color="auto" w:sz="4" w:space="0"/>
              <w:tl2br w:val="single" w:color="000000" w:sz="4" w:space="0"/>
            </w:tcBorders>
          </w:tcPr>
          <w:p w14:paraId="677D9673">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p>
          <w:p w14:paraId="4A8059DC">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p>
          <w:p w14:paraId="0F2779F8">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p>
          <w:p w14:paraId="4DD737EE">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w:t>
            </w:r>
          </w:p>
          <w:p w14:paraId="57BA37F4">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因素</w:t>
            </w:r>
          </w:p>
          <w:p w14:paraId="5CBE9FC6">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p>
          <w:p w14:paraId="09E1F924">
            <w:pPr>
              <w:pStyle w:val="5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p>
          <w:p w14:paraId="69D92478">
            <w:pPr>
              <w:pStyle w:val="51"/>
              <w:keepNext w:val="0"/>
              <w:keepLines w:val="0"/>
              <w:pageBreakBefore w:val="0"/>
              <w:shd w:val="clear"/>
              <w:kinsoku/>
              <w:wordWrap/>
              <w:topLinePunct w:val="0"/>
              <w:bidi w:val="0"/>
              <w:adjustRightInd w:val="0"/>
              <w:snapToGrid w:val="0"/>
              <w:spacing w:line="240" w:lineRule="auto"/>
              <w:ind w:firstLine="210" w:firstLineChars="100"/>
              <w:jc w:val="both"/>
              <w:rPr>
                <w:rFonts w:hint="default" w:ascii="Times New Roman" w:hAnsi="Times New Roman" w:cs="Times New Roman"/>
                <w:color w:val="auto"/>
                <w:sz w:val="21"/>
                <w:szCs w:val="21"/>
                <w:highlight w:val="none"/>
              </w:rPr>
            </w:pPr>
          </w:p>
          <w:p w14:paraId="5AB572A7">
            <w:pPr>
              <w:pStyle w:val="51"/>
              <w:keepNext w:val="0"/>
              <w:keepLines w:val="0"/>
              <w:pageBreakBefore w:val="0"/>
              <w:shd w:val="clear"/>
              <w:kinsoku/>
              <w:wordWrap/>
              <w:topLinePunct w:val="0"/>
              <w:bidi w:val="0"/>
              <w:adjustRightInd w:val="0"/>
              <w:snapToGrid w:val="0"/>
              <w:spacing w:line="240" w:lineRule="auto"/>
              <w:ind w:firstLine="210" w:firstLineChars="1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14:paraId="3732E1EB">
            <w:pPr>
              <w:pStyle w:val="51"/>
              <w:keepNext w:val="0"/>
              <w:keepLines w:val="0"/>
              <w:pageBreakBefore w:val="0"/>
              <w:shd w:val="clear"/>
              <w:kinsoku/>
              <w:wordWrap/>
              <w:topLinePunct w:val="0"/>
              <w:bidi w:val="0"/>
              <w:adjustRightInd w:val="0"/>
              <w:snapToGrid w:val="0"/>
              <w:spacing w:line="240" w:lineRule="auto"/>
              <w:ind w:firstLine="210" w:firstLineChars="1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因素</w:t>
            </w:r>
          </w:p>
        </w:tc>
        <w:tc>
          <w:tcPr>
            <w:tcW w:w="1623" w:type="pct"/>
            <w:gridSpan w:val="5"/>
            <w:tcBorders>
              <w:top w:val="single" w:color="auto" w:sz="4" w:space="0"/>
              <w:left w:val="single" w:color="auto" w:sz="4" w:space="0"/>
              <w:bottom w:val="single" w:color="auto" w:sz="4" w:space="0"/>
              <w:right w:val="single" w:color="auto" w:sz="4" w:space="0"/>
            </w:tcBorders>
          </w:tcPr>
          <w:p w14:paraId="2FCA9A54">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
                <w:sz w:val="21"/>
                <w:szCs w:val="21"/>
                <w:highlight w:val="none"/>
              </w:rPr>
              <w:t>施工期</w:t>
            </w:r>
          </w:p>
        </w:tc>
        <w:tc>
          <w:tcPr>
            <w:tcW w:w="1815" w:type="pct"/>
            <w:gridSpan w:val="5"/>
            <w:tcBorders>
              <w:top w:val="single" w:color="auto" w:sz="4" w:space="0"/>
              <w:left w:val="single" w:color="auto" w:sz="4" w:space="0"/>
              <w:bottom w:val="single" w:color="auto" w:sz="4" w:space="0"/>
              <w:right w:val="single" w:color="auto" w:sz="4" w:space="0"/>
            </w:tcBorders>
          </w:tcPr>
          <w:p w14:paraId="30A7A530">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
                <w:sz w:val="21"/>
                <w:szCs w:val="21"/>
                <w:highlight w:val="none"/>
              </w:rPr>
              <w:t>运营期</w:t>
            </w:r>
          </w:p>
        </w:tc>
        <w:tc>
          <w:tcPr>
            <w:tcW w:w="1170" w:type="pct"/>
            <w:gridSpan w:val="3"/>
            <w:tcBorders>
              <w:top w:val="single" w:color="auto" w:sz="4" w:space="0"/>
              <w:left w:val="single" w:color="auto" w:sz="4" w:space="0"/>
              <w:bottom w:val="single" w:color="auto" w:sz="4" w:space="0"/>
              <w:right w:val="single" w:color="auto" w:sz="4" w:space="0"/>
            </w:tcBorders>
          </w:tcPr>
          <w:p w14:paraId="7813C50E">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r>
              <w:rPr>
                <w:rFonts w:hint="default" w:ascii="Times New Roman" w:hAnsi="Times New Roman" w:cs="Times New Roman"/>
                <w:color w:val="auto"/>
                <w:position w:val="-2"/>
                <w:sz w:val="21"/>
                <w:szCs w:val="21"/>
                <w:highlight w:val="none"/>
              </w:rPr>
              <w:t>退役期</w:t>
            </w:r>
          </w:p>
        </w:tc>
      </w:tr>
      <w:tr w14:paraId="53FD9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vMerge w:val="continue"/>
            <w:tcBorders>
              <w:top w:val="single" w:color="auto" w:sz="4" w:space="0"/>
              <w:left w:val="single" w:color="auto" w:sz="4" w:space="0"/>
              <w:bottom w:val="single" w:color="auto" w:sz="4" w:space="0"/>
              <w:right w:val="single" w:color="auto" w:sz="4" w:space="0"/>
            </w:tcBorders>
          </w:tcPr>
          <w:p w14:paraId="200363CE">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p>
        </w:tc>
        <w:tc>
          <w:tcPr>
            <w:tcW w:w="313" w:type="pct"/>
            <w:tcBorders>
              <w:top w:val="single" w:color="auto" w:sz="4" w:space="0"/>
              <w:left w:val="single" w:color="auto" w:sz="4" w:space="0"/>
              <w:bottom w:val="single" w:color="auto" w:sz="4" w:space="0"/>
              <w:right w:val="single" w:color="auto" w:sz="4" w:space="0"/>
            </w:tcBorders>
            <w:vAlign w:val="center"/>
          </w:tcPr>
          <w:p w14:paraId="615F6B7E">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生态影响</w:t>
            </w:r>
          </w:p>
        </w:tc>
        <w:tc>
          <w:tcPr>
            <w:tcW w:w="372" w:type="pct"/>
            <w:tcBorders>
              <w:top w:val="single" w:color="auto" w:sz="4" w:space="0"/>
              <w:left w:val="single" w:color="auto" w:sz="4" w:space="0"/>
              <w:bottom w:val="single" w:color="auto" w:sz="4" w:space="0"/>
              <w:right w:val="single" w:color="auto" w:sz="4" w:space="0"/>
            </w:tcBorders>
            <w:vAlign w:val="center"/>
          </w:tcPr>
          <w:p w14:paraId="261BC35C">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292" w:type="pct"/>
            <w:tcBorders>
              <w:top w:val="single" w:color="auto" w:sz="4" w:space="0"/>
              <w:left w:val="single" w:color="auto" w:sz="4" w:space="0"/>
              <w:bottom w:val="single" w:color="auto" w:sz="4" w:space="0"/>
              <w:right w:val="single" w:color="auto" w:sz="4" w:space="0"/>
            </w:tcBorders>
            <w:vAlign w:val="center"/>
          </w:tcPr>
          <w:p w14:paraId="7C71A38B">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335" w:type="pct"/>
            <w:tcBorders>
              <w:top w:val="single" w:color="auto" w:sz="4" w:space="0"/>
              <w:left w:val="single" w:color="auto" w:sz="4" w:space="0"/>
              <w:bottom w:val="single" w:color="auto" w:sz="4" w:space="0"/>
              <w:right w:val="single" w:color="auto" w:sz="4" w:space="0"/>
            </w:tcBorders>
            <w:vAlign w:val="center"/>
          </w:tcPr>
          <w:p w14:paraId="26503C4D">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11" w:type="pct"/>
            <w:tcBorders>
              <w:top w:val="single" w:color="auto" w:sz="4" w:space="0"/>
              <w:left w:val="single" w:color="auto" w:sz="4" w:space="0"/>
              <w:bottom w:val="single" w:color="auto" w:sz="4" w:space="0"/>
              <w:right w:val="single" w:color="auto" w:sz="4" w:space="0"/>
            </w:tcBorders>
            <w:vAlign w:val="center"/>
          </w:tcPr>
          <w:p w14:paraId="0B3157CA">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351" w:type="pct"/>
            <w:tcBorders>
              <w:top w:val="single" w:color="auto" w:sz="4" w:space="0"/>
              <w:left w:val="single" w:color="auto" w:sz="4" w:space="0"/>
              <w:bottom w:val="single" w:color="auto" w:sz="4" w:space="0"/>
              <w:right w:val="single" w:color="auto" w:sz="4" w:space="0"/>
            </w:tcBorders>
            <w:vAlign w:val="center"/>
          </w:tcPr>
          <w:p w14:paraId="70E265AC">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346" w:type="pct"/>
            <w:tcBorders>
              <w:top w:val="single" w:color="auto" w:sz="4" w:space="0"/>
              <w:left w:val="single" w:color="auto" w:sz="4" w:space="0"/>
              <w:bottom w:val="single" w:color="auto" w:sz="4" w:space="0"/>
              <w:right w:val="single" w:color="auto" w:sz="4" w:space="0"/>
            </w:tcBorders>
            <w:vAlign w:val="center"/>
          </w:tcPr>
          <w:p w14:paraId="79946CEC">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399" w:type="pct"/>
            <w:tcBorders>
              <w:top w:val="single" w:color="auto" w:sz="4" w:space="0"/>
              <w:left w:val="single" w:color="auto" w:sz="4" w:space="0"/>
              <w:bottom w:val="single" w:color="auto" w:sz="4" w:space="0"/>
              <w:right w:val="single" w:color="auto" w:sz="4" w:space="0"/>
            </w:tcBorders>
            <w:vAlign w:val="center"/>
          </w:tcPr>
          <w:p w14:paraId="0AA64485">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05" w:type="pct"/>
            <w:tcBorders>
              <w:top w:val="single" w:color="auto" w:sz="4" w:space="0"/>
              <w:left w:val="single" w:color="auto" w:sz="4" w:space="0"/>
              <w:bottom w:val="single" w:color="auto" w:sz="4" w:space="0"/>
              <w:right w:val="single" w:color="auto" w:sz="4" w:space="0"/>
            </w:tcBorders>
            <w:vAlign w:val="center"/>
          </w:tcPr>
          <w:p w14:paraId="71040730">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414" w:type="pct"/>
            <w:tcBorders>
              <w:top w:val="single" w:color="auto" w:sz="4" w:space="0"/>
              <w:left w:val="single" w:color="auto" w:sz="4" w:space="0"/>
              <w:bottom w:val="single" w:color="auto" w:sz="4" w:space="0"/>
              <w:right w:val="single" w:color="auto" w:sz="4" w:space="0"/>
            </w:tcBorders>
            <w:vAlign w:val="center"/>
          </w:tcPr>
          <w:p w14:paraId="08D5B81E">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环境</w:t>
            </w:r>
            <w:r>
              <w:rPr>
                <w:rFonts w:hint="default" w:ascii="Times New Roman" w:hAnsi="Times New Roman" w:cs="Times New Roman"/>
                <w:color w:val="auto"/>
                <w:sz w:val="21"/>
                <w:szCs w:val="21"/>
                <w:highlight w:val="none"/>
              </w:rPr>
              <w:t>风险</w:t>
            </w:r>
          </w:p>
        </w:tc>
        <w:tc>
          <w:tcPr>
            <w:tcW w:w="369" w:type="pct"/>
            <w:tcBorders>
              <w:top w:val="single" w:color="auto" w:sz="4" w:space="0"/>
              <w:left w:val="single" w:color="auto" w:sz="4" w:space="0"/>
              <w:bottom w:val="single" w:color="auto" w:sz="4" w:space="0"/>
              <w:right w:val="single" w:color="auto" w:sz="4" w:space="0"/>
            </w:tcBorders>
            <w:vAlign w:val="center"/>
          </w:tcPr>
          <w:p w14:paraId="415DC88F">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400" w:type="pct"/>
            <w:tcBorders>
              <w:top w:val="single" w:color="auto" w:sz="4" w:space="0"/>
              <w:left w:val="single" w:color="auto" w:sz="4" w:space="0"/>
              <w:bottom w:val="single" w:color="auto" w:sz="4" w:space="0"/>
              <w:right w:val="single" w:color="auto" w:sz="4" w:space="0"/>
            </w:tcBorders>
            <w:vAlign w:val="center"/>
          </w:tcPr>
          <w:p w14:paraId="09C74CFF">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01" w:type="pct"/>
            <w:tcBorders>
              <w:top w:val="single" w:color="auto" w:sz="4" w:space="0"/>
              <w:left w:val="single" w:color="auto" w:sz="4" w:space="0"/>
              <w:bottom w:val="single" w:color="auto" w:sz="4" w:space="0"/>
              <w:right w:val="single" w:color="auto" w:sz="4" w:space="0"/>
            </w:tcBorders>
            <w:vAlign w:val="center"/>
          </w:tcPr>
          <w:p w14:paraId="0C6C2A56">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生态影响</w:t>
            </w:r>
          </w:p>
        </w:tc>
      </w:tr>
      <w:tr w14:paraId="1F027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7" w:hRule="atLeast"/>
          <w:jc w:val="center"/>
        </w:trPr>
        <w:tc>
          <w:tcPr>
            <w:tcW w:w="390" w:type="pct"/>
            <w:vMerge w:val="continue"/>
            <w:tcBorders>
              <w:top w:val="single" w:color="auto" w:sz="4" w:space="0"/>
              <w:left w:val="single" w:color="auto" w:sz="4" w:space="0"/>
              <w:bottom w:val="single" w:color="auto" w:sz="4" w:space="0"/>
              <w:right w:val="single" w:color="auto" w:sz="4" w:space="0"/>
            </w:tcBorders>
          </w:tcPr>
          <w:p w14:paraId="3D36E02A">
            <w:pPr>
              <w:pStyle w:val="51"/>
              <w:keepNext w:val="0"/>
              <w:keepLines w:val="0"/>
              <w:pageBreakBefore w:val="0"/>
              <w:shd w:val="clear"/>
              <w:kinsoku/>
              <w:wordWrap/>
              <w:topLinePunct w:val="0"/>
              <w:bidi w:val="0"/>
              <w:adjustRightInd w:val="0"/>
              <w:snapToGrid w:val="0"/>
              <w:spacing w:line="240" w:lineRule="auto"/>
              <w:rPr>
                <w:rFonts w:hint="default" w:ascii="Times New Roman" w:hAnsi="Times New Roman" w:cs="Times New Roman"/>
                <w:color w:val="auto"/>
                <w:sz w:val="21"/>
                <w:szCs w:val="21"/>
                <w:highlight w:val="none"/>
              </w:rPr>
            </w:pPr>
          </w:p>
        </w:tc>
        <w:tc>
          <w:tcPr>
            <w:tcW w:w="313" w:type="pct"/>
            <w:tcBorders>
              <w:top w:val="single" w:color="auto" w:sz="4" w:space="0"/>
              <w:left w:val="single" w:color="auto" w:sz="4" w:space="0"/>
              <w:bottom w:val="single" w:color="auto" w:sz="4" w:space="0"/>
              <w:right w:val="single" w:color="auto" w:sz="4" w:space="0"/>
            </w:tcBorders>
          </w:tcPr>
          <w:p w14:paraId="7CBE753B">
            <w:pPr>
              <w:keepNext w:val="0"/>
              <w:keepLines w:val="0"/>
              <w:pageBreakBefore w:val="0"/>
              <w:widowControl/>
              <w:suppressLineNumbers w:val="0"/>
              <w:shd w:val="clear"/>
              <w:kinsoku/>
              <w:wordWrap/>
              <w:topLinePunct w:val="0"/>
              <w:bidi w:val="0"/>
              <w:adjustRightInd w:val="0"/>
              <w:snapToGrid w:val="0"/>
              <w:spacing w:line="240" w:lineRule="auto"/>
              <w:jc w:val="both"/>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钻前工程、钻井工程和地面工程</w:t>
            </w:r>
            <w:r>
              <w:rPr>
                <w:rFonts w:hint="default" w:ascii="Times New Roman" w:hAnsi="Times New Roman" w:eastAsia="宋体" w:cs="Times New Roman"/>
                <w:color w:val="auto"/>
                <w:kern w:val="0"/>
                <w:sz w:val="21"/>
                <w:szCs w:val="21"/>
                <w:highlight w:val="none"/>
                <w:lang w:val="en-US" w:eastAsia="zh-CN" w:bidi="ar"/>
              </w:rPr>
              <w:t>造成的地表土壤和植被的破坏</w:t>
            </w:r>
            <w:r>
              <w:rPr>
                <w:rFonts w:hint="eastAsia" w:ascii="Times New Roman" w:hAnsi="Times New Roman" w:eastAsia="宋体" w:cs="Times New Roman"/>
                <w:color w:val="auto"/>
                <w:kern w:val="0"/>
                <w:sz w:val="21"/>
                <w:szCs w:val="21"/>
                <w:highlight w:val="none"/>
                <w:lang w:val="en-US" w:eastAsia="zh-CN" w:bidi="ar"/>
              </w:rPr>
              <w:t>等</w:t>
            </w:r>
          </w:p>
        </w:tc>
        <w:tc>
          <w:tcPr>
            <w:tcW w:w="372" w:type="pct"/>
            <w:tcBorders>
              <w:top w:val="single" w:color="auto" w:sz="4" w:space="0"/>
              <w:left w:val="single" w:color="auto" w:sz="4" w:space="0"/>
              <w:bottom w:val="single" w:color="auto" w:sz="4" w:space="0"/>
              <w:right w:val="single" w:color="auto" w:sz="4" w:space="0"/>
            </w:tcBorders>
          </w:tcPr>
          <w:p w14:paraId="26D647F7">
            <w:pPr>
              <w:keepNext w:val="0"/>
              <w:keepLines w:val="0"/>
              <w:pageBreakBefore w:val="0"/>
              <w:widowControl/>
              <w:suppressLineNumbers w:val="0"/>
              <w:shd w:val="clear"/>
              <w:kinsoku/>
              <w:wordWrap/>
              <w:topLinePunct w:val="0"/>
              <w:bidi w:val="0"/>
              <w:adjustRightInd w:val="0"/>
              <w:snapToGrid w:val="0"/>
              <w:spacing w:line="240" w:lineRule="auto"/>
              <w:jc w:val="both"/>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施工机械和车辆废气、施工扬尘、测试放喷、钻井及储层改造过程非甲烷总烃等废气</w:t>
            </w:r>
          </w:p>
        </w:tc>
        <w:tc>
          <w:tcPr>
            <w:tcW w:w="292" w:type="pct"/>
            <w:tcBorders>
              <w:top w:val="single" w:color="auto" w:sz="4" w:space="0"/>
              <w:left w:val="single" w:color="auto" w:sz="4" w:space="0"/>
              <w:bottom w:val="single" w:color="auto" w:sz="4" w:space="0"/>
              <w:right w:val="single" w:color="auto" w:sz="4" w:space="0"/>
            </w:tcBorders>
          </w:tcPr>
          <w:p w14:paraId="7029A374">
            <w:pPr>
              <w:keepNext w:val="0"/>
              <w:keepLines w:val="0"/>
              <w:pageBreakBefore w:val="0"/>
              <w:widowControl/>
              <w:suppressLineNumbers w:val="0"/>
              <w:shd w:val="clear"/>
              <w:kinsoku/>
              <w:wordWrap/>
              <w:topLinePunct w:val="0"/>
              <w:bidi w:val="0"/>
              <w:adjustRightInd w:val="0"/>
              <w:snapToGrid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钻井废水、压裂返排液、酸化废液等废水；</w:t>
            </w:r>
            <w:r>
              <w:rPr>
                <w:rFonts w:hint="default" w:ascii="Times New Roman" w:hAnsi="Times New Roman" w:cs="Times New Roman"/>
                <w:color w:val="auto"/>
                <w:sz w:val="21"/>
                <w:szCs w:val="21"/>
                <w:highlight w:val="none"/>
              </w:rPr>
              <w:t>试压废水、生活污水</w:t>
            </w:r>
          </w:p>
        </w:tc>
        <w:tc>
          <w:tcPr>
            <w:tcW w:w="335" w:type="pct"/>
            <w:tcBorders>
              <w:top w:val="single" w:color="auto" w:sz="4" w:space="0"/>
              <w:left w:val="single" w:color="auto" w:sz="4" w:space="0"/>
              <w:bottom w:val="single" w:color="auto" w:sz="4" w:space="0"/>
              <w:right w:val="single" w:color="auto" w:sz="4" w:space="0"/>
            </w:tcBorders>
          </w:tcPr>
          <w:p w14:paraId="4A278309">
            <w:pPr>
              <w:pStyle w:val="5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钻井泥浆、岩屑、</w:t>
            </w:r>
            <w:r>
              <w:rPr>
                <w:rFonts w:hint="default" w:ascii="Times New Roman" w:hAnsi="Times New Roman" w:eastAsia="宋体" w:cs="Times New Roman"/>
                <w:color w:val="auto"/>
                <w:kern w:val="0"/>
                <w:sz w:val="21"/>
                <w:szCs w:val="21"/>
                <w:highlight w:val="none"/>
                <w:lang w:val="en-US" w:eastAsia="zh-CN" w:bidi="ar"/>
              </w:rPr>
              <w:t>生活垃圾、建筑垃圾、弃土弃方</w:t>
            </w:r>
            <w:r>
              <w:rPr>
                <w:rFonts w:hint="eastAsia" w:ascii="Times New Roman" w:hAnsi="Times New Roman" w:eastAsia="宋体" w:cs="Times New Roman"/>
                <w:color w:val="auto"/>
                <w:kern w:val="0"/>
                <w:sz w:val="21"/>
                <w:szCs w:val="21"/>
                <w:highlight w:val="none"/>
                <w:lang w:val="en-US" w:eastAsia="zh-CN" w:bidi="ar"/>
              </w:rPr>
              <w:t>、废油和含油废弃物</w:t>
            </w:r>
          </w:p>
        </w:tc>
        <w:tc>
          <w:tcPr>
            <w:tcW w:w="311" w:type="pct"/>
            <w:tcBorders>
              <w:top w:val="single" w:color="auto" w:sz="4" w:space="0"/>
              <w:left w:val="single" w:color="auto" w:sz="4" w:space="0"/>
              <w:bottom w:val="single" w:color="auto" w:sz="4" w:space="0"/>
              <w:right w:val="single" w:color="auto" w:sz="4" w:space="0"/>
            </w:tcBorders>
          </w:tcPr>
          <w:p w14:paraId="34189EC7">
            <w:pPr>
              <w:keepNext w:val="0"/>
              <w:keepLines w:val="0"/>
              <w:pageBreakBefore w:val="0"/>
              <w:widowControl/>
              <w:suppressLineNumbers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钻机、发电机组、压裂及测试放喷噪声</w:t>
            </w:r>
          </w:p>
        </w:tc>
        <w:tc>
          <w:tcPr>
            <w:tcW w:w="351" w:type="pct"/>
            <w:tcBorders>
              <w:top w:val="single" w:color="auto" w:sz="4" w:space="0"/>
              <w:left w:val="single" w:color="auto" w:sz="4" w:space="0"/>
              <w:bottom w:val="single" w:color="auto" w:sz="4" w:space="0"/>
              <w:right w:val="single" w:color="auto" w:sz="4" w:space="0"/>
            </w:tcBorders>
          </w:tcPr>
          <w:p w14:paraId="3D0D86CF">
            <w:pPr>
              <w:keepNext w:val="0"/>
              <w:keepLines w:val="0"/>
              <w:pageBreakBefore w:val="0"/>
              <w:widowControl/>
              <w:suppressLineNumbers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井场</w:t>
            </w:r>
            <w:r>
              <w:rPr>
                <w:rFonts w:hint="default" w:ascii="Times New Roman" w:hAnsi="Times New Roman" w:cs="Times New Roman"/>
                <w:color w:val="auto"/>
                <w:sz w:val="21"/>
                <w:szCs w:val="21"/>
                <w:highlight w:val="none"/>
                <w:lang w:val="en-US" w:eastAsia="zh-CN"/>
              </w:rPr>
              <w:t>、油气</w:t>
            </w:r>
            <w:r>
              <w:rPr>
                <w:rFonts w:hint="eastAsia" w:cs="Times New Roman"/>
                <w:color w:val="auto"/>
                <w:sz w:val="21"/>
                <w:szCs w:val="21"/>
                <w:highlight w:val="none"/>
                <w:lang w:val="en-US" w:eastAsia="zh-CN"/>
              </w:rPr>
              <w:t>开采集输</w:t>
            </w:r>
            <w:r>
              <w:rPr>
                <w:rFonts w:hint="default" w:ascii="Times New Roman" w:hAnsi="Times New Roman" w:cs="Times New Roman"/>
                <w:color w:val="auto"/>
                <w:sz w:val="21"/>
                <w:szCs w:val="21"/>
                <w:highlight w:val="none"/>
                <w:lang w:val="en-US" w:eastAsia="zh-CN"/>
              </w:rPr>
              <w:t>工程等无组织废气</w:t>
            </w:r>
            <w:r>
              <w:rPr>
                <w:rFonts w:hint="eastAsia" w:cs="Times New Roman"/>
                <w:color w:val="auto"/>
                <w:sz w:val="21"/>
                <w:szCs w:val="21"/>
                <w:highlight w:val="none"/>
                <w:lang w:val="en-US" w:eastAsia="zh-CN"/>
              </w:rPr>
              <w:t>、温室气体排放</w:t>
            </w:r>
          </w:p>
        </w:tc>
        <w:tc>
          <w:tcPr>
            <w:tcW w:w="346" w:type="pct"/>
            <w:tcBorders>
              <w:top w:val="single" w:color="auto" w:sz="4" w:space="0"/>
              <w:left w:val="single" w:color="auto" w:sz="4" w:space="0"/>
              <w:bottom w:val="single" w:color="auto" w:sz="4" w:space="0"/>
              <w:right w:val="single" w:color="auto" w:sz="4" w:space="0"/>
            </w:tcBorders>
          </w:tcPr>
          <w:p w14:paraId="6785EB96">
            <w:pPr>
              <w:keepNext w:val="0"/>
              <w:keepLines w:val="0"/>
              <w:pageBreakBefore w:val="0"/>
              <w:widowControl/>
              <w:suppressLineNumbers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采出水、井下作业废液、生活污水等污</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废</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水等</w:t>
            </w:r>
          </w:p>
        </w:tc>
        <w:tc>
          <w:tcPr>
            <w:tcW w:w="399" w:type="pct"/>
            <w:tcBorders>
              <w:top w:val="single" w:color="auto" w:sz="4" w:space="0"/>
              <w:left w:val="single" w:color="auto" w:sz="4" w:space="0"/>
              <w:bottom w:val="single" w:color="auto" w:sz="4" w:space="0"/>
              <w:right w:val="single" w:color="auto" w:sz="4" w:space="0"/>
            </w:tcBorders>
          </w:tcPr>
          <w:p w14:paraId="0EBC7314">
            <w:pPr>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井下作业、采油、石油集输等环节产生落地油、含油清管废渣</w:t>
            </w:r>
            <w:r>
              <w:rPr>
                <w:rFonts w:hint="default" w:ascii="Times New Roman" w:hAnsi="Times New Roman" w:cs="Times New Roman"/>
                <w:color w:val="auto"/>
                <w:sz w:val="21"/>
                <w:szCs w:val="21"/>
                <w:highlight w:val="none"/>
              </w:rPr>
              <w:t>等</w:t>
            </w:r>
          </w:p>
        </w:tc>
        <w:tc>
          <w:tcPr>
            <w:tcW w:w="305" w:type="pct"/>
            <w:tcBorders>
              <w:top w:val="single" w:color="auto" w:sz="4" w:space="0"/>
              <w:left w:val="single" w:color="auto" w:sz="4" w:space="0"/>
              <w:bottom w:val="single" w:color="auto" w:sz="4" w:space="0"/>
              <w:right w:val="single" w:color="auto" w:sz="4" w:space="0"/>
            </w:tcBorders>
          </w:tcPr>
          <w:p w14:paraId="5F30EF68">
            <w:pPr>
              <w:pStyle w:val="5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设备</w:t>
            </w:r>
            <w:r>
              <w:rPr>
                <w:rFonts w:hint="default" w:ascii="Times New Roman" w:hAnsi="Times New Roman" w:cs="Times New Roman"/>
                <w:color w:val="auto"/>
                <w:sz w:val="21"/>
                <w:szCs w:val="21"/>
                <w:highlight w:val="none"/>
                <w:lang w:val="en-US" w:eastAsia="zh-CN"/>
              </w:rPr>
              <w:t>噪声和放空噪声</w:t>
            </w:r>
          </w:p>
        </w:tc>
        <w:tc>
          <w:tcPr>
            <w:tcW w:w="414" w:type="pct"/>
            <w:tcBorders>
              <w:top w:val="single" w:color="auto" w:sz="4" w:space="0"/>
              <w:left w:val="single" w:color="auto" w:sz="4" w:space="0"/>
              <w:bottom w:val="single" w:color="auto" w:sz="4" w:space="0"/>
              <w:right w:val="single" w:color="auto" w:sz="4" w:space="0"/>
            </w:tcBorders>
          </w:tcPr>
          <w:p w14:paraId="798D5C58">
            <w:pPr>
              <w:pStyle w:val="5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原油</w:t>
            </w:r>
            <w:r>
              <w:rPr>
                <w:rFonts w:hint="default" w:ascii="Times New Roman" w:hAnsi="Times New Roman" w:cs="Times New Roman"/>
                <w:color w:val="auto"/>
                <w:sz w:val="21"/>
                <w:szCs w:val="21"/>
                <w:highlight w:val="none"/>
              </w:rPr>
              <w:t>、天然气</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硫化氢</w:t>
            </w:r>
            <w:r>
              <w:rPr>
                <w:rFonts w:hint="default" w:ascii="Times New Roman" w:hAnsi="Times New Roman" w:cs="Times New Roman"/>
                <w:color w:val="auto"/>
                <w:sz w:val="21"/>
                <w:szCs w:val="21"/>
                <w:highlight w:val="none"/>
              </w:rPr>
              <w:t>等危险物质泄漏，以及火灾、爆炸、井喷等</w:t>
            </w:r>
            <w:r>
              <w:rPr>
                <w:rFonts w:hint="default" w:ascii="Times New Roman" w:hAnsi="Times New Roman" w:cs="Times New Roman"/>
                <w:color w:val="auto"/>
                <w:sz w:val="21"/>
                <w:szCs w:val="21"/>
                <w:highlight w:val="none"/>
                <w:lang w:val="en-US" w:eastAsia="zh-CN"/>
              </w:rPr>
              <w:t>事故</w:t>
            </w:r>
            <w:r>
              <w:rPr>
                <w:rFonts w:hint="default" w:ascii="Times New Roman" w:hAnsi="Times New Roman" w:cs="Times New Roman"/>
                <w:color w:val="auto"/>
                <w:sz w:val="21"/>
                <w:szCs w:val="21"/>
                <w:highlight w:val="none"/>
              </w:rPr>
              <w:t>引发的伴生/次生污染物</w:t>
            </w:r>
          </w:p>
        </w:tc>
        <w:tc>
          <w:tcPr>
            <w:tcW w:w="369" w:type="pct"/>
            <w:tcBorders>
              <w:top w:val="single" w:color="auto" w:sz="4" w:space="0"/>
              <w:left w:val="single" w:color="auto" w:sz="4" w:space="0"/>
              <w:bottom w:val="single" w:color="auto" w:sz="4" w:space="0"/>
              <w:right w:val="single" w:color="auto" w:sz="4" w:space="0"/>
            </w:tcBorders>
          </w:tcPr>
          <w:p w14:paraId="06FAC09E">
            <w:pPr>
              <w:pStyle w:val="5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构筑物拆卸扬尘</w:t>
            </w:r>
          </w:p>
        </w:tc>
        <w:tc>
          <w:tcPr>
            <w:tcW w:w="400" w:type="pct"/>
            <w:tcBorders>
              <w:top w:val="single" w:color="auto" w:sz="4" w:space="0"/>
              <w:left w:val="single" w:color="auto" w:sz="4" w:space="0"/>
              <w:bottom w:val="single" w:color="auto" w:sz="4" w:space="0"/>
              <w:right w:val="single" w:color="auto" w:sz="4" w:space="0"/>
            </w:tcBorders>
          </w:tcPr>
          <w:p w14:paraId="355B21D4">
            <w:pPr>
              <w:pStyle w:val="5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地面设施拆除、井场清理等环节产生的废弃管道和设备、建筑垃圾等</w:t>
            </w:r>
          </w:p>
        </w:tc>
        <w:tc>
          <w:tcPr>
            <w:tcW w:w="401" w:type="pct"/>
            <w:tcBorders>
              <w:top w:val="single" w:color="auto" w:sz="4" w:space="0"/>
              <w:left w:val="single" w:color="auto" w:sz="4" w:space="0"/>
              <w:bottom w:val="single" w:color="auto" w:sz="4" w:space="0"/>
              <w:right w:val="single" w:color="auto" w:sz="4" w:space="0"/>
            </w:tcBorders>
          </w:tcPr>
          <w:p w14:paraId="35463B66">
            <w:pPr>
              <w:pStyle w:val="5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土地复垦</w:t>
            </w:r>
          </w:p>
        </w:tc>
      </w:tr>
      <w:tr w14:paraId="7F264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351D50EA">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地表水</w:t>
            </w:r>
          </w:p>
        </w:tc>
        <w:tc>
          <w:tcPr>
            <w:tcW w:w="313" w:type="pct"/>
            <w:tcBorders>
              <w:top w:val="single" w:color="auto" w:sz="4" w:space="0"/>
              <w:left w:val="single" w:color="auto" w:sz="4" w:space="0"/>
              <w:bottom w:val="single" w:color="auto" w:sz="4" w:space="0"/>
              <w:right w:val="single" w:color="auto" w:sz="4" w:space="0"/>
            </w:tcBorders>
            <w:vAlign w:val="top"/>
          </w:tcPr>
          <w:p w14:paraId="7588698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72" w:type="pct"/>
            <w:tcBorders>
              <w:top w:val="single" w:color="auto" w:sz="4" w:space="0"/>
              <w:left w:val="single" w:color="auto" w:sz="4" w:space="0"/>
              <w:bottom w:val="single" w:color="auto" w:sz="4" w:space="0"/>
              <w:right w:val="single" w:color="auto" w:sz="4" w:space="0"/>
            </w:tcBorders>
            <w:vAlign w:val="top"/>
          </w:tcPr>
          <w:p w14:paraId="6A8D199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292" w:type="pct"/>
            <w:tcBorders>
              <w:top w:val="single" w:color="auto" w:sz="4" w:space="0"/>
              <w:left w:val="single" w:color="auto" w:sz="4" w:space="0"/>
              <w:bottom w:val="single" w:color="auto" w:sz="4" w:space="0"/>
              <w:right w:val="single" w:color="auto" w:sz="4" w:space="0"/>
            </w:tcBorders>
            <w:vAlign w:val="top"/>
          </w:tcPr>
          <w:p w14:paraId="7CD6AB1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w:t>
            </w:r>
          </w:p>
        </w:tc>
        <w:tc>
          <w:tcPr>
            <w:tcW w:w="335" w:type="pct"/>
            <w:tcBorders>
              <w:top w:val="single" w:color="auto" w:sz="4" w:space="0"/>
              <w:left w:val="single" w:color="auto" w:sz="4" w:space="0"/>
              <w:bottom w:val="single" w:color="auto" w:sz="4" w:space="0"/>
              <w:right w:val="single" w:color="auto" w:sz="4" w:space="0"/>
            </w:tcBorders>
            <w:vAlign w:val="top"/>
          </w:tcPr>
          <w:p w14:paraId="0C9E95F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w:t>
            </w:r>
          </w:p>
        </w:tc>
        <w:tc>
          <w:tcPr>
            <w:tcW w:w="311" w:type="pct"/>
            <w:tcBorders>
              <w:top w:val="single" w:color="auto" w:sz="4" w:space="0"/>
              <w:left w:val="single" w:color="auto" w:sz="4" w:space="0"/>
              <w:bottom w:val="single" w:color="auto" w:sz="4" w:space="0"/>
              <w:right w:val="single" w:color="auto" w:sz="4" w:space="0"/>
            </w:tcBorders>
            <w:vAlign w:val="top"/>
          </w:tcPr>
          <w:p w14:paraId="16B1B66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51" w:type="pct"/>
            <w:tcBorders>
              <w:top w:val="single" w:color="auto" w:sz="4" w:space="0"/>
              <w:left w:val="single" w:color="auto" w:sz="4" w:space="0"/>
              <w:bottom w:val="single" w:color="auto" w:sz="4" w:space="0"/>
              <w:right w:val="single" w:color="auto" w:sz="4" w:space="0"/>
            </w:tcBorders>
            <w:vAlign w:val="top"/>
          </w:tcPr>
          <w:p w14:paraId="083E246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46" w:type="pct"/>
            <w:tcBorders>
              <w:top w:val="single" w:color="auto" w:sz="4" w:space="0"/>
              <w:left w:val="single" w:color="auto" w:sz="4" w:space="0"/>
              <w:bottom w:val="single" w:color="auto" w:sz="4" w:space="0"/>
              <w:right w:val="single" w:color="auto" w:sz="4" w:space="0"/>
            </w:tcBorders>
            <w:vAlign w:val="top"/>
          </w:tcPr>
          <w:p w14:paraId="6797C48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w:t>
            </w:r>
          </w:p>
        </w:tc>
        <w:tc>
          <w:tcPr>
            <w:tcW w:w="399" w:type="pct"/>
            <w:tcBorders>
              <w:top w:val="single" w:color="auto" w:sz="4" w:space="0"/>
              <w:left w:val="single" w:color="auto" w:sz="4" w:space="0"/>
              <w:bottom w:val="single" w:color="auto" w:sz="4" w:space="0"/>
              <w:right w:val="single" w:color="auto" w:sz="4" w:space="0"/>
            </w:tcBorders>
            <w:vAlign w:val="top"/>
          </w:tcPr>
          <w:p w14:paraId="1424B65B">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05" w:type="pct"/>
            <w:tcBorders>
              <w:top w:val="single" w:color="auto" w:sz="4" w:space="0"/>
              <w:left w:val="single" w:color="auto" w:sz="4" w:space="0"/>
              <w:bottom w:val="single" w:color="auto" w:sz="4" w:space="0"/>
              <w:right w:val="single" w:color="auto" w:sz="4" w:space="0"/>
            </w:tcBorders>
            <w:vAlign w:val="top"/>
          </w:tcPr>
          <w:p w14:paraId="66FB399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14" w:type="pct"/>
            <w:tcBorders>
              <w:top w:val="single" w:color="auto" w:sz="4" w:space="0"/>
              <w:left w:val="single" w:color="auto" w:sz="4" w:space="0"/>
              <w:bottom w:val="single" w:color="auto" w:sz="4" w:space="0"/>
              <w:right w:val="single" w:color="auto" w:sz="4" w:space="0"/>
            </w:tcBorders>
            <w:vAlign w:val="top"/>
          </w:tcPr>
          <w:p w14:paraId="7F29952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tcBorders>
              <w:top w:val="single" w:color="auto" w:sz="4" w:space="0"/>
              <w:left w:val="single" w:color="auto" w:sz="4" w:space="0"/>
              <w:bottom w:val="single" w:color="auto" w:sz="4" w:space="0"/>
              <w:right w:val="single" w:color="auto" w:sz="4" w:space="0"/>
            </w:tcBorders>
            <w:vAlign w:val="top"/>
          </w:tcPr>
          <w:p w14:paraId="00A072E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00" w:type="pct"/>
            <w:tcBorders>
              <w:top w:val="single" w:color="auto" w:sz="4" w:space="0"/>
              <w:left w:val="single" w:color="auto" w:sz="4" w:space="0"/>
              <w:bottom w:val="single" w:color="auto" w:sz="4" w:space="0"/>
              <w:right w:val="single" w:color="auto" w:sz="4" w:space="0"/>
            </w:tcBorders>
            <w:vAlign w:val="top"/>
          </w:tcPr>
          <w:p w14:paraId="3A7900A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01" w:type="pct"/>
            <w:tcBorders>
              <w:top w:val="single" w:color="auto" w:sz="4" w:space="0"/>
              <w:left w:val="single" w:color="auto" w:sz="4" w:space="0"/>
              <w:bottom w:val="single" w:color="auto" w:sz="4" w:space="0"/>
              <w:right w:val="single" w:color="auto" w:sz="4" w:space="0"/>
            </w:tcBorders>
            <w:vAlign w:val="top"/>
          </w:tcPr>
          <w:p w14:paraId="328D017E">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r>
              <w:rPr>
                <w:rFonts w:hint="default" w:ascii="Times New Roman" w:hAnsi="Times New Roman" w:cs="Times New Roman"/>
                <w:color w:val="auto"/>
                <w:position w:val="-2"/>
                <w:sz w:val="21"/>
                <w:szCs w:val="21"/>
                <w:highlight w:val="none"/>
              </w:rPr>
              <w:t>〇</w:t>
            </w:r>
          </w:p>
        </w:tc>
      </w:tr>
      <w:tr w14:paraId="1696E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781FE583">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地下水</w:t>
            </w:r>
          </w:p>
        </w:tc>
        <w:tc>
          <w:tcPr>
            <w:tcW w:w="313" w:type="pct"/>
            <w:tcBorders>
              <w:top w:val="single" w:color="auto" w:sz="4" w:space="0"/>
              <w:left w:val="single" w:color="auto" w:sz="4" w:space="0"/>
              <w:bottom w:val="single" w:color="auto" w:sz="4" w:space="0"/>
              <w:right w:val="single" w:color="auto" w:sz="4" w:space="0"/>
            </w:tcBorders>
            <w:vAlign w:val="top"/>
          </w:tcPr>
          <w:p w14:paraId="325E955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72" w:type="pct"/>
            <w:tcBorders>
              <w:top w:val="single" w:color="auto" w:sz="4" w:space="0"/>
              <w:left w:val="single" w:color="auto" w:sz="4" w:space="0"/>
              <w:bottom w:val="single" w:color="auto" w:sz="4" w:space="0"/>
              <w:right w:val="single" w:color="auto" w:sz="4" w:space="0"/>
            </w:tcBorders>
            <w:vAlign w:val="top"/>
          </w:tcPr>
          <w:p w14:paraId="514F390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292" w:type="pct"/>
            <w:tcBorders>
              <w:top w:val="single" w:color="auto" w:sz="4" w:space="0"/>
              <w:left w:val="single" w:color="auto" w:sz="4" w:space="0"/>
              <w:bottom w:val="single" w:color="auto" w:sz="4" w:space="0"/>
              <w:right w:val="single" w:color="auto" w:sz="4" w:space="0"/>
            </w:tcBorders>
            <w:vAlign w:val="top"/>
          </w:tcPr>
          <w:p w14:paraId="6C6501F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w:t>
            </w:r>
          </w:p>
        </w:tc>
        <w:tc>
          <w:tcPr>
            <w:tcW w:w="335" w:type="pct"/>
            <w:tcBorders>
              <w:top w:val="single" w:color="auto" w:sz="4" w:space="0"/>
              <w:left w:val="single" w:color="auto" w:sz="4" w:space="0"/>
              <w:bottom w:val="single" w:color="auto" w:sz="4" w:space="0"/>
              <w:right w:val="single" w:color="auto" w:sz="4" w:space="0"/>
            </w:tcBorders>
            <w:vAlign w:val="top"/>
          </w:tcPr>
          <w:p w14:paraId="65352E2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w:t>
            </w:r>
          </w:p>
        </w:tc>
        <w:tc>
          <w:tcPr>
            <w:tcW w:w="311" w:type="pct"/>
            <w:tcBorders>
              <w:top w:val="single" w:color="auto" w:sz="4" w:space="0"/>
              <w:left w:val="single" w:color="auto" w:sz="4" w:space="0"/>
              <w:bottom w:val="single" w:color="auto" w:sz="4" w:space="0"/>
              <w:right w:val="single" w:color="auto" w:sz="4" w:space="0"/>
            </w:tcBorders>
            <w:vAlign w:val="top"/>
          </w:tcPr>
          <w:p w14:paraId="00CC173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51" w:type="pct"/>
            <w:tcBorders>
              <w:top w:val="single" w:color="auto" w:sz="4" w:space="0"/>
              <w:left w:val="single" w:color="auto" w:sz="4" w:space="0"/>
              <w:bottom w:val="single" w:color="auto" w:sz="4" w:space="0"/>
              <w:right w:val="single" w:color="auto" w:sz="4" w:space="0"/>
            </w:tcBorders>
            <w:vAlign w:val="top"/>
          </w:tcPr>
          <w:p w14:paraId="7D55B4C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46" w:type="pct"/>
            <w:tcBorders>
              <w:top w:val="single" w:color="auto" w:sz="4" w:space="0"/>
              <w:left w:val="single" w:color="auto" w:sz="4" w:space="0"/>
              <w:bottom w:val="single" w:color="auto" w:sz="4" w:space="0"/>
              <w:right w:val="single" w:color="auto" w:sz="4" w:space="0"/>
            </w:tcBorders>
            <w:vAlign w:val="top"/>
          </w:tcPr>
          <w:p w14:paraId="7A774F8B">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99" w:type="pct"/>
            <w:tcBorders>
              <w:top w:val="single" w:color="auto" w:sz="4" w:space="0"/>
              <w:left w:val="single" w:color="auto" w:sz="4" w:space="0"/>
              <w:bottom w:val="single" w:color="auto" w:sz="4" w:space="0"/>
              <w:right w:val="single" w:color="auto" w:sz="4" w:space="0"/>
            </w:tcBorders>
            <w:vAlign w:val="top"/>
          </w:tcPr>
          <w:p w14:paraId="04F165B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w:t>
            </w:r>
          </w:p>
        </w:tc>
        <w:tc>
          <w:tcPr>
            <w:tcW w:w="305" w:type="pct"/>
            <w:tcBorders>
              <w:top w:val="single" w:color="auto" w:sz="4" w:space="0"/>
              <w:left w:val="single" w:color="auto" w:sz="4" w:space="0"/>
              <w:bottom w:val="single" w:color="auto" w:sz="4" w:space="0"/>
              <w:right w:val="single" w:color="auto" w:sz="4" w:space="0"/>
            </w:tcBorders>
            <w:vAlign w:val="top"/>
          </w:tcPr>
          <w:p w14:paraId="6904855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14" w:type="pct"/>
            <w:tcBorders>
              <w:top w:val="single" w:color="auto" w:sz="4" w:space="0"/>
              <w:left w:val="single" w:color="auto" w:sz="4" w:space="0"/>
              <w:bottom w:val="single" w:color="auto" w:sz="4" w:space="0"/>
              <w:right w:val="single" w:color="auto" w:sz="4" w:space="0"/>
            </w:tcBorders>
            <w:vAlign w:val="top"/>
          </w:tcPr>
          <w:p w14:paraId="5924A075">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tcBorders>
              <w:top w:val="single" w:color="auto" w:sz="4" w:space="0"/>
              <w:left w:val="single" w:color="auto" w:sz="4" w:space="0"/>
              <w:bottom w:val="single" w:color="auto" w:sz="4" w:space="0"/>
              <w:right w:val="single" w:color="auto" w:sz="4" w:space="0"/>
            </w:tcBorders>
            <w:vAlign w:val="top"/>
          </w:tcPr>
          <w:p w14:paraId="46504D8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00" w:type="pct"/>
            <w:tcBorders>
              <w:top w:val="single" w:color="auto" w:sz="4" w:space="0"/>
              <w:left w:val="single" w:color="auto" w:sz="4" w:space="0"/>
              <w:bottom w:val="single" w:color="auto" w:sz="4" w:space="0"/>
              <w:right w:val="single" w:color="auto" w:sz="4" w:space="0"/>
            </w:tcBorders>
            <w:vAlign w:val="top"/>
          </w:tcPr>
          <w:p w14:paraId="4E16F0F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1" w:type="pct"/>
            <w:tcBorders>
              <w:top w:val="single" w:color="auto" w:sz="4" w:space="0"/>
              <w:left w:val="single" w:color="auto" w:sz="4" w:space="0"/>
              <w:bottom w:val="single" w:color="auto" w:sz="4" w:space="0"/>
              <w:right w:val="single" w:color="auto" w:sz="4" w:space="0"/>
            </w:tcBorders>
          </w:tcPr>
          <w:p w14:paraId="014080F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r>
              <w:rPr>
                <w:rFonts w:hint="default" w:ascii="Times New Roman" w:hAnsi="Times New Roman" w:cs="Times New Roman"/>
                <w:color w:val="auto"/>
                <w:w w:val="85"/>
                <w:sz w:val="21"/>
                <w:szCs w:val="21"/>
                <w:highlight w:val="none"/>
              </w:rPr>
              <w:t>+</w:t>
            </w:r>
          </w:p>
        </w:tc>
      </w:tr>
      <w:tr w14:paraId="65464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53B4904D">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大气环境</w:t>
            </w:r>
          </w:p>
        </w:tc>
        <w:tc>
          <w:tcPr>
            <w:tcW w:w="313" w:type="pct"/>
            <w:tcBorders>
              <w:top w:val="single" w:color="auto" w:sz="4" w:space="0"/>
              <w:left w:val="single" w:color="auto" w:sz="4" w:space="0"/>
              <w:bottom w:val="single" w:color="auto" w:sz="4" w:space="0"/>
              <w:right w:val="single" w:color="auto" w:sz="4" w:space="0"/>
            </w:tcBorders>
            <w:vAlign w:val="top"/>
          </w:tcPr>
          <w:p w14:paraId="73E44B4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72" w:type="pct"/>
            <w:tcBorders>
              <w:top w:val="single" w:color="auto" w:sz="4" w:space="0"/>
              <w:left w:val="single" w:color="auto" w:sz="4" w:space="0"/>
              <w:bottom w:val="single" w:color="auto" w:sz="4" w:space="0"/>
              <w:right w:val="single" w:color="auto" w:sz="4" w:space="0"/>
            </w:tcBorders>
            <w:vAlign w:val="top"/>
          </w:tcPr>
          <w:p w14:paraId="49BDBFDB">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292" w:type="pct"/>
            <w:tcBorders>
              <w:top w:val="single" w:color="auto" w:sz="4" w:space="0"/>
              <w:left w:val="single" w:color="auto" w:sz="4" w:space="0"/>
              <w:bottom w:val="single" w:color="auto" w:sz="4" w:space="0"/>
              <w:right w:val="single" w:color="auto" w:sz="4" w:space="0"/>
            </w:tcBorders>
            <w:vAlign w:val="top"/>
          </w:tcPr>
          <w:p w14:paraId="35011C1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35" w:type="pct"/>
            <w:tcBorders>
              <w:top w:val="single" w:color="auto" w:sz="4" w:space="0"/>
              <w:left w:val="single" w:color="auto" w:sz="4" w:space="0"/>
              <w:bottom w:val="single" w:color="auto" w:sz="4" w:space="0"/>
              <w:right w:val="single" w:color="auto" w:sz="4" w:space="0"/>
            </w:tcBorders>
            <w:vAlign w:val="top"/>
          </w:tcPr>
          <w:p w14:paraId="2429196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11" w:type="pct"/>
            <w:tcBorders>
              <w:top w:val="single" w:color="auto" w:sz="4" w:space="0"/>
              <w:left w:val="single" w:color="auto" w:sz="4" w:space="0"/>
              <w:bottom w:val="single" w:color="auto" w:sz="4" w:space="0"/>
              <w:right w:val="single" w:color="auto" w:sz="4" w:space="0"/>
            </w:tcBorders>
            <w:vAlign w:val="top"/>
          </w:tcPr>
          <w:p w14:paraId="280F13B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51" w:type="pct"/>
            <w:tcBorders>
              <w:top w:val="single" w:color="auto" w:sz="4" w:space="0"/>
              <w:left w:val="single" w:color="auto" w:sz="4" w:space="0"/>
              <w:bottom w:val="single" w:color="auto" w:sz="4" w:space="0"/>
              <w:right w:val="single" w:color="auto" w:sz="4" w:space="0"/>
            </w:tcBorders>
            <w:vAlign w:val="top"/>
          </w:tcPr>
          <w:p w14:paraId="728129D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46" w:type="pct"/>
            <w:tcBorders>
              <w:top w:val="single" w:color="auto" w:sz="4" w:space="0"/>
              <w:left w:val="single" w:color="auto" w:sz="4" w:space="0"/>
              <w:bottom w:val="single" w:color="auto" w:sz="4" w:space="0"/>
              <w:right w:val="single" w:color="auto" w:sz="4" w:space="0"/>
            </w:tcBorders>
            <w:vAlign w:val="top"/>
          </w:tcPr>
          <w:p w14:paraId="3826BF5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99" w:type="pct"/>
            <w:tcBorders>
              <w:top w:val="single" w:color="auto" w:sz="4" w:space="0"/>
              <w:left w:val="single" w:color="auto" w:sz="4" w:space="0"/>
              <w:bottom w:val="single" w:color="auto" w:sz="4" w:space="0"/>
              <w:right w:val="single" w:color="auto" w:sz="4" w:space="0"/>
            </w:tcBorders>
            <w:vAlign w:val="top"/>
          </w:tcPr>
          <w:p w14:paraId="66F02B6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05" w:type="pct"/>
            <w:tcBorders>
              <w:top w:val="single" w:color="auto" w:sz="4" w:space="0"/>
              <w:left w:val="single" w:color="auto" w:sz="4" w:space="0"/>
              <w:bottom w:val="single" w:color="auto" w:sz="4" w:space="0"/>
              <w:right w:val="single" w:color="auto" w:sz="4" w:space="0"/>
            </w:tcBorders>
            <w:vAlign w:val="top"/>
          </w:tcPr>
          <w:p w14:paraId="2F5C38C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14" w:type="pct"/>
            <w:tcBorders>
              <w:top w:val="single" w:color="auto" w:sz="4" w:space="0"/>
              <w:left w:val="single" w:color="auto" w:sz="4" w:space="0"/>
              <w:bottom w:val="single" w:color="auto" w:sz="4" w:space="0"/>
              <w:right w:val="single" w:color="auto" w:sz="4" w:space="0"/>
            </w:tcBorders>
            <w:vAlign w:val="top"/>
          </w:tcPr>
          <w:p w14:paraId="754D231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tcBorders>
              <w:top w:val="single" w:color="auto" w:sz="4" w:space="0"/>
              <w:left w:val="single" w:color="auto" w:sz="4" w:space="0"/>
              <w:bottom w:val="single" w:color="auto" w:sz="4" w:space="0"/>
              <w:right w:val="single" w:color="auto" w:sz="4" w:space="0"/>
            </w:tcBorders>
            <w:vAlign w:val="top"/>
          </w:tcPr>
          <w:p w14:paraId="039325E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0" w:type="pct"/>
            <w:tcBorders>
              <w:top w:val="single" w:color="auto" w:sz="4" w:space="0"/>
              <w:left w:val="single" w:color="auto" w:sz="4" w:space="0"/>
              <w:bottom w:val="single" w:color="auto" w:sz="4" w:space="0"/>
              <w:right w:val="single" w:color="auto" w:sz="4" w:space="0"/>
            </w:tcBorders>
            <w:vAlign w:val="top"/>
          </w:tcPr>
          <w:p w14:paraId="668133C6">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1" w:type="pct"/>
            <w:tcBorders>
              <w:top w:val="single" w:color="auto" w:sz="4" w:space="0"/>
              <w:left w:val="single" w:color="auto" w:sz="4" w:space="0"/>
              <w:bottom w:val="single" w:color="auto" w:sz="4" w:space="0"/>
              <w:right w:val="single" w:color="auto" w:sz="4" w:space="0"/>
            </w:tcBorders>
          </w:tcPr>
          <w:p w14:paraId="0DD964C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r>
              <w:rPr>
                <w:rFonts w:hint="default" w:ascii="Times New Roman" w:hAnsi="Times New Roman" w:cs="Times New Roman"/>
                <w:color w:val="auto"/>
                <w:position w:val="-2"/>
                <w:sz w:val="21"/>
                <w:szCs w:val="21"/>
                <w:highlight w:val="none"/>
              </w:rPr>
              <w:t>〇</w:t>
            </w:r>
          </w:p>
        </w:tc>
      </w:tr>
      <w:tr w14:paraId="4A403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32C667F1">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声环境</w:t>
            </w:r>
          </w:p>
        </w:tc>
        <w:tc>
          <w:tcPr>
            <w:tcW w:w="313" w:type="pct"/>
            <w:tcBorders>
              <w:top w:val="single" w:color="auto" w:sz="4" w:space="0"/>
              <w:left w:val="single" w:color="auto" w:sz="4" w:space="0"/>
              <w:bottom w:val="single" w:color="auto" w:sz="4" w:space="0"/>
              <w:right w:val="single" w:color="auto" w:sz="4" w:space="0"/>
            </w:tcBorders>
            <w:vAlign w:val="top"/>
          </w:tcPr>
          <w:p w14:paraId="43AF7C26">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72" w:type="pct"/>
            <w:tcBorders>
              <w:top w:val="single" w:color="auto" w:sz="4" w:space="0"/>
              <w:left w:val="single" w:color="auto" w:sz="4" w:space="0"/>
              <w:bottom w:val="single" w:color="auto" w:sz="4" w:space="0"/>
              <w:right w:val="single" w:color="auto" w:sz="4" w:space="0"/>
            </w:tcBorders>
            <w:vAlign w:val="top"/>
          </w:tcPr>
          <w:p w14:paraId="6E54409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292" w:type="pct"/>
            <w:tcBorders>
              <w:top w:val="single" w:color="auto" w:sz="4" w:space="0"/>
              <w:left w:val="single" w:color="auto" w:sz="4" w:space="0"/>
              <w:bottom w:val="single" w:color="auto" w:sz="4" w:space="0"/>
              <w:right w:val="single" w:color="auto" w:sz="4" w:space="0"/>
            </w:tcBorders>
            <w:vAlign w:val="top"/>
          </w:tcPr>
          <w:p w14:paraId="4780BB3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35" w:type="pct"/>
            <w:tcBorders>
              <w:top w:val="single" w:color="auto" w:sz="4" w:space="0"/>
              <w:left w:val="single" w:color="auto" w:sz="4" w:space="0"/>
              <w:bottom w:val="single" w:color="auto" w:sz="4" w:space="0"/>
              <w:right w:val="single" w:color="auto" w:sz="4" w:space="0"/>
            </w:tcBorders>
            <w:vAlign w:val="top"/>
          </w:tcPr>
          <w:p w14:paraId="7E51CAB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11" w:type="pct"/>
            <w:tcBorders>
              <w:top w:val="single" w:color="auto" w:sz="4" w:space="0"/>
              <w:left w:val="single" w:color="auto" w:sz="4" w:space="0"/>
              <w:bottom w:val="single" w:color="auto" w:sz="4" w:space="0"/>
              <w:right w:val="single" w:color="auto" w:sz="4" w:space="0"/>
            </w:tcBorders>
            <w:vAlign w:val="top"/>
          </w:tcPr>
          <w:p w14:paraId="06C6180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51" w:type="pct"/>
            <w:tcBorders>
              <w:top w:val="single" w:color="auto" w:sz="4" w:space="0"/>
              <w:left w:val="single" w:color="auto" w:sz="4" w:space="0"/>
              <w:bottom w:val="single" w:color="auto" w:sz="4" w:space="0"/>
              <w:right w:val="single" w:color="auto" w:sz="4" w:space="0"/>
            </w:tcBorders>
            <w:vAlign w:val="top"/>
          </w:tcPr>
          <w:p w14:paraId="48C4B4D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46" w:type="pct"/>
            <w:tcBorders>
              <w:top w:val="single" w:color="auto" w:sz="4" w:space="0"/>
              <w:left w:val="single" w:color="auto" w:sz="4" w:space="0"/>
              <w:bottom w:val="single" w:color="auto" w:sz="4" w:space="0"/>
              <w:right w:val="single" w:color="auto" w:sz="4" w:space="0"/>
            </w:tcBorders>
            <w:vAlign w:val="top"/>
          </w:tcPr>
          <w:p w14:paraId="3ED715D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99" w:type="pct"/>
            <w:tcBorders>
              <w:top w:val="single" w:color="auto" w:sz="4" w:space="0"/>
              <w:left w:val="single" w:color="auto" w:sz="4" w:space="0"/>
              <w:bottom w:val="single" w:color="auto" w:sz="4" w:space="0"/>
              <w:right w:val="single" w:color="auto" w:sz="4" w:space="0"/>
            </w:tcBorders>
            <w:vAlign w:val="top"/>
          </w:tcPr>
          <w:p w14:paraId="316697BC">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05" w:type="pct"/>
            <w:tcBorders>
              <w:top w:val="single" w:color="auto" w:sz="4" w:space="0"/>
              <w:left w:val="single" w:color="auto" w:sz="4" w:space="0"/>
              <w:bottom w:val="single" w:color="auto" w:sz="4" w:space="0"/>
              <w:right w:val="single" w:color="auto" w:sz="4" w:space="0"/>
            </w:tcBorders>
            <w:vAlign w:val="top"/>
          </w:tcPr>
          <w:p w14:paraId="2D90A47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14" w:type="pct"/>
            <w:tcBorders>
              <w:top w:val="single" w:color="auto" w:sz="4" w:space="0"/>
              <w:left w:val="single" w:color="auto" w:sz="4" w:space="0"/>
              <w:bottom w:val="single" w:color="auto" w:sz="4" w:space="0"/>
              <w:right w:val="single" w:color="auto" w:sz="4" w:space="0"/>
            </w:tcBorders>
            <w:vAlign w:val="top"/>
          </w:tcPr>
          <w:p w14:paraId="4C7413A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tcBorders>
              <w:top w:val="single" w:color="auto" w:sz="4" w:space="0"/>
              <w:left w:val="single" w:color="auto" w:sz="4" w:space="0"/>
              <w:bottom w:val="single" w:color="auto" w:sz="4" w:space="0"/>
              <w:right w:val="single" w:color="auto" w:sz="4" w:space="0"/>
            </w:tcBorders>
            <w:vAlign w:val="top"/>
          </w:tcPr>
          <w:p w14:paraId="27382F48">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00" w:type="pct"/>
            <w:tcBorders>
              <w:top w:val="single" w:color="auto" w:sz="4" w:space="0"/>
              <w:left w:val="single" w:color="auto" w:sz="4" w:space="0"/>
              <w:bottom w:val="single" w:color="auto" w:sz="4" w:space="0"/>
              <w:right w:val="single" w:color="auto" w:sz="4" w:space="0"/>
            </w:tcBorders>
            <w:vAlign w:val="top"/>
          </w:tcPr>
          <w:p w14:paraId="299A3256">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01" w:type="pct"/>
            <w:tcBorders>
              <w:top w:val="single" w:color="auto" w:sz="4" w:space="0"/>
              <w:left w:val="single" w:color="auto" w:sz="4" w:space="0"/>
              <w:bottom w:val="single" w:color="auto" w:sz="4" w:space="0"/>
              <w:right w:val="single" w:color="auto" w:sz="4" w:space="0"/>
            </w:tcBorders>
          </w:tcPr>
          <w:p w14:paraId="72C6481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r>
              <w:rPr>
                <w:rFonts w:hint="default" w:ascii="Times New Roman" w:hAnsi="Times New Roman" w:cs="Times New Roman"/>
                <w:color w:val="auto"/>
                <w:position w:val="-2"/>
                <w:sz w:val="21"/>
                <w:szCs w:val="21"/>
                <w:highlight w:val="none"/>
              </w:rPr>
              <w:t>〇</w:t>
            </w:r>
          </w:p>
        </w:tc>
      </w:tr>
      <w:tr w14:paraId="5618E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748E82C3">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土壤环境</w:t>
            </w:r>
          </w:p>
        </w:tc>
        <w:tc>
          <w:tcPr>
            <w:tcW w:w="313" w:type="pct"/>
            <w:tcBorders>
              <w:top w:val="single" w:color="auto" w:sz="4" w:space="0"/>
              <w:left w:val="single" w:color="auto" w:sz="4" w:space="0"/>
              <w:bottom w:val="single" w:color="auto" w:sz="4" w:space="0"/>
              <w:right w:val="single" w:color="auto" w:sz="4" w:space="0"/>
            </w:tcBorders>
            <w:vAlign w:val="top"/>
          </w:tcPr>
          <w:p w14:paraId="24A047E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72" w:type="pct"/>
            <w:tcBorders>
              <w:top w:val="single" w:color="auto" w:sz="4" w:space="0"/>
              <w:left w:val="single" w:color="auto" w:sz="4" w:space="0"/>
              <w:bottom w:val="single" w:color="auto" w:sz="4" w:space="0"/>
              <w:right w:val="single" w:color="auto" w:sz="4" w:space="0"/>
            </w:tcBorders>
            <w:vAlign w:val="top"/>
          </w:tcPr>
          <w:p w14:paraId="6A80C3D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292" w:type="pct"/>
            <w:tcBorders>
              <w:top w:val="single" w:color="auto" w:sz="4" w:space="0"/>
              <w:left w:val="single" w:color="auto" w:sz="4" w:space="0"/>
              <w:bottom w:val="single" w:color="auto" w:sz="4" w:space="0"/>
              <w:right w:val="single" w:color="auto" w:sz="4" w:space="0"/>
            </w:tcBorders>
            <w:vAlign w:val="top"/>
          </w:tcPr>
          <w:p w14:paraId="6CC81916">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35" w:type="pct"/>
            <w:tcBorders>
              <w:top w:val="single" w:color="auto" w:sz="4" w:space="0"/>
              <w:left w:val="single" w:color="auto" w:sz="4" w:space="0"/>
              <w:bottom w:val="single" w:color="auto" w:sz="4" w:space="0"/>
              <w:right w:val="single" w:color="auto" w:sz="4" w:space="0"/>
            </w:tcBorders>
            <w:vAlign w:val="top"/>
          </w:tcPr>
          <w:p w14:paraId="7479D68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11" w:type="pct"/>
            <w:tcBorders>
              <w:top w:val="single" w:color="auto" w:sz="4" w:space="0"/>
              <w:left w:val="single" w:color="auto" w:sz="4" w:space="0"/>
              <w:bottom w:val="single" w:color="auto" w:sz="4" w:space="0"/>
              <w:right w:val="single" w:color="auto" w:sz="4" w:space="0"/>
            </w:tcBorders>
            <w:vAlign w:val="top"/>
          </w:tcPr>
          <w:p w14:paraId="53AC2B46">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51" w:type="pct"/>
            <w:tcBorders>
              <w:top w:val="single" w:color="auto" w:sz="4" w:space="0"/>
              <w:left w:val="single" w:color="auto" w:sz="4" w:space="0"/>
              <w:bottom w:val="single" w:color="auto" w:sz="4" w:space="0"/>
              <w:right w:val="single" w:color="auto" w:sz="4" w:space="0"/>
            </w:tcBorders>
            <w:vAlign w:val="top"/>
          </w:tcPr>
          <w:p w14:paraId="19C40375">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46" w:type="pct"/>
            <w:tcBorders>
              <w:top w:val="single" w:color="auto" w:sz="4" w:space="0"/>
              <w:left w:val="single" w:color="auto" w:sz="4" w:space="0"/>
              <w:bottom w:val="single" w:color="auto" w:sz="4" w:space="0"/>
              <w:right w:val="single" w:color="auto" w:sz="4" w:space="0"/>
            </w:tcBorders>
            <w:vAlign w:val="top"/>
          </w:tcPr>
          <w:p w14:paraId="7AD4294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99" w:type="pct"/>
            <w:tcBorders>
              <w:top w:val="single" w:color="auto" w:sz="4" w:space="0"/>
              <w:left w:val="single" w:color="auto" w:sz="4" w:space="0"/>
              <w:bottom w:val="single" w:color="auto" w:sz="4" w:space="0"/>
              <w:right w:val="single" w:color="auto" w:sz="4" w:space="0"/>
            </w:tcBorders>
            <w:vAlign w:val="top"/>
          </w:tcPr>
          <w:p w14:paraId="57AA123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05" w:type="pct"/>
            <w:tcBorders>
              <w:top w:val="single" w:color="auto" w:sz="4" w:space="0"/>
              <w:left w:val="single" w:color="auto" w:sz="4" w:space="0"/>
              <w:bottom w:val="single" w:color="auto" w:sz="4" w:space="0"/>
              <w:right w:val="single" w:color="auto" w:sz="4" w:space="0"/>
            </w:tcBorders>
            <w:vAlign w:val="top"/>
          </w:tcPr>
          <w:p w14:paraId="2DBA1BF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14" w:type="pct"/>
            <w:tcBorders>
              <w:top w:val="single" w:color="auto" w:sz="4" w:space="0"/>
              <w:left w:val="single" w:color="auto" w:sz="4" w:space="0"/>
              <w:bottom w:val="single" w:color="auto" w:sz="4" w:space="0"/>
              <w:right w:val="single" w:color="auto" w:sz="4" w:space="0"/>
            </w:tcBorders>
            <w:vAlign w:val="top"/>
          </w:tcPr>
          <w:p w14:paraId="32BF0FA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tcBorders>
              <w:top w:val="single" w:color="auto" w:sz="4" w:space="0"/>
              <w:left w:val="single" w:color="auto" w:sz="4" w:space="0"/>
              <w:bottom w:val="single" w:color="auto" w:sz="4" w:space="0"/>
              <w:right w:val="single" w:color="auto" w:sz="4" w:space="0"/>
            </w:tcBorders>
            <w:vAlign w:val="top"/>
          </w:tcPr>
          <w:p w14:paraId="001D94F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0" w:type="pct"/>
            <w:tcBorders>
              <w:top w:val="single" w:color="auto" w:sz="4" w:space="0"/>
              <w:left w:val="single" w:color="auto" w:sz="4" w:space="0"/>
              <w:bottom w:val="single" w:color="auto" w:sz="4" w:space="0"/>
              <w:right w:val="single" w:color="auto" w:sz="4" w:space="0"/>
            </w:tcBorders>
            <w:vAlign w:val="top"/>
          </w:tcPr>
          <w:p w14:paraId="3254CDA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1" w:type="pct"/>
            <w:tcBorders>
              <w:top w:val="single" w:color="auto" w:sz="4" w:space="0"/>
              <w:left w:val="single" w:color="auto" w:sz="4" w:space="0"/>
              <w:bottom w:val="single" w:color="auto" w:sz="4" w:space="0"/>
              <w:right w:val="single" w:color="auto" w:sz="4" w:space="0"/>
            </w:tcBorders>
          </w:tcPr>
          <w:p w14:paraId="0B0DDA1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r>
              <w:rPr>
                <w:rFonts w:hint="default" w:ascii="Times New Roman" w:hAnsi="Times New Roman" w:cs="Times New Roman"/>
                <w:color w:val="auto"/>
                <w:w w:val="85"/>
                <w:sz w:val="21"/>
                <w:szCs w:val="21"/>
                <w:highlight w:val="none"/>
              </w:rPr>
              <w:t>+</w:t>
            </w:r>
          </w:p>
        </w:tc>
      </w:tr>
      <w:tr w14:paraId="7CF50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0F68AAA2">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eastAsia="zh-CN"/>
              </w:rPr>
              <w:t>陆生动物</w:t>
            </w:r>
          </w:p>
        </w:tc>
        <w:tc>
          <w:tcPr>
            <w:tcW w:w="313" w:type="pct"/>
            <w:tcBorders>
              <w:top w:val="single" w:color="auto" w:sz="4" w:space="0"/>
              <w:left w:val="single" w:color="auto" w:sz="4" w:space="0"/>
              <w:bottom w:val="single" w:color="auto" w:sz="4" w:space="0"/>
              <w:right w:val="single" w:color="auto" w:sz="4" w:space="0"/>
            </w:tcBorders>
            <w:vAlign w:val="top"/>
          </w:tcPr>
          <w:p w14:paraId="550D44A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r>
              <w:rPr>
                <w:rFonts w:hint="default" w:ascii="Times New Roman" w:hAnsi="Times New Roman" w:cs="Times New Roman"/>
                <w:color w:val="auto"/>
                <w:w w:val="85"/>
                <w:sz w:val="21"/>
                <w:szCs w:val="21"/>
                <w:highlight w:val="none"/>
                <w:lang w:val="en-US" w:eastAsia="zh-CN"/>
              </w:rPr>
              <w:t>+</w:t>
            </w:r>
          </w:p>
        </w:tc>
        <w:tc>
          <w:tcPr>
            <w:tcW w:w="372" w:type="pct"/>
            <w:tcBorders>
              <w:top w:val="single" w:color="auto" w:sz="4" w:space="0"/>
              <w:left w:val="single" w:color="auto" w:sz="4" w:space="0"/>
              <w:bottom w:val="single" w:color="auto" w:sz="4" w:space="0"/>
              <w:right w:val="single" w:color="auto" w:sz="4" w:space="0"/>
            </w:tcBorders>
            <w:vAlign w:val="top"/>
          </w:tcPr>
          <w:p w14:paraId="72264E6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292" w:type="pct"/>
            <w:tcBorders>
              <w:top w:val="single" w:color="auto" w:sz="4" w:space="0"/>
              <w:left w:val="single" w:color="auto" w:sz="4" w:space="0"/>
              <w:bottom w:val="single" w:color="auto" w:sz="4" w:space="0"/>
              <w:right w:val="single" w:color="auto" w:sz="4" w:space="0"/>
            </w:tcBorders>
            <w:vAlign w:val="top"/>
          </w:tcPr>
          <w:p w14:paraId="47FD0F7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35" w:type="pct"/>
            <w:tcBorders>
              <w:top w:val="single" w:color="auto" w:sz="4" w:space="0"/>
              <w:left w:val="single" w:color="auto" w:sz="4" w:space="0"/>
              <w:bottom w:val="single" w:color="auto" w:sz="4" w:space="0"/>
              <w:right w:val="single" w:color="auto" w:sz="4" w:space="0"/>
            </w:tcBorders>
            <w:vAlign w:val="top"/>
          </w:tcPr>
          <w:p w14:paraId="240341C8">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11" w:type="pct"/>
            <w:tcBorders>
              <w:top w:val="single" w:color="auto" w:sz="4" w:space="0"/>
              <w:left w:val="single" w:color="auto" w:sz="4" w:space="0"/>
              <w:bottom w:val="single" w:color="auto" w:sz="4" w:space="0"/>
              <w:right w:val="single" w:color="auto" w:sz="4" w:space="0"/>
            </w:tcBorders>
            <w:vAlign w:val="top"/>
          </w:tcPr>
          <w:p w14:paraId="618E825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51" w:type="pct"/>
            <w:tcBorders>
              <w:top w:val="single" w:color="auto" w:sz="4" w:space="0"/>
              <w:left w:val="single" w:color="auto" w:sz="4" w:space="0"/>
              <w:bottom w:val="single" w:color="auto" w:sz="4" w:space="0"/>
              <w:right w:val="single" w:color="auto" w:sz="4" w:space="0"/>
            </w:tcBorders>
            <w:vAlign w:val="top"/>
          </w:tcPr>
          <w:p w14:paraId="3E2DFEA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46" w:type="pct"/>
            <w:tcBorders>
              <w:top w:val="single" w:color="auto" w:sz="4" w:space="0"/>
              <w:left w:val="single" w:color="auto" w:sz="4" w:space="0"/>
              <w:bottom w:val="single" w:color="auto" w:sz="4" w:space="0"/>
              <w:right w:val="single" w:color="auto" w:sz="4" w:space="0"/>
            </w:tcBorders>
            <w:vAlign w:val="top"/>
          </w:tcPr>
          <w:p w14:paraId="1310B9B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99" w:type="pct"/>
            <w:tcBorders>
              <w:top w:val="single" w:color="auto" w:sz="4" w:space="0"/>
              <w:left w:val="single" w:color="auto" w:sz="4" w:space="0"/>
              <w:bottom w:val="single" w:color="auto" w:sz="4" w:space="0"/>
              <w:right w:val="single" w:color="auto" w:sz="4" w:space="0"/>
            </w:tcBorders>
            <w:vAlign w:val="top"/>
          </w:tcPr>
          <w:p w14:paraId="1B75548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05" w:type="pct"/>
            <w:tcBorders>
              <w:top w:val="single" w:color="auto" w:sz="4" w:space="0"/>
              <w:left w:val="single" w:color="auto" w:sz="4" w:space="0"/>
              <w:bottom w:val="single" w:color="auto" w:sz="4" w:space="0"/>
              <w:right w:val="single" w:color="auto" w:sz="4" w:space="0"/>
            </w:tcBorders>
            <w:vAlign w:val="top"/>
          </w:tcPr>
          <w:p w14:paraId="55EC6E4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14" w:type="pct"/>
            <w:tcBorders>
              <w:top w:val="single" w:color="auto" w:sz="4" w:space="0"/>
              <w:left w:val="single" w:color="auto" w:sz="4" w:space="0"/>
              <w:bottom w:val="single" w:color="auto" w:sz="4" w:space="0"/>
              <w:right w:val="single" w:color="auto" w:sz="4" w:space="0"/>
            </w:tcBorders>
            <w:vAlign w:val="top"/>
          </w:tcPr>
          <w:p w14:paraId="4B9E60B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tcBorders>
              <w:top w:val="single" w:color="auto" w:sz="4" w:space="0"/>
              <w:left w:val="single" w:color="auto" w:sz="4" w:space="0"/>
              <w:bottom w:val="single" w:color="auto" w:sz="4" w:space="0"/>
              <w:right w:val="single" w:color="auto" w:sz="4" w:space="0"/>
            </w:tcBorders>
            <w:vAlign w:val="top"/>
          </w:tcPr>
          <w:p w14:paraId="3B51571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0" w:type="pct"/>
            <w:tcBorders>
              <w:top w:val="single" w:color="auto" w:sz="4" w:space="0"/>
              <w:left w:val="single" w:color="auto" w:sz="4" w:space="0"/>
              <w:bottom w:val="single" w:color="auto" w:sz="4" w:space="0"/>
              <w:right w:val="single" w:color="auto" w:sz="4" w:space="0"/>
            </w:tcBorders>
            <w:vAlign w:val="top"/>
          </w:tcPr>
          <w:p w14:paraId="7D21F48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1" w:type="pct"/>
            <w:tcBorders>
              <w:top w:val="single" w:color="auto" w:sz="4" w:space="0"/>
              <w:left w:val="single" w:color="auto" w:sz="4" w:space="0"/>
              <w:bottom w:val="single" w:color="auto" w:sz="4" w:space="0"/>
              <w:right w:val="single" w:color="auto" w:sz="4" w:space="0"/>
            </w:tcBorders>
          </w:tcPr>
          <w:p w14:paraId="34D3842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r>
              <w:rPr>
                <w:rFonts w:hint="default" w:ascii="Times New Roman" w:hAnsi="Times New Roman" w:cs="Times New Roman"/>
                <w:color w:val="auto"/>
                <w:w w:val="85"/>
                <w:sz w:val="21"/>
                <w:szCs w:val="21"/>
                <w:highlight w:val="none"/>
              </w:rPr>
              <w:t>+</w:t>
            </w:r>
          </w:p>
        </w:tc>
      </w:tr>
      <w:tr w14:paraId="0B651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2069E3C3">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水栖动物</w:t>
            </w:r>
          </w:p>
        </w:tc>
        <w:tc>
          <w:tcPr>
            <w:tcW w:w="313" w:type="pct"/>
            <w:tcBorders>
              <w:top w:val="single" w:color="auto" w:sz="4" w:space="0"/>
              <w:left w:val="single" w:color="auto" w:sz="4" w:space="0"/>
              <w:bottom w:val="single" w:color="auto" w:sz="4" w:space="0"/>
              <w:right w:val="single" w:color="auto" w:sz="4" w:space="0"/>
            </w:tcBorders>
          </w:tcPr>
          <w:p w14:paraId="1C4E8C3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72" w:type="pct"/>
            <w:tcBorders>
              <w:top w:val="single" w:color="auto" w:sz="4" w:space="0"/>
              <w:left w:val="single" w:color="auto" w:sz="4" w:space="0"/>
              <w:bottom w:val="single" w:color="auto" w:sz="4" w:space="0"/>
              <w:right w:val="single" w:color="auto" w:sz="4" w:space="0"/>
            </w:tcBorders>
          </w:tcPr>
          <w:p w14:paraId="0D6AFF0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292" w:type="pct"/>
            <w:tcBorders>
              <w:top w:val="single" w:color="auto" w:sz="4" w:space="0"/>
              <w:left w:val="single" w:color="auto" w:sz="4" w:space="0"/>
              <w:bottom w:val="single" w:color="auto" w:sz="4" w:space="0"/>
              <w:right w:val="single" w:color="auto" w:sz="4" w:space="0"/>
            </w:tcBorders>
          </w:tcPr>
          <w:p w14:paraId="12FB4C5E">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335" w:type="pct"/>
            <w:tcBorders>
              <w:top w:val="single" w:color="auto" w:sz="4" w:space="0"/>
              <w:left w:val="single" w:color="auto" w:sz="4" w:space="0"/>
              <w:bottom w:val="single" w:color="auto" w:sz="4" w:space="0"/>
              <w:right w:val="single" w:color="auto" w:sz="4" w:space="0"/>
            </w:tcBorders>
          </w:tcPr>
          <w:p w14:paraId="0AC7273E">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11" w:type="pct"/>
            <w:tcBorders>
              <w:top w:val="single" w:color="auto" w:sz="4" w:space="0"/>
              <w:left w:val="single" w:color="auto" w:sz="4" w:space="0"/>
              <w:bottom w:val="single" w:color="auto" w:sz="4" w:space="0"/>
              <w:right w:val="single" w:color="auto" w:sz="4" w:space="0"/>
            </w:tcBorders>
          </w:tcPr>
          <w:p w14:paraId="02A59175">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51" w:type="pct"/>
            <w:tcBorders>
              <w:top w:val="single" w:color="auto" w:sz="4" w:space="0"/>
              <w:left w:val="single" w:color="auto" w:sz="4" w:space="0"/>
              <w:bottom w:val="single" w:color="auto" w:sz="4" w:space="0"/>
              <w:right w:val="single" w:color="auto" w:sz="4" w:space="0"/>
            </w:tcBorders>
          </w:tcPr>
          <w:p w14:paraId="39FC62D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46" w:type="pct"/>
            <w:tcBorders>
              <w:top w:val="single" w:color="auto" w:sz="4" w:space="0"/>
              <w:left w:val="single" w:color="auto" w:sz="4" w:space="0"/>
              <w:bottom w:val="single" w:color="auto" w:sz="4" w:space="0"/>
              <w:right w:val="single" w:color="auto" w:sz="4" w:space="0"/>
            </w:tcBorders>
          </w:tcPr>
          <w:p w14:paraId="5A4F2CF8">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399" w:type="pct"/>
            <w:tcBorders>
              <w:top w:val="single" w:color="auto" w:sz="4" w:space="0"/>
              <w:left w:val="single" w:color="auto" w:sz="4" w:space="0"/>
              <w:bottom w:val="single" w:color="auto" w:sz="4" w:space="0"/>
              <w:right w:val="single" w:color="auto" w:sz="4" w:space="0"/>
            </w:tcBorders>
          </w:tcPr>
          <w:p w14:paraId="27F9F45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05" w:type="pct"/>
            <w:tcBorders>
              <w:top w:val="single" w:color="auto" w:sz="4" w:space="0"/>
              <w:left w:val="single" w:color="auto" w:sz="4" w:space="0"/>
              <w:bottom w:val="single" w:color="auto" w:sz="4" w:space="0"/>
              <w:right w:val="single" w:color="auto" w:sz="4" w:space="0"/>
            </w:tcBorders>
          </w:tcPr>
          <w:p w14:paraId="0A7DD0B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414" w:type="pct"/>
            <w:tcBorders>
              <w:top w:val="single" w:color="auto" w:sz="4" w:space="0"/>
              <w:left w:val="single" w:color="auto" w:sz="4" w:space="0"/>
              <w:bottom w:val="single" w:color="auto" w:sz="4" w:space="0"/>
              <w:right w:val="single" w:color="auto" w:sz="4" w:space="0"/>
            </w:tcBorders>
          </w:tcPr>
          <w:p w14:paraId="004240BC">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69" w:type="pct"/>
            <w:tcBorders>
              <w:top w:val="single" w:color="auto" w:sz="4" w:space="0"/>
              <w:left w:val="single" w:color="auto" w:sz="4" w:space="0"/>
              <w:bottom w:val="single" w:color="auto" w:sz="4" w:space="0"/>
              <w:right w:val="single" w:color="auto" w:sz="4" w:space="0"/>
            </w:tcBorders>
          </w:tcPr>
          <w:p w14:paraId="1FF931DB">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400" w:type="pct"/>
            <w:tcBorders>
              <w:top w:val="single" w:color="auto" w:sz="4" w:space="0"/>
              <w:left w:val="single" w:color="auto" w:sz="4" w:space="0"/>
              <w:bottom w:val="single" w:color="auto" w:sz="4" w:space="0"/>
              <w:right w:val="single" w:color="auto" w:sz="4" w:space="0"/>
            </w:tcBorders>
          </w:tcPr>
          <w:p w14:paraId="65C2793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401" w:type="pct"/>
            <w:tcBorders>
              <w:top w:val="single" w:color="auto" w:sz="4" w:space="0"/>
              <w:left w:val="single" w:color="auto" w:sz="4" w:space="0"/>
              <w:bottom w:val="single" w:color="auto" w:sz="4" w:space="0"/>
              <w:right w:val="single" w:color="auto" w:sz="4" w:space="0"/>
            </w:tcBorders>
          </w:tcPr>
          <w:p w14:paraId="7499514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r>
      <w:tr w14:paraId="53E3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vAlign w:val="center"/>
          </w:tcPr>
          <w:p w14:paraId="0CF64749">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陆生植被</w:t>
            </w:r>
          </w:p>
        </w:tc>
        <w:tc>
          <w:tcPr>
            <w:tcW w:w="313" w:type="pct"/>
            <w:vAlign w:val="top"/>
          </w:tcPr>
          <w:p w14:paraId="4033B31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r>
              <w:rPr>
                <w:rFonts w:hint="default" w:ascii="Times New Roman" w:hAnsi="Times New Roman" w:cs="Times New Roman"/>
                <w:color w:val="auto"/>
                <w:w w:val="85"/>
                <w:sz w:val="21"/>
                <w:szCs w:val="21"/>
                <w:highlight w:val="none"/>
                <w:lang w:val="en-US" w:eastAsia="zh-CN"/>
              </w:rPr>
              <w:t>+</w:t>
            </w:r>
          </w:p>
        </w:tc>
        <w:tc>
          <w:tcPr>
            <w:tcW w:w="372" w:type="pct"/>
            <w:vAlign w:val="top"/>
          </w:tcPr>
          <w:p w14:paraId="575707DB">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292" w:type="pct"/>
            <w:vAlign w:val="top"/>
          </w:tcPr>
          <w:p w14:paraId="7186DF0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35" w:type="pct"/>
            <w:vAlign w:val="top"/>
          </w:tcPr>
          <w:p w14:paraId="3BC3B00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11" w:type="pct"/>
            <w:vAlign w:val="top"/>
          </w:tcPr>
          <w:p w14:paraId="46E61196">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51" w:type="pct"/>
            <w:vAlign w:val="top"/>
          </w:tcPr>
          <w:p w14:paraId="443C080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46" w:type="pct"/>
            <w:vAlign w:val="top"/>
          </w:tcPr>
          <w:p w14:paraId="7901012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99" w:type="pct"/>
            <w:vAlign w:val="top"/>
          </w:tcPr>
          <w:p w14:paraId="633A468B">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05" w:type="pct"/>
            <w:vAlign w:val="top"/>
          </w:tcPr>
          <w:p w14:paraId="52F8C74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14" w:type="pct"/>
            <w:vAlign w:val="top"/>
          </w:tcPr>
          <w:p w14:paraId="27CF69F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vAlign w:val="top"/>
          </w:tcPr>
          <w:p w14:paraId="1E8AFBD5">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0" w:type="pct"/>
            <w:vAlign w:val="top"/>
          </w:tcPr>
          <w:p w14:paraId="3272706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1" w:type="pct"/>
          </w:tcPr>
          <w:p w14:paraId="64890FD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r>
              <w:rPr>
                <w:rFonts w:hint="default" w:ascii="Times New Roman" w:hAnsi="Times New Roman" w:cs="Times New Roman"/>
                <w:color w:val="auto"/>
                <w:w w:val="85"/>
                <w:sz w:val="21"/>
                <w:szCs w:val="21"/>
                <w:highlight w:val="none"/>
              </w:rPr>
              <w:t>+</w:t>
            </w:r>
          </w:p>
        </w:tc>
      </w:tr>
      <w:tr w14:paraId="432C9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vAlign w:val="center"/>
          </w:tcPr>
          <w:p w14:paraId="3827EF04">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水生植被</w:t>
            </w:r>
          </w:p>
        </w:tc>
        <w:tc>
          <w:tcPr>
            <w:tcW w:w="313" w:type="pct"/>
            <w:tcBorders>
              <w:top w:val="single" w:color="auto" w:sz="4" w:space="0"/>
              <w:left w:val="single" w:color="auto" w:sz="4" w:space="0"/>
              <w:bottom w:val="single" w:color="auto" w:sz="4" w:space="0"/>
              <w:right w:val="single" w:color="auto" w:sz="4" w:space="0"/>
            </w:tcBorders>
          </w:tcPr>
          <w:p w14:paraId="4D3936B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72" w:type="pct"/>
            <w:tcBorders>
              <w:top w:val="single" w:color="auto" w:sz="4" w:space="0"/>
              <w:left w:val="single" w:color="auto" w:sz="4" w:space="0"/>
              <w:bottom w:val="single" w:color="auto" w:sz="4" w:space="0"/>
              <w:right w:val="single" w:color="auto" w:sz="4" w:space="0"/>
            </w:tcBorders>
          </w:tcPr>
          <w:p w14:paraId="4F5BABC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292" w:type="pct"/>
            <w:tcBorders>
              <w:top w:val="single" w:color="auto" w:sz="4" w:space="0"/>
              <w:left w:val="single" w:color="auto" w:sz="4" w:space="0"/>
              <w:bottom w:val="single" w:color="auto" w:sz="4" w:space="0"/>
              <w:right w:val="single" w:color="auto" w:sz="4" w:space="0"/>
            </w:tcBorders>
          </w:tcPr>
          <w:p w14:paraId="6EFDE80C">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335" w:type="pct"/>
            <w:tcBorders>
              <w:top w:val="single" w:color="auto" w:sz="4" w:space="0"/>
              <w:left w:val="single" w:color="auto" w:sz="4" w:space="0"/>
              <w:bottom w:val="single" w:color="auto" w:sz="4" w:space="0"/>
              <w:right w:val="single" w:color="auto" w:sz="4" w:space="0"/>
            </w:tcBorders>
          </w:tcPr>
          <w:p w14:paraId="181A4035">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11" w:type="pct"/>
            <w:tcBorders>
              <w:top w:val="single" w:color="auto" w:sz="4" w:space="0"/>
              <w:left w:val="single" w:color="auto" w:sz="4" w:space="0"/>
              <w:bottom w:val="single" w:color="auto" w:sz="4" w:space="0"/>
              <w:right w:val="single" w:color="auto" w:sz="4" w:space="0"/>
            </w:tcBorders>
          </w:tcPr>
          <w:p w14:paraId="23E322C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51" w:type="pct"/>
            <w:tcBorders>
              <w:top w:val="single" w:color="auto" w:sz="4" w:space="0"/>
              <w:left w:val="single" w:color="auto" w:sz="4" w:space="0"/>
              <w:bottom w:val="single" w:color="auto" w:sz="4" w:space="0"/>
              <w:right w:val="single" w:color="auto" w:sz="4" w:space="0"/>
            </w:tcBorders>
          </w:tcPr>
          <w:p w14:paraId="4F1961B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46" w:type="pct"/>
            <w:tcBorders>
              <w:top w:val="single" w:color="auto" w:sz="4" w:space="0"/>
              <w:left w:val="single" w:color="auto" w:sz="4" w:space="0"/>
              <w:bottom w:val="single" w:color="auto" w:sz="4" w:space="0"/>
              <w:right w:val="single" w:color="auto" w:sz="4" w:space="0"/>
            </w:tcBorders>
          </w:tcPr>
          <w:p w14:paraId="0AC3CDE6">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399" w:type="pct"/>
            <w:tcBorders>
              <w:top w:val="single" w:color="auto" w:sz="4" w:space="0"/>
              <w:left w:val="single" w:color="auto" w:sz="4" w:space="0"/>
              <w:bottom w:val="single" w:color="auto" w:sz="4" w:space="0"/>
              <w:right w:val="single" w:color="auto" w:sz="4" w:space="0"/>
            </w:tcBorders>
          </w:tcPr>
          <w:p w14:paraId="68AE1B2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05" w:type="pct"/>
            <w:tcBorders>
              <w:top w:val="single" w:color="auto" w:sz="4" w:space="0"/>
              <w:left w:val="single" w:color="auto" w:sz="4" w:space="0"/>
              <w:bottom w:val="single" w:color="auto" w:sz="4" w:space="0"/>
              <w:right w:val="single" w:color="auto" w:sz="4" w:space="0"/>
            </w:tcBorders>
          </w:tcPr>
          <w:p w14:paraId="1067CAB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414" w:type="pct"/>
            <w:tcBorders>
              <w:top w:val="single" w:color="auto" w:sz="4" w:space="0"/>
              <w:left w:val="single" w:color="auto" w:sz="4" w:space="0"/>
              <w:bottom w:val="single" w:color="auto" w:sz="4" w:space="0"/>
              <w:right w:val="single" w:color="auto" w:sz="4" w:space="0"/>
            </w:tcBorders>
          </w:tcPr>
          <w:p w14:paraId="66E0229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69" w:type="pct"/>
            <w:tcBorders>
              <w:top w:val="single" w:color="auto" w:sz="4" w:space="0"/>
              <w:left w:val="single" w:color="auto" w:sz="4" w:space="0"/>
              <w:bottom w:val="single" w:color="auto" w:sz="4" w:space="0"/>
              <w:right w:val="single" w:color="auto" w:sz="4" w:space="0"/>
            </w:tcBorders>
          </w:tcPr>
          <w:p w14:paraId="2A6A1C3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400" w:type="pct"/>
            <w:tcBorders>
              <w:top w:val="single" w:color="auto" w:sz="4" w:space="0"/>
              <w:left w:val="single" w:color="auto" w:sz="4" w:space="0"/>
              <w:bottom w:val="single" w:color="auto" w:sz="4" w:space="0"/>
              <w:right w:val="single" w:color="auto" w:sz="4" w:space="0"/>
            </w:tcBorders>
          </w:tcPr>
          <w:p w14:paraId="57FFFD9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401" w:type="pct"/>
            <w:tcBorders>
              <w:top w:val="single" w:color="auto" w:sz="4" w:space="0"/>
              <w:left w:val="single" w:color="auto" w:sz="4" w:space="0"/>
              <w:bottom w:val="single" w:color="auto" w:sz="4" w:space="0"/>
              <w:right w:val="single" w:color="auto" w:sz="4" w:space="0"/>
            </w:tcBorders>
          </w:tcPr>
          <w:p w14:paraId="19B763DB">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r>
      <w:tr w14:paraId="091C7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vAlign w:val="center"/>
          </w:tcPr>
          <w:p w14:paraId="01083EDA">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水土流失</w:t>
            </w:r>
          </w:p>
        </w:tc>
        <w:tc>
          <w:tcPr>
            <w:tcW w:w="313" w:type="pct"/>
          </w:tcPr>
          <w:p w14:paraId="4D154525">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r>
              <w:rPr>
                <w:rFonts w:hint="default" w:ascii="Times New Roman" w:hAnsi="Times New Roman" w:cs="Times New Roman"/>
                <w:color w:val="auto"/>
                <w:w w:val="85"/>
                <w:sz w:val="21"/>
                <w:szCs w:val="21"/>
                <w:highlight w:val="none"/>
              </w:rPr>
              <w:t>++</w:t>
            </w:r>
          </w:p>
        </w:tc>
        <w:tc>
          <w:tcPr>
            <w:tcW w:w="372" w:type="pct"/>
            <w:vAlign w:val="top"/>
          </w:tcPr>
          <w:p w14:paraId="614FD32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292" w:type="pct"/>
            <w:vAlign w:val="top"/>
          </w:tcPr>
          <w:p w14:paraId="403D3A7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35" w:type="pct"/>
            <w:vAlign w:val="top"/>
          </w:tcPr>
          <w:p w14:paraId="20ABC79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11" w:type="pct"/>
            <w:vAlign w:val="top"/>
          </w:tcPr>
          <w:p w14:paraId="7CE1AEF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51" w:type="pct"/>
            <w:vAlign w:val="top"/>
          </w:tcPr>
          <w:p w14:paraId="64B468AE">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46" w:type="pct"/>
            <w:vAlign w:val="top"/>
          </w:tcPr>
          <w:p w14:paraId="2B5C5329">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399" w:type="pct"/>
            <w:vAlign w:val="top"/>
          </w:tcPr>
          <w:p w14:paraId="0739A813">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05" w:type="pct"/>
            <w:vAlign w:val="top"/>
          </w:tcPr>
          <w:p w14:paraId="5361066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position w:val="-2"/>
                <w:sz w:val="21"/>
                <w:szCs w:val="21"/>
                <w:highlight w:val="none"/>
              </w:rPr>
              <w:t>〇</w:t>
            </w:r>
          </w:p>
        </w:tc>
        <w:tc>
          <w:tcPr>
            <w:tcW w:w="414" w:type="pct"/>
            <w:vAlign w:val="top"/>
          </w:tcPr>
          <w:p w14:paraId="39B3B64C">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369" w:type="pct"/>
            <w:vAlign w:val="top"/>
          </w:tcPr>
          <w:p w14:paraId="41BF823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0" w:type="pct"/>
            <w:vAlign w:val="top"/>
          </w:tcPr>
          <w:p w14:paraId="7623415D">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c>
          <w:tcPr>
            <w:tcW w:w="401" w:type="pct"/>
            <w:vAlign w:val="top"/>
          </w:tcPr>
          <w:p w14:paraId="27A202E7">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eastAsiaTheme="minorEastAsia"/>
                <w:color w:val="auto"/>
                <w:w w:val="85"/>
                <w:kern w:val="2"/>
                <w:sz w:val="21"/>
                <w:szCs w:val="21"/>
                <w:highlight w:val="none"/>
                <w:lang w:val="en-US" w:eastAsia="zh-CN" w:bidi="ar-SA"/>
              </w:rPr>
            </w:pPr>
            <w:r>
              <w:rPr>
                <w:rFonts w:hint="default" w:ascii="Times New Roman" w:hAnsi="Times New Roman" w:cs="Times New Roman"/>
                <w:color w:val="auto"/>
                <w:w w:val="85"/>
                <w:sz w:val="21"/>
                <w:szCs w:val="21"/>
                <w:highlight w:val="none"/>
              </w:rPr>
              <w:t>+</w:t>
            </w:r>
          </w:p>
        </w:tc>
      </w:tr>
      <w:tr w14:paraId="56A26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vAlign w:val="center"/>
          </w:tcPr>
          <w:p w14:paraId="12223EC2">
            <w:pPr>
              <w:keepNext w:val="0"/>
              <w:keepLines w:val="0"/>
              <w:pageBreakBefore w:val="0"/>
              <w:kinsoku/>
              <w:wordWrap/>
              <w:topLinePunct w:val="0"/>
              <w:bidi w:val="0"/>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生态敏感区</w:t>
            </w:r>
          </w:p>
        </w:tc>
        <w:tc>
          <w:tcPr>
            <w:tcW w:w="313" w:type="pct"/>
          </w:tcPr>
          <w:p w14:paraId="052EB9F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72" w:type="pct"/>
          </w:tcPr>
          <w:p w14:paraId="2C6F070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292" w:type="pct"/>
          </w:tcPr>
          <w:p w14:paraId="3AEE88D8">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335" w:type="pct"/>
          </w:tcPr>
          <w:p w14:paraId="3EC4B55E">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11" w:type="pct"/>
          </w:tcPr>
          <w:p w14:paraId="0A9ABBAE">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51" w:type="pct"/>
          </w:tcPr>
          <w:p w14:paraId="1C02899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46" w:type="pct"/>
          </w:tcPr>
          <w:p w14:paraId="7325CF90">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399" w:type="pct"/>
          </w:tcPr>
          <w:p w14:paraId="7E8E3634">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05" w:type="pct"/>
          </w:tcPr>
          <w:p w14:paraId="003D2FDA">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position w:val="-2"/>
                <w:sz w:val="21"/>
                <w:szCs w:val="21"/>
                <w:highlight w:val="none"/>
              </w:rPr>
            </w:pPr>
          </w:p>
        </w:tc>
        <w:tc>
          <w:tcPr>
            <w:tcW w:w="414" w:type="pct"/>
          </w:tcPr>
          <w:p w14:paraId="104C7D3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369" w:type="pct"/>
          </w:tcPr>
          <w:p w14:paraId="589ECAEF">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400" w:type="pct"/>
          </w:tcPr>
          <w:p w14:paraId="3160BFD1">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c>
          <w:tcPr>
            <w:tcW w:w="401" w:type="pct"/>
          </w:tcPr>
          <w:p w14:paraId="5D90B642">
            <w:pPr>
              <w:pStyle w:val="51"/>
              <w:keepNext w:val="0"/>
              <w:keepLines w:val="0"/>
              <w:pageBreakBefore w:val="0"/>
              <w:kinsoku/>
              <w:wordWrap/>
              <w:topLinePunct w:val="0"/>
              <w:bidi w:val="0"/>
              <w:adjustRightInd w:val="0"/>
              <w:snapToGrid w:val="0"/>
              <w:spacing w:line="240" w:lineRule="auto"/>
              <w:rPr>
                <w:rFonts w:hint="default" w:ascii="Times New Roman" w:hAnsi="Times New Roman" w:cs="Times New Roman"/>
                <w:color w:val="auto"/>
                <w:w w:val="85"/>
                <w:sz w:val="21"/>
                <w:szCs w:val="21"/>
                <w:highlight w:val="none"/>
              </w:rPr>
            </w:pPr>
          </w:p>
        </w:tc>
      </w:tr>
    </w:tbl>
    <w:p w14:paraId="4C007CB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注：〇：无影响；+：短期不利影响；++：长期不利影响。</w:t>
      </w:r>
    </w:p>
    <w:p w14:paraId="2FDD86C5">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p>
    <w:p w14:paraId="4BEC9BC1">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p>
    <w:p w14:paraId="54958712">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p>
    <w:p w14:paraId="3C4418DC">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p>
    <w:p w14:paraId="68E673E4">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p>
    <w:p w14:paraId="0C294D33">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p>
    <w:p w14:paraId="75099EAA">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r>
        <w:rPr>
          <w:rFonts w:hint="default" w:ascii="Times New Roman" w:hAnsi="Times New Roman" w:eastAsia="黑体" w:cs="Times New Roman"/>
          <w:b w:val="0"/>
          <w:bCs/>
          <w:color w:val="auto"/>
          <w:sz w:val="21"/>
          <w:szCs w:val="21"/>
          <w:highlight w:val="none"/>
          <w:lang w:val="en-US" w:eastAsia="zh-CN" w:bidi="ar-SA"/>
        </w:rPr>
        <w:t>表2.3-2环境影响因子筛选结果汇总表</w:t>
      </w:r>
    </w:p>
    <w:tbl>
      <w:tblPr>
        <w:tblStyle w:val="35"/>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781"/>
        <w:gridCol w:w="5189"/>
        <w:gridCol w:w="4740"/>
      </w:tblGrid>
      <w:tr w14:paraId="67BB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0" w:type="dxa"/>
            <w:noWrap w:val="0"/>
            <w:vAlign w:val="center"/>
          </w:tcPr>
          <w:p w14:paraId="0F2B96DE">
            <w:pPr>
              <w:keepNext w:val="0"/>
              <w:keepLines w:val="0"/>
              <w:pageBreakBefore w:val="0"/>
              <w:kinsoku/>
              <w:wordWrap/>
              <w:topLinePunct w:val="0"/>
              <w:bidi w:val="0"/>
              <w:spacing w:line="29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pacing w:val="-6"/>
                <w:sz w:val="21"/>
                <w:szCs w:val="21"/>
                <w:highlight w:val="none"/>
              </w:rPr>
              <w:t>环境要素</w:t>
            </w:r>
          </w:p>
        </w:tc>
        <w:tc>
          <w:tcPr>
            <w:tcW w:w="3781" w:type="dxa"/>
            <w:noWrap w:val="0"/>
            <w:vAlign w:val="center"/>
          </w:tcPr>
          <w:p w14:paraId="5A25ABB6">
            <w:pPr>
              <w:keepNext w:val="0"/>
              <w:keepLines w:val="0"/>
              <w:pageBreakBefore w:val="0"/>
              <w:kinsoku/>
              <w:wordWrap/>
              <w:topLinePunct w:val="0"/>
              <w:bidi w:val="0"/>
              <w:spacing w:line="29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主要污染源（或影响途径）</w:t>
            </w:r>
          </w:p>
        </w:tc>
        <w:tc>
          <w:tcPr>
            <w:tcW w:w="5189" w:type="dxa"/>
            <w:noWrap w:val="0"/>
            <w:vAlign w:val="center"/>
          </w:tcPr>
          <w:p w14:paraId="5A95EA64">
            <w:pPr>
              <w:keepNext w:val="0"/>
              <w:keepLines w:val="0"/>
              <w:pageBreakBefore w:val="0"/>
              <w:kinsoku/>
              <w:wordWrap/>
              <w:topLinePunct w:val="0"/>
              <w:bidi w:val="0"/>
              <w:spacing w:line="29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现状评价因子</w:t>
            </w:r>
          </w:p>
        </w:tc>
        <w:tc>
          <w:tcPr>
            <w:tcW w:w="4740" w:type="dxa"/>
            <w:noWrap w:val="0"/>
            <w:vAlign w:val="center"/>
          </w:tcPr>
          <w:p w14:paraId="46D4B36F">
            <w:pPr>
              <w:keepNext w:val="0"/>
              <w:keepLines w:val="0"/>
              <w:pageBreakBefore w:val="0"/>
              <w:kinsoku/>
              <w:wordWrap/>
              <w:topLinePunct w:val="0"/>
              <w:bidi w:val="0"/>
              <w:spacing w:line="29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影响评价或预测因子</w:t>
            </w:r>
          </w:p>
        </w:tc>
      </w:tr>
      <w:tr w14:paraId="664A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0" w:type="dxa"/>
            <w:noWrap w:val="0"/>
            <w:vAlign w:val="center"/>
          </w:tcPr>
          <w:p w14:paraId="088A9755">
            <w:pPr>
              <w:keepNext w:val="0"/>
              <w:keepLines w:val="0"/>
              <w:pageBreakBefore w:val="0"/>
              <w:kinsoku/>
              <w:wordWrap/>
              <w:topLinePunct w:val="0"/>
              <w:bidi w:val="0"/>
              <w:snapToGrid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p w14:paraId="0B605500">
            <w:pPr>
              <w:keepNext w:val="0"/>
              <w:keepLines w:val="0"/>
              <w:pageBreakBefore w:val="0"/>
              <w:kinsoku/>
              <w:wordWrap/>
              <w:topLinePunct w:val="0"/>
              <w:bidi w:val="0"/>
              <w:snapToGrid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tc>
        <w:tc>
          <w:tcPr>
            <w:tcW w:w="3781" w:type="dxa"/>
            <w:noWrap w:val="0"/>
            <w:vAlign w:val="center"/>
          </w:tcPr>
          <w:p w14:paraId="58666A88">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施工期钻前工程、地面工程等施工过程的地面开挖、占地、施工方式、施工时序等对土地利用现状、动植物、重要物种、生态系统完整性、生物多样性的影响途径、范围和程度。</w:t>
            </w:r>
          </w:p>
        </w:tc>
        <w:tc>
          <w:tcPr>
            <w:tcW w:w="5189" w:type="dxa"/>
            <w:noWrap w:val="0"/>
            <w:vAlign w:val="center"/>
          </w:tcPr>
          <w:p w14:paraId="49289E41">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物种：分布范围、种群数量、种群结构、行为；</w:t>
            </w:r>
          </w:p>
          <w:p w14:paraId="383C4277">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生境：生境面积、质量、连通性；</w:t>
            </w:r>
          </w:p>
          <w:p w14:paraId="2817376D">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生态群落：物种组成、群落结构等；</w:t>
            </w:r>
          </w:p>
          <w:p w14:paraId="08A85D30">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生态系统：植被覆盖度、生产力、生物量；</w:t>
            </w:r>
          </w:p>
          <w:p w14:paraId="351791C9">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生物多样性：物种丰富度、均匀度、优势度等；</w:t>
            </w:r>
          </w:p>
          <w:p w14:paraId="7BC61A03">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生态敏感区：主要保护对象、生态功能；</w:t>
            </w:r>
          </w:p>
          <w:p w14:paraId="5E3C267D">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自然景观：景观多样性和完整性；</w:t>
            </w:r>
          </w:p>
          <w:p w14:paraId="7FD2FD11">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自然遗迹：遗迹多样性、完整性等。</w:t>
            </w:r>
          </w:p>
        </w:tc>
        <w:tc>
          <w:tcPr>
            <w:tcW w:w="4740" w:type="dxa"/>
            <w:noWrap w:val="0"/>
            <w:vAlign w:val="center"/>
          </w:tcPr>
          <w:p w14:paraId="6601F8DD">
            <w:pPr>
              <w:keepNext w:val="0"/>
              <w:keepLines w:val="0"/>
              <w:pageBreakBefore w:val="0"/>
              <w:widowControl/>
              <w:suppressLineNumbers w:val="0"/>
              <w:kinsoku/>
              <w:wordWrap/>
              <w:topLinePunct w:val="0"/>
              <w:bidi w:val="0"/>
              <w:spacing w:line="290" w:lineRule="exact"/>
              <w:jc w:val="left"/>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施工期</w:t>
            </w:r>
            <w:r>
              <w:rPr>
                <w:rFonts w:hint="eastAsia" w:ascii="Times New Roman" w:hAnsi="Times New Roman" w:eastAsia="宋体" w:cs="Times New Roman"/>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地表扰动面积及类型、植被覆盖度、生物量损失、物种多样性、生态系统完整性等。</w:t>
            </w:r>
          </w:p>
          <w:p w14:paraId="668695B2">
            <w:pPr>
              <w:keepNext w:val="0"/>
              <w:keepLines w:val="0"/>
              <w:pageBreakBefore w:val="0"/>
              <w:widowControl/>
              <w:suppressLineNumbers w:val="0"/>
              <w:kinsoku/>
              <w:wordWrap/>
              <w:topLinePunct w:val="0"/>
              <w:bidi w:val="0"/>
              <w:spacing w:line="290" w:lineRule="exact"/>
              <w:jc w:val="left"/>
              <w:rPr>
                <w:rFonts w:hint="default" w:ascii="Times New Roman" w:hAnsi="Times New Roman" w:eastAsia="宋体" w:cs="Times New Roman"/>
                <w:color w:val="auto"/>
                <w:kern w:val="44"/>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bidi="ar"/>
              </w:rPr>
              <w:t>运营期：生物多样性、生态系统完整性等</w:t>
            </w:r>
          </w:p>
        </w:tc>
      </w:tr>
      <w:tr w14:paraId="5CAB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0" w:type="dxa"/>
            <w:noWrap w:val="0"/>
            <w:vAlign w:val="center"/>
          </w:tcPr>
          <w:p w14:paraId="7BE2680A">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w:t>
            </w:r>
          </w:p>
        </w:tc>
        <w:tc>
          <w:tcPr>
            <w:tcW w:w="3781" w:type="dxa"/>
            <w:noWrap w:val="0"/>
            <w:vAlign w:val="center"/>
          </w:tcPr>
          <w:p w14:paraId="4B1CBA45">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w:t>
            </w:r>
            <w:r>
              <w:rPr>
                <w:rFonts w:hint="eastAsia" w:ascii="Times New Roman" w:hAnsi="Times New Roman" w:eastAsia="宋体" w:cs="Times New Roman"/>
                <w:color w:val="auto"/>
                <w:sz w:val="21"/>
                <w:szCs w:val="21"/>
                <w:highlight w:val="none"/>
                <w:lang w:val="en-US" w:eastAsia="zh-CN"/>
              </w:rPr>
              <w:t>储层改造</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油气处理工程</w:t>
            </w:r>
            <w:r>
              <w:rPr>
                <w:rFonts w:hint="default" w:ascii="Times New Roman" w:hAnsi="Times New Roman" w:eastAsia="宋体" w:cs="Times New Roman"/>
                <w:color w:val="auto"/>
                <w:sz w:val="21"/>
                <w:szCs w:val="21"/>
                <w:highlight w:val="none"/>
              </w:rPr>
              <w:t>套管破损、防渗措施失效导致的渗漏以及废水回注等对地下水的影响</w:t>
            </w:r>
          </w:p>
        </w:tc>
        <w:tc>
          <w:tcPr>
            <w:tcW w:w="5189" w:type="dxa"/>
            <w:noWrap w:val="0"/>
            <w:vAlign w:val="center"/>
          </w:tcPr>
          <w:p w14:paraId="5BF8C4F6">
            <w:pPr>
              <w:keepNext w:val="0"/>
              <w:keepLines w:val="0"/>
              <w:pageBreakBefore w:val="0"/>
              <w:widowControl/>
              <w:kinsoku/>
              <w:wordWrap/>
              <w:overflowPunct/>
              <w:topLinePunct w:val="0"/>
              <w:autoSpaceDE/>
              <w:autoSpaceDN/>
              <w:bidi w:val="0"/>
              <w:adjustRightInd/>
              <w:snapToGrid/>
              <w:spacing w:line="290" w:lineRule="exac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pH、氨氮、硝酸盐）、亚硝酸盐、氰化物、砷、汞、铬（Cr</w:t>
            </w:r>
            <w:r>
              <w:rPr>
                <w:rFonts w:hint="default" w:ascii="Times New Roman" w:hAnsi="Times New Roman" w:eastAsia="宋体" w:cs="Times New Roman"/>
                <w:color w:val="auto"/>
                <w:kern w:val="0"/>
                <w:sz w:val="21"/>
                <w:szCs w:val="21"/>
                <w:highlight w:val="none"/>
                <w:vertAlign w:val="superscript"/>
              </w:rPr>
              <w:t>6+</w:t>
            </w:r>
            <w:r>
              <w:rPr>
                <w:rFonts w:hint="default" w:ascii="Times New Roman" w:hAnsi="Times New Roman" w:eastAsia="宋体" w:cs="Times New Roman"/>
                <w:color w:val="auto"/>
                <w:kern w:val="0"/>
                <w:sz w:val="21"/>
                <w:szCs w:val="21"/>
                <w:highlight w:val="none"/>
              </w:rPr>
              <w:t>）、总硬度、铅、氟</w:t>
            </w:r>
            <w:r>
              <w:rPr>
                <w:rFonts w:hint="default" w:ascii="Times New Roman" w:hAnsi="Times New Roman" w:eastAsia="宋体" w:cs="Times New Roman"/>
                <w:color w:val="auto"/>
                <w:kern w:val="0"/>
                <w:sz w:val="21"/>
                <w:szCs w:val="21"/>
                <w:highlight w:val="none"/>
                <w:lang w:val="en-US" w:eastAsia="zh-CN"/>
              </w:rPr>
              <w:t>化物</w:t>
            </w:r>
            <w:r>
              <w:rPr>
                <w:rFonts w:hint="default" w:ascii="Times New Roman" w:hAnsi="Times New Roman" w:eastAsia="宋体" w:cs="Times New Roman"/>
                <w:color w:val="auto"/>
                <w:kern w:val="0"/>
                <w:sz w:val="21"/>
                <w:szCs w:val="21"/>
                <w:highlight w:val="none"/>
              </w:rPr>
              <w:t>、镉、铁、锰、溶解性总固体、</w:t>
            </w:r>
            <w:r>
              <w:rPr>
                <w:rFonts w:hint="default" w:ascii="Times New Roman" w:hAnsi="Times New Roman" w:eastAsia="宋体" w:cs="Times New Roman"/>
                <w:color w:val="auto"/>
                <w:kern w:val="0"/>
                <w:sz w:val="21"/>
                <w:szCs w:val="21"/>
                <w:highlight w:val="none"/>
                <w:lang w:val="en-US" w:eastAsia="zh-CN"/>
              </w:rPr>
              <w:t>耗氧量</w:t>
            </w:r>
            <w:r>
              <w:rPr>
                <w:rFonts w:hint="default" w:ascii="Times New Roman" w:hAnsi="Times New Roman" w:eastAsia="宋体" w:cs="Times New Roman"/>
                <w:color w:val="auto"/>
                <w:kern w:val="0"/>
                <w:sz w:val="21"/>
                <w:szCs w:val="21"/>
                <w:highlight w:val="none"/>
              </w:rPr>
              <w:t>、硫酸盐、氯化物</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硫化物、钠、总大肠菌群、细菌总数、钾、钙、镁、碳酸盐、</w:t>
            </w:r>
            <w:r>
              <w:rPr>
                <w:rFonts w:hint="eastAsia" w:cs="Times New Roman"/>
                <w:color w:val="auto"/>
                <w:kern w:val="0"/>
                <w:sz w:val="21"/>
                <w:szCs w:val="21"/>
                <w:highlight w:val="none"/>
                <w:lang w:val="en-US" w:eastAsia="zh-CN"/>
              </w:rPr>
              <w:t>碳酸氢盐</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sz w:val="21"/>
                <w:szCs w:val="21"/>
                <w:highlight w:val="none"/>
              </w:rPr>
              <w:t>Cl</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4</w:t>
            </w:r>
            <w:r>
              <w:rPr>
                <w:rFonts w:hint="default" w:ascii="Times New Roman" w:hAnsi="Times New Roman" w:cs="Times New Roman"/>
                <w:color w:val="auto"/>
                <w:sz w:val="21"/>
                <w:szCs w:val="21"/>
                <w:highlight w:val="none"/>
                <w:vertAlign w:val="superscript"/>
              </w:rPr>
              <w:t>2-</w:t>
            </w:r>
            <w:r>
              <w:rPr>
                <w:rFonts w:hint="default" w:ascii="Times New Roman" w:hAnsi="Times New Roman" w:eastAsia="宋体" w:cs="Times New Roman"/>
                <w:color w:val="auto"/>
                <w:spacing w:val="-6"/>
                <w:sz w:val="21"/>
                <w:szCs w:val="21"/>
                <w:highlight w:val="none"/>
                <w:lang w:val="en-US" w:eastAsia="zh-CN"/>
              </w:rPr>
              <w:t>、</w:t>
            </w:r>
            <w:r>
              <w:rPr>
                <w:rFonts w:hint="eastAsia" w:cs="Times New Roman"/>
                <w:color w:val="auto"/>
                <w:sz w:val="21"/>
                <w:szCs w:val="21"/>
                <w:highlight w:val="none"/>
              </w:rPr>
              <w:t>挥发性酚类、石油类</w:t>
            </w:r>
          </w:p>
        </w:tc>
        <w:tc>
          <w:tcPr>
            <w:tcW w:w="4740" w:type="dxa"/>
            <w:noWrap w:val="0"/>
            <w:vAlign w:val="center"/>
          </w:tcPr>
          <w:p w14:paraId="1434AAE4">
            <w:pPr>
              <w:keepNext w:val="0"/>
              <w:keepLines w:val="0"/>
              <w:pageBreakBefore w:val="0"/>
              <w:kinsoku/>
              <w:wordWrap/>
              <w:topLinePunct w:val="0"/>
              <w:bidi w:val="0"/>
              <w:snapToGrid w:val="0"/>
              <w:spacing w:line="290" w:lineRule="exact"/>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施工期钻井：pH、挥发酚、耗氧量、氨氮、硫化物、氯化物、总硬度、溶解性总固体、汞、砷、六价铬</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石油类等。</w:t>
            </w:r>
          </w:p>
          <w:p w14:paraId="28D2B3C8">
            <w:pPr>
              <w:keepNext w:val="0"/>
              <w:keepLines w:val="0"/>
              <w:pageBreakBefore w:val="0"/>
              <w:kinsoku/>
              <w:wordWrap/>
              <w:topLinePunct w:val="0"/>
              <w:bidi w:val="0"/>
              <w:snapToGrid w:val="0"/>
              <w:spacing w:line="290" w:lineRule="exact"/>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储层改造工程：pH、COD、SS（压裂返排液）。</w:t>
            </w:r>
          </w:p>
          <w:p w14:paraId="220AD774">
            <w:pPr>
              <w:keepNext w:val="0"/>
              <w:keepLines w:val="0"/>
              <w:pageBreakBefore w:val="0"/>
              <w:kinsoku/>
              <w:wordWrap/>
              <w:topLinePunct w:val="0"/>
              <w:bidi w:val="0"/>
              <w:snapToGrid w:val="0"/>
              <w:spacing w:line="290" w:lineRule="exact"/>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运营期油气集输</w:t>
            </w:r>
            <w:r>
              <w:rPr>
                <w:rFonts w:hint="eastAsia" w:ascii="Times New Roman" w:hAnsi="Times New Roman" w:cs="Times New Roman"/>
                <w:color w:val="auto"/>
                <w:sz w:val="21"/>
                <w:szCs w:val="21"/>
                <w:highlight w:val="none"/>
                <w:lang w:val="en-US" w:eastAsia="zh-CN"/>
              </w:rPr>
              <w:t>及处理</w:t>
            </w:r>
            <w:r>
              <w:rPr>
                <w:rFonts w:hint="eastAsia" w:ascii="Times New Roman" w:hAnsi="Times New Roman" w:eastAsia="宋体" w:cs="Times New Roman"/>
                <w:color w:val="auto"/>
                <w:sz w:val="21"/>
                <w:szCs w:val="21"/>
                <w:highlight w:val="none"/>
                <w:lang w:val="en-US" w:eastAsia="zh-CN"/>
              </w:rPr>
              <w:t>工程：石油类等。</w:t>
            </w:r>
          </w:p>
        </w:tc>
      </w:tr>
      <w:tr w14:paraId="7CA3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0" w:type="dxa"/>
            <w:noWrap w:val="0"/>
            <w:vAlign w:val="center"/>
          </w:tcPr>
          <w:p w14:paraId="65DB4B89">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3781" w:type="dxa"/>
            <w:noWrap w:val="0"/>
            <w:vAlign w:val="center"/>
          </w:tcPr>
          <w:p w14:paraId="7AD33284">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施工钻井噪声、压裂噪声，运营期站场设备噪声、放空噪声等；交通噪声</w:t>
            </w:r>
          </w:p>
        </w:tc>
        <w:tc>
          <w:tcPr>
            <w:tcW w:w="5189" w:type="dxa"/>
            <w:noWrap w:val="0"/>
            <w:vAlign w:val="center"/>
          </w:tcPr>
          <w:p w14:paraId="4B2E208A">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昼间等效声级（</w:t>
            </w:r>
            <w:r>
              <w:rPr>
                <w:rFonts w:hint="default" w:ascii="Times New Roman" w:hAnsi="Times New Roman" w:eastAsia="宋体" w:cs="Times New Roman"/>
                <w:i/>
                <w:iCs/>
                <w:color w:val="auto"/>
                <w:kern w:val="0"/>
                <w:sz w:val="21"/>
                <w:szCs w:val="21"/>
                <w:highlight w:val="none"/>
                <w:lang w:val="en-US" w:eastAsia="zh-CN" w:bidi="ar"/>
              </w:rPr>
              <w:t>L</w:t>
            </w:r>
            <w:r>
              <w:rPr>
                <w:rFonts w:hint="default" w:ascii="Times New Roman" w:hAnsi="Times New Roman" w:eastAsia="宋体" w:cs="Times New Roman"/>
                <w:color w:val="auto"/>
                <w:kern w:val="0"/>
                <w:sz w:val="21"/>
                <w:szCs w:val="21"/>
                <w:highlight w:val="none"/>
                <w:lang w:val="en-US" w:eastAsia="zh-CN" w:bidi="ar"/>
              </w:rPr>
              <w:t>d）、夜间等效声级（</w:t>
            </w:r>
            <w:r>
              <w:rPr>
                <w:rFonts w:hint="default" w:ascii="Times New Roman" w:hAnsi="Times New Roman" w:eastAsia="宋体" w:cs="Times New Roman"/>
                <w:i/>
                <w:iCs/>
                <w:color w:val="auto"/>
                <w:kern w:val="0"/>
                <w:sz w:val="21"/>
                <w:szCs w:val="21"/>
                <w:highlight w:val="none"/>
                <w:lang w:val="en-US" w:eastAsia="zh-CN" w:bidi="ar"/>
              </w:rPr>
              <w:t>L</w:t>
            </w:r>
            <w:r>
              <w:rPr>
                <w:rFonts w:hint="default" w:ascii="Times New Roman" w:hAnsi="Times New Roman" w:eastAsia="宋体" w:cs="Times New Roman"/>
                <w:color w:val="auto"/>
                <w:kern w:val="0"/>
                <w:sz w:val="21"/>
                <w:szCs w:val="21"/>
                <w:highlight w:val="none"/>
                <w:lang w:val="en-US" w:eastAsia="zh-CN" w:bidi="ar"/>
              </w:rPr>
              <w:t>n）</w:t>
            </w:r>
          </w:p>
        </w:tc>
        <w:tc>
          <w:tcPr>
            <w:tcW w:w="4740" w:type="dxa"/>
            <w:noWrap w:val="0"/>
            <w:vAlign w:val="center"/>
          </w:tcPr>
          <w:p w14:paraId="2E50C281">
            <w:pPr>
              <w:keepNext w:val="0"/>
              <w:keepLines w:val="0"/>
              <w:pageBreakBefore w:val="0"/>
              <w:widowControl/>
              <w:suppressLineNumbers w:val="0"/>
              <w:kinsoku/>
              <w:wordWrap/>
              <w:topLinePunct w:val="0"/>
              <w:bidi w:val="0"/>
              <w:spacing w:line="290" w:lineRule="exact"/>
              <w:jc w:val="left"/>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施工期钻井和储层改造工程：昼间等效声级（</w:t>
            </w:r>
            <w:r>
              <w:rPr>
                <w:rFonts w:hint="default" w:ascii="Times New Roman" w:hAnsi="Times New Roman" w:eastAsia="宋体" w:cs="Times New Roman"/>
                <w:color w:val="auto"/>
                <w:kern w:val="0"/>
                <w:sz w:val="21"/>
                <w:szCs w:val="21"/>
                <w:highlight w:val="none"/>
                <w:shd w:val="clear" w:color="auto" w:fill="auto"/>
                <w:lang w:val="en-US" w:eastAsia="zh-CN" w:bidi="ar"/>
              </w:rPr>
              <w:t>Ld</w:t>
            </w:r>
            <w:r>
              <w:rPr>
                <w:rFonts w:hint="eastAsia" w:ascii="Times New Roman" w:hAnsi="Times New Roman" w:eastAsia="宋体" w:cs="Times New Roman"/>
                <w:color w:val="auto"/>
                <w:kern w:val="0"/>
                <w:sz w:val="21"/>
                <w:szCs w:val="21"/>
                <w:highlight w:val="none"/>
                <w:shd w:val="clear" w:color="auto" w:fill="auto"/>
                <w:lang w:val="en-US" w:eastAsia="zh-CN" w:bidi="ar"/>
              </w:rPr>
              <w:t>）、夜间等效声级（</w:t>
            </w:r>
            <w:r>
              <w:rPr>
                <w:rFonts w:hint="default" w:ascii="Times New Roman" w:hAnsi="Times New Roman" w:eastAsia="宋体" w:cs="Times New Roman"/>
                <w:color w:val="auto"/>
                <w:kern w:val="0"/>
                <w:sz w:val="21"/>
                <w:szCs w:val="21"/>
                <w:highlight w:val="none"/>
                <w:shd w:val="clear" w:color="auto" w:fill="auto"/>
                <w:lang w:val="en-US" w:eastAsia="zh-CN" w:bidi="ar"/>
              </w:rPr>
              <w:t>Ln</w:t>
            </w:r>
            <w:r>
              <w:rPr>
                <w:rFonts w:hint="eastAsia" w:ascii="Times New Roman" w:hAnsi="Times New Roman" w:eastAsia="宋体" w:cs="Times New Roman"/>
                <w:color w:val="auto"/>
                <w:kern w:val="0"/>
                <w:sz w:val="21"/>
                <w:szCs w:val="21"/>
                <w:highlight w:val="none"/>
                <w:shd w:val="clear" w:color="auto" w:fill="auto"/>
                <w:lang w:val="en-US" w:eastAsia="zh-CN" w:bidi="ar"/>
              </w:rPr>
              <w:t>）</w:t>
            </w:r>
          </w:p>
          <w:p w14:paraId="566568E5">
            <w:pPr>
              <w:keepNext w:val="0"/>
              <w:keepLines w:val="0"/>
              <w:pageBreakBefore w:val="0"/>
              <w:widowControl/>
              <w:suppressLineNumbers w:val="0"/>
              <w:kinsoku/>
              <w:wordWrap/>
              <w:topLinePunct w:val="0"/>
              <w:bidi w:val="0"/>
              <w:spacing w:line="290" w:lineRule="exact"/>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运营期油气集输：昼间等效声级（</w:t>
            </w:r>
            <w:r>
              <w:rPr>
                <w:rFonts w:hint="default" w:ascii="Times New Roman" w:hAnsi="Times New Roman" w:eastAsia="宋体" w:cs="Times New Roman"/>
                <w:color w:val="auto"/>
                <w:kern w:val="0"/>
                <w:sz w:val="21"/>
                <w:szCs w:val="21"/>
                <w:highlight w:val="none"/>
                <w:shd w:val="clear" w:color="auto" w:fill="auto"/>
                <w:lang w:val="en-US" w:eastAsia="zh-CN" w:bidi="ar"/>
              </w:rPr>
              <w:t>Ld</w:t>
            </w:r>
            <w:r>
              <w:rPr>
                <w:rFonts w:hint="eastAsia" w:ascii="Times New Roman" w:hAnsi="Times New Roman" w:eastAsia="宋体" w:cs="Times New Roman"/>
                <w:color w:val="auto"/>
                <w:kern w:val="0"/>
                <w:sz w:val="21"/>
                <w:szCs w:val="21"/>
                <w:highlight w:val="none"/>
                <w:shd w:val="clear" w:color="auto" w:fill="auto"/>
                <w:lang w:val="en-US" w:eastAsia="zh-CN" w:bidi="ar"/>
              </w:rPr>
              <w:t>）、夜间等效声级（</w:t>
            </w:r>
            <w:r>
              <w:rPr>
                <w:rFonts w:hint="default" w:ascii="Times New Roman" w:hAnsi="Times New Roman" w:eastAsia="宋体" w:cs="Times New Roman"/>
                <w:color w:val="auto"/>
                <w:kern w:val="0"/>
                <w:sz w:val="21"/>
                <w:szCs w:val="21"/>
                <w:highlight w:val="none"/>
                <w:shd w:val="clear" w:color="auto" w:fill="auto"/>
                <w:lang w:val="en-US" w:eastAsia="zh-CN" w:bidi="ar"/>
              </w:rPr>
              <w:t>Ln</w:t>
            </w:r>
            <w:r>
              <w:rPr>
                <w:rFonts w:hint="eastAsia" w:ascii="Times New Roman" w:hAnsi="Times New Roman" w:eastAsia="宋体" w:cs="Times New Roman"/>
                <w:color w:val="auto"/>
                <w:kern w:val="0"/>
                <w:sz w:val="21"/>
                <w:szCs w:val="21"/>
                <w:highlight w:val="none"/>
                <w:shd w:val="clear" w:color="auto" w:fill="auto"/>
                <w:lang w:val="en-US" w:eastAsia="zh-CN" w:bidi="ar"/>
              </w:rPr>
              <w:t>）</w:t>
            </w:r>
          </w:p>
        </w:tc>
      </w:tr>
      <w:tr w14:paraId="45AD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0" w:type="dxa"/>
            <w:noWrap w:val="0"/>
            <w:vAlign w:val="center"/>
          </w:tcPr>
          <w:p w14:paraId="35B91C99">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bookmarkStart w:id="109" w:name="OLE_LINK596" w:colFirst="0" w:colLast="3"/>
            <w:r>
              <w:rPr>
                <w:rFonts w:hint="default" w:ascii="Times New Roman" w:hAnsi="Times New Roman" w:eastAsia="宋体" w:cs="Times New Roman"/>
                <w:color w:val="auto"/>
                <w:sz w:val="21"/>
                <w:szCs w:val="21"/>
                <w:highlight w:val="none"/>
              </w:rPr>
              <w:t>大气</w:t>
            </w:r>
          </w:p>
          <w:p w14:paraId="1F3653E3">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tc>
        <w:tc>
          <w:tcPr>
            <w:tcW w:w="3781" w:type="dxa"/>
            <w:noWrap w:val="0"/>
            <w:vAlign w:val="center"/>
          </w:tcPr>
          <w:p w14:paraId="06DA1998">
            <w:pPr>
              <w:keepNext w:val="0"/>
              <w:keepLines w:val="0"/>
              <w:pageBreakBefore w:val="0"/>
              <w:widowControl/>
              <w:suppressLineNumbers w:val="0"/>
              <w:kinsoku/>
              <w:wordWrap/>
              <w:topLinePunct w:val="0"/>
              <w:bidi w:val="0"/>
              <w:spacing w:line="290" w:lineRule="exact"/>
              <w:jc w:val="left"/>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施工机械和车辆施工</w:t>
            </w:r>
            <w:r>
              <w:rPr>
                <w:rFonts w:hint="default" w:ascii="Times New Roman" w:hAnsi="Times New Roman" w:eastAsia="宋体" w:cs="Times New Roman"/>
                <w:color w:val="auto"/>
                <w:sz w:val="21"/>
                <w:szCs w:val="21"/>
                <w:highlight w:val="none"/>
                <w:lang w:val="en-US" w:eastAsia="zh-CN"/>
              </w:rPr>
              <w:t>扬尘、</w:t>
            </w:r>
            <w:r>
              <w:rPr>
                <w:rFonts w:hint="eastAsia" w:ascii="Times New Roman" w:hAnsi="Times New Roman" w:eastAsia="宋体" w:cs="Times New Roman"/>
                <w:color w:val="auto"/>
                <w:sz w:val="21"/>
                <w:szCs w:val="21"/>
                <w:highlight w:val="none"/>
                <w:lang w:val="en-US" w:eastAsia="zh-CN"/>
              </w:rPr>
              <w:t>储层改造废气、</w:t>
            </w:r>
            <w:r>
              <w:rPr>
                <w:rFonts w:hint="default" w:ascii="Times New Roman" w:hAnsi="Times New Roman" w:eastAsia="宋体" w:cs="Times New Roman"/>
                <w:color w:val="auto"/>
                <w:sz w:val="21"/>
                <w:szCs w:val="21"/>
                <w:highlight w:val="none"/>
                <w:lang w:val="en-US" w:eastAsia="zh-CN"/>
              </w:rPr>
              <w:t>测试放喷废气；运营期站场等无组织废气；</w:t>
            </w:r>
            <w:r>
              <w:rPr>
                <w:rFonts w:hint="default" w:ascii="Times New Roman" w:hAnsi="Times New Roman" w:eastAsia="宋体" w:cs="Times New Roman"/>
                <w:color w:val="auto"/>
                <w:kern w:val="0"/>
                <w:sz w:val="21"/>
                <w:szCs w:val="21"/>
                <w:highlight w:val="none"/>
                <w:lang w:val="en-US" w:eastAsia="zh-CN" w:bidi="ar"/>
              </w:rPr>
              <w:t>温室气体排放</w:t>
            </w:r>
          </w:p>
        </w:tc>
        <w:tc>
          <w:tcPr>
            <w:tcW w:w="5189" w:type="dxa"/>
            <w:noWrap w:val="0"/>
            <w:vAlign w:val="center"/>
          </w:tcPr>
          <w:p w14:paraId="2211DAC7">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vertAlign w:val="subscript"/>
              </w:rPr>
            </w:pPr>
            <w:r>
              <w:rPr>
                <w:rFonts w:hint="eastAsia" w:ascii="Times New Roman" w:hAnsi="Times New Roman" w:cs="Times New Roman"/>
                <w:color w:val="auto"/>
                <w:sz w:val="21"/>
                <w:szCs w:val="21"/>
                <w:highlight w:val="none"/>
                <w:lang w:val="en-US" w:eastAsia="zh-CN"/>
              </w:rPr>
              <w:t>基本因子：</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eastAsia" w:ascii="Times New Roman" w:hAnsi="Times New Roman"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rPr>
              <w:t>、</w:t>
            </w:r>
            <w:bookmarkStart w:id="110" w:name="OLE_LINK593"/>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w:t>
            </w:r>
            <w:bookmarkEnd w:id="110"/>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、CO、O</w:t>
            </w:r>
            <w:r>
              <w:rPr>
                <w:rFonts w:hint="default" w:ascii="Times New Roman" w:hAnsi="Times New Roman" w:eastAsia="宋体" w:cs="Times New Roman"/>
                <w:color w:val="auto"/>
                <w:sz w:val="21"/>
                <w:szCs w:val="21"/>
                <w:highlight w:val="none"/>
                <w:vertAlign w:val="subscript"/>
              </w:rPr>
              <w:t>3</w:t>
            </w:r>
          </w:p>
          <w:p w14:paraId="7B9A808C">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特征因子：</w:t>
            </w:r>
            <w:r>
              <w:rPr>
                <w:rFonts w:hint="default" w:ascii="Times New Roman" w:hAnsi="Times New Roman" w:eastAsia="宋体" w:cs="Times New Roman"/>
                <w:color w:val="auto"/>
                <w:sz w:val="21"/>
                <w:szCs w:val="21"/>
                <w:highlight w:val="none"/>
                <w:vertAlign w:val="baseline"/>
                <w:lang w:val="en-US" w:eastAsia="zh-CN"/>
              </w:rPr>
              <w:t>非甲烷总烃</w:t>
            </w:r>
            <w:r>
              <w:rPr>
                <w:rFonts w:hint="eastAsia" w:ascii="Times New Roman" w:hAnsi="Times New Roman" w:cs="Times New Roman"/>
                <w:color w:val="auto"/>
                <w:sz w:val="21"/>
                <w:szCs w:val="21"/>
                <w:highlight w:val="none"/>
                <w:vertAlign w:val="baseline"/>
                <w:lang w:val="en-US" w:eastAsia="zh-CN"/>
              </w:rPr>
              <w:t>、硫化氢</w:t>
            </w:r>
          </w:p>
        </w:tc>
        <w:tc>
          <w:tcPr>
            <w:tcW w:w="4740" w:type="dxa"/>
            <w:noWrap w:val="0"/>
            <w:vAlign w:val="center"/>
          </w:tcPr>
          <w:p w14:paraId="3FFB6FC7">
            <w:pPr>
              <w:keepNext w:val="0"/>
              <w:keepLines w:val="0"/>
              <w:pageBreakBefore w:val="0"/>
              <w:widowControl/>
              <w:suppressLineNumbers w:val="0"/>
              <w:kinsoku/>
              <w:wordWrap/>
              <w:overflowPunct/>
              <w:topLinePunct w:val="0"/>
              <w:autoSpaceDE/>
              <w:autoSpaceDN/>
              <w:bidi w:val="0"/>
              <w:adjustRightInd/>
              <w:snapToGrid/>
              <w:spacing w:line="290" w:lineRule="exact"/>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施工</w:t>
            </w:r>
            <w:r>
              <w:rPr>
                <w:rFonts w:hint="default" w:ascii="Times New Roman" w:hAnsi="Times New Roman" w:eastAsia="宋体" w:cs="Times New Roman"/>
                <w:color w:val="auto"/>
                <w:kern w:val="0"/>
                <w:sz w:val="21"/>
                <w:szCs w:val="21"/>
                <w:highlight w:val="none"/>
                <w:lang w:val="en-US" w:eastAsia="zh-CN" w:bidi="ar"/>
              </w:rPr>
              <w:t>期</w:t>
            </w:r>
            <w:r>
              <w:rPr>
                <w:rFonts w:hint="eastAsia" w:ascii="Times New Roman" w:hAnsi="Times New Roman" w:eastAsia="宋体" w:cs="Times New Roman"/>
                <w:color w:val="auto"/>
                <w:kern w:val="0"/>
                <w:sz w:val="21"/>
                <w:szCs w:val="21"/>
                <w:highlight w:val="none"/>
                <w:lang w:val="en-US" w:eastAsia="zh-CN" w:bidi="ar"/>
              </w:rPr>
              <w:t>钻井和储层改造工程：</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、NO</w:t>
            </w:r>
            <w:r>
              <w:rPr>
                <w:rFonts w:hint="eastAsia" w:ascii="Times New Roman" w:hAnsi="Times New Roman"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kern w:val="0"/>
                <w:sz w:val="21"/>
                <w:szCs w:val="21"/>
                <w:highlight w:val="none"/>
                <w:lang w:val="en-US" w:eastAsia="zh-CN" w:bidi="ar"/>
              </w:rPr>
              <w:t>非甲烷总烃；</w:t>
            </w:r>
          </w:p>
          <w:p w14:paraId="6B07D512">
            <w:pPr>
              <w:keepNext w:val="0"/>
              <w:keepLines w:val="0"/>
              <w:pageBreakBefore w:val="0"/>
              <w:widowControl/>
              <w:suppressLineNumbers w:val="0"/>
              <w:kinsoku/>
              <w:wordWrap/>
              <w:overflowPunct/>
              <w:topLinePunct w:val="0"/>
              <w:autoSpaceDE/>
              <w:autoSpaceDN/>
              <w:bidi w:val="0"/>
              <w:adjustRightInd/>
              <w:snapToGrid/>
              <w:spacing w:line="290" w:lineRule="exact"/>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运营期</w:t>
            </w:r>
            <w:r>
              <w:rPr>
                <w:rFonts w:hint="eastAsia" w:ascii="Times New Roman" w:hAnsi="Times New Roman" w:eastAsia="宋体" w:cs="Times New Roman"/>
                <w:color w:val="auto"/>
                <w:kern w:val="0"/>
                <w:sz w:val="21"/>
                <w:szCs w:val="21"/>
                <w:highlight w:val="none"/>
                <w:lang w:val="en-US" w:eastAsia="zh-CN" w:bidi="ar"/>
              </w:rPr>
              <w:t>油气集输</w:t>
            </w:r>
            <w:r>
              <w:rPr>
                <w:rFonts w:hint="eastAsia" w:ascii="Times New Roman" w:hAnsi="Times New Roman" w:cs="Times New Roman"/>
                <w:color w:val="auto"/>
                <w:kern w:val="0"/>
                <w:sz w:val="21"/>
                <w:szCs w:val="21"/>
                <w:highlight w:val="none"/>
                <w:lang w:val="en-US" w:eastAsia="zh-CN" w:bidi="ar"/>
              </w:rPr>
              <w:t>及处理</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非甲烷总烃</w:t>
            </w:r>
            <w:r>
              <w:rPr>
                <w:rFonts w:hint="eastAsia" w:ascii="Times New Roman" w:hAnsi="Times New Roman" w:cs="Times New Roman"/>
                <w:color w:val="auto"/>
                <w:kern w:val="0"/>
                <w:sz w:val="21"/>
                <w:szCs w:val="21"/>
                <w:highlight w:val="none"/>
                <w:lang w:val="en-US" w:eastAsia="zh-CN" w:bidi="ar"/>
              </w:rPr>
              <w:t>、硫化氢；</w:t>
            </w:r>
          </w:p>
          <w:p w14:paraId="71D8AFCA">
            <w:pPr>
              <w:keepNext w:val="0"/>
              <w:keepLines w:val="0"/>
              <w:pageBreakBefore w:val="0"/>
              <w:widowControl/>
              <w:suppressLineNumbers w:val="0"/>
              <w:kinsoku/>
              <w:wordWrap/>
              <w:overflowPunct/>
              <w:topLinePunct w:val="0"/>
              <w:autoSpaceDE/>
              <w:autoSpaceDN/>
              <w:bidi w:val="0"/>
              <w:adjustRightInd/>
              <w:snapToGrid/>
              <w:spacing w:line="290" w:lineRule="exact"/>
              <w:jc w:val="left"/>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温室气体：二氧化碳、甲烷</w:t>
            </w:r>
          </w:p>
        </w:tc>
      </w:tr>
      <w:tr w14:paraId="0BF6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0" w:type="dxa"/>
            <w:noWrap w:val="0"/>
            <w:vAlign w:val="center"/>
          </w:tcPr>
          <w:p w14:paraId="65DE28D1">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w:t>
            </w:r>
          </w:p>
          <w:p w14:paraId="16924BCB">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w:t>
            </w:r>
          </w:p>
        </w:tc>
        <w:tc>
          <w:tcPr>
            <w:tcW w:w="3781" w:type="dxa"/>
            <w:noWrap w:val="0"/>
            <w:vAlign w:val="center"/>
          </w:tcPr>
          <w:p w14:paraId="21046C42">
            <w:pPr>
              <w:keepNext w:val="0"/>
              <w:keepLines w:val="0"/>
              <w:pageBreakBefore w:val="0"/>
              <w:widowControl/>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钻井工程、</w:t>
            </w:r>
            <w:r>
              <w:rPr>
                <w:rFonts w:hint="eastAsia" w:ascii="Times New Roman" w:hAnsi="Times New Roman" w:eastAsia="宋体" w:cs="Times New Roman"/>
                <w:color w:val="auto"/>
                <w:sz w:val="21"/>
                <w:szCs w:val="21"/>
                <w:highlight w:val="none"/>
                <w:lang w:val="en-US" w:eastAsia="zh-CN"/>
              </w:rPr>
              <w:t>地面</w:t>
            </w:r>
            <w:r>
              <w:rPr>
                <w:rFonts w:hint="default" w:ascii="Times New Roman" w:hAnsi="Times New Roman" w:eastAsia="宋体" w:cs="Times New Roman"/>
                <w:color w:val="auto"/>
                <w:sz w:val="21"/>
                <w:szCs w:val="21"/>
                <w:highlight w:val="none"/>
                <w:lang w:val="en-US" w:eastAsia="zh-CN"/>
              </w:rPr>
              <w:t>工程对土壤影响</w:t>
            </w:r>
          </w:p>
        </w:tc>
        <w:tc>
          <w:tcPr>
            <w:tcW w:w="5189" w:type="dxa"/>
            <w:noWrap w:val="0"/>
            <w:vAlign w:val="center"/>
          </w:tcPr>
          <w:p w14:paraId="0B096C4A">
            <w:pPr>
              <w:pStyle w:val="51"/>
              <w:keepNext w:val="0"/>
              <w:keepLines w:val="0"/>
              <w:pageBreakBefore w:val="0"/>
              <w:kinsoku/>
              <w:wordWrap/>
              <w:topLinePunct w:val="0"/>
              <w:bidi w:val="0"/>
              <w:spacing w:line="290" w:lineRule="exact"/>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《土壤环境质量建设用地土壤污染风险管控标准（试行）》（GB36600-2018）表1中45项</w:t>
            </w:r>
            <w:r>
              <w:rPr>
                <w:rFonts w:hint="default" w:ascii="Times New Roman" w:hAnsi="Times New Roman" w:eastAsia="宋体" w:cs="Times New Roman"/>
                <w:b w:val="0"/>
                <w:bCs w:val="0"/>
                <w:color w:val="auto"/>
                <w:sz w:val="21"/>
                <w:szCs w:val="21"/>
                <w:highlight w:val="none"/>
              </w:rPr>
              <w:t>基本因子：</w:t>
            </w:r>
            <w:r>
              <w:rPr>
                <w:rFonts w:hint="default" w:ascii="Times New Roman" w:hAnsi="Times New Roman" w:eastAsia="宋体" w:cs="Times New Roman"/>
                <w:color w:val="auto"/>
                <w:sz w:val="21"/>
                <w:szCs w:val="21"/>
                <w:highlight w:val="none"/>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《土壤环境质量农用地土壤污染风险管控标准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试行</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GB15618-2018</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pH、盐分含量、镉、汞、砷、铅、铬、铜、镍、锌；</w:t>
            </w:r>
          </w:p>
          <w:p w14:paraId="55DA907E">
            <w:pPr>
              <w:pStyle w:val="51"/>
              <w:keepNext w:val="0"/>
              <w:keepLines w:val="0"/>
              <w:pageBreakBefore w:val="0"/>
              <w:kinsoku/>
              <w:wordWrap/>
              <w:topLinePunct w:val="0"/>
              <w:bidi w:val="0"/>
              <w:spacing w:line="290" w:lineRule="exac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其他因子：</w:t>
            </w:r>
            <w:r>
              <w:rPr>
                <w:rFonts w:hint="default" w:ascii="Times New Roman" w:hAnsi="Times New Roman" w:eastAsia="宋体" w:cs="Times New Roman"/>
                <w:color w:val="auto"/>
                <w:sz w:val="21"/>
                <w:szCs w:val="21"/>
                <w:highlight w:val="none"/>
                <w:lang w:eastAsia="zh-CN"/>
              </w:rPr>
              <w:t>pH</w:t>
            </w:r>
            <w:r>
              <w:rPr>
                <w:rFonts w:hint="default" w:ascii="Times New Roman" w:hAnsi="Times New Roman" w:eastAsia="宋体" w:cs="Times New Roman"/>
                <w:color w:val="auto"/>
                <w:sz w:val="21"/>
                <w:szCs w:val="21"/>
                <w:highlight w:val="none"/>
              </w:rPr>
              <w:t>、石油烃</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土壤盐分含量</w:t>
            </w:r>
          </w:p>
        </w:tc>
        <w:tc>
          <w:tcPr>
            <w:tcW w:w="4740" w:type="dxa"/>
            <w:noWrap w:val="0"/>
            <w:vAlign w:val="center"/>
          </w:tcPr>
          <w:p w14:paraId="6E9960FF">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施工期钻井和储层</w:t>
            </w:r>
            <w:r>
              <w:rPr>
                <w:rFonts w:hint="eastAsia" w:cs="Times New Roman"/>
                <w:color w:val="auto"/>
                <w:sz w:val="21"/>
                <w:szCs w:val="21"/>
                <w:highlight w:val="none"/>
                <w:lang w:val="en-US" w:eastAsia="zh-CN"/>
              </w:rPr>
              <w:t>改造</w:t>
            </w:r>
            <w:r>
              <w:rPr>
                <w:rFonts w:hint="default" w:ascii="Times New Roman" w:hAnsi="Times New Roman" w:eastAsia="宋体" w:cs="Times New Roman"/>
                <w:color w:val="auto"/>
                <w:sz w:val="21"/>
                <w:szCs w:val="21"/>
                <w:highlight w:val="none"/>
                <w:lang w:val="en-US" w:eastAsia="zh-CN"/>
              </w:rPr>
              <w:t>工程：pH、石油烃、汞、砷、六价铬、土壤盐分含量等</w:t>
            </w:r>
          </w:p>
          <w:p w14:paraId="2DAF6023">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w:t>
            </w:r>
            <w:r>
              <w:rPr>
                <w:rFonts w:hint="eastAsia" w:ascii="Times New Roman" w:hAnsi="Times New Roman" w:eastAsia="宋体" w:cs="Times New Roman"/>
                <w:color w:val="auto"/>
                <w:sz w:val="21"/>
                <w:szCs w:val="21"/>
                <w:highlight w:val="none"/>
                <w:lang w:val="en-US" w:eastAsia="zh-CN"/>
              </w:rPr>
              <w:t>油气集输</w:t>
            </w:r>
            <w:r>
              <w:rPr>
                <w:rFonts w:hint="eastAsia" w:ascii="Times New Roman" w:hAnsi="Times New Roman" w:cs="Times New Roman"/>
                <w:color w:val="auto"/>
                <w:sz w:val="21"/>
                <w:szCs w:val="21"/>
                <w:highlight w:val="none"/>
                <w:lang w:val="en-US" w:eastAsia="zh-CN"/>
              </w:rPr>
              <w:t>及处理</w:t>
            </w:r>
            <w:r>
              <w:rPr>
                <w:rFonts w:hint="default" w:ascii="Times New Roman" w:hAnsi="Times New Roman" w:eastAsia="宋体" w:cs="Times New Roman"/>
                <w:color w:val="auto"/>
                <w:sz w:val="21"/>
                <w:szCs w:val="21"/>
                <w:highlight w:val="none"/>
                <w:lang w:val="en-US" w:eastAsia="zh-CN"/>
              </w:rPr>
              <w:t>：石油烃</w:t>
            </w:r>
          </w:p>
          <w:p w14:paraId="2D7C6D25">
            <w:pPr>
              <w:keepNext w:val="0"/>
              <w:keepLines w:val="0"/>
              <w:pageBreakBefore w:val="0"/>
              <w:kinsoku/>
              <w:wordWrap/>
              <w:topLinePunct w:val="0"/>
              <w:bidi w:val="0"/>
              <w:spacing w:line="290" w:lineRule="exact"/>
              <w:jc w:val="both"/>
              <w:rPr>
                <w:rFonts w:hint="default" w:ascii="Times New Roman" w:hAnsi="Times New Roman" w:eastAsia="宋体" w:cs="Times New Roman"/>
                <w:color w:val="auto"/>
                <w:sz w:val="21"/>
                <w:szCs w:val="21"/>
                <w:highlight w:val="none"/>
                <w:lang w:val="en-US" w:eastAsia="zh-CN"/>
              </w:rPr>
            </w:pPr>
          </w:p>
        </w:tc>
      </w:tr>
      <w:bookmarkEnd w:id="109"/>
      <w:tr w14:paraId="38FB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910" w:type="dxa"/>
            <w:noWrap w:val="0"/>
            <w:vAlign w:val="center"/>
          </w:tcPr>
          <w:p w14:paraId="32D86CC9">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6682E02F">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3781" w:type="dxa"/>
            <w:noWrap w:val="0"/>
            <w:vAlign w:val="center"/>
          </w:tcPr>
          <w:p w14:paraId="74162A07">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lang w:val="en-US" w:eastAsia="zh-CN"/>
              </w:rPr>
              <w:t>施工钻井固废、</w:t>
            </w:r>
            <w:r>
              <w:rPr>
                <w:rFonts w:hint="default" w:ascii="Times New Roman" w:hAnsi="Times New Roman" w:eastAsia="宋体" w:cs="Times New Roman"/>
                <w:color w:val="auto"/>
                <w:spacing w:val="-6"/>
                <w:sz w:val="21"/>
                <w:szCs w:val="21"/>
                <w:highlight w:val="none"/>
              </w:rPr>
              <w:t>生活垃圾、建筑垃圾、工程弃土</w:t>
            </w:r>
            <w:r>
              <w:rPr>
                <w:rFonts w:hint="default" w:ascii="Times New Roman" w:hAnsi="Times New Roman" w:eastAsia="宋体" w:cs="Times New Roman"/>
                <w:color w:val="auto"/>
                <w:spacing w:val="-6"/>
                <w:sz w:val="21"/>
                <w:szCs w:val="21"/>
                <w:highlight w:val="none"/>
                <w:lang w:val="en-US" w:eastAsia="zh-CN"/>
              </w:rPr>
              <w:t>等；运营期井下作业、</w:t>
            </w:r>
            <w:r>
              <w:rPr>
                <w:rFonts w:hint="eastAsia" w:ascii="Times New Roman" w:hAnsi="Times New Roman" w:cs="Times New Roman"/>
                <w:color w:val="auto"/>
                <w:spacing w:val="-6"/>
                <w:sz w:val="21"/>
                <w:szCs w:val="21"/>
                <w:highlight w:val="none"/>
                <w:lang w:val="en-US" w:eastAsia="zh-CN"/>
              </w:rPr>
              <w:t>采气</w:t>
            </w: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油气</w:t>
            </w:r>
            <w:r>
              <w:rPr>
                <w:rFonts w:hint="default" w:ascii="Times New Roman" w:hAnsi="Times New Roman" w:eastAsia="宋体" w:cs="Times New Roman"/>
                <w:color w:val="auto"/>
                <w:spacing w:val="-6"/>
                <w:sz w:val="21"/>
                <w:szCs w:val="21"/>
                <w:highlight w:val="none"/>
                <w:lang w:val="en-US" w:eastAsia="zh-CN"/>
              </w:rPr>
              <w:t>集输</w:t>
            </w:r>
            <w:r>
              <w:rPr>
                <w:rFonts w:hint="eastAsia" w:ascii="Times New Roman" w:hAnsi="Times New Roman" w:cs="Times New Roman"/>
                <w:color w:val="auto"/>
                <w:spacing w:val="-6"/>
                <w:sz w:val="21"/>
                <w:szCs w:val="21"/>
                <w:highlight w:val="none"/>
                <w:lang w:val="en-US" w:eastAsia="zh-CN"/>
              </w:rPr>
              <w:t>和油气处理</w:t>
            </w:r>
            <w:r>
              <w:rPr>
                <w:rFonts w:hint="default" w:ascii="Times New Roman" w:hAnsi="Times New Roman" w:eastAsia="宋体" w:cs="Times New Roman"/>
                <w:color w:val="auto"/>
                <w:spacing w:val="-6"/>
                <w:sz w:val="21"/>
                <w:szCs w:val="21"/>
                <w:highlight w:val="none"/>
                <w:lang w:val="en-US" w:eastAsia="zh-CN"/>
              </w:rPr>
              <w:t>等环节产</w:t>
            </w:r>
            <w:r>
              <w:rPr>
                <w:rFonts w:hint="eastAsia" w:cs="Times New Roman"/>
                <w:color w:val="auto"/>
                <w:spacing w:val="-6"/>
                <w:sz w:val="21"/>
                <w:szCs w:val="21"/>
                <w:highlight w:val="none"/>
                <w:lang w:val="en-US" w:eastAsia="zh-CN"/>
              </w:rPr>
              <w:t>生的</w:t>
            </w:r>
            <w:r>
              <w:rPr>
                <w:rFonts w:hint="default" w:ascii="Times New Roman" w:hAnsi="Times New Roman" w:eastAsia="宋体" w:cs="Times New Roman"/>
                <w:color w:val="auto"/>
                <w:spacing w:val="-6"/>
                <w:sz w:val="21"/>
                <w:szCs w:val="21"/>
                <w:highlight w:val="none"/>
                <w:lang w:val="en-US" w:eastAsia="zh-CN"/>
              </w:rPr>
              <w:t>含油污泥、</w:t>
            </w:r>
            <w:r>
              <w:rPr>
                <w:rFonts w:hint="eastAsia" w:ascii="Times New Roman" w:hAnsi="Times New Roman" w:cs="Times New Roman"/>
                <w:color w:val="auto"/>
                <w:spacing w:val="-6"/>
                <w:sz w:val="21"/>
                <w:szCs w:val="21"/>
                <w:highlight w:val="none"/>
                <w:lang w:val="en-US" w:eastAsia="zh-CN"/>
              </w:rPr>
              <w:t>废防渗膜、废润滑油、</w:t>
            </w:r>
            <w:r>
              <w:rPr>
                <w:rFonts w:hint="default" w:ascii="Times New Roman" w:hAnsi="Times New Roman" w:eastAsia="宋体" w:cs="Times New Roman"/>
                <w:color w:val="auto"/>
                <w:spacing w:val="-6"/>
                <w:sz w:val="21"/>
                <w:szCs w:val="21"/>
                <w:highlight w:val="none"/>
                <w:lang w:val="en-US" w:eastAsia="zh-CN"/>
              </w:rPr>
              <w:t>含油清管废渣</w:t>
            </w:r>
            <w:r>
              <w:rPr>
                <w:rFonts w:hint="eastAsia" w:ascii="Times New Roman" w:hAnsi="Times New Roman" w:cs="Times New Roman"/>
                <w:color w:val="auto"/>
                <w:spacing w:val="-6"/>
                <w:sz w:val="21"/>
                <w:szCs w:val="21"/>
                <w:highlight w:val="none"/>
                <w:lang w:val="en-US" w:eastAsia="zh-CN"/>
              </w:rPr>
              <w:t>以及员工生活垃圾</w:t>
            </w:r>
            <w:r>
              <w:rPr>
                <w:rFonts w:hint="default" w:ascii="Times New Roman" w:hAnsi="Times New Roman" w:eastAsia="宋体" w:cs="Times New Roman"/>
                <w:color w:val="auto"/>
                <w:spacing w:val="-6"/>
                <w:sz w:val="21"/>
                <w:szCs w:val="21"/>
                <w:highlight w:val="none"/>
                <w:lang w:val="en-US" w:eastAsia="zh-CN"/>
              </w:rPr>
              <w:t>；退役期地面设施拆除、井场清理等环节产生的废弃管道和设备、建筑垃圾、含油污泥等</w:t>
            </w:r>
          </w:p>
        </w:tc>
        <w:tc>
          <w:tcPr>
            <w:tcW w:w="5189" w:type="dxa"/>
            <w:noWrap w:val="0"/>
            <w:vAlign w:val="center"/>
          </w:tcPr>
          <w:p w14:paraId="22D68AD9">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740" w:type="dxa"/>
            <w:noWrap w:val="0"/>
            <w:vAlign w:val="center"/>
          </w:tcPr>
          <w:p w14:paraId="40E05470">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w:t>
            </w:r>
            <w:r>
              <w:rPr>
                <w:rFonts w:hint="default" w:ascii="Times New Roman" w:hAnsi="Times New Roman" w:eastAsia="宋体" w:cs="Times New Roman"/>
                <w:color w:val="auto"/>
                <w:sz w:val="21"/>
                <w:szCs w:val="21"/>
                <w:highlight w:val="none"/>
              </w:rPr>
              <w:t>废弃钻井泥浆、岩屑、弃土弃方、建筑垃圾、生活垃圾、废油</w:t>
            </w:r>
            <w:r>
              <w:rPr>
                <w:rFonts w:hint="default"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含油废弃物</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废烧碱包装袋</w:t>
            </w:r>
            <w:r>
              <w:rPr>
                <w:rFonts w:hint="default" w:ascii="Times New Roman" w:hAnsi="Times New Roman" w:eastAsia="宋体" w:cs="Times New Roman"/>
                <w:color w:val="auto"/>
                <w:sz w:val="21"/>
                <w:szCs w:val="21"/>
                <w:highlight w:val="none"/>
                <w:lang w:val="en-US" w:eastAsia="zh-CN"/>
              </w:rPr>
              <w:t>等。</w:t>
            </w:r>
          </w:p>
          <w:p w14:paraId="213CE361">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运营期：井下作业、</w:t>
            </w:r>
            <w:r>
              <w:rPr>
                <w:rFonts w:hint="eastAsia" w:ascii="Times New Roman" w:hAnsi="Times New Roman" w:cs="Times New Roman"/>
                <w:color w:val="auto"/>
                <w:sz w:val="21"/>
                <w:szCs w:val="21"/>
                <w:highlight w:val="none"/>
                <w:lang w:val="en-US" w:eastAsia="zh-CN"/>
              </w:rPr>
              <w:t>采</w:t>
            </w:r>
            <w:r>
              <w:rPr>
                <w:rFonts w:hint="eastAsia" w:cs="Times New Roman"/>
                <w:color w:val="auto"/>
                <w:sz w:val="21"/>
                <w:szCs w:val="21"/>
                <w:highlight w:val="none"/>
                <w:lang w:val="en-US" w:eastAsia="zh-CN"/>
              </w:rPr>
              <w:t>油</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油气</w:t>
            </w:r>
            <w:r>
              <w:rPr>
                <w:rFonts w:hint="default" w:ascii="Times New Roman" w:hAnsi="Times New Roman" w:eastAsia="宋体" w:cs="Times New Roman"/>
                <w:color w:val="auto"/>
                <w:sz w:val="21"/>
                <w:szCs w:val="21"/>
                <w:highlight w:val="none"/>
                <w:lang w:val="en-US" w:eastAsia="zh-CN"/>
              </w:rPr>
              <w:t>集输</w:t>
            </w:r>
            <w:r>
              <w:rPr>
                <w:rFonts w:hint="eastAsia" w:ascii="Times New Roman" w:hAnsi="Times New Roman" w:cs="Times New Roman"/>
                <w:color w:val="auto"/>
                <w:sz w:val="21"/>
                <w:szCs w:val="21"/>
                <w:highlight w:val="none"/>
                <w:lang w:val="en-US" w:eastAsia="zh-CN"/>
              </w:rPr>
              <w:t>和油气处理</w:t>
            </w:r>
            <w:r>
              <w:rPr>
                <w:rFonts w:hint="default" w:ascii="Times New Roman" w:hAnsi="Times New Roman" w:eastAsia="宋体" w:cs="Times New Roman"/>
                <w:color w:val="auto"/>
                <w:sz w:val="21"/>
                <w:szCs w:val="21"/>
                <w:highlight w:val="none"/>
                <w:lang w:val="en-US" w:eastAsia="zh-CN"/>
              </w:rPr>
              <w:t>等环节产生油泥、废防渗膜、清管废渣、废润滑油</w:t>
            </w:r>
            <w:r>
              <w:rPr>
                <w:rFonts w:hint="eastAsia" w:ascii="Times New Roman" w:hAnsi="Times New Roman" w:cs="Times New Roman"/>
                <w:color w:val="auto"/>
                <w:sz w:val="21"/>
                <w:szCs w:val="21"/>
                <w:highlight w:val="none"/>
                <w:lang w:val="en-US" w:eastAsia="zh-CN"/>
              </w:rPr>
              <w:t>，以及员工生活垃圾</w:t>
            </w:r>
            <w:r>
              <w:rPr>
                <w:rFonts w:hint="default" w:ascii="Times New Roman" w:hAnsi="Times New Roman" w:eastAsia="宋体" w:cs="Times New Roman"/>
                <w:color w:val="auto"/>
                <w:sz w:val="21"/>
                <w:szCs w:val="21"/>
                <w:highlight w:val="none"/>
                <w:lang w:val="en-US" w:eastAsia="zh-CN"/>
              </w:rPr>
              <w:t>；</w:t>
            </w:r>
          </w:p>
          <w:p w14:paraId="08559089">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退役期：废弃管道、设备、</w:t>
            </w:r>
            <w:r>
              <w:rPr>
                <w:rFonts w:hint="default" w:ascii="Times New Roman" w:hAnsi="Times New Roman" w:eastAsia="宋体" w:cs="Times New Roman"/>
                <w:color w:val="auto"/>
                <w:sz w:val="21"/>
                <w:szCs w:val="21"/>
                <w:highlight w:val="none"/>
              </w:rPr>
              <w:t>建筑垃圾和</w:t>
            </w:r>
            <w:r>
              <w:rPr>
                <w:rFonts w:hint="default" w:ascii="Times New Roman" w:hAnsi="Times New Roman" w:eastAsia="宋体" w:cs="Times New Roman"/>
                <w:color w:val="auto"/>
                <w:sz w:val="21"/>
                <w:szCs w:val="21"/>
                <w:highlight w:val="none"/>
                <w:lang w:val="en-US" w:eastAsia="zh-CN"/>
              </w:rPr>
              <w:t>含油污泥等</w:t>
            </w:r>
          </w:p>
        </w:tc>
      </w:tr>
      <w:tr w14:paraId="772A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0" w:type="dxa"/>
            <w:noWrap w:val="0"/>
            <w:vAlign w:val="center"/>
          </w:tcPr>
          <w:p w14:paraId="6CC32C32">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w:t>
            </w:r>
          </w:p>
          <w:p w14:paraId="2B1DAF1B">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风险</w:t>
            </w:r>
          </w:p>
        </w:tc>
        <w:tc>
          <w:tcPr>
            <w:tcW w:w="3781" w:type="dxa"/>
            <w:noWrap w:val="0"/>
            <w:vAlign w:val="center"/>
          </w:tcPr>
          <w:p w14:paraId="010F47A3">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天然气</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原油、柴油、硫化氢</w:t>
            </w:r>
            <w:r>
              <w:rPr>
                <w:rFonts w:hint="default" w:ascii="Times New Roman" w:hAnsi="Times New Roman" w:eastAsia="宋体" w:cs="Times New Roman"/>
                <w:color w:val="auto"/>
                <w:sz w:val="21"/>
                <w:szCs w:val="21"/>
                <w:highlight w:val="none"/>
              </w:rPr>
              <w:t>等危险物质泄漏，以及火灾、爆炸、井喷等安全生产风险事故引发的伴生/次生污染物对生态环境的影响。</w:t>
            </w:r>
          </w:p>
        </w:tc>
        <w:tc>
          <w:tcPr>
            <w:tcW w:w="5189" w:type="dxa"/>
            <w:noWrap w:val="0"/>
            <w:vAlign w:val="center"/>
          </w:tcPr>
          <w:p w14:paraId="1E889B60">
            <w:pPr>
              <w:keepNext w:val="0"/>
              <w:keepLines w:val="0"/>
              <w:pageBreakBefore w:val="0"/>
              <w:kinsoku/>
              <w:wordWrap/>
              <w:topLinePunct w:val="0"/>
              <w:bidi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740" w:type="dxa"/>
            <w:noWrap w:val="0"/>
            <w:vAlign w:val="center"/>
          </w:tcPr>
          <w:p w14:paraId="557D7A1B">
            <w:pPr>
              <w:keepNext w:val="0"/>
              <w:keepLines w:val="0"/>
              <w:pageBreakBefore w:val="0"/>
              <w:widowControl w:val="0"/>
              <w:kinsoku/>
              <w:wordWrap/>
              <w:overflowPunct/>
              <w:topLinePunct w:val="0"/>
              <w:bidi w:val="0"/>
              <w:snapToGrid w:val="0"/>
              <w:spacing w:line="290" w:lineRule="exact"/>
              <w:jc w:val="both"/>
              <w:textAlignment w:val="auto"/>
              <w:rPr>
                <w:rFonts w:hint="default" w:ascii="Times New Roman" w:hAnsi="Times New Roman" w:eastAsia="宋体" w:cs="Times New Roman"/>
                <w:color w:val="auto"/>
                <w:spacing w:val="-11"/>
                <w:sz w:val="21"/>
                <w:szCs w:val="21"/>
                <w:highlight w:val="none"/>
                <w:lang w:eastAsia="zh-CN"/>
              </w:rPr>
            </w:pPr>
            <w:r>
              <w:rPr>
                <w:rFonts w:hint="eastAsia" w:ascii="Times New Roman" w:hAnsi="Times New Roman" w:cs="Times New Roman"/>
                <w:color w:val="auto"/>
                <w:spacing w:val="-11"/>
                <w:sz w:val="21"/>
                <w:szCs w:val="21"/>
                <w:highlight w:val="none"/>
                <w:lang w:val="en-US" w:eastAsia="zh-CN"/>
              </w:rPr>
              <w:t>原油</w:t>
            </w:r>
            <w:r>
              <w:rPr>
                <w:rFonts w:hint="default" w:ascii="Times New Roman" w:hAnsi="Times New Roman" w:eastAsia="宋体" w:cs="Times New Roman"/>
                <w:color w:val="auto"/>
                <w:spacing w:val="-11"/>
                <w:sz w:val="21"/>
                <w:szCs w:val="21"/>
                <w:highlight w:val="none"/>
              </w:rPr>
              <w:t>、</w:t>
            </w:r>
            <w:r>
              <w:rPr>
                <w:rFonts w:hint="eastAsia" w:ascii="Times New Roman" w:hAnsi="Times New Roman" w:cs="Times New Roman"/>
                <w:color w:val="auto"/>
                <w:spacing w:val="-11"/>
                <w:sz w:val="21"/>
                <w:szCs w:val="21"/>
                <w:highlight w:val="none"/>
                <w:lang w:val="en-US" w:eastAsia="zh-CN"/>
              </w:rPr>
              <w:t>天然气、硫化氢</w:t>
            </w:r>
            <w:r>
              <w:rPr>
                <w:rFonts w:hint="default" w:ascii="Times New Roman" w:hAnsi="Times New Roman" w:eastAsia="宋体" w:cs="Times New Roman"/>
                <w:color w:val="auto"/>
                <w:spacing w:val="-11"/>
                <w:sz w:val="21"/>
                <w:szCs w:val="21"/>
                <w:highlight w:val="none"/>
              </w:rPr>
              <w:t>等</w:t>
            </w:r>
            <w:r>
              <w:rPr>
                <w:rFonts w:hint="default" w:ascii="Times New Roman" w:hAnsi="Times New Roman" w:eastAsia="宋体" w:cs="Times New Roman"/>
                <w:color w:val="auto"/>
                <w:spacing w:val="-11"/>
                <w:sz w:val="21"/>
                <w:szCs w:val="21"/>
                <w:highlight w:val="none"/>
                <w:lang w:eastAsia="zh-CN"/>
              </w:rPr>
              <w:t>；二次污染物：CO、CO</w:t>
            </w:r>
            <w:r>
              <w:rPr>
                <w:rFonts w:hint="default" w:ascii="Times New Roman" w:hAnsi="Times New Roman" w:eastAsia="宋体" w:cs="Times New Roman"/>
                <w:color w:val="auto"/>
                <w:spacing w:val="-11"/>
                <w:sz w:val="21"/>
                <w:szCs w:val="21"/>
                <w:highlight w:val="none"/>
                <w:vertAlign w:val="subscript"/>
                <w:lang w:eastAsia="zh-CN"/>
              </w:rPr>
              <w:t>2</w:t>
            </w:r>
          </w:p>
          <w:p w14:paraId="35522C0D">
            <w:pPr>
              <w:keepNext w:val="0"/>
              <w:keepLines w:val="0"/>
              <w:pageBreakBefore w:val="0"/>
              <w:widowControl w:val="0"/>
              <w:kinsoku/>
              <w:wordWrap/>
              <w:overflowPunct/>
              <w:topLinePunct w:val="0"/>
              <w:bidi w:val="0"/>
              <w:snapToGrid w:val="0"/>
              <w:spacing w:line="290" w:lineRule="exac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（1）对</w:t>
            </w:r>
            <w:r>
              <w:rPr>
                <w:rFonts w:hint="eastAsia" w:ascii="Times New Roman" w:hAnsi="Times New Roman" w:cs="Times New Roman"/>
                <w:color w:val="auto"/>
                <w:sz w:val="21"/>
                <w:szCs w:val="21"/>
                <w:highlight w:val="none"/>
                <w:lang w:val="en-US" w:eastAsia="zh-CN"/>
              </w:rPr>
              <w:t>油田</w:t>
            </w:r>
            <w:r>
              <w:rPr>
                <w:rFonts w:hint="default" w:ascii="Times New Roman" w:hAnsi="Times New Roman" w:eastAsia="宋体" w:cs="Times New Roman"/>
                <w:color w:val="auto"/>
                <w:sz w:val="21"/>
                <w:szCs w:val="21"/>
                <w:highlight w:val="none"/>
              </w:rPr>
              <w:t>钻井期可能发生的井喷事故进行影响分析</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（2）结合当地的气象条件，对运营期间</w:t>
            </w:r>
            <w:r>
              <w:rPr>
                <w:rFonts w:hint="eastAsia" w:ascii="Times New Roman" w:hAnsi="Times New Roman" w:eastAsia="宋体" w:cs="Times New Roman"/>
                <w:color w:val="auto"/>
                <w:sz w:val="21"/>
                <w:szCs w:val="21"/>
                <w:highlight w:val="none"/>
                <w:lang w:val="en-US" w:eastAsia="zh-CN"/>
              </w:rPr>
              <w:t>井场、</w:t>
            </w:r>
            <w:r>
              <w:rPr>
                <w:rFonts w:hint="eastAsia" w:ascii="Times New Roman" w:hAnsi="Times New Roman" w:cs="Times New Roman"/>
                <w:color w:val="auto"/>
                <w:sz w:val="21"/>
                <w:szCs w:val="21"/>
                <w:highlight w:val="none"/>
                <w:lang w:val="en-US" w:eastAsia="zh-CN"/>
              </w:rPr>
              <w:t>集输管线</w:t>
            </w:r>
            <w:r>
              <w:rPr>
                <w:rFonts w:hint="default" w:ascii="Times New Roman" w:hAnsi="Times New Roman" w:eastAsia="宋体" w:cs="Times New Roman"/>
                <w:color w:val="auto"/>
                <w:sz w:val="21"/>
                <w:szCs w:val="21"/>
                <w:highlight w:val="none"/>
              </w:rPr>
              <w:t>可能发生的泄漏事故进行预测分析</w:t>
            </w:r>
          </w:p>
        </w:tc>
      </w:tr>
    </w:tbl>
    <w:p w14:paraId="23C375C7">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p>
    <w:p w14:paraId="00361289">
      <w:pPr>
        <w:ind w:firstLine="480"/>
        <w:rPr>
          <w:rFonts w:hint="default" w:ascii="Times New Roman" w:hAnsi="Times New Roman" w:cs="Times New Roman"/>
          <w:color w:val="auto"/>
          <w:highlight w:val="none"/>
        </w:rPr>
        <w:sectPr>
          <w:pgSz w:w="16838" w:h="11905" w:orient="landscape"/>
          <w:pgMar w:top="1800" w:right="1440" w:bottom="1800" w:left="1440" w:header="1077" w:footer="1134" w:gutter="0"/>
          <w:pgBorders>
            <w:top w:val="none" w:sz="0" w:space="0"/>
            <w:left w:val="none" w:sz="0" w:space="0"/>
            <w:bottom w:val="none" w:sz="0" w:space="0"/>
            <w:right w:val="none" w:sz="0" w:space="0"/>
          </w:pgBorders>
          <w:pgNumType w:fmt="decimal"/>
          <w:cols w:space="720" w:num="1"/>
          <w:rtlGutter w:val="0"/>
          <w:docGrid w:linePitch="312" w:charSpace="0"/>
        </w:sectPr>
      </w:pPr>
    </w:p>
    <w:p w14:paraId="78D0C2AA">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auto"/>
          <w:highlight w:val="none"/>
        </w:rPr>
      </w:pPr>
      <w:bookmarkStart w:id="111" w:name="_Toc28433"/>
      <w:bookmarkStart w:id="112" w:name="_Toc374724176"/>
      <w:bookmarkStart w:id="113" w:name="_Toc93507157"/>
      <w:bookmarkStart w:id="114" w:name="_Toc361761822"/>
      <w:bookmarkStart w:id="115" w:name="_Toc30807"/>
      <w:bookmarkStart w:id="116" w:name="_Toc297590772"/>
      <w:bookmarkStart w:id="117" w:name="_Toc280954980"/>
      <w:bookmarkStart w:id="118" w:name="_Toc280954903"/>
      <w:bookmarkStart w:id="119" w:name="_Toc508291878"/>
      <w:bookmarkStart w:id="120" w:name="_Toc68025005"/>
      <w:bookmarkStart w:id="121" w:name="_Toc297590925"/>
      <w:bookmarkStart w:id="122" w:name="_Toc353966730"/>
      <w:bookmarkStart w:id="123" w:name="_Toc15179"/>
      <w:r>
        <w:rPr>
          <w:rFonts w:hint="default" w:ascii="Times New Roman" w:hAnsi="Times New Roman" w:eastAsia="宋体" w:cs="Times New Roman"/>
          <w:color w:val="auto"/>
          <w:highlight w:val="none"/>
        </w:rPr>
        <w:t>2.4环境功能区划</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46F20422">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2.4.1环境空气</w:t>
      </w:r>
    </w:p>
    <w:p w14:paraId="1113E587">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所在地位于新疆维吾尔自治区阿克苏地区库车市境内，位于塔河油田内，属于油气勘探开发区域，按照</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环境空气质量标准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GB3095-2012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及其修改单的规定，该区域的环境空气质量功能区划属于二类功能区。</w:t>
      </w:r>
    </w:p>
    <w:p w14:paraId="4E5080B3">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2.4.2水环境</w:t>
      </w:r>
    </w:p>
    <w:p w14:paraId="298AAB1B">
      <w:pPr>
        <w:pageBreakBefore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本项目周边</w:t>
      </w:r>
      <w:r>
        <w:rPr>
          <w:rFonts w:hint="default" w:ascii="Times New Roman" w:hAnsi="Times New Roman" w:cs="Times New Roman"/>
          <w:color w:val="auto"/>
          <w:highlight w:val="none"/>
          <w:lang w:val="en-US" w:eastAsia="zh-CN"/>
        </w:rPr>
        <w:t>的地表水体</w:t>
      </w:r>
      <w:r>
        <w:rPr>
          <w:rFonts w:hint="eastAsia" w:ascii="Times New Roman" w:hAnsi="Times New Roman" w:cs="Times New Roman"/>
          <w:color w:val="auto"/>
          <w:highlight w:val="none"/>
          <w:lang w:val="en-US" w:eastAsia="zh-CN"/>
        </w:rPr>
        <w:t>主要为木日达里亚河</w:t>
      </w:r>
      <w:r>
        <w:rPr>
          <w:rFonts w:hint="default" w:ascii="Times New Roman" w:hAnsi="Times New Roman" w:cs="Times New Roman"/>
          <w:color w:val="auto"/>
          <w:highlight w:val="none"/>
          <w:lang w:val="en-US" w:eastAsia="zh-CN"/>
        </w:rPr>
        <w:t>，</w:t>
      </w:r>
      <w:r>
        <w:rPr>
          <w:rFonts w:ascii="Times New Roman" w:hAnsi="Times New Roman" w:cs="Times New Roman"/>
          <w:color w:val="auto"/>
          <w:spacing w:val="-4"/>
          <w:highlight w:val="none"/>
        </w:rPr>
        <w:t>木日</w:t>
      </w:r>
      <w:r>
        <w:rPr>
          <w:rFonts w:hint="eastAsia" w:ascii="Times New Roman" w:hAnsi="Times New Roman" w:cs="Times New Roman"/>
          <w:color w:val="auto"/>
          <w:spacing w:val="-4"/>
          <w:highlight w:val="none"/>
          <w:lang w:val="en-US" w:eastAsia="zh-CN"/>
        </w:rPr>
        <w:t>达里亚</w:t>
      </w:r>
      <w:r>
        <w:rPr>
          <w:rFonts w:ascii="Times New Roman" w:hAnsi="Times New Roman" w:cs="Times New Roman"/>
          <w:color w:val="auto"/>
          <w:spacing w:val="-4"/>
          <w:highlight w:val="none"/>
        </w:rPr>
        <w:t>河属渭干河排洪沟—英达里亚河的延续，也是草湖区流经的主要水流，其河道宽度只有20～30m，纵坡高1/3000～1/10000</w:t>
      </w:r>
      <w:r>
        <w:rPr>
          <w:rFonts w:hint="eastAsia" w:ascii="Times New Roman" w:hAnsi="Times New Roman" w:cs="Times New Roman"/>
          <w:color w:val="auto"/>
          <w:spacing w:val="-4"/>
          <w:highlight w:val="none"/>
          <w:lang w:eastAsia="zh-CN"/>
        </w:rPr>
        <w:t>；</w:t>
      </w:r>
      <w:r>
        <w:rPr>
          <w:rFonts w:ascii="Times New Roman" w:hAnsi="Times New Roman" w:cs="Times New Roman"/>
          <w:color w:val="auto"/>
          <w:spacing w:val="-4"/>
          <w:highlight w:val="none"/>
        </w:rPr>
        <w:t>木日</w:t>
      </w:r>
      <w:r>
        <w:rPr>
          <w:rFonts w:hint="eastAsia" w:ascii="Times New Roman" w:hAnsi="Times New Roman" w:cs="Times New Roman"/>
          <w:color w:val="auto"/>
          <w:spacing w:val="-4"/>
          <w:highlight w:val="none"/>
          <w:lang w:val="en-US" w:eastAsia="zh-CN"/>
        </w:rPr>
        <w:t>达里亚</w:t>
      </w:r>
      <w:r>
        <w:rPr>
          <w:rFonts w:ascii="Times New Roman" w:hAnsi="Times New Roman" w:cs="Times New Roman"/>
          <w:color w:val="auto"/>
          <w:spacing w:val="-4"/>
          <w:highlight w:val="none"/>
        </w:rPr>
        <w:t>河流域实际上是多余洪水的“承泄区”。</w:t>
      </w:r>
      <w:r>
        <w:rPr>
          <w:rFonts w:hint="eastAsia" w:ascii="Times New Roman" w:hAnsi="Times New Roman" w:cs="Times New Roman"/>
          <w:color w:val="auto"/>
          <w:highlight w:val="none"/>
          <w:lang w:val="en-US" w:eastAsia="zh-CN"/>
        </w:rPr>
        <w:t>木日达里亚河</w:t>
      </w:r>
      <w:r>
        <w:rPr>
          <w:rFonts w:hint="default" w:ascii="Times New Roman" w:hAnsi="Times New Roman" w:cs="Times New Roman"/>
          <w:color w:val="auto"/>
          <w:highlight w:val="none"/>
          <w:lang w:val="en-US" w:eastAsia="zh-CN"/>
        </w:rPr>
        <w:t>在项目区段属于农业用水，执行《地表水环境质量标准》（GB3838-2002）中的Ⅳ类标准值。</w:t>
      </w:r>
    </w:p>
    <w:p w14:paraId="69A08BF8">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根据《地下水质量标准》（GB/T14848-2017）中地下水分类标准，该区域地下水划分为Ⅲ类功能区</w:t>
      </w:r>
      <w:r>
        <w:rPr>
          <w:rFonts w:hint="default" w:ascii="Times New Roman" w:hAnsi="Times New Roman" w:cs="Times New Roman"/>
          <w:color w:val="auto"/>
          <w:highlight w:val="none"/>
        </w:rPr>
        <w:t>。</w:t>
      </w:r>
    </w:p>
    <w:p w14:paraId="4DB39C53">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2.4.3声环境</w:t>
      </w:r>
    </w:p>
    <w:p w14:paraId="516A5FA0">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项目区为油田开发区，目前暂未进行声环境功能区划，根据《声环境质量标准》（GB3096-2008）要求，划定为2类声环境功能区。</w:t>
      </w:r>
    </w:p>
    <w:p w14:paraId="6F5D1063">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2.4.4生态环境</w:t>
      </w:r>
    </w:p>
    <w:p w14:paraId="68CC41F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pacing w:val="4"/>
          <w:highlight w:val="none"/>
        </w:rPr>
      </w:pPr>
      <w:r>
        <w:rPr>
          <w:rFonts w:hint="default" w:ascii="Times New Roman" w:hAnsi="Times New Roman" w:cs="Times New Roman"/>
          <w:snapToGrid w:val="0"/>
          <w:color w:val="auto"/>
          <w:highlight w:val="none"/>
        </w:rPr>
        <w:t>根据《新疆生态功能区划》，</w:t>
      </w:r>
      <w:r>
        <w:rPr>
          <w:rFonts w:hint="default" w:ascii="Times New Roman" w:hAnsi="Times New Roman" w:cs="Times New Roman"/>
          <w:color w:val="auto"/>
          <w:highlight w:val="none"/>
          <w:lang w:eastAsia="zh-CN"/>
        </w:rPr>
        <w:t>本项目</w:t>
      </w:r>
      <w:r>
        <w:rPr>
          <w:rFonts w:hint="eastAsia" w:cs="Times New Roman"/>
          <w:color w:val="auto"/>
          <w:highlight w:val="none"/>
          <w:lang w:val="en-US" w:eastAsia="zh-CN"/>
        </w:rPr>
        <w:t>所在区域属于</w:t>
      </w:r>
      <w:r>
        <w:rPr>
          <w:rFonts w:hint="eastAsia" w:cs="Times New Roman"/>
          <w:color w:val="auto"/>
          <w:highlight w:val="none"/>
          <w:lang w:val="en-US" w:eastAsia="zh-CN"/>
        </w:rPr>
        <w:fldChar w:fldCharType="begin"/>
      </w:r>
      <w:r>
        <w:rPr>
          <w:rFonts w:hint="eastAsia" w:cs="Times New Roman"/>
          <w:color w:val="auto"/>
          <w:highlight w:val="none"/>
          <w:lang w:val="en-US" w:eastAsia="zh-CN"/>
        </w:rPr>
        <w:instrText xml:space="preserve"> = 4 \* ROMAN \* MERGEFORMAT </w:instrText>
      </w:r>
      <w:r>
        <w:rPr>
          <w:rFonts w:hint="eastAsia" w:cs="Times New Roman"/>
          <w:color w:val="auto"/>
          <w:highlight w:val="none"/>
          <w:lang w:val="en-US" w:eastAsia="zh-CN"/>
        </w:rPr>
        <w:fldChar w:fldCharType="separate"/>
      </w:r>
      <w:r>
        <w:rPr>
          <w:color w:val="auto"/>
          <w:highlight w:val="none"/>
        </w:rPr>
        <w:t>IV</w:t>
      </w:r>
      <w:r>
        <w:rPr>
          <w:rFonts w:hint="eastAsia" w:cs="Times New Roman"/>
          <w:color w:val="auto"/>
          <w:highlight w:val="none"/>
          <w:lang w:val="en-US" w:eastAsia="zh-CN"/>
        </w:rPr>
        <w:fldChar w:fldCharType="end"/>
      </w:r>
      <w:r>
        <w:rPr>
          <w:rFonts w:hint="default" w:ascii="Times New Roman" w:hAnsi="Times New Roman" w:cs="Times New Roman"/>
          <w:snapToGrid w:val="0"/>
          <w:color w:val="auto"/>
          <w:highlight w:val="none"/>
        </w:rPr>
        <w:t>塔里木盆地暖荒漠及绿洲农业生态区</w:t>
      </w:r>
      <w:r>
        <w:rPr>
          <w:rFonts w:hint="default" w:ascii="Times New Roman" w:hAnsi="Times New Roman" w:cs="Times New Roman"/>
          <w:snapToGrid w:val="0"/>
          <w:color w:val="auto"/>
          <w:highlight w:val="none"/>
          <w:lang w:eastAsia="zh-CN"/>
        </w:rPr>
        <w:t>、</w:t>
      </w:r>
      <w:r>
        <w:rPr>
          <w:rFonts w:hint="eastAsia" w:cs="Times New Roman"/>
          <w:color w:val="auto"/>
          <w:highlight w:val="none"/>
          <w:lang w:val="en-US" w:eastAsia="zh-CN"/>
        </w:rPr>
        <w:fldChar w:fldCharType="begin"/>
      </w:r>
      <w:r>
        <w:rPr>
          <w:rFonts w:hint="eastAsia" w:cs="Times New Roman"/>
          <w:color w:val="auto"/>
          <w:highlight w:val="none"/>
          <w:lang w:val="en-US" w:eastAsia="zh-CN"/>
        </w:rPr>
        <w:instrText xml:space="preserve"> = 4 \* ROMAN \* MERGEFORMAT </w:instrText>
      </w:r>
      <w:r>
        <w:rPr>
          <w:rFonts w:hint="eastAsia" w:cs="Times New Roman"/>
          <w:color w:val="auto"/>
          <w:highlight w:val="none"/>
          <w:lang w:val="en-US" w:eastAsia="zh-CN"/>
        </w:rPr>
        <w:fldChar w:fldCharType="separate"/>
      </w:r>
      <w:r>
        <w:rPr>
          <w:color w:val="auto"/>
          <w:highlight w:val="none"/>
        </w:rPr>
        <w:t>IV</w:t>
      </w:r>
      <w:r>
        <w:rPr>
          <w:rFonts w:hint="eastAsia" w:cs="Times New Roman"/>
          <w:color w:val="auto"/>
          <w:highlight w:val="none"/>
          <w:lang w:val="en-US" w:eastAsia="zh-CN"/>
        </w:rPr>
        <w:fldChar w:fldCharType="end"/>
      </w:r>
      <w:r>
        <w:rPr>
          <w:rFonts w:hint="default" w:ascii="Times New Roman" w:hAnsi="Times New Roman" w:cs="Times New Roman"/>
          <w:snapToGrid w:val="0"/>
          <w:color w:val="auto"/>
          <w:highlight w:val="none"/>
        </w:rPr>
        <w:t>塔里木盆地西部</w:t>
      </w:r>
      <w:r>
        <w:rPr>
          <w:rFonts w:hint="eastAsia" w:cs="Times New Roman"/>
          <w:snapToGrid w:val="0"/>
          <w:color w:val="auto"/>
          <w:highlight w:val="none"/>
          <w:lang w:val="en-US" w:eastAsia="zh-CN"/>
        </w:rPr>
        <w:t>和</w:t>
      </w:r>
      <w:r>
        <w:rPr>
          <w:rFonts w:hint="default" w:ascii="Times New Roman" w:hAnsi="Times New Roman" w:cs="Times New Roman"/>
          <w:snapToGrid w:val="0"/>
          <w:color w:val="auto"/>
          <w:highlight w:val="none"/>
        </w:rPr>
        <w:t>北部荒漠及绿洲农业生态亚区、59</w:t>
      </w:r>
      <w:r>
        <w:rPr>
          <w:rFonts w:hint="eastAsia" w:cs="Times New Roman"/>
          <w:snapToGrid w:val="0"/>
          <w:color w:val="auto"/>
          <w:highlight w:val="none"/>
          <w:lang w:val="en-US" w:eastAsia="zh-CN"/>
        </w:rPr>
        <w:t>.</w:t>
      </w:r>
      <w:r>
        <w:rPr>
          <w:rFonts w:hint="default" w:ascii="Times New Roman" w:hAnsi="Times New Roman" w:cs="Times New Roman"/>
          <w:snapToGrid w:val="0"/>
          <w:color w:val="auto"/>
          <w:highlight w:val="none"/>
        </w:rPr>
        <w:t>塔里木河上中游乔灌草及胡杨林保护生态功能区。</w:t>
      </w:r>
    </w:p>
    <w:p w14:paraId="137FA150">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auto"/>
          <w:highlight w:val="none"/>
        </w:rPr>
      </w:pPr>
      <w:bookmarkStart w:id="124" w:name="_Toc508291874"/>
      <w:bookmarkStart w:id="125" w:name="_Toc68025006"/>
      <w:bookmarkStart w:id="126" w:name="_Toc13711"/>
      <w:bookmarkStart w:id="127" w:name="_Toc374724172"/>
      <w:bookmarkStart w:id="128" w:name="_Toc17721"/>
      <w:bookmarkStart w:id="129" w:name="_Toc93507158"/>
      <w:bookmarkStart w:id="130" w:name="_Toc3533"/>
      <w:r>
        <w:rPr>
          <w:rFonts w:hint="default" w:ascii="Times New Roman" w:hAnsi="Times New Roman" w:eastAsia="宋体" w:cs="Times New Roman"/>
          <w:color w:val="auto"/>
          <w:highlight w:val="none"/>
        </w:rPr>
        <w:t>2.5评价因子和评价标准</w:t>
      </w:r>
      <w:bookmarkEnd w:id="124"/>
      <w:bookmarkEnd w:id="125"/>
      <w:bookmarkEnd w:id="126"/>
      <w:bookmarkEnd w:id="127"/>
      <w:bookmarkEnd w:id="128"/>
      <w:bookmarkEnd w:id="129"/>
      <w:bookmarkEnd w:id="130"/>
    </w:p>
    <w:p w14:paraId="4BAB7944">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2.5.1环境质量评价因子及标准</w:t>
      </w:r>
    </w:p>
    <w:p w14:paraId="110582E6">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根据项目所在区域的自然环境特点，采用以下评价因子及环境标准。</w:t>
      </w:r>
    </w:p>
    <w:p w14:paraId="1D390945">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环境空气</w:t>
      </w:r>
    </w:p>
    <w:p w14:paraId="7AE3ABFC">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color w:val="auto"/>
          <w:highlight w:val="none"/>
        </w:rPr>
        <w:t>环境空气质量评价中TSP、SO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六项指标执行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环境空气质量标准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GB3095-2012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二级标准。对于无组织非甲烷总烃参考《大气污染物综合排放标准》（GB16297-1996）详解2.0mg/m³要求，H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S参</w:t>
      </w:r>
    </w:p>
    <w:p w14:paraId="6E297C86">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考执行《环境影响评价技术导则大气环境》（HJ2.2-2018）附录D中的1h平均浓度限值10μg/m³。环境空气指标标准取值见表2.5-1。</w:t>
      </w:r>
    </w:p>
    <w:p w14:paraId="76BD6FAB">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r>
        <w:rPr>
          <w:rFonts w:hint="default" w:ascii="Times New Roman" w:hAnsi="Times New Roman" w:eastAsia="黑体" w:cs="Times New Roman"/>
          <w:b w:val="0"/>
          <w:bCs/>
          <w:color w:val="auto"/>
          <w:sz w:val="21"/>
          <w:szCs w:val="21"/>
          <w:highlight w:val="none"/>
          <w:lang w:val="en-US" w:eastAsia="zh-CN" w:bidi="ar-SA"/>
        </w:rPr>
        <w:t>表2.5-1</w:t>
      </w:r>
      <w:r>
        <w:rPr>
          <w:rFonts w:hint="eastAsia" w:eastAsia="黑体" w:cs="Times New Roman"/>
          <w:b w:val="0"/>
          <w:bCs/>
          <w:color w:val="auto"/>
          <w:sz w:val="21"/>
          <w:szCs w:val="21"/>
          <w:highlight w:val="none"/>
          <w:lang w:val="en-US" w:eastAsia="zh-CN" w:bidi="ar-SA"/>
        </w:rPr>
        <w:t xml:space="preserve">    </w:t>
      </w:r>
      <w:r>
        <w:rPr>
          <w:rFonts w:hint="default" w:ascii="Times New Roman" w:hAnsi="Times New Roman" w:eastAsia="黑体" w:cs="Times New Roman"/>
          <w:b w:val="0"/>
          <w:bCs/>
          <w:color w:val="auto"/>
          <w:sz w:val="21"/>
          <w:szCs w:val="21"/>
          <w:highlight w:val="none"/>
          <w:lang w:val="en-US" w:eastAsia="zh-CN" w:bidi="ar-SA"/>
        </w:rPr>
        <w:t>环境空气质量标准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039"/>
        <w:gridCol w:w="1010"/>
        <w:gridCol w:w="1010"/>
        <w:gridCol w:w="1012"/>
        <w:gridCol w:w="2788"/>
      </w:tblGrid>
      <w:tr w14:paraId="2CF9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7" w:type="dxa"/>
            <w:vMerge w:val="restart"/>
            <w:vAlign w:val="center"/>
          </w:tcPr>
          <w:p w14:paraId="060C6CEB">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2039" w:type="dxa"/>
            <w:vMerge w:val="restart"/>
            <w:vAlign w:val="center"/>
          </w:tcPr>
          <w:p w14:paraId="1C6206F2">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评价因子</w:t>
            </w:r>
          </w:p>
        </w:tc>
        <w:tc>
          <w:tcPr>
            <w:tcW w:w="3032" w:type="dxa"/>
            <w:gridSpan w:val="3"/>
            <w:vAlign w:val="center"/>
          </w:tcPr>
          <w:p w14:paraId="0F3F3CCE">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标准限值（</w:t>
            </w:r>
            <w:r>
              <w:rPr>
                <w:rFonts w:hint="default" w:ascii="Times New Roman" w:hAnsi="Times New Roman" w:eastAsia="宋体" w:cs="Times New Roman"/>
                <w:bCs/>
                <w:color w:val="auto"/>
                <w:kern w:val="24"/>
                <w:sz w:val="21"/>
                <w:szCs w:val="21"/>
                <w:highlight w:val="none"/>
              </w:rPr>
              <w:t>μg</w:t>
            </w:r>
            <w:r>
              <w:rPr>
                <w:rFonts w:hint="default" w:ascii="Times New Roman" w:hAnsi="Times New Roman" w:eastAsia="宋体" w:cs="Times New Roman"/>
                <w:bCs/>
                <w:color w:val="auto"/>
                <w:sz w:val="21"/>
                <w:szCs w:val="21"/>
                <w:highlight w:val="none"/>
              </w:rPr>
              <w:t>/m³）</w:t>
            </w:r>
          </w:p>
        </w:tc>
        <w:tc>
          <w:tcPr>
            <w:tcW w:w="2788" w:type="dxa"/>
            <w:vMerge w:val="restart"/>
            <w:vAlign w:val="center"/>
          </w:tcPr>
          <w:p w14:paraId="373FEFA1">
            <w:pPr>
              <w:spacing w:line="240" w:lineRule="exact"/>
              <w:ind w:left="-105" w:right="-79" w:rightChars="-33"/>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标准来源</w:t>
            </w:r>
          </w:p>
        </w:tc>
      </w:tr>
      <w:tr w14:paraId="048F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7" w:type="dxa"/>
            <w:vMerge w:val="continue"/>
            <w:vAlign w:val="center"/>
          </w:tcPr>
          <w:p w14:paraId="4D2E3893">
            <w:pPr>
              <w:spacing w:line="240" w:lineRule="exact"/>
              <w:ind w:left="-105" w:right="-105"/>
              <w:jc w:val="center"/>
              <w:rPr>
                <w:rFonts w:hint="default" w:ascii="Times New Roman" w:hAnsi="Times New Roman" w:eastAsia="宋体" w:cs="Times New Roman"/>
                <w:bCs/>
                <w:color w:val="auto"/>
                <w:sz w:val="21"/>
                <w:szCs w:val="21"/>
                <w:highlight w:val="none"/>
              </w:rPr>
            </w:pPr>
          </w:p>
        </w:tc>
        <w:tc>
          <w:tcPr>
            <w:tcW w:w="2039" w:type="dxa"/>
            <w:vMerge w:val="continue"/>
            <w:vAlign w:val="center"/>
          </w:tcPr>
          <w:p w14:paraId="4EF79E9C">
            <w:pPr>
              <w:spacing w:line="240" w:lineRule="exact"/>
              <w:ind w:left="-105" w:right="-105"/>
              <w:jc w:val="center"/>
              <w:rPr>
                <w:rFonts w:hint="default" w:ascii="Times New Roman" w:hAnsi="Times New Roman" w:eastAsia="宋体" w:cs="Times New Roman"/>
                <w:bCs/>
                <w:color w:val="auto"/>
                <w:sz w:val="21"/>
                <w:szCs w:val="21"/>
                <w:highlight w:val="none"/>
              </w:rPr>
            </w:pPr>
          </w:p>
        </w:tc>
        <w:tc>
          <w:tcPr>
            <w:tcW w:w="1010" w:type="dxa"/>
            <w:vAlign w:val="center"/>
          </w:tcPr>
          <w:p w14:paraId="25CBA34E">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年平均</w:t>
            </w:r>
          </w:p>
        </w:tc>
        <w:tc>
          <w:tcPr>
            <w:tcW w:w="1010" w:type="dxa"/>
            <w:vAlign w:val="center"/>
          </w:tcPr>
          <w:p w14:paraId="4E43E330">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24小时</w:t>
            </w:r>
          </w:p>
          <w:p w14:paraId="0E4C3834">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平均</w:t>
            </w:r>
          </w:p>
        </w:tc>
        <w:tc>
          <w:tcPr>
            <w:tcW w:w="1012" w:type="dxa"/>
            <w:vAlign w:val="center"/>
          </w:tcPr>
          <w:p w14:paraId="03D51663">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1小时</w:t>
            </w:r>
          </w:p>
          <w:p w14:paraId="248EA164">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平均</w:t>
            </w:r>
          </w:p>
        </w:tc>
        <w:tc>
          <w:tcPr>
            <w:tcW w:w="2788" w:type="dxa"/>
            <w:vMerge w:val="continue"/>
            <w:vAlign w:val="center"/>
          </w:tcPr>
          <w:p w14:paraId="64758C81">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29DD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0797D8C0">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039" w:type="dxa"/>
            <w:vAlign w:val="center"/>
          </w:tcPr>
          <w:p w14:paraId="0EC40594">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总悬浮颗粒物（TSP）</w:t>
            </w:r>
          </w:p>
        </w:tc>
        <w:tc>
          <w:tcPr>
            <w:tcW w:w="1010" w:type="dxa"/>
            <w:vAlign w:val="center"/>
          </w:tcPr>
          <w:p w14:paraId="45392034">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200</w:t>
            </w:r>
          </w:p>
        </w:tc>
        <w:tc>
          <w:tcPr>
            <w:tcW w:w="1010" w:type="dxa"/>
            <w:vAlign w:val="center"/>
          </w:tcPr>
          <w:p w14:paraId="752348BC">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c>
          <w:tcPr>
            <w:tcW w:w="1012" w:type="dxa"/>
            <w:vAlign w:val="center"/>
          </w:tcPr>
          <w:p w14:paraId="5B9953F5">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788" w:type="dxa"/>
            <w:vMerge w:val="restart"/>
            <w:vAlign w:val="center"/>
          </w:tcPr>
          <w:p w14:paraId="4C29A6CC">
            <w:pPr>
              <w:spacing w:line="240" w:lineRule="exact"/>
              <w:ind w:left="-105" w:right="-79" w:rightChars="-33"/>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《环境空气质量标准》（GB3095-2012）</w:t>
            </w:r>
            <w:r>
              <w:rPr>
                <w:rFonts w:hint="default" w:ascii="Times New Roman" w:hAnsi="Times New Roman" w:eastAsia="宋体" w:cs="Times New Roman"/>
                <w:color w:val="auto"/>
                <w:sz w:val="21"/>
                <w:szCs w:val="21"/>
                <w:highlight w:val="none"/>
              </w:rPr>
              <w:t>二级标准</w:t>
            </w:r>
          </w:p>
        </w:tc>
      </w:tr>
      <w:tr w14:paraId="342B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7EA1A1FD">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039" w:type="dxa"/>
            <w:vAlign w:val="center"/>
          </w:tcPr>
          <w:p w14:paraId="43FD8BFD">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二氧化硫（SO</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w:t>
            </w:r>
          </w:p>
        </w:tc>
        <w:tc>
          <w:tcPr>
            <w:tcW w:w="1010" w:type="dxa"/>
            <w:noWrap/>
            <w:vAlign w:val="center"/>
          </w:tcPr>
          <w:p w14:paraId="5834802B">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60</w:t>
            </w:r>
          </w:p>
        </w:tc>
        <w:tc>
          <w:tcPr>
            <w:tcW w:w="1010" w:type="dxa"/>
            <w:noWrap/>
            <w:vAlign w:val="center"/>
          </w:tcPr>
          <w:p w14:paraId="7D04BD31">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150</w:t>
            </w:r>
          </w:p>
        </w:tc>
        <w:tc>
          <w:tcPr>
            <w:tcW w:w="1012" w:type="dxa"/>
            <w:noWrap/>
            <w:vAlign w:val="center"/>
          </w:tcPr>
          <w:p w14:paraId="0FBCC924">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2788" w:type="dxa"/>
            <w:vMerge w:val="continue"/>
            <w:vAlign w:val="center"/>
          </w:tcPr>
          <w:p w14:paraId="4E241AF6">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6E14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62D33E85">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039" w:type="dxa"/>
            <w:vAlign w:val="center"/>
          </w:tcPr>
          <w:p w14:paraId="2FF706B6">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二氧化氮（NO</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w:t>
            </w:r>
          </w:p>
        </w:tc>
        <w:tc>
          <w:tcPr>
            <w:tcW w:w="1010" w:type="dxa"/>
            <w:noWrap/>
            <w:vAlign w:val="center"/>
          </w:tcPr>
          <w:p w14:paraId="17492F05">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w:t>
            </w:r>
          </w:p>
        </w:tc>
        <w:tc>
          <w:tcPr>
            <w:tcW w:w="1010" w:type="dxa"/>
            <w:noWrap/>
            <w:vAlign w:val="center"/>
          </w:tcPr>
          <w:p w14:paraId="1611AB6D">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80</w:t>
            </w:r>
          </w:p>
        </w:tc>
        <w:tc>
          <w:tcPr>
            <w:tcW w:w="1012" w:type="dxa"/>
            <w:noWrap/>
            <w:vAlign w:val="center"/>
          </w:tcPr>
          <w:p w14:paraId="45CA8B02">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200</w:t>
            </w:r>
          </w:p>
        </w:tc>
        <w:tc>
          <w:tcPr>
            <w:tcW w:w="2788" w:type="dxa"/>
            <w:vMerge w:val="continue"/>
            <w:vAlign w:val="center"/>
          </w:tcPr>
          <w:p w14:paraId="52E4E8EE">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0A62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5414F267">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039" w:type="dxa"/>
            <w:vAlign w:val="center"/>
          </w:tcPr>
          <w:p w14:paraId="5D39377C">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细颗粒物（PM</w:t>
            </w:r>
            <w:r>
              <w:rPr>
                <w:rFonts w:hint="default" w:ascii="Times New Roman" w:hAnsi="Times New Roman" w:eastAsia="宋体" w:cs="Times New Roman"/>
                <w:bCs/>
                <w:color w:val="auto"/>
                <w:sz w:val="21"/>
                <w:szCs w:val="21"/>
                <w:highlight w:val="none"/>
                <w:vertAlign w:val="subscript"/>
              </w:rPr>
              <w:t>2.5</w:t>
            </w:r>
            <w:r>
              <w:rPr>
                <w:rFonts w:hint="default" w:ascii="Times New Roman" w:hAnsi="Times New Roman" w:eastAsia="宋体" w:cs="Times New Roman"/>
                <w:bCs/>
                <w:color w:val="auto"/>
                <w:sz w:val="21"/>
                <w:szCs w:val="21"/>
                <w:highlight w:val="none"/>
              </w:rPr>
              <w:t>）</w:t>
            </w:r>
          </w:p>
        </w:tc>
        <w:tc>
          <w:tcPr>
            <w:tcW w:w="1010" w:type="dxa"/>
            <w:noWrap/>
            <w:vAlign w:val="center"/>
          </w:tcPr>
          <w:p w14:paraId="53CF4B8D">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35</w:t>
            </w:r>
          </w:p>
        </w:tc>
        <w:tc>
          <w:tcPr>
            <w:tcW w:w="1010" w:type="dxa"/>
            <w:noWrap/>
            <w:vAlign w:val="center"/>
          </w:tcPr>
          <w:p w14:paraId="54E1D92F">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75</w:t>
            </w:r>
          </w:p>
        </w:tc>
        <w:tc>
          <w:tcPr>
            <w:tcW w:w="1012" w:type="dxa"/>
            <w:vAlign w:val="center"/>
          </w:tcPr>
          <w:p w14:paraId="6F546CCB">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788" w:type="dxa"/>
            <w:vMerge w:val="continue"/>
            <w:vAlign w:val="center"/>
          </w:tcPr>
          <w:p w14:paraId="0F9AB675">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77E9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69EAF3EF">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2039" w:type="dxa"/>
            <w:vAlign w:val="center"/>
          </w:tcPr>
          <w:p w14:paraId="7A0CE076">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可吸入颗粒物（PM</w:t>
            </w:r>
            <w:r>
              <w:rPr>
                <w:rFonts w:hint="default" w:ascii="Times New Roman" w:hAnsi="Times New Roman" w:eastAsia="宋体" w:cs="Times New Roman"/>
                <w:bCs/>
                <w:color w:val="auto"/>
                <w:sz w:val="21"/>
                <w:szCs w:val="21"/>
                <w:highlight w:val="none"/>
                <w:vertAlign w:val="subscript"/>
              </w:rPr>
              <w:t>10</w:t>
            </w:r>
            <w:r>
              <w:rPr>
                <w:rFonts w:hint="default" w:ascii="Times New Roman" w:hAnsi="Times New Roman" w:eastAsia="宋体" w:cs="Times New Roman"/>
                <w:bCs/>
                <w:color w:val="auto"/>
                <w:sz w:val="21"/>
                <w:szCs w:val="21"/>
                <w:highlight w:val="none"/>
              </w:rPr>
              <w:t>）</w:t>
            </w:r>
          </w:p>
        </w:tc>
        <w:tc>
          <w:tcPr>
            <w:tcW w:w="1010" w:type="dxa"/>
            <w:noWrap/>
            <w:vAlign w:val="center"/>
          </w:tcPr>
          <w:p w14:paraId="535A0540">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70</w:t>
            </w:r>
          </w:p>
        </w:tc>
        <w:tc>
          <w:tcPr>
            <w:tcW w:w="1010" w:type="dxa"/>
            <w:noWrap/>
            <w:vAlign w:val="center"/>
          </w:tcPr>
          <w:p w14:paraId="0FF87AFD">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150</w:t>
            </w:r>
          </w:p>
        </w:tc>
        <w:tc>
          <w:tcPr>
            <w:tcW w:w="1012" w:type="dxa"/>
            <w:vAlign w:val="center"/>
          </w:tcPr>
          <w:p w14:paraId="793831D5">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788" w:type="dxa"/>
            <w:vMerge w:val="continue"/>
            <w:vAlign w:val="center"/>
          </w:tcPr>
          <w:p w14:paraId="4216AA50">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556B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0B6339BA">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2039" w:type="dxa"/>
            <w:vAlign w:val="center"/>
          </w:tcPr>
          <w:p w14:paraId="0A1E494A">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一氧化碳（CO）</w:t>
            </w:r>
          </w:p>
        </w:tc>
        <w:tc>
          <w:tcPr>
            <w:tcW w:w="1010" w:type="dxa"/>
            <w:noWrap/>
            <w:vAlign w:val="center"/>
          </w:tcPr>
          <w:p w14:paraId="41AEE3BB">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10" w:type="dxa"/>
            <w:noWrap/>
            <w:vAlign w:val="center"/>
          </w:tcPr>
          <w:p w14:paraId="078C5C71">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4000</w:t>
            </w:r>
          </w:p>
        </w:tc>
        <w:tc>
          <w:tcPr>
            <w:tcW w:w="1012" w:type="dxa"/>
            <w:vAlign w:val="center"/>
          </w:tcPr>
          <w:p w14:paraId="12C07849">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10000</w:t>
            </w:r>
          </w:p>
        </w:tc>
        <w:tc>
          <w:tcPr>
            <w:tcW w:w="2788" w:type="dxa"/>
            <w:vMerge w:val="continue"/>
            <w:vAlign w:val="center"/>
          </w:tcPr>
          <w:p w14:paraId="6F2BE1C5">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6C88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66793015">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2039" w:type="dxa"/>
            <w:vAlign w:val="center"/>
          </w:tcPr>
          <w:p w14:paraId="1D469CF6">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臭氧（O</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w:t>
            </w:r>
          </w:p>
        </w:tc>
        <w:tc>
          <w:tcPr>
            <w:tcW w:w="1010" w:type="dxa"/>
            <w:noWrap/>
            <w:vAlign w:val="center"/>
          </w:tcPr>
          <w:p w14:paraId="0F51F140">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10" w:type="dxa"/>
            <w:noWrap/>
            <w:vAlign w:val="center"/>
          </w:tcPr>
          <w:p w14:paraId="72756E6B">
            <w:pPr>
              <w:spacing w:line="240" w:lineRule="exact"/>
              <w:ind w:left="-105" w:right="-105"/>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w:t>
            </w:r>
          </w:p>
        </w:tc>
        <w:tc>
          <w:tcPr>
            <w:tcW w:w="1012" w:type="dxa"/>
            <w:vAlign w:val="center"/>
          </w:tcPr>
          <w:p w14:paraId="7A411DBD">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200</w:t>
            </w:r>
          </w:p>
        </w:tc>
        <w:tc>
          <w:tcPr>
            <w:tcW w:w="2788" w:type="dxa"/>
            <w:vMerge w:val="continue"/>
            <w:vAlign w:val="center"/>
          </w:tcPr>
          <w:p w14:paraId="11AA5A5A">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48CA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384C01D5">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2039" w:type="dxa"/>
            <w:vAlign w:val="center"/>
          </w:tcPr>
          <w:p w14:paraId="07B39424">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氮氧化物（NOx）</w:t>
            </w:r>
          </w:p>
        </w:tc>
        <w:tc>
          <w:tcPr>
            <w:tcW w:w="1010" w:type="dxa"/>
            <w:noWrap/>
            <w:vAlign w:val="center"/>
          </w:tcPr>
          <w:p w14:paraId="78689DCD">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w:t>
            </w:r>
          </w:p>
        </w:tc>
        <w:tc>
          <w:tcPr>
            <w:tcW w:w="1010" w:type="dxa"/>
            <w:noWrap/>
            <w:vAlign w:val="center"/>
          </w:tcPr>
          <w:p w14:paraId="55748216">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100</w:t>
            </w:r>
          </w:p>
        </w:tc>
        <w:tc>
          <w:tcPr>
            <w:tcW w:w="1012" w:type="dxa"/>
            <w:vAlign w:val="center"/>
          </w:tcPr>
          <w:p w14:paraId="552647E3">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250</w:t>
            </w:r>
          </w:p>
        </w:tc>
        <w:tc>
          <w:tcPr>
            <w:tcW w:w="2788" w:type="dxa"/>
            <w:vMerge w:val="continue"/>
            <w:vAlign w:val="center"/>
          </w:tcPr>
          <w:p w14:paraId="516903CA">
            <w:pPr>
              <w:spacing w:line="240" w:lineRule="exact"/>
              <w:ind w:left="-105" w:right="-79" w:rightChars="-33"/>
              <w:jc w:val="center"/>
              <w:rPr>
                <w:rFonts w:hint="default" w:ascii="Times New Roman" w:hAnsi="Times New Roman" w:eastAsia="宋体" w:cs="Times New Roman"/>
                <w:bCs/>
                <w:color w:val="auto"/>
                <w:sz w:val="21"/>
                <w:szCs w:val="21"/>
                <w:highlight w:val="none"/>
              </w:rPr>
            </w:pPr>
          </w:p>
        </w:tc>
      </w:tr>
      <w:tr w14:paraId="2F59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37" w:type="dxa"/>
            <w:vAlign w:val="center"/>
          </w:tcPr>
          <w:p w14:paraId="1254CC4E">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2039" w:type="dxa"/>
            <w:vAlign w:val="center"/>
          </w:tcPr>
          <w:p w14:paraId="3E1743D1">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非甲烷总烃（NMHC）</w:t>
            </w:r>
          </w:p>
        </w:tc>
        <w:tc>
          <w:tcPr>
            <w:tcW w:w="1010" w:type="dxa"/>
            <w:vAlign w:val="center"/>
          </w:tcPr>
          <w:p w14:paraId="71B917FF">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10" w:type="dxa"/>
            <w:vAlign w:val="center"/>
          </w:tcPr>
          <w:p w14:paraId="15BFC08A">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12" w:type="dxa"/>
            <w:vAlign w:val="center"/>
          </w:tcPr>
          <w:p w14:paraId="6E4EA690">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2000</w:t>
            </w:r>
          </w:p>
        </w:tc>
        <w:tc>
          <w:tcPr>
            <w:tcW w:w="2788" w:type="dxa"/>
            <w:vAlign w:val="center"/>
          </w:tcPr>
          <w:p w14:paraId="628B37D0">
            <w:pPr>
              <w:pStyle w:val="56"/>
              <w:keepNext w:val="0"/>
              <w:keepLines w:val="0"/>
              <w:pageBreakBefore w:val="0"/>
              <w:widowControl w:val="0"/>
              <w:kinsoku/>
              <w:wordWrap/>
              <w:overflowPunct/>
              <w:topLinePunct w:val="0"/>
              <w:autoSpaceDE/>
              <w:autoSpaceDN/>
              <w:bidi w:val="0"/>
              <w:snapToGrid/>
              <w:spacing w:line="240" w:lineRule="auto"/>
              <w:ind w:left="0" w:leftChars="0" w:right="-79" w:rightChars="-33"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大气污染物综合排放标准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GB16297-1996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详解</w:t>
            </w:r>
          </w:p>
        </w:tc>
      </w:tr>
      <w:tr w14:paraId="0631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37" w:type="dxa"/>
            <w:vAlign w:val="center"/>
          </w:tcPr>
          <w:p w14:paraId="7614C637">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2039" w:type="dxa"/>
            <w:vAlign w:val="center"/>
          </w:tcPr>
          <w:p w14:paraId="10AFCB85">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硫化氢（H</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S）</w:t>
            </w:r>
          </w:p>
        </w:tc>
        <w:tc>
          <w:tcPr>
            <w:tcW w:w="1010" w:type="dxa"/>
            <w:vAlign w:val="center"/>
          </w:tcPr>
          <w:p w14:paraId="27F9A31C">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10" w:type="dxa"/>
            <w:vAlign w:val="center"/>
          </w:tcPr>
          <w:p w14:paraId="0CC24CEE">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12" w:type="dxa"/>
            <w:vAlign w:val="center"/>
          </w:tcPr>
          <w:p w14:paraId="3089D48F">
            <w:pPr>
              <w:spacing w:line="240" w:lineRule="exact"/>
              <w:ind w:left="-105" w:right="-105"/>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2788" w:type="dxa"/>
            <w:vAlign w:val="center"/>
          </w:tcPr>
          <w:p w14:paraId="2F9379FF">
            <w:pPr>
              <w:pStyle w:val="56"/>
              <w:keepNext w:val="0"/>
              <w:keepLines w:val="0"/>
              <w:pageBreakBefore w:val="0"/>
              <w:widowControl w:val="0"/>
              <w:kinsoku/>
              <w:wordWrap/>
              <w:overflowPunct/>
              <w:topLinePunct w:val="0"/>
              <w:autoSpaceDE/>
              <w:autoSpaceDN/>
              <w:bidi w:val="0"/>
              <w:snapToGrid/>
              <w:spacing w:line="240" w:lineRule="auto"/>
              <w:ind w:left="0" w:leftChars="0" w:right="-79" w:rightChars="-33"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24"/>
                <w:sz w:val="21"/>
                <w:szCs w:val="21"/>
                <w:highlight w:val="none"/>
              </w:rPr>
              <w:t>参考执行</w:t>
            </w:r>
            <w:r>
              <w:rPr>
                <w:rFonts w:hint="default" w:ascii="Times New Roman" w:hAnsi="Times New Roman" w:eastAsia="宋体" w:cs="Times New Roman"/>
                <w:color w:val="auto"/>
                <w:kern w:val="24"/>
                <w:sz w:val="21"/>
                <w:szCs w:val="21"/>
                <w:highlight w:val="none"/>
                <w:lang w:eastAsia="zh-CN"/>
              </w:rPr>
              <w:t>《</w:t>
            </w:r>
            <w:r>
              <w:rPr>
                <w:rFonts w:hint="default" w:ascii="Times New Roman" w:hAnsi="Times New Roman" w:eastAsia="宋体" w:cs="Times New Roman"/>
                <w:color w:val="auto"/>
                <w:kern w:val="24"/>
                <w:sz w:val="21"/>
                <w:szCs w:val="21"/>
                <w:highlight w:val="none"/>
              </w:rPr>
              <w:t>环境影响评价技术导则大气环境</w:t>
            </w:r>
            <w:r>
              <w:rPr>
                <w:rFonts w:hint="default" w:ascii="Times New Roman" w:hAnsi="Times New Roman" w:eastAsia="宋体" w:cs="Times New Roman"/>
                <w:color w:val="auto"/>
                <w:kern w:val="24"/>
                <w:sz w:val="21"/>
                <w:szCs w:val="21"/>
                <w:highlight w:val="none"/>
                <w:lang w:eastAsia="zh-CN"/>
              </w:rPr>
              <w:t>》（</w:t>
            </w:r>
            <w:r>
              <w:rPr>
                <w:rFonts w:hint="default" w:ascii="Times New Roman" w:hAnsi="Times New Roman" w:eastAsia="宋体" w:cs="Times New Roman"/>
                <w:color w:val="auto"/>
                <w:kern w:val="24"/>
                <w:sz w:val="21"/>
                <w:szCs w:val="21"/>
                <w:highlight w:val="none"/>
              </w:rPr>
              <w:t>HJ2.2-2018</w:t>
            </w:r>
            <w:r>
              <w:rPr>
                <w:rFonts w:hint="default" w:ascii="Times New Roman" w:hAnsi="Times New Roman" w:eastAsia="宋体" w:cs="Times New Roman"/>
                <w:color w:val="auto"/>
                <w:kern w:val="24"/>
                <w:sz w:val="21"/>
                <w:szCs w:val="21"/>
                <w:highlight w:val="none"/>
                <w:lang w:eastAsia="zh-CN"/>
              </w:rPr>
              <w:t>）</w:t>
            </w:r>
            <w:r>
              <w:rPr>
                <w:rFonts w:hint="default" w:ascii="Times New Roman" w:hAnsi="Times New Roman" w:eastAsia="宋体" w:cs="Times New Roman"/>
                <w:color w:val="auto"/>
                <w:kern w:val="24"/>
                <w:sz w:val="21"/>
                <w:szCs w:val="21"/>
                <w:highlight w:val="none"/>
              </w:rPr>
              <w:t>附录D中的1h平均浓度限值</w:t>
            </w:r>
          </w:p>
        </w:tc>
      </w:tr>
    </w:tbl>
    <w:p w14:paraId="69AC66D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水环境</w:t>
      </w:r>
    </w:p>
    <w:p w14:paraId="7296A2B7">
      <w:pPr>
        <w:pageBreakBefore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位于新疆维吾尔自治区库车市境内。地下水执行《地下水质量标准》（GB/T14848-2017）中Ⅲ类水质标准。石油类参照《地表水环境质量标准》（GB3838-2002）中的Ⅲ类标准。有关标准限值见表2.5-2。</w:t>
      </w:r>
    </w:p>
    <w:p w14:paraId="1C61A772">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eastAsia="黑体" w:cs="Times New Roman"/>
          <w:b w:val="0"/>
          <w:bCs/>
          <w:color w:val="auto"/>
          <w:sz w:val="21"/>
          <w:szCs w:val="21"/>
          <w:highlight w:val="none"/>
          <w:lang w:val="en-US" w:eastAsia="zh-CN" w:bidi="ar-SA"/>
        </w:rPr>
        <w:t>表2.5-</w:t>
      </w:r>
      <w:r>
        <w:rPr>
          <w:rFonts w:hint="eastAsia" w:eastAsia="黑体" w:cs="Times New Roman"/>
          <w:b w:val="0"/>
          <w:bCs/>
          <w:color w:val="auto"/>
          <w:sz w:val="21"/>
          <w:szCs w:val="21"/>
          <w:highlight w:val="none"/>
          <w:lang w:val="en-US" w:eastAsia="zh-CN" w:bidi="ar-SA"/>
        </w:rPr>
        <w:t xml:space="preserve">2   </w:t>
      </w:r>
      <w:r>
        <w:rPr>
          <w:rFonts w:hint="default" w:ascii="Times New Roman" w:hAnsi="Times New Roman" w:eastAsia="黑体" w:cs="Times New Roman"/>
          <w:b w:val="0"/>
          <w:bCs/>
          <w:color w:val="auto"/>
          <w:sz w:val="21"/>
          <w:szCs w:val="21"/>
          <w:highlight w:val="none"/>
          <w:lang w:val="en-US" w:eastAsia="zh-CN" w:bidi="ar-SA"/>
        </w:rPr>
        <w:t>《地下水质量标准》（GB/T14848-2017）单位：mg/L</w:t>
      </w:r>
    </w:p>
    <w:tbl>
      <w:tblPr>
        <w:tblStyle w:val="3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572"/>
        <w:gridCol w:w="924"/>
        <w:gridCol w:w="704"/>
        <w:gridCol w:w="2711"/>
        <w:gridCol w:w="920"/>
      </w:tblGrid>
      <w:tr w14:paraId="590A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691" w:type="dxa"/>
            <w:noWrap w:val="0"/>
            <w:vAlign w:val="center"/>
          </w:tcPr>
          <w:p w14:paraId="00B1EE3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572" w:type="dxa"/>
            <w:noWrap w:val="0"/>
            <w:vAlign w:val="center"/>
          </w:tcPr>
          <w:p w14:paraId="27DBF5C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924" w:type="dxa"/>
            <w:noWrap w:val="0"/>
            <w:vAlign w:val="center"/>
          </w:tcPr>
          <w:p w14:paraId="63BA39B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704" w:type="dxa"/>
            <w:noWrap w:val="0"/>
            <w:vAlign w:val="center"/>
          </w:tcPr>
          <w:p w14:paraId="6277150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711" w:type="dxa"/>
            <w:noWrap w:val="0"/>
            <w:vAlign w:val="center"/>
          </w:tcPr>
          <w:p w14:paraId="709B112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920" w:type="dxa"/>
            <w:noWrap w:val="0"/>
            <w:vAlign w:val="center"/>
          </w:tcPr>
          <w:p w14:paraId="755F2FA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r>
      <w:tr w14:paraId="2B5A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17E03024">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572" w:type="dxa"/>
            <w:noWrap w:val="0"/>
            <w:vAlign w:val="center"/>
          </w:tcPr>
          <w:p w14:paraId="5B5D513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色</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铂钴色度单位</w:t>
            </w:r>
            <w:r>
              <w:rPr>
                <w:rFonts w:hint="default" w:ascii="Times New Roman" w:hAnsi="Times New Roman" w:cs="Times New Roman"/>
                <w:color w:val="auto"/>
                <w:sz w:val="21"/>
                <w:szCs w:val="21"/>
                <w:highlight w:val="none"/>
                <w:lang w:eastAsia="zh-CN"/>
              </w:rPr>
              <w:t>）</w:t>
            </w:r>
          </w:p>
        </w:tc>
        <w:tc>
          <w:tcPr>
            <w:tcW w:w="924" w:type="dxa"/>
            <w:noWrap w:val="0"/>
            <w:vAlign w:val="center"/>
          </w:tcPr>
          <w:p w14:paraId="382615A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04" w:type="dxa"/>
            <w:noWrap w:val="0"/>
            <w:vAlign w:val="center"/>
          </w:tcPr>
          <w:p w14:paraId="4418AD2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2711" w:type="dxa"/>
            <w:noWrap w:val="0"/>
            <w:vAlign w:val="center"/>
          </w:tcPr>
          <w:p w14:paraId="5331EB8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硫化物</w:t>
            </w:r>
          </w:p>
        </w:tc>
        <w:tc>
          <w:tcPr>
            <w:tcW w:w="920" w:type="dxa"/>
            <w:noWrap w:val="0"/>
            <w:vAlign w:val="center"/>
          </w:tcPr>
          <w:p w14:paraId="0F45EC4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w:t>
            </w:r>
          </w:p>
        </w:tc>
      </w:tr>
      <w:tr w14:paraId="5203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3522E29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572" w:type="dxa"/>
            <w:noWrap w:val="0"/>
            <w:vAlign w:val="center"/>
          </w:tcPr>
          <w:p w14:paraId="0679A83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嗅和味</w:t>
            </w:r>
          </w:p>
        </w:tc>
        <w:tc>
          <w:tcPr>
            <w:tcW w:w="924" w:type="dxa"/>
            <w:noWrap w:val="0"/>
            <w:vAlign w:val="center"/>
          </w:tcPr>
          <w:p w14:paraId="78AE2BF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704" w:type="dxa"/>
            <w:noWrap w:val="0"/>
            <w:vAlign w:val="center"/>
          </w:tcPr>
          <w:p w14:paraId="2FDCC76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2711" w:type="dxa"/>
            <w:noWrap w:val="0"/>
            <w:vAlign w:val="center"/>
          </w:tcPr>
          <w:p w14:paraId="129E315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钠</w:t>
            </w:r>
          </w:p>
        </w:tc>
        <w:tc>
          <w:tcPr>
            <w:tcW w:w="920" w:type="dxa"/>
            <w:noWrap w:val="0"/>
            <w:vAlign w:val="center"/>
          </w:tcPr>
          <w:p w14:paraId="4DE5113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r>
      <w:tr w14:paraId="60D2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4033CFB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572" w:type="dxa"/>
            <w:noWrap w:val="0"/>
            <w:vAlign w:val="center"/>
          </w:tcPr>
          <w:p w14:paraId="4513984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浑浊度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NTU</w:t>
            </w:r>
            <w:r>
              <w:rPr>
                <w:rFonts w:hint="default" w:ascii="Times New Roman" w:hAnsi="Times New Roman" w:cs="Times New Roman"/>
                <w:color w:val="auto"/>
                <w:sz w:val="21"/>
                <w:szCs w:val="21"/>
                <w:highlight w:val="none"/>
                <w:lang w:eastAsia="zh-CN"/>
              </w:rPr>
              <w:t>）</w:t>
            </w:r>
          </w:p>
        </w:tc>
        <w:tc>
          <w:tcPr>
            <w:tcW w:w="924" w:type="dxa"/>
            <w:noWrap w:val="0"/>
            <w:vAlign w:val="center"/>
          </w:tcPr>
          <w:p w14:paraId="0E84925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704" w:type="dxa"/>
            <w:noWrap w:val="0"/>
            <w:vAlign w:val="center"/>
          </w:tcPr>
          <w:p w14:paraId="01943CB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2711" w:type="dxa"/>
            <w:noWrap w:val="0"/>
            <w:vAlign w:val="center"/>
          </w:tcPr>
          <w:p w14:paraId="68A7744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总大肠菌群</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MPN/100mL或CFU/100mL</w:t>
            </w:r>
            <w:r>
              <w:rPr>
                <w:rFonts w:hint="default" w:ascii="Times New Roman" w:hAnsi="Times New Roman" w:cs="Times New Roman"/>
                <w:color w:val="auto"/>
                <w:sz w:val="21"/>
                <w:szCs w:val="21"/>
                <w:highlight w:val="none"/>
                <w:lang w:eastAsia="zh-CN"/>
              </w:rPr>
              <w:t>）</w:t>
            </w:r>
          </w:p>
        </w:tc>
        <w:tc>
          <w:tcPr>
            <w:tcW w:w="920" w:type="dxa"/>
            <w:noWrap w:val="0"/>
            <w:vAlign w:val="center"/>
          </w:tcPr>
          <w:p w14:paraId="53F5EAA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0D85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91" w:type="dxa"/>
            <w:noWrap w:val="0"/>
            <w:vAlign w:val="center"/>
          </w:tcPr>
          <w:p w14:paraId="0A69E89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572" w:type="dxa"/>
            <w:noWrap w:val="0"/>
            <w:vAlign w:val="center"/>
          </w:tcPr>
          <w:p w14:paraId="1561C77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肉眼可见物</w:t>
            </w:r>
          </w:p>
        </w:tc>
        <w:tc>
          <w:tcPr>
            <w:tcW w:w="924" w:type="dxa"/>
            <w:noWrap w:val="0"/>
            <w:vAlign w:val="center"/>
          </w:tcPr>
          <w:p w14:paraId="6250987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704" w:type="dxa"/>
            <w:noWrap w:val="0"/>
            <w:vAlign w:val="center"/>
          </w:tcPr>
          <w:p w14:paraId="4055FE81">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2711" w:type="dxa"/>
            <w:noWrap w:val="0"/>
            <w:vAlign w:val="center"/>
          </w:tcPr>
          <w:p w14:paraId="774ACF7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菌落总数</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CFU/mL</w:t>
            </w:r>
            <w:r>
              <w:rPr>
                <w:rFonts w:hint="default" w:ascii="Times New Roman" w:hAnsi="Times New Roman" w:cs="Times New Roman"/>
                <w:color w:val="auto"/>
                <w:sz w:val="21"/>
                <w:szCs w:val="21"/>
                <w:highlight w:val="none"/>
                <w:lang w:eastAsia="zh-CN"/>
              </w:rPr>
              <w:t>）</w:t>
            </w:r>
          </w:p>
        </w:tc>
        <w:tc>
          <w:tcPr>
            <w:tcW w:w="920" w:type="dxa"/>
            <w:noWrap w:val="0"/>
            <w:vAlign w:val="center"/>
          </w:tcPr>
          <w:p w14:paraId="1F310A34">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2AA9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0FFC2A1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572" w:type="dxa"/>
            <w:noWrap w:val="0"/>
            <w:vAlign w:val="center"/>
          </w:tcPr>
          <w:p w14:paraId="43B3CD0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pH</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无量纲</w:t>
            </w:r>
            <w:r>
              <w:rPr>
                <w:rFonts w:hint="default" w:ascii="Times New Roman" w:hAnsi="Times New Roman" w:cs="Times New Roman"/>
                <w:color w:val="auto"/>
                <w:sz w:val="21"/>
                <w:szCs w:val="21"/>
                <w:highlight w:val="none"/>
                <w:lang w:eastAsia="zh-CN"/>
              </w:rPr>
              <w:t>）</w:t>
            </w:r>
          </w:p>
        </w:tc>
        <w:tc>
          <w:tcPr>
            <w:tcW w:w="924" w:type="dxa"/>
            <w:noWrap w:val="0"/>
            <w:vAlign w:val="center"/>
          </w:tcPr>
          <w:p w14:paraId="267A9F8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5.5≤pH＜6.5</w:t>
            </w:r>
          </w:p>
        </w:tc>
        <w:tc>
          <w:tcPr>
            <w:tcW w:w="704" w:type="dxa"/>
            <w:noWrap w:val="0"/>
            <w:vAlign w:val="center"/>
          </w:tcPr>
          <w:p w14:paraId="43E52AF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2711" w:type="dxa"/>
            <w:noWrap w:val="0"/>
            <w:vAlign w:val="center"/>
          </w:tcPr>
          <w:p w14:paraId="2F3852A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亚硝酸盐</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以Ｎ计</w:t>
            </w:r>
            <w:r>
              <w:rPr>
                <w:rFonts w:hint="default" w:ascii="Times New Roman" w:hAnsi="Times New Roman" w:cs="Times New Roman"/>
                <w:color w:val="auto"/>
                <w:sz w:val="21"/>
                <w:szCs w:val="21"/>
                <w:highlight w:val="none"/>
                <w:lang w:eastAsia="zh-CN"/>
              </w:rPr>
              <w:t>）</w:t>
            </w:r>
          </w:p>
        </w:tc>
        <w:tc>
          <w:tcPr>
            <w:tcW w:w="920" w:type="dxa"/>
            <w:noWrap w:val="0"/>
            <w:vAlign w:val="center"/>
          </w:tcPr>
          <w:p w14:paraId="63167F8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r>
      <w:tr w14:paraId="2424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1490146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572" w:type="dxa"/>
            <w:noWrap w:val="0"/>
            <w:vAlign w:val="center"/>
          </w:tcPr>
          <w:p w14:paraId="0FD1138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总硬度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以CaCO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计</w:t>
            </w:r>
            <w:r>
              <w:rPr>
                <w:rFonts w:hint="default" w:ascii="Times New Roman" w:hAnsi="Times New Roman" w:cs="Times New Roman"/>
                <w:color w:val="auto"/>
                <w:sz w:val="21"/>
                <w:szCs w:val="21"/>
                <w:highlight w:val="none"/>
                <w:lang w:eastAsia="zh-CN"/>
              </w:rPr>
              <w:t>）</w:t>
            </w:r>
          </w:p>
        </w:tc>
        <w:tc>
          <w:tcPr>
            <w:tcW w:w="924" w:type="dxa"/>
            <w:noWrap w:val="0"/>
            <w:vAlign w:val="center"/>
          </w:tcPr>
          <w:p w14:paraId="5D62CEC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c>
          <w:tcPr>
            <w:tcW w:w="704" w:type="dxa"/>
            <w:noWrap w:val="0"/>
            <w:vAlign w:val="center"/>
          </w:tcPr>
          <w:p w14:paraId="21720D4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2711" w:type="dxa"/>
            <w:noWrap w:val="0"/>
            <w:vAlign w:val="center"/>
          </w:tcPr>
          <w:p w14:paraId="0A84756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硝酸盐</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以Ｎ计</w:t>
            </w:r>
            <w:r>
              <w:rPr>
                <w:rFonts w:hint="default" w:ascii="Times New Roman" w:hAnsi="Times New Roman" w:cs="Times New Roman"/>
                <w:color w:val="auto"/>
                <w:sz w:val="21"/>
                <w:szCs w:val="21"/>
                <w:highlight w:val="none"/>
                <w:lang w:eastAsia="zh-CN"/>
              </w:rPr>
              <w:t>）</w:t>
            </w:r>
          </w:p>
        </w:tc>
        <w:tc>
          <w:tcPr>
            <w:tcW w:w="920" w:type="dxa"/>
            <w:noWrap w:val="0"/>
            <w:vAlign w:val="center"/>
          </w:tcPr>
          <w:p w14:paraId="0131503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r>
      <w:tr w14:paraId="5DEE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6D8E8A5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572" w:type="dxa"/>
            <w:noWrap w:val="0"/>
            <w:vAlign w:val="center"/>
          </w:tcPr>
          <w:p w14:paraId="2A2C52E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溶解性总固体</w:t>
            </w:r>
          </w:p>
        </w:tc>
        <w:tc>
          <w:tcPr>
            <w:tcW w:w="924" w:type="dxa"/>
            <w:noWrap w:val="0"/>
            <w:vAlign w:val="center"/>
          </w:tcPr>
          <w:p w14:paraId="501FE99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c>
          <w:tcPr>
            <w:tcW w:w="704" w:type="dxa"/>
            <w:noWrap w:val="0"/>
            <w:vAlign w:val="center"/>
          </w:tcPr>
          <w:p w14:paraId="74CF4E7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2711" w:type="dxa"/>
            <w:noWrap w:val="0"/>
            <w:vAlign w:val="center"/>
          </w:tcPr>
          <w:p w14:paraId="2584346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氰化物</w:t>
            </w:r>
          </w:p>
        </w:tc>
        <w:tc>
          <w:tcPr>
            <w:tcW w:w="920" w:type="dxa"/>
            <w:noWrap w:val="0"/>
            <w:vAlign w:val="center"/>
          </w:tcPr>
          <w:p w14:paraId="0D5F597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54D6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71B374D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572" w:type="dxa"/>
            <w:noWrap w:val="0"/>
            <w:vAlign w:val="center"/>
          </w:tcPr>
          <w:p w14:paraId="55F4FF2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硫酸盐</w:t>
            </w:r>
          </w:p>
        </w:tc>
        <w:tc>
          <w:tcPr>
            <w:tcW w:w="924" w:type="dxa"/>
            <w:noWrap w:val="0"/>
            <w:vAlign w:val="center"/>
          </w:tcPr>
          <w:p w14:paraId="3A4DDB1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704" w:type="dxa"/>
            <w:noWrap w:val="0"/>
            <w:vAlign w:val="center"/>
          </w:tcPr>
          <w:p w14:paraId="7989548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2711" w:type="dxa"/>
            <w:noWrap w:val="0"/>
            <w:vAlign w:val="center"/>
          </w:tcPr>
          <w:p w14:paraId="203E70B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氟化物</w:t>
            </w:r>
          </w:p>
        </w:tc>
        <w:tc>
          <w:tcPr>
            <w:tcW w:w="920" w:type="dxa"/>
            <w:noWrap w:val="0"/>
            <w:vAlign w:val="center"/>
          </w:tcPr>
          <w:p w14:paraId="267D15C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r>
      <w:tr w14:paraId="5DDC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5AAA9C7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572" w:type="dxa"/>
            <w:noWrap w:val="0"/>
            <w:vAlign w:val="center"/>
          </w:tcPr>
          <w:p w14:paraId="73F592C1">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氯化物</w:t>
            </w:r>
          </w:p>
        </w:tc>
        <w:tc>
          <w:tcPr>
            <w:tcW w:w="924" w:type="dxa"/>
            <w:noWrap w:val="0"/>
            <w:vAlign w:val="center"/>
          </w:tcPr>
          <w:p w14:paraId="5735D90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704" w:type="dxa"/>
            <w:noWrap w:val="0"/>
            <w:vAlign w:val="center"/>
          </w:tcPr>
          <w:p w14:paraId="5BB9D43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w:t>
            </w:r>
          </w:p>
        </w:tc>
        <w:tc>
          <w:tcPr>
            <w:tcW w:w="2711" w:type="dxa"/>
            <w:noWrap w:val="0"/>
            <w:vAlign w:val="center"/>
          </w:tcPr>
          <w:p w14:paraId="65C7484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碘化物</w:t>
            </w:r>
          </w:p>
        </w:tc>
        <w:tc>
          <w:tcPr>
            <w:tcW w:w="920" w:type="dxa"/>
            <w:noWrap w:val="0"/>
            <w:vAlign w:val="center"/>
          </w:tcPr>
          <w:p w14:paraId="635E573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≤0.08</w:t>
            </w:r>
          </w:p>
        </w:tc>
      </w:tr>
      <w:tr w14:paraId="394D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59DF3BC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572" w:type="dxa"/>
            <w:noWrap w:val="0"/>
            <w:vAlign w:val="center"/>
          </w:tcPr>
          <w:p w14:paraId="15B5134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铁</w:t>
            </w:r>
          </w:p>
        </w:tc>
        <w:tc>
          <w:tcPr>
            <w:tcW w:w="924" w:type="dxa"/>
            <w:noWrap w:val="0"/>
            <w:vAlign w:val="center"/>
          </w:tcPr>
          <w:p w14:paraId="69D9B61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04" w:type="dxa"/>
            <w:noWrap w:val="0"/>
            <w:vAlign w:val="center"/>
          </w:tcPr>
          <w:p w14:paraId="0613107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2711" w:type="dxa"/>
            <w:noWrap w:val="0"/>
            <w:vAlign w:val="center"/>
          </w:tcPr>
          <w:p w14:paraId="3F7A657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汞</w:t>
            </w:r>
          </w:p>
        </w:tc>
        <w:tc>
          <w:tcPr>
            <w:tcW w:w="920" w:type="dxa"/>
            <w:noWrap w:val="0"/>
            <w:vAlign w:val="center"/>
          </w:tcPr>
          <w:p w14:paraId="2C6D3AC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≤0.001</w:t>
            </w:r>
          </w:p>
        </w:tc>
      </w:tr>
      <w:tr w14:paraId="0014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19549694">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572" w:type="dxa"/>
            <w:noWrap w:val="0"/>
            <w:vAlign w:val="center"/>
          </w:tcPr>
          <w:p w14:paraId="50DEC08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锰</w:t>
            </w:r>
          </w:p>
        </w:tc>
        <w:tc>
          <w:tcPr>
            <w:tcW w:w="924" w:type="dxa"/>
            <w:noWrap w:val="0"/>
            <w:vAlign w:val="center"/>
          </w:tcPr>
          <w:p w14:paraId="547B994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w:t>
            </w:r>
          </w:p>
        </w:tc>
        <w:tc>
          <w:tcPr>
            <w:tcW w:w="704" w:type="dxa"/>
            <w:noWrap w:val="0"/>
            <w:vAlign w:val="center"/>
          </w:tcPr>
          <w:p w14:paraId="2B55C57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w:t>
            </w:r>
          </w:p>
        </w:tc>
        <w:tc>
          <w:tcPr>
            <w:tcW w:w="2711" w:type="dxa"/>
            <w:noWrap w:val="0"/>
            <w:vAlign w:val="center"/>
          </w:tcPr>
          <w:p w14:paraId="197325C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砷</w:t>
            </w:r>
          </w:p>
        </w:tc>
        <w:tc>
          <w:tcPr>
            <w:tcW w:w="920" w:type="dxa"/>
            <w:noWrap w:val="0"/>
            <w:vAlign w:val="center"/>
          </w:tcPr>
          <w:p w14:paraId="530CD45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r>
      <w:tr w14:paraId="35FE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1294272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572" w:type="dxa"/>
            <w:noWrap w:val="0"/>
            <w:vAlign w:val="center"/>
          </w:tcPr>
          <w:p w14:paraId="2A12D4A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铜</w:t>
            </w:r>
          </w:p>
        </w:tc>
        <w:tc>
          <w:tcPr>
            <w:tcW w:w="924" w:type="dxa"/>
            <w:noWrap w:val="0"/>
            <w:vAlign w:val="center"/>
          </w:tcPr>
          <w:p w14:paraId="5231B2E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704" w:type="dxa"/>
            <w:noWrap w:val="0"/>
            <w:vAlign w:val="center"/>
          </w:tcPr>
          <w:p w14:paraId="153A0B4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711" w:type="dxa"/>
            <w:noWrap w:val="0"/>
            <w:vAlign w:val="center"/>
          </w:tcPr>
          <w:p w14:paraId="49A703E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硒</w:t>
            </w:r>
          </w:p>
        </w:tc>
        <w:tc>
          <w:tcPr>
            <w:tcW w:w="920" w:type="dxa"/>
            <w:noWrap w:val="0"/>
            <w:vAlign w:val="center"/>
          </w:tcPr>
          <w:p w14:paraId="0E038B3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r>
      <w:tr w14:paraId="0271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56880CD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572" w:type="dxa"/>
            <w:noWrap w:val="0"/>
            <w:vAlign w:val="center"/>
          </w:tcPr>
          <w:p w14:paraId="231651A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锌</w:t>
            </w:r>
          </w:p>
        </w:tc>
        <w:tc>
          <w:tcPr>
            <w:tcW w:w="924" w:type="dxa"/>
            <w:noWrap w:val="0"/>
            <w:vAlign w:val="center"/>
          </w:tcPr>
          <w:p w14:paraId="4686DE4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704" w:type="dxa"/>
            <w:noWrap w:val="0"/>
            <w:vAlign w:val="center"/>
          </w:tcPr>
          <w:p w14:paraId="6D21667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w:t>
            </w:r>
          </w:p>
        </w:tc>
        <w:tc>
          <w:tcPr>
            <w:tcW w:w="2711" w:type="dxa"/>
            <w:noWrap w:val="0"/>
            <w:vAlign w:val="center"/>
          </w:tcPr>
          <w:p w14:paraId="070FCFE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镉</w:t>
            </w:r>
          </w:p>
        </w:tc>
        <w:tc>
          <w:tcPr>
            <w:tcW w:w="920" w:type="dxa"/>
            <w:noWrap w:val="0"/>
            <w:vAlign w:val="center"/>
          </w:tcPr>
          <w:p w14:paraId="39AA5B3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≤0.005</w:t>
            </w:r>
          </w:p>
        </w:tc>
      </w:tr>
      <w:tr w14:paraId="1C1D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6D4E869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2572" w:type="dxa"/>
            <w:noWrap w:val="0"/>
            <w:vAlign w:val="center"/>
          </w:tcPr>
          <w:p w14:paraId="6D073C5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铝</w:t>
            </w:r>
          </w:p>
        </w:tc>
        <w:tc>
          <w:tcPr>
            <w:tcW w:w="924" w:type="dxa"/>
            <w:noWrap w:val="0"/>
            <w:vAlign w:val="center"/>
          </w:tcPr>
          <w:p w14:paraId="59B03B6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≤0.20</w:t>
            </w:r>
          </w:p>
        </w:tc>
        <w:tc>
          <w:tcPr>
            <w:tcW w:w="704" w:type="dxa"/>
            <w:noWrap w:val="0"/>
            <w:vAlign w:val="center"/>
          </w:tcPr>
          <w:p w14:paraId="24A1520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w:t>
            </w:r>
          </w:p>
        </w:tc>
        <w:tc>
          <w:tcPr>
            <w:tcW w:w="2711" w:type="dxa"/>
            <w:noWrap w:val="0"/>
            <w:vAlign w:val="center"/>
          </w:tcPr>
          <w:p w14:paraId="0F8AB1F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铬</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六价</w:t>
            </w:r>
            <w:r>
              <w:rPr>
                <w:rFonts w:hint="default" w:ascii="Times New Roman" w:hAnsi="Times New Roman" w:cs="Times New Roman"/>
                <w:color w:val="auto"/>
                <w:sz w:val="21"/>
                <w:szCs w:val="21"/>
                <w:highlight w:val="none"/>
                <w:lang w:eastAsia="zh-CN"/>
              </w:rPr>
              <w:t>）</w:t>
            </w:r>
          </w:p>
        </w:tc>
        <w:tc>
          <w:tcPr>
            <w:tcW w:w="920" w:type="dxa"/>
            <w:noWrap w:val="0"/>
            <w:vAlign w:val="center"/>
          </w:tcPr>
          <w:p w14:paraId="34BDCA8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3B28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6A949CB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2572" w:type="dxa"/>
            <w:noWrap w:val="0"/>
            <w:vAlign w:val="center"/>
          </w:tcPr>
          <w:p w14:paraId="12D6571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挥发性酚类</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以苯酚计</w:t>
            </w:r>
            <w:r>
              <w:rPr>
                <w:rFonts w:hint="default" w:ascii="Times New Roman" w:hAnsi="Times New Roman" w:cs="Times New Roman"/>
                <w:color w:val="auto"/>
                <w:sz w:val="21"/>
                <w:szCs w:val="21"/>
                <w:highlight w:val="none"/>
                <w:lang w:eastAsia="zh-CN"/>
              </w:rPr>
              <w:t>）</w:t>
            </w:r>
          </w:p>
        </w:tc>
        <w:tc>
          <w:tcPr>
            <w:tcW w:w="924" w:type="dxa"/>
            <w:noWrap w:val="0"/>
            <w:vAlign w:val="center"/>
          </w:tcPr>
          <w:p w14:paraId="71FBCE0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c>
          <w:tcPr>
            <w:tcW w:w="704" w:type="dxa"/>
            <w:noWrap w:val="0"/>
            <w:vAlign w:val="center"/>
          </w:tcPr>
          <w:p w14:paraId="1EA1030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w:t>
            </w:r>
          </w:p>
        </w:tc>
        <w:tc>
          <w:tcPr>
            <w:tcW w:w="2711" w:type="dxa"/>
            <w:noWrap w:val="0"/>
            <w:vAlign w:val="center"/>
          </w:tcPr>
          <w:p w14:paraId="4BC1F44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铅</w:t>
            </w:r>
          </w:p>
        </w:tc>
        <w:tc>
          <w:tcPr>
            <w:tcW w:w="920" w:type="dxa"/>
            <w:noWrap w:val="0"/>
            <w:vAlign w:val="center"/>
          </w:tcPr>
          <w:p w14:paraId="4771253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r>
      <w:tr w14:paraId="5FF6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32AB101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2572" w:type="dxa"/>
            <w:noWrap w:val="0"/>
            <w:vAlign w:val="center"/>
          </w:tcPr>
          <w:p w14:paraId="3D1186C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阴离子表面活性剂</w:t>
            </w:r>
          </w:p>
        </w:tc>
        <w:tc>
          <w:tcPr>
            <w:tcW w:w="924" w:type="dxa"/>
            <w:noWrap w:val="0"/>
            <w:vAlign w:val="center"/>
          </w:tcPr>
          <w:p w14:paraId="24E6640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04" w:type="dxa"/>
            <w:noWrap w:val="0"/>
            <w:vAlign w:val="center"/>
          </w:tcPr>
          <w:p w14:paraId="3A01477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2711" w:type="dxa"/>
            <w:noWrap w:val="0"/>
            <w:vAlign w:val="center"/>
          </w:tcPr>
          <w:p w14:paraId="2663742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甲苯</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kern w:val="24"/>
                <w:sz w:val="21"/>
                <w:szCs w:val="21"/>
                <w:highlight w:val="none"/>
              </w:rPr>
              <w:t>μg/L</w:t>
            </w:r>
            <w:r>
              <w:rPr>
                <w:rFonts w:hint="default" w:ascii="Times New Roman" w:hAnsi="Times New Roman" w:cs="Times New Roman"/>
                <w:color w:val="auto"/>
                <w:sz w:val="21"/>
                <w:szCs w:val="21"/>
                <w:highlight w:val="none"/>
                <w:lang w:eastAsia="zh-CN"/>
              </w:rPr>
              <w:t>）</w:t>
            </w:r>
          </w:p>
        </w:tc>
        <w:tc>
          <w:tcPr>
            <w:tcW w:w="920" w:type="dxa"/>
            <w:noWrap w:val="0"/>
            <w:vAlign w:val="center"/>
          </w:tcPr>
          <w:p w14:paraId="48403A0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≤700</w:t>
            </w:r>
          </w:p>
        </w:tc>
      </w:tr>
      <w:tr w14:paraId="6AC4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5F985AB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2572" w:type="dxa"/>
            <w:noWrap w:val="0"/>
            <w:vAlign w:val="center"/>
          </w:tcPr>
          <w:p w14:paraId="6034271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耗氧量</w:t>
            </w:r>
          </w:p>
          <w:p w14:paraId="73AD29B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Mn</w:t>
            </w:r>
            <w:r>
              <w:rPr>
                <w:rFonts w:hint="default" w:ascii="Times New Roman" w:hAnsi="Times New Roman" w:cs="Times New Roman"/>
                <w:color w:val="auto"/>
                <w:sz w:val="21"/>
                <w:szCs w:val="21"/>
                <w:highlight w:val="none"/>
              </w:rPr>
              <w:t>法，以O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计</w:t>
            </w:r>
            <w:r>
              <w:rPr>
                <w:rFonts w:hint="default" w:ascii="Times New Roman" w:hAnsi="Times New Roman" w:cs="Times New Roman"/>
                <w:color w:val="auto"/>
                <w:sz w:val="21"/>
                <w:szCs w:val="21"/>
                <w:highlight w:val="none"/>
                <w:lang w:eastAsia="zh-CN"/>
              </w:rPr>
              <w:t>）</w:t>
            </w:r>
          </w:p>
        </w:tc>
        <w:tc>
          <w:tcPr>
            <w:tcW w:w="924" w:type="dxa"/>
            <w:noWrap w:val="0"/>
            <w:vAlign w:val="center"/>
          </w:tcPr>
          <w:p w14:paraId="301E989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704" w:type="dxa"/>
            <w:noWrap w:val="0"/>
            <w:vAlign w:val="center"/>
          </w:tcPr>
          <w:p w14:paraId="6B46C91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2711" w:type="dxa"/>
            <w:noWrap w:val="0"/>
            <w:vAlign w:val="center"/>
          </w:tcPr>
          <w:p w14:paraId="51C9AD7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石油类</w:t>
            </w:r>
          </w:p>
        </w:tc>
        <w:tc>
          <w:tcPr>
            <w:tcW w:w="920" w:type="dxa"/>
            <w:noWrap w:val="0"/>
            <w:vAlign w:val="center"/>
          </w:tcPr>
          <w:p w14:paraId="0499BC5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2297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91" w:type="dxa"/>
            <w:noWrap w:val="0"/>
            <w:vAlign w:val="center"/>
          </w:tcPr>
          <w:p w14:paraId="2A39D1D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2572" w:type="dxa"/>
            <w:noWrap w:val="0"/>
            <w:vAlign w:val="center"/>
          </w:tcPr>
          <w:p w14:paraId="6707782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氨氮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以Ｎ计</w:t>
            </w:r>
            <w:r>
              <w:rPr>
                <w:rFonts w:hint="default" w:ascii="Times New Roman" w:hAnsi="Times New Roman" w:cs="Times New Roman"/>
                <w:color w:val="auto"/>
                <w:sz w:val="21"/>
                <w:szCs w:val="21"/>
                <w:highlight w:val="none"/>
                <w:lang w:eastAsia="zh-CN"/>
              </w:rPr>
              <w:t>）</w:t>
            </w:r>
          </w:p>
        </w:tc>
        <w:tc>
          <w:tcPr>
            <w:tcW w:w="924" w:type="dxa"/>
            <w:noWrap w:val="0"/>
            <w:vAlign w:val="center"/>
          </w:tcPr>
          <w:p w14:paraId="69E1BF1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≤0.50</w:t>
            </w:r>
          </w:p>
        </w:tc>
        <w:tc>
          <w:tcPr>
            <w:tcW w:w="704" w:type="dxa"/>
            <w:noWrap w:val="0"/>
            <w:vAlign w:val="center"/>
          </w:tcPr>
          <w:p w14:paraId="1A40456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p>
        </w:tc>
        <w:tc>
          <w:tcPr>
            <w:tcW w:w="2711" w:type="dxa"/>
            <w:noWrap w:val="0"/>
            <w:vAlign w:val="center"/>
          </w:tcPr>
          <w:p w14:paraId="5688E3C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p>
        </w:tc>
        <w:tc>
          <w:tcPr>
            <w:tcW w:w="920" w:type="dxa"/>
            <w:noWrap w:val="0"/>
            <w:vAlign w:val="center"/>
          </w:tcPr>
          <w:p w14:paraId="1AC3050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rPr>
            </w:pPr>
          </w:p>
        </w:tc>
      </w:tr>
    </w:tbl>
    <w:p w14:paraId="1FA57DDA">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（3）声环境</w:t>
      </w:r>
    </w:p>
    <w:p w14:paraId="0E65A69E">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按照《声环境质量标准》（GB3096-2008），本项目区域属于油田生产区，执行《声环境质量标准》（GB3096-2008）2类标准，即昼间60dB（A），夜间50dB（A）。</w:t>
      </w:r>
    </w:p>
    <w:p w14:paraId="5923CF13">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（4）土壤环境</w:t>
      </w:r>
    </w:p>
    <w:p w14:paraId="38370E40">
      <w:pPr>
        <w:pageBreakBefore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根据工程所在区域环境特征，井场建设用地执行《土壤环境质量建设用地土壤污染风险管控标准（试行）》（GB36600-2018）第二类用地风险筛选值，见表2.5-</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井场</w:t>
      </w:r>
      <w:r>
        <w:rPr>
          <w:rFonts w:hint="default" w:ascii="Times New Roman" w:hAnsi="Times New Roman" w:cs="Times New Roman"/>
          <w:color w:val="auto"/>
          <w:highlight w:val="none"/>
          <w:lang w:eastAsia="zh-CN"/>
        </w:rPr>
        <w:t>外用地执行《土壤环境质量农用地土壤污染风险管控标准（试行）》（GB15618-2018）中“表1农用地土壤污染风险筛选值（基本项目）标准，石油烃</w:t>
      </w:r>
      <w:r>
        <w:rPr>
          <w:rFonts w:hint="default" w:ascii="Times New Roman" w:hAnsi="Times New Roman" w:cs="Times New Roman"/>
          <w:color w:val="auto"/>
          <w:highlight w:val="none"/>
          <w:lang w:val="en-US" w:eastAsia="zh-CN"/>
        </w:rPr>
        <w:t>参照</w:t>
      </w:r>
      <w:r>
        <w:rPr>
          <w:rFonts w:hint="default" w:ascii="Times New Roman" w:hAnsi="Times New Roman" w:cs="Times New Roman"/>
          <w:color w:val="auto"/>
          <w:highlight w:val="none"/>
          <w:lang w:eastAsia="zh-CN"/>
        </w:rPr>
        <w:t>执行《土壤环境质量建设用地土壤污染风险管控标准（试行）》（GB36600-2018）第二类用地风险筛选值</w:t>
      </w:r>
      <w:r>
        <w:rPr>
          <w:rFonts w:hint="eastAsia" w:cs="Times New Roman"/>
          <w:color w:val="auto"/>
          <w:highlight w:val="none"/>
          <w:lang w:eastAsia="zh-CN"/>
        </w:rPr>
        <w:t>，</w:t>
      </w:r>
      <w:r>
        <w:rPr>
          <w:rFonts w:hint="default" w:ascii="Times New Roman" w:hAnsi="Times New Roman" w:cs="Times New Roman"/>
          <w:color w:val="auto"/>
          <w:highlight w:val="none"/>
          <w:lang w:eastAsia="zh-CN"/>
        </w:rPr>
        <w:t>见表2.5-</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p>
    <w:p w14:paraId="691FB708">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auto"/>
          <w:sz w:val="21"/>
          <w:szCs w:val="21"/>
          <w:highlight w:val="none"/>
          <w:lang w:val="en-US" w:eastAsia="zh-CN" w:bidi="ar-SA"/>
        </w:rPr>
      </w:pPr>
      <w:r>
        <w:rPr>
          <w:rFonts w:hint="default" w:ascii="Times New Roman" w:hAnsi="Times New Roman" w:eastAsia="黑体" w:cs="Times New Roman"/>
          <w:b w:val="0"/>
          <w:bCs/>
          <w:color w:val="auto"/>
          <w:sz w:val="21"/>
          <w:szCs w:val="21"/>
          <w:highlight w:val="none"/>
          <w:lang w:val="en-US" w:eastAsia="zh-CN" w:bidi="ar-SA"/>
        </w:rPr>
        <w:t>表2.5-4《土壤环境质量建设用地土壤污染风险管控标准（试行）》第二类用地筛选值</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798"/>
        <w:gridCol w:w="893"/>
        <w:gridCol w:w="893"/>
        <w:gridCol w:w="672"/>
        <w:gridCol w:w="1911"/>
        <w:gridCol w:w="794"/>
        <w:gridCol w:w="890"/>
      </w:tblGrid>
      <w:tr w14:paraId="4B94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94" w:type="pct"/>
            <w:noWrap w:val="0"/>
            <w:vAlign w:val="center"/>
          </w:tcPr>
          <w:p w14:paraId="53580E0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055" w:type="pct"/>
            <w:noWrap w:val="0"/>
            <w:vAlign w:val="center"/>
          </w:tcPr>
          <w:p w14:paraId="62318CF4">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524" w:type="pct"/>
            <w:noWrap w:val="0"/>
            <w:vAlign w:val="center"/>
          </w:tcPr>
          <w:p w14:paraId="7509F1E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524" w:type="pct"/>
            <w:noWrap w:val="0"/>
            <w:vAlign w:val="center"/>
          </w:tcPr>
          <w:p w14:paraId="53F2981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c>
          <w:tcPr>
            <w:tcW w:w="394" w:type="pct"/>
            <w:noWrap w:val="0"/>
            <w:vAlign w:val="center"/>
          </w:tcPr>
          <w:p w14:paraId="1CD95FE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121" w:type="pct"/>
            <w:noWrap w:val="0"/>
            <w:vAlign w:val="center"/>
          </w:tcPr>
          <w:p w14:paraId="349CEAE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466" w:type="pct"/>
            <w:noWrap w:val="0"/>
            <w:vAlign w:val="center"/>
          </w:tcPr>
          <w:p w14:paraId="4A3C07F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522" w:type="pct"/>
            <w:noWrap w:val="0"/>
            <w:vAlign w:val="center"/>
          </w:tcPr>
          <w:p w14:paraId="2949E89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r>
      <w:tr w14:paraId="67BB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7FE2210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055" w:type="pct"/>
            <w:noWrap w:val="0"/>
            <w:vAlign w:val="center"/>
          </w:tcPr>
          <w:p w14:paraId="27D32F8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524" w:type="pct"/>
            <w:noWrap w:val="0"/>
            <w:vAlign w:val="center"/>
          </w:tcPr>
          <w:p w14:paraId="40EADAE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无量纲</w:t>
            </w:r>
          </w:p>
        </w:tc>
        <w:tc>
          <w:tcPr>
            <w:tcW w:w="524" w:type="pct"/>
            <w:noWrap w:val="0"/>
            <w:vAlign w:val="center"/>
          </w:tcPr>
          <w:p w14:paraId="6BFA0AE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394" w:type="pct"/>
            <w:noWrap w:val="0"/>
            <w:vAlign w:val="center"/>
          </w:tcPr>
          <w:p w14:paraId="583FFFF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c>
          <w:tcPr>
            <w:tcW w:w="1121" w:type="pct"/>
            <w:noWrap w:val="0"/>
            <w:vAlign w:val="center"/>
          </w:tcPr>
          <w:p w14:paraId="04553BF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1,2,3-三氯丙烷</w:t>
            </w:r>
          </w:p>
        </w:tc>
        <w:tc>
          <w:tcPr>
            <w:tcW w:w="466" w:type="pct"/>
            <w:noWrap w:val="0"/>
            <w:vAlign w:val="center"/>
          </w:tcPr>
          <w:p w14:paraId="22F5C1F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0CD5324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r>
      <w:tr w14:paraId="26F3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94" w:type="pct"/>
            <w:noWrap w:val="0"/>
            <w:vAlign w:val="center"/>
          </w:tcPr>
          <w:p w14:paraId="4A48CB7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055" w:type="pct"/>
            <w:noWrap w:val="0"/>
            <w:vAlign w:val="center"/>
          </w:tcPr>
          <w:p w14:paraId="60737A7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524" w:type="pct"/>
            <w:noWrap w:val="0"/>
            <w:vAlign w:val="center"/>
          </w:tcPr>
          <w:p w14:paraId="529A2B2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2C56219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394" w:type="pct"/>
            <w:noWrap w:val="0"/>
            <w:vAlign w:val="center"/>
          </w:tcPr>
          <w:p w14:paraId="320303E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p>
        </w:tc>
        <w:tc>
          <w:tcPr>
            <w:tcW w:w="1121" w:type="pct"/>
            <w:noWrap w:val="0"/>
            <w:vAlign w:val="center"/>
          </w:tcPr>
          <w:p w14:paraId="5B4218A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氯乙烯</w:t>
            </w:r>
          </w:p>
        </w:tc>
        <w:tc>
          <w:tcPr>
            <w:tcW w:w="466" w:type="pct"/>
            <w:noWrap w:val="0"/>
            <w:vAlign w:val="center"/>
          </w:tcPr>
          <w:p w14:paraId="421969A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311D86B1">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0.43</w:t>
            </w:r>
          </w:p>
        </w:tc>
      </w:tr>
      <w:tr w14:paraId="3874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0AAAAE9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055" w:type="pct"/>
            <w:noWrap w:val="0"/>
            <w:vAlign w:val="center"/>
          </w:tcPr>
          <w:p w14:paraId="3259FBD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524" w:type="pct"/>
            <w:noWrap w:val="0"/>
            <w:vAlign w:val="center"/>
          </w:tcPr>
          <w:p w14:paraId="04D3701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1A2C189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65</w:t>
            </w:r>
          </w:p>
        </w:tc>
        <w:tc>
          <w:tcPr>
            <w:tcW w:w="394" w:type="pct"/>
            <w:noWrap w:val="0"/>
            <w:vAlign w:val="center"/>
          </w:tcPr>
          <w:p w14:paraId="5125EFC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27</w:t>
            </w:r>
          </w:p>
        </w:tc>
        <w:tc>
          <w:tcPr>
            <w:tcW w:w="1121" w:type="pct"/>
            <w:noWrap w:val="0"/>
            <w:vAlign w:val="center"/>
          </w:tcPr>
          <w:p w14:paraId="287AA02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苯</w:t>
            </w:r>
          </w:p>
        </w:tc>
        <w:tc>
          <w:tcPr>
            <w:tcW w:w="466" w:type="pct"/>
            <w:noWrap w:val="0"/>
            <w:vAlign w:val="center"/>
          </w:tcPr>
          <w:p w14:paraId="7FF6436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15A56C6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r>
      <w:tr w14:paraId="013A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672A491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055" w:type="pct"/>
            <w:noWrap w:val="0"/>
            <w:vAlign w:val="center"/>
          </w:tcPr>
          <w:p w14:paraId="5F02B093">
            <w:pPr>
              <w:pStyle w:val="52"/>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六价</w:t>
            </w:r>
            <w:r>
              <w:rPr>
                <w:rFonts w:hint="default" w:ascii="Times New Roman" w:hAnsi="Times New Roman" w:cs="Times New Roman"/>
                <w:color w:val="auto"/>
                <w:highlight w:val="none"/>
                <w:lang w:eastAsia="zh-CN"/>
              </w:rPr>
              <w:t>）</w:t>
            </w:r>
          </w:p>
        </w:tc>
        <w:tc>
          <w:tcPr>
            <w:tcW w:w="524" w:type="pct"/>
            <w:noWrap w:val="0"/>
            <w:vAlign w:val="center"/>
          </w:tcPr>
          <w:p w14:paraId="498AD96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122A681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5.7</w:t>
            </w:r>
          </w:p>
        </w:tc>
        <w:tc>
          <w:tcPr>
            <w:tcW w:w="394" w:type="pct"/>
            <w:noWrap w:val="0"/>
            <w:vAlign w:val="center"/>
          </w:tcPr>
          <w:p w14:paraId="7059AD8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1121" w:type="pct"/>
            <w:noWrap w:val="0"/>
            <w:vAlign w:val="center"/>
          </w:tcPr>
          <w:p w14:paraId="7F0D571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氯苯</w:t>
            </w:r>
          </w:p>
        </w:tc>
        <w:tc>
          <w:tcPr>
            <w:tcW w:w="466" w:type="pct"/>
            <w:noWrap w:val="0"/>
            <w:vAlign w:val="center"/>
          </w:tcPr>
          <w:p w14:paraId="0468C2E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33E228C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270</w:t>
            </w:r>
          </w:p>
        </w:tc>
      </w:tr>
      <w:tr w14:paraId="5718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6F267CB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055" w:type="pct"/>
            <w:noWrap w:val="0"/>
            <w:vAlign w:val="center"/>
          </w:tcPr>
          <w:p w14:paraId="10B410B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524" w:type="pct"/>
            <w:noWrap w:val="0"/>
            <w:vAlign w:val="center"/>
          </w:tcPr>
          <w:p w14:paraId="1FFBA3A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39EA9F1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18000</w:t>
            </w:r>
          </w:p>
        </w:tc>
        <w:tc>
          <w:tcPr>
            <w:tcW w:w="394" w:type="pct"/>
            <w:noWrap w:val="0"/>
            <w:vAlign w:val="center"/>
          </w:tcPr>
          <w:p w14:paraId="0FE8447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29</w:t>
            </w:r>
          </w:p>
        </w:tc>
        <w:tc>
          <w:tcPr>
            <w:tcW w:w="1121" w:type="pct"/>
            <w:noWrap w:val="0"/>
            <w:vAlign w:val="center"/>
          </w:tcPr>
          <w:p w14:paraId="65DE277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1,2-二氯苯</w:t>
            </w:r>
          </w:p>
        </w:tc>
        <w:tc>
          <w:tcPr>
            <w:tcW w:w="466" w:type="pct"/>
            <w:noWrap w:val="0"/>
            <w:vAlign w:val="center"/>
          </w:tcPr>
          <w:p w14:paraId="78EF954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7E7A274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560</w:t>
            </w:r>
          </w:p>
        </w:tc>
      </w:tr>
      <w:tr w14:paraId="40E0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439F720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055" w:type="pct"/>
            <w:noWrap w:val="0"/>
            <w:vAlign w:val="center"/>
          </w:tcPr>
          <w:p w14:paraId="239FA91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524" w:type="pct"/>
            <w:noWrap w:val="0"/>
            <w:vAlign w:val="center"/>
          </w:tcPr>
          <w:p w14:paraId="60E1DAE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3E8E140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800</w:t>
            </w:r>
          </w:p>
        </w:tc>
        <w:tc>
          <w:tcPr>
            <w:tcW w:w="394" w:type="pct"/>
            <w:noWrap w:val="0"/>
            <w:vAlign w:val="center"/>
          </w:tcPr>
          <w:p w14:paraId="6845D5A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1121" w:type="pct"/>
            <w:noWrap w:val="0"/>
            <w:vAlign w:val="center"/>
          </w:tcPr>
          <w:p w14:paraId="1499FF0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1,4-二氯苯</w:t>
            </w:r>
          </w:p>
        </w:tc>
        <w:tc>
          <w:tcPr>
            <w:tcW w:w="466" w:type="pct"/>
            <w:noWrap w:val="0"/>
            <w:vAlign w:val="center"/>
          </w:tcPr>
          <w:p w14:paraId="1E8670F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28B1175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14:paraId="56C9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263092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1055" w:type="pct"/>
            <w:noWrap w:val="0"/>
            <w:vAlign w:val="center"/>
          </w:tcPr>
          <w:p w14:paraId="53E6032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524" w:type="pct"/>
            <w:noWrap w:val="0"/>
            <w:vAlign w:val="center"/>
          </w:tcPr>
          <w:p w14:paraId="372D650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1B6013E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38</w:t>
            </w:r>
          </w:p>
        </w:tc>
        <w:tc>
          <w:tcPr>
            <w:tcW w:w="394" w:type="pct"/>
            <w:noWrap w:val="0"/>
            <w:vAlign w:val="center"/>
          </w:tcPr>
          <w:p w14:paraId="45BD940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p>
        </w:tc>
        <w:tc>
          <w:tcPr>
            <w:tcW w:w="1121" w:type="pct"/>
            <w:noWrap w:val="0"/>
            <w:vAlign w:val="center"/>
          </w:tcPr>
          <w:p w14:paraId="6DA5BB8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乙苯</w:t>
            </w:r>
          </w:p>
        </w:tc>
        <w:tc>
          <w:tcPr>
            <w:tcW w:w="466" w:type="pct"/>
            <w:noWrap w:val="0"/>
            <w:vAlign w:val="center"/>
          </w:tcPr>
          <w:p w14:paraId="070324D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5057AD9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r>
      <w:tr w14:paraId="252A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94" w:type="pct"/>
            <w:noWrap w:val="0"/>
            <w:vAlign w:val="center"/>
          </w:tcPr>
          <w:p w14:paraId="66EEC5C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1055" w:type="pct"/>
            <w:noWrap w:val="0"/>
            <w:vAlign w:val="center"/>
          </w:tcPr>
          <w:p w14:paraId="1D0A3AC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镍</w:t>
            </w:r>
          </w:p>
        </w:tc>
        <w:tc>
          <w:tcPr>
            <w:tcW w:w="524" w:type="pct"/>
            <w:noWrap w:val="0"/>
            <w:vAlign w:val="center"/>
          </w:tcPr>
          <w:p w14:paraId="0764B2F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7DDEB2D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900</w:t>
            </w:r>
          </w:p>
        </w:tc>
        <w:tc>
          <w:tcPr>
            <w:tcW w:w="394" w:type="pct"/>
            <w:noWrap w:val="0"/>
            <w:vAlign w:val="center"/>
          </w:tcPr>
          <w:p w14:paraId="55F573F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32</w:t>
            </w:r>
          </w:p>
        </w:tc>
        <w:tc>
          <w:tcPr>
            <w:tcW w:w="1121" w:type="pct"/>
            <w:noWrap w:val="0"/>
            <w:vAlign w:val="center"/>
          </w:tcPr>
          <w:p w14:paraId="700AF54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苯乙烯</w:t>
            </w:r>
          </w:p>
        </w:tc>
        <w:tc>
          <w:tcPr>
            <w:tcW w:w="466" w:type="pct"/>
            <w:noWrap w:val="0"/>
            <w:vAlign w:val="center"/>
          </w:tcPr>
          <w:p w14:paraId="2B41602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786955D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1290</w:t>
            </w:r>
          </w:p>
        </w:tc>
      </w:tr>
      <w:tr w14:paraId="585A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0416D58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1055" w:type="pct"/>
            <w:noWrap w:val="0"/>
            <w:vAlign w:val="center"/>
          </w:tcPr>
          <w:p w14:paraId="0B3B586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四氯化碳</w:t>
            </w:r>
          </w:p>
        </w:tc>
        <w:tc>
          <w:tcPr>
            <w:tcW w:w="524" w:type="pct"/>
            <w:noWrap w:val="0"/>
            <w:vAlign w:val="center"/>
          </w:tcPr>
          <w:p w14:paraId="66F08A5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31544E8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394" w:type="pct"/>
            <w:noWrap w:val="0"/>
            <w:vAlign w:val="center"/>
          </w:tcPr>
          <w:p w14:paraId="3C61BDE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33</w:t>
            </w:r>
          </w:p>
        </w:tc>
        <w:tc>
          <w:tcPr>
            <w:tcW w:w="1121" w:type="pct"/>
            <w:noWrap w:val="0"/>
            <w:vAlign w:val="center"/>
          </w:tcPr>
          <w:p w14:paraId="409CCCC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甲苯</w:t>
            </w:r>
          </w:p>
        </w:tc>
        <w:tc>
          <w:tcPr>
            <w:tcW w:w="466" w:type="pct"/>
            <w:noWrap w:val="0"/>
            <w:vAlign w:val="center"/>
          </w:tcPr>
          <w:p w14:paraId="595C4F7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63C20D8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1200</w:t>
            </w:r>
          </w:p>
        </w:tc>
      </w:tr>
      <w:tr w14:paraId="2BD8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A2CF00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1055" w:type="pct"/>
            <w:noWrap w:val="0"/>
            <w:vAlign w:val="center"/>
          </w:tcPr>
          <w:p w14:paraId="7D14E19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氯仿</w:t>
            </w:r>
          </w:p>
        </w:tc>
        <w:tc>
          <w:tcPr>
            <w:tcW w:w="524" w:type="pct"/>
            <w:noWrap w:val="0"/>
            <w:vAlign w:val="center"/>
          </w:tcPr>
          <w:p w14:paraId="6F6D8B9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3CF1643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0.9</w:t>
            </w:r>
          </w:p>
        </w:tc>
        <w:tc>
          <w:tcPr>
            <w:tcW w:w="394" w:type="pct"/>
            <w:noWrap w:val="0"/>
            <w:vAlign w:val="center"/>
          </w:tcPr>
          <w:p w14:paraId="1935DA9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34</w:t>
            </w:r>
          </w:p>
        </w:tc>
        <w:tc>
          <w:tcPr>
            <w:tcW w:w="1121" w:type="pct"/>
            <w:noWrap w:val="0"/>
            <w:vAlign w:val="center"/>
          </w:tcPr>
          <w:p w14:paraId="265737CD">
            <w:pPr>
              <w:pStyle w:val="52"/>
              <w:rPr>
                <w:rFonts w:hint="default" w:ascii="Times New Roman" w:hAnsi="Times New Roman" w:cs="Times New Roman"/>
                <w:color w:val="auto"/>
                <w:spacing w:val="-12"/>
                <w:highlight w:val="none"/>
              </w:rPr>
            </w:pPr>
            <w:r>
              <w:rPr>
                <w:rFonts w:hint="default" w:ascii="Times New Roman" w:hAnsi="Times New Roman" w:cs="Times New Roman"/>
                <w:color w:val="auto"/>
                <w:spacing w:val="-12"/>
                <w:highlight w:val="none"/>
              </w:rPr>
              <w:t>间二甲苯+对二甲苯</w:t>
            </w:r>
          </w:p>
        </w:tc>
        <w:tc>
          <w:tcPr>
            <w:tcW w:w="466" w:type="pct"/>
            <w:noWrap w:val="0"/>
            <w:vAlign w:val="center"/>
          </w:tcPr>
          <w:p w14:paraId="6244337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37FBEA4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570</w:t>
            </w:r>
          </w:p>
        </w:tc>
      </w:tr>
      <w:tr w14:paraId="35AC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79C930D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1055" w:type="pct"/>
            <w:noWrap w:val="0"/>
            <w:vAlign w:val="center"/>
          </w:tcPr>
          <w:p w14:paraId="7409E6E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氯甲烷</w:t>
            </w:r>
          </w:p>
        </w:tc>
        <w:tc>
          <w:tcPr>
            <w:tcW w:w="524" w:type="pct"/>
            <w:noWrap w:val="0"/>
            <w:vAlign w:val="center"/>
          </w:tcPr>
          <w:p w14:paraId="74182B3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09D860B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37</w:t>
            </w:r>
          </w:p>
        </w:tc>
        <w:tc>
          <w:tcPr>
            <w:tcW w:w="394" w:type="pct"/>
            <w:noWrap w:val="0"/>
            <w:vAlign w:val="center"/>
          </w:tcPr>
          <w:p w14:paraId="4FABD9C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1121" w:type="pct"/>
            <w:noWrap w:val="0"/>
            <w:vAlign w:val="center"/>
          </w:tcPr>
          <w:p w14:paraId="6161442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邻二甲苯</w:t>
            </w:r>
          </w:p>
        </w:tc>
        <w:tc>
          <w:tcPr>
            <w:tcW w:w="466" w:type="pct"/>
            <w:noWrap w:val="0"/>
            <w:vAlign w:val="center"/>
          </w:tcPr>
          <w:p w14:paraId="1EB557F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50A7022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640</w:t>
            </w:r>
          </w:p>
        </w:tc>
      </w:tr>
      <w:tr w14:paraId="141F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4AA52D9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1055" w:type="pct"/>
            <w:noWrap w:val="0"/>
            <w:vAlign w:val="center"/>
          </w:tcPr>
          <w:p w14:paraId="337A2CF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1,1-二氯乙烷</w:t>
            </w:r>
          </w:p>
        </w:tc>
        <w:tc>
          <w:tcPr>
            <w:tcW w:w="524" w:type="pct"/>
            <w:noWrap w:val="0"/>
            <w:vAlign w:val="center"/>
          </w:tcPr>
          <w:p w14:paraId="7EAB249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0A87C08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394" w:type="pct"/>
            <w:noWrap w:val="0"/>
            <w:vAlign w:val="center"/>
          </w:tcPr>
          <w:p w14:paraId="20FCB82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36</w:t>
            </w:r>
          </w:p>
        </w:tc>
        <w:tc>
          <w:tcPr>
            <w:tcW w:w="1121" w:type="pct"/>
            <w:noWrap w:val="0"/>
            <w:vAlign w:val="center"/>
          </w:tcPr>
          <w:p w14:paraId="0413FBB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硝基苯</w:t>
            </w:r>
          </w:p>
        </w:tc>
        <w:tc>
          <w:tcPr>
            <w:tcW w:w="466" w:type="pct"/>
            <w:noWrap w:val="0"/>
            <w:vAlign w:val="center"/>
          </w:tcPr>
          <w:p w14:paraId="5D6B1C3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61407E0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76</w:t>
            </w:r>
          </w:p>
        </w:tc>
      </w:tr>
      <w:tr w14:paraId="7830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0B75D23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1055" w:type="pct"/>
            <w:noWrap w:val="0"/>
            <w:vAlign w:val="center"/>
          </w:tcPr>
          <w:p w14:paraId="59C6AF7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1,2-二氯乙烷</w:t>
            </w:r>
          </w:p>
        </w:tc>
        <w:tc>
          <w:tcPr>
            <w:tcW w:w="524" w:type="pct"/>
            <w:noWrap w:val="0"/>
            <w:vAlign w:val="center"/>
          </w:tcPr>
          <w:p w14:paraId="72110DC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051E8BA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394" w:type="pct"/>
            <w:noWrap w:val="0"/>
            <w:vAlign w:val="center"/>
          </w:tcPr>
          <w:p w14:paraId="5CE7D80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37</w:t>
            </w:r>
          </w:p>
        </w:tc>
        <w:tc>
          <w:tcPr>
            <w:tcW w:w="1121" w:type="pct"/>
            <w:noWrap w:val="0"/>
            <w:vAlign w:val="center"/>
          </w:tcPr>
          <w:p w14:paraId="4C78C6B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苯胺</w:t>
            </w:r>
          </w:p>
        </w:tc>
        <w:tc>
          <w:tcPr>
            <w:tcW w:w="466" w:type="pct"/>
            <w:noWrap w:val="0"/>
            <w:vAlign w:val="center"/>
          </w:tcPr>
          <w:p w14:paraId="72F0108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2ED6D79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260</w:t>
            </w:r>
          </w:p>
        </w:tc>
      </w:tr>
      <w:tr w14:paraId="2D20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6697BD5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1055" w:type="pct"/>
            <w:noWrap w:val="0"/>
            <w:vAlign w:val="center"/>
          </w:tcPr>
          <w:p w14:paraId="71F9F24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1,1-二氯乙烯</w:t>
            </w:r>
          </w:p>
        </w:tc>
        <w:tc>
          <w:tcPr>
            <w:tcW w:w="524" w:type="pct"/>
            <w:noWrap w:val="0"/>
            <w:vAlign w:val="center"/>
          </w:tcPr>
          <w:p w14:paraId="50ADE7A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71BA4A8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66</w:t>
            </w:r>
          </w:p>
        </w:tc>
        <w:tc>
          <w:tcPr>
            <w:tcW w:w="394" w:type="pct"/>
            <w:noWrap w:val="0"/>
            <w:vAlign w:val="center"/>
          </w:tcPr>
          <w:p w14:paraId="5697BAE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38</w:t>
            </w:r>
          </w:p>
        </w:tc>
        <w:tc>
          <w:tcPr>
            <w:tcW w:w="1121" w:type="pct"/>
            <w:noWrap w:val="0"/>
            <w:vAlign w:val="center"/>
          </w:tcPr>
          <w:p w14:paraId="5E044AC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2-氯酚</w:t>
            </w:r>
          </w:p>
        </w:tc>
        <w:tc>
          <w:tcPr>
            <w:tcW w:w="466" w:type="pct"/>
            <w:noWrap w:val="0"/>
            <w:vAlign w:val="center"/>
          </w:tcPr>
          <w:p w14:paraId="1D6D6EC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6468ECA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2256</w:t>
            </w:r>
          </w:p>
        </w:tc>
      </w:tr>
      <w:tr w14:paraId="77F3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15DD0D6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55" w:type="pct"/>
            <w:noWrap w:val="0"/>
            <w:vAlign w:val="center"/>
          </w:tcPr>
          <w:p w14:paraId="38F9FC9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顺1,2-二氯乙烯</w:t>
            </w:r>
          </w:p>
        </w:tc>
        <w:tc>
          <w:tcPr>
            <w:tcW w:w="524" w:type="pct"/>
            <w:noWrap w:val="0"/>
            <w:vAlign w:val="center"/>
          </w:tcPr>
          <w:p w14:paraId="2F457EF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60277A4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596</w:t>
            </w:r>
          </w:p>
        </w:tc>
        <w:tc>
          <w:tcPr>
            <w:tcW w:w="394" w:type="pct"/>
            <w:noWrap w:val="0"/>
            <w:vAlign w:val="center"/>
          </w:tcPr>
          <w:p w14:paraId="29F0F49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39</w:t>
            </w:r>
          </w:p>
        </w:tc>
        <w:tc>
          <w:tcPr>
            <w:tcW w:w="1121" w:type="pct"/>
            <w:noWrap w:val="0"/>
            <w:vAlign w:val="center"/>
          </w:tcPr>
          <w:p w14:paraId="38A422E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苯并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蒽</w:t>
            </w:r>
          </w:p>
        </w:tc>
        <w:tc>
          <w:tcPr>
            <w:tcW w:w="466" w:type="pct"/>
            <w:noWrap w:val="0"/>
            <w:vAlign w:val="center"/>
          </w:tcPr>
          <w:p w14:paraId="6E2FA97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7248BF4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14:paraId="13FF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3A1F83D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16</w:t>
            </w:r>
          </w:p>
        </w:tc>
        <w:tc>
          <w:tcPr>
            <w:tcW w:w="1055" w:type="pct"/>
            <w:noWrap w:val="0"/>
            <w:vAlign w:val="center"/>
          </w:tcPr>
          <w:p w14:paraId="361D923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反-1,2-二氯乙烯</w:t>
            </w:r>
          </w:p>
        </w:tc>
        <w:tc>
          <w:tcPr>
            <w:tcW w:w="524" w:type="pct"/>
            <w:noWrap w:val="0"/>
            <w:vAlign w:val="center"/>
          </w:tcPr>
          <w:p w14:paraId="0B25D6E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47579A6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54</w:t>
            </w:r>
          </w:p>
        </w:tc>
        <w:tc>
          <w:tcPr>
            <w:tcW w:w="394" w:type="pct"/>
            <w:noWrap w:val="0"/>
            <w:vAlign w:val="center"/>
          </w:tcPr>
          <w:p w14:paraId="02F0CCE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1121" w:type="pct"/>
            <w:noWrap w:val="0"/>
            <w:vAlign w:val="center"/>
          </w:tcPr>
          <w:p w14:paraId="3044001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苯并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芘</w:t>
            </w:r>
          </w:p>
        </w:tc>
        <w:tc>
          <w:tcPr>
            <w:tcW w:w="466" w:type="pct"/>
            <w:noWrap w:val="0"/>
            <w:vAlign w:val="center"/>
          </w:tcPr>
          <w:p w14:paraId="75B599C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6F63EF0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14:paraId="1D87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70AFFA4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17</w:t>
            </w:r>
          </w:p>
        </w:tc>
        <w:tc>
          <w:tcPr>
            <w:tcW w:w="1055" w:type="pct"/>
            <w:noWrap w:val="0"/>
            <w:vAlign w:val="center"/>
          </w:tcPr>
          <w:p w14:paraId="6FE017F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二氯甲烷</w:t>
            </w:r>
          </w:p>
        </w:tc>
        <w:tc>
          <w:tcPr>
            <w:tcW w:w="524" w:type="pct"/>
            <w:noWrap w:val="0"/>
            <w:vAlign w:val="center"/>
          </w:tcPr>
          <w:p w14:paraId="1A4118C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71FA98A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616</w:t>
            </w:r>
          </w:p>
        </w:tc>
        <w:tc>
          <w:tcPr>
            <w:tcW w:w="394" w:type="pct"/>
            <w:noWrap w:val="0"/>
            <w:vAlign w:val="center"/>
          </w:tcPr>
          <w:p w14:paraId="55B852E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41</w:t>
            </w:r>
          </w:p>
        </w:tc>
        <w:tc>
          <w:tcPr>
            <w:tcW w:w="1121" w:type="pct"/>
            <w:noWrap w:val="0"/>
            <w:vAlign w:val="center"/>
          </w:tcPr>
          <w:p w14:paraId="2D16DCE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苯并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荧蒽</w:t>
            </w:r>
          </w:p>
        </w:tc>
        <w:tc>
          <w:tcPr>
            <w:tcW w:w="466" w:type="pct"/>
            <w:noWrap w:val="0"/>
            <w:vAlign w:val="center"/>
          </w:tcPr>
          <w:p w14:paraId="4D3C45B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6DFA711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14:paraId="6392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519AA81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18</w:t>
            </w:r>
          </w:p>
        </w:tc>
        <w:tc>
          <w:tcPr>
            <w:tcW w:w="1055" w:type="pct"/>
            <w:noWrap w:val="0"/>
            <w:vAlign w:val="center"/>
          </w:tcPr>
          <w:p w14:paraId="33F0414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1,2-二氯乙烷</w:t>
            </w:r>
          </w:p>
        </w:tc>
        <w:tc>
          <w:tcPr>
            <w:tcW w:w="524" w:type="pct"/>
            <w:noWrap w:val="0"/>
            <w:vAlign w:val="center"/>
          </w:tcPr>
          <w:p w14:paraId="759FD22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446EE5E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394" w:type="pct"/>
            <w:noWrap w:val="0"/>
            <w:vAlign w:val="center"/>
          </w:tcPr>
          <w:p w14:paraId="2E5655B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p>
        </w:tc>
        <w:tc>
          <w:tcPr>
            <w:tcW w:w="1121" w:type="pct"/>
            <w:noWrap w:val="0"/>
            <w:vAlign w:val="center"/>
          </w:tcPr>
          <w:p w14:paraId="4F5DF9E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苯并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k</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荧蒽</w:t>
            </w:r>
          </w:p>
        </w:tc>
        <w:tc>
          <w:tcPr>
            <w:tcW w:w="466" w:type="pct"/>
            <w:noWrap w:val="0"/>
            <w:vAlign w:val="center"/>
          </w:tcPr>
          <w:p w14:paraId="2450F41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0A51879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151</w:t>
            </w:r>
          </w:p>
        </w:tc>
      </w:tr>
      <w:tr w14:paraId="249E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43EAD31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19</w:t>
            </w:r>
          </w:p>
        </w:tc>
        <w:tc>
          <w:tcPr>
            <w:tcW w:w="1055" w:type="pct"/>
            <w:noWrap w:val="0"/>
            <w:vAlign w:val="center"/>
          </w:tcPr>
          <w:p w14:paraId="31326EE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1,1,1,2-四氯乙烷</w:t>
            </w:r>
          </w:p>
        </w:tc>
        <w:tc>
          <w:tcPr>
            <w:tcW w:w="524" w:type="pct"/>
            <w:noWrap w:val="0"/>
            <w:vAlign w:val="center"/>
          </w:tcPr>
          <w:p w14:paraId="56EF7B8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4098BF6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394" w:type="pct"/>
            <w:noWrap w:val="0"/>
            <w:vAlign w:val="center"/>
          </w:tcPr>
          <w:p w14:paraId="7205882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43</w:t>
            </w:r>
          </w:p>
        </w:tc>
        <w:tc>
          <w:tcPr>
            <w:tcW w:w="1121" w:type="pct"/>
            <w:noWrap w:val="0"/>
            <w:vAlign w:val="center"/>
          </w:tcPr>
          <w:p w14:paraId="38F3218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䓛</w:t>
            </w:r>
          </w:p>
        </w:tc>
        <w:tc>
          <w:tcPr>
            <w:tcW w:w="466" w:type="pct"/>
            <w:noWrap w:val="0"/>
            <w:vAlign w:val="center"/>
          </w:tcPr>
          <w:p w14:paraId="431458B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167FCCE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1293</w:t>
            </w:r>
          </w:p>
        </w:tc>
      </w:tr>
      <w:tr w14:paraId="12EC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5E84EB2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055" w:type="pct"/>
            <w:noWrap w:val="0"/>
            <w:vAlign w:val="center"/>
          </w:tcPr>
          <w:p w14:paraId="0AE2F92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1,1,2,2-四氯乙烷</w:t>
            </w:r>
          </w:p>
        </w:tc>
        <w:tc>
          <w:tcPr>
            <w:tcW w:w="524" w:type="pct"/>
            <w:noWrap w:val="0"/>
            <w:vAlign w:val="center"/>
          </w:tcPr>
          <w:p w14:paraId="4CC34DE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230A985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6.8</w:t>
            </w:r>
          </w:p>
        </w:tc>
        <w:tc>
          <w:tcPr>
            <w:tcW w:w="394" w:type="pct"/>
            <w:noWrap w:val="0"/>
            <w:vAlign w:val="center"/>
          </w:tcPr>
          <w:p w14:paraId="617E197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44</w:t>
            </w:r>
          </w:p>
        </w:tc>
        <w:tc>
          <w:tcPr>
            <w:tcW w:w="1121" w:type="pct"/>
            <w:noWrap w:val="0"/>
            <w:vAlign w:val="center"/>
          </w:tcPr>
          <w:p w14:paraId="28AA55B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二苯并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蒽</w:t>
            </w:r>
          </w:p>
        </w:tc>
        <w:tc>
          <w:tcPr>
            <w:tcW w:w="466" w:type="pct"/>
            <w:noWrap w:val="0"/>
            <w:vAlign w:val="center"/>
          </w:tcPr>
          <w:p w14:paraId="1FEFED3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3E663DC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14:paraId="3373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5166315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21</w:t>
            </w:r>
          </w:p>
        </w:tc>
        <w:tc>
          <w:tcPr>
            <w:tcW w:w="1055" w:type="pct"/>
            <w:noWrap w:val="0"/>
            <w:vAlign w:val="center"/>
          </w:tcPr>
          <w:p w14:paraId="458E75F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四氯乙烯</w:t>
            </w:r>
          </w:p>
        </w:tc>
        <w:tc>
          <w:tcPr>
            <w:tcW w:w="524" w:type="pct"/>
            <w:noWrap w:val="0"/>
            <w:vAlign w:val="center"/>
          </w:tcPr>
          <w:p w14:paraId="68D926B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27A857B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53</w:t>
            </w:r>
          </w:p>
        </w:tc>
        <w:tc>
          <w:tcPr>
            <w:tcW w:w="394" w:type="pct"/>
            <w:noWrap w:val="0"/>
            <w:vAlign w:val="center"/>
          </w:tcPr>
          <w:p w14:paraId="10947D4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45</w:t>
            </w:r>
          </w:p>
        </w:tc>
        <w:tc>
          <w:tcPr>
            <w:tcW w:w="1121" w:type="pct"/>
            <w:noWrap w:val="0"/>
            <w:vAlign w:val="center"/>
          </w:tcPr>
          <w:p w14:paraId="2444F714">
            <w:pPr>
              <w:pStyle w:val="52"/>
              <w:rPr>
                <w:rFonts w:hint="default" w:ascii="Times New Roman" w:hAnsi="Times New Roman" w:cs="Times New Roman"/>
                <w:color w:val="auto"/>
                <w:spacing w:val="-24"/>
                <w:highlight w:val="none"/>
              </w:rPr>
            </w:pPr>
            <w:r>
              <w:rPr>
                <w:rFonts w:hint="default" w:ascii="Times New Roman" w:hAnsi="Times New Roman" w:cs="Times New Roman"/>
                <w:color w:val="auto"/>
                <w:spacing w:val="-24"/>
                <w:highlight w:val="none"/>
              </w:rPr>
              <w:t>茚并</w:t>
            </w:r>
            <w:r>
              <w:rPr>
                <w:rFonts w:hint="default" w:ascii="Times New Roman" w:hAnsi="Times New Roman" w:cs="Times New Roman"/>
                <w:color w:val="auto"/>
                <w:spacing w:val="-24"/>
                <w:highlight w:val="none"/>
                <w:lang w:eastAsia="zh-CN"/>
              </w:rPr>
              <w:t>〔</w:t>
            </w:r>
            <w:r>
              <w:rPr>
                <w:rFonts w:hint="default" w:ascii="Times New Roman" w:hAnsi="Times New Roman" w:cs="Times New Roman"/>
                <w:color w:val="auto"/>
                <w:spacing w:val="-24"/>
                <w:highlight w:val="none"/>
              </w:rPr>
              <w:t>1、2、3-cd</w:t>
            </w:r>
            <w:r>
              <w:rPr>
                <w:rFonts w:hint="default" w:ascii="Times New Roman" w:hAnsi="Times New Roman" w:cs="Times New Roman"/>
                <w:color w:val="auto"/>
                <w:spacing w:val="-24"/>
                <w:highlight w:val="none"/>
                <w:lang w:eastAsia="zh-CN"/>
              </w:rPr>
              <w:t>〕</w:t>
            </w:r>
            <w:r>
              <w:rPr>
                <w:rFonts w:hint="default" w:ascii="Times New Roman" w:hAnsi="Times New Roman" w:cs="Times New Roman"/>
                <w:color w:val="auto"/>
                <w:spacing w:val="-24"/>
                <w:highlight w:val="none"/>
              </w:rPr>
              <w:t>芘</w:t>
            </w:r>
          </w:p>
        </w:tc>
        <w:tc>
          <w:tcPr>
            <w:tcW w:w="466" w:type="pct"/>
            <w:noWrap w:val="0"/>
            <w:vAlign w:val="center"/>
          </w:tcPr>
          <w:p w14:paraId="13D857A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432BDE1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14:paraId="7FF1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75E5FD4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p>
        </w:tc>
        <w:tc>
          <w:tcPr>
            <w:tcW w:w="1055" w:type="pct"/>
            <w:noWrap w:val="0"/>
            <w:vAlign w:val="center"/>
          </w:tcPr>
          <w:p w14:paraId="5707FE9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1,1,1-三氯乙烷</w:t>
            </w:r>
          </w:p>
        </w:tc>
        <w:tc>
          <w:tcPr>
            <w:tcW w:w="524" w:type="pct"/>
            <w:noWrap w:val="0"/>
            <w:vAlign w:val="center"/>
          </w:tcPr>
          <w:p w14:paraId="2C6FCB2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08582EA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840</w:t>
            </w:r>
          </w:p>
        </w:tc>
        <w:tc>
          <w:tcPr>
            <w:tcW w:w="394" w:type="pct"/>
            <w:noWrap w:val="0"/>
            <w:vAlign w:val="center"/>
          </w:tcPr>
          <w:p w14:paraId="7A3DCFF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46</w:t>
            </w:r>
          </w:p>
        </w:tc>
        <w:tc>
          <w:tcPr>
            <w:tcW w:w="1121" w:type="pct"/>
            <w:noWrap w:val="0"/>
            <w:vAlign w:val="center"/>
          </w:tcPr>
          <w:p w14:paraId="750DF88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萘</w:t>
            </w:r>
          </w:p>
        </w:tc>
        <w:tc>
          <w:tcPr>
            <w:tcW w:w="466" w:type="pct"/>
            <w:noWrap w:val="0"/>
            <w:vAlign w:val="center"/>
          </w:tcPr>
          <w:p w14:paraId="5A8E50D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6871021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r>
      <w:tr w14:paraId="287E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609AE1C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23</w:t>
            </w:r>
          </w:p>
        </w:tc>
        <w:tc>
          <w:tcPr>
            <w:tcW w:w="1055" w:type="pct"/>
            <w:noWrap w:val="0"/>
            <w:vAlign w:val="center"/>
          </w:tcPr>
          <w:p w14:paraId="2BFD6A7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1,1,2-三氯乙烷</w:t>
            </w:r>
          </w:p>
        </w:tc>
        <w:tc>
          <w:tcPr>
            <w:tcW w:w="524" w:type="pct"/>
            <w:noWrap w:val="0"/>
            <w:vAlign w:val="center"/>
          </w:tcPr>
          <w:p w14:paraId="5CAAF54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0D5B7EF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394" w:type="pct"/>
            <w:noWrap w:val="0"/>
            <w:vAlign w:val="center"/>
          </w:tcPr>
          <w:p w14:paraId="4F50CF5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47</w:t>
            </w:r>
          </w:p>
        </w:tc>
        <w:tc>
          <w:tcPr>
            <w:tcW w:w="1121" w:type="pct"/>
            <w:noWrap w:val="0"/>
            <w:vAlign w:val="center"/>
          </w:tcPr>
          <w:p w14:paraId="6F16BB9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石油烃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40</w:t>
            </w:r>
            <w:r>
              <w:rPr>
                <w:rFonts w:hint="default" w:ascii="Times New Roman" w:hAnsi="Times New Roman" w:cs="Times New Roman"/>
                <w:color w:val="auto"/>
                <w:highlight w:val="none"/>
                <w:lang w:eastAsia="zh-CN"/>
              </w:rPr>
              <w:t>）</w:t>
            </w:r>
          </w:p>
        </w:tc>
        <w:tc>
          <w:tcPr>
            <w:tcW w:w="466" w:type="pct"/>
            <w:noWrap w:val="0"/>
            <w:vAlign w:val="center"/>
          </w:tcPr>
          <w:p w14:paraId="7F598A1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2" w:type="pct"/>
            <w:noWrap w:val="0"/>
            <w:vAlign w:val="center"/>
          </w:tcPr>
          <w:p w14:paraId="3C3889F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4500</w:t>
            </w:r>
          </w:p>
        </w:tc>
      </w:tr>
      <w:tr w14:paraId="5FC5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104233D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24</w:t>
            </w:r>
          </w:p>
        </w:tc>
        <w:tc>
          <w:tcPr>
            <w:tcW w:w="1055" w:type="pct"/>
            <w:noWrap w:val="0"/>
            <w:vAlign w:val="center"/>
          </w:tcPr>
          <w:p w14:paraId="65A8F6E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三氯乙烯</w:t>
            </w:r>
          </w:p>
        </w:tc>
        <w:tc>
          <w:tcPr>
            <w:tcW w:w="524" w:type="pct"/>
            <w:noWrap w:val="0"/>
            <w:vAlign w:val="center"/>
          </w:tcPr>
          <w:p w14:paraId="00E43126">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524" w:type="pct"/>
            <w:noWrap w:val="0"/>
            <w:vAlign w:val="center"/>
          </w:tcPr>
          <w:p w14:paraId="2049F5F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394" w:type="pct"/>
            <w:noWrap w:val="0"/>
            <w:vAlign w:val="center"/>
          </w:tcPr>
          <w:p w14:paraId="6527EB01">
            <w:pPr>
              <w:pStyle w:val="52"/>
              <w:rPr>
                <w:rFonts w:hint="default" w:ascii="Times New Roman" w:hAnsi="Times New Roman" w:cs="Times New Roman"/>
                <w:color w:val="auto"/>
                <w:highlight w:val="none"/>
              </w:rPr>
            </w:pPr>
          </w:p>
        </w:tc>
        <w:tc>
          <w:tcPr>
            <w:tcW w:w="1121" w:type="pct"/>
            <w:noWrap w:val="0"/>
            <w:vAlign w:val="center"/>
          </w:tcPr>
          <w:p w14:paraId="295298AC">
            <w:pPr>
              <w:pStyle w:val="52"/>
              <w:rPr>
                <w:rFonts w:hint="default" w:ascii="Times New Roman" w:hAnsi="Times New Roman" w:cs="Times New Roman"/>
                <w:color w:val="auto"/>
                <w:highlight w:val="none"/>
              </w:rPr>
            </w:pPr>
          </w:p>
        </w:tc>
        <w:tc>
          <w:tcPr>
            <w:tcW w:w="466" w:type="pct"/>
            <w:noWrap w:val="0"/>
            <w:vAlign w:val="center"/>
          </w:tcPr>
          <w:p w14:paraId="2FDAA56C">
            <w:pPr>
              <w:pStyle w:val="52"/>
              <w:rPr>
                <w:rFonts w:hint="default" w:ascii="Times New Roman" w:hAnsi="Times New Roman" w:cs="Times New Roman"/>
                <w:color w:val="auto"/>
                <w:highlight w:val="none"/>
              </w:rPr>
            </w:pPr>
          </w:p>
        </w:tc>
        <w:tc>
          <w:tcPr>
            <w:tcW w:w="522" w:type="pct"/>
            <w:noWrap w:val="0"/>
            <w:vAlign w:val="center"/>
          </w:tcPr>
          <w:p w14:paraId="36B71E62">
            <w:pPr>
              <w:pStyle w:val="52"/>
              <w:rPr>
                <w:rFonts w:hint="default" w:ascii="Times New Roman" w:hAnsi="Times New Roman" w:cs="Times New Roman"/>
                <w:color w:val="auto"/>
                <w:highlight w:val="none"/>
              </w:rPr>
            </w:pPr>
          </w:p>
        </w:tc>
      </w:tr>
    </w:tbl>
    <w:p w14:paraId="20F91179">
      <w:pPr>
        <w:pStyle w:val="5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val="0"/>
          <w:bCs/>
          <w:color w:val="auto"/>
          <w:sz w:val="21"/>
          <w:szCs w:val="21"/>
          <w:highlight w:val="none"/>
          <w:lang w:val="en-US" w:eastAsia="zh-CN" w:bidi="ar-SA"/>
        </w:rPr>
      </w:pPr>
    </w:p>
    <w:p w14:paraId="2815637B">
      <w:pPr>
        <w:pStyle w:val="5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val="0"/>
          <w:bCs/>
          <w:color w:val="auto"/>
          <w:sz w:val="21"/>
          <w:szCs w:val="21"/>
          <w:highlight w:val="none"/>
          <w:lang w:val="en-US" w:eastAsia="zh-CN" w:bidi="ar-SA"/>
        </w:rPr>
        <w:t>表2.5-5《土壤环境质量农用地土壤污染风险管控标准（试行）》表1筛选值</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128"/>
        <w:gridCol w:w="1558"/>
        <w:gridCol w:w="4021"/>
      </w:tblGrid>
      <w:tr w14:paraId="36ED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ign w:val="center"/>
          </w:tcPr>
          <w:p w14:paraId="7972042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248" w:type="pct"/>
            <w:noWrap/>
            <w:vAlign w:val="center"/>
          </w:tcPr>
          <w:p w14:paraId="2FBF6F5C">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914" w:type="pct"/>
            <w:noWrap w:val="0"/>
            <w:vAlign w:val="top"/>
          </w:tcPr>
          <w:p w14:paraId="3F9F0E3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2358" w:type="pct"/>
            <w:noWrap/>
            <w:vAlign w:val="center"/>
          </w:tcPr>
          <w:p w14:paraId="4D7114F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r>
      <w:tr w14:paraId="396E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4BE808B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248" w:type="pct"/>
            <w:noWrap w:val="0"/>
            <w:vAlign w:val="top"/>
          </w:tcPr>
          <w:p w14:paraId="096732E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pH值</w:t>
            </w:r>
          </w:p>
        </w:tc>
        <w:tc>
          <w:tcPr>
            <w:tcW w:w="914" w:type="pct"/>
            <w:noWrap w:val="0"/>
            <w:vAlign w:val="center"/>
          </w:tcPr>
          <w:p w14:paraId="557E782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无量纲</w:t>
            </w:r>
          </w:p>
        </w:tc>
        <w:tc>
          <w:tcPr>
            <w:tcW w:w="2358" w:type="pct"/>
            <w:noWrap w:val="0"/>
            <w:vAlign w:val="center"/>
          </w:tcPr>
          <w:p w14:paraId="1735152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pH＞7.5时各因子风险筛选值</w:t>
            </w:r>
          </w:p>
        </w:tc>
      </w:tr>
      <w:tr w14:paraId="4F30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1B0FB6D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248" w:type="pct"/>
            <w:noWrap w:val="0"/>
            <w:vAlign w:val="top"/>
          </w:tcPr>
          <w:p w14:paraId="53EDFD9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914" w:type="pct"/>
            <w:noWrap w:val="0"/>
            <w:vAlign w:val="center"/>
          </w:tcPr>
          <w:p w14:paraId="5FFDCE7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center"/>
          </w:tcPr>
          <w:p w14:paraId="5667DF11">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r>
      <w:tr w14:paraId="7C39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4A88704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248" w:type="pct"/>
            <w:noWrap w:val="0"/>
            <w:vAlign w:val="top"/>
          </w:tcPr>
          <w:p w14:paraId="3E539F8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914" w:type="pct"/>
            <w:noWrap w:val="0"/>
            <w:vAlign w:val="center"/>
          </w:tcPr>
          <w:p w14:paraId="1B3EF5F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center"/>
          </w:tcPr>
          <w:p w14:paraId="2A77EFE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0.6</w:t>
            </w:r>
          </w:p>
        </w:tc>
      </w:tr>
      <w:tr w14:paraId="1938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253645E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248" w:type="pct"/>
            <w:noWrap w:val="0"/>
            <w:vAlign w:val="top"/>
          </w:tcPr>
          <w:p w14:paraId="133EBEF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铬</w:t>
            </w:r>
          </w:p>
        </w:tc>
        <w:tc>
          <w:tcPr>
            <w:tcW w:w="914" w:type="pct"/>
            <w:noWrap w:val="0"/>
            <w:vAlign w:val="center"/>
          </w:tcPr>
          <w:p w14:paraId="4005599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center"/>
          </w:tcPr>
          <w:p w14:paraId="4DD666D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14:paraId="6351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641C3A5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248" w:type="pct"/>
            <w:noWrap w:val="0"/>
            <w:vAlign w:val="top"/>
          </w:tcPr>
          <w:p w14:paraId="62DA95BA">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914" w:type="pct"/>
            <w:noWrap w:val="0"/>
            <w:vAlign w:val="center"/>
          </w:tcPr>
          <w:p w14:paraId="129758D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center"/>
          </w:tcPr>
          <w:p w14:paraId="022AD5D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r w14:paraId="7247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4FE8C103">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248" w:type="pct"/>
            <w:noWrap w:val="0"/>
            <w:vAlign w:val="top"/>
          </w:tcPr>
          <w:p w14:paraId="4D05E78B">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914" w:type="pct"/>
            <w:noWrap w:val="0"/>
            <w:vAlign w:val="center"/>
          </w:tcPr>
          <w:p w14:paraId="01ED979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center"/>
          </w:tcPr>
          <w:p w14:paraId="0FF4A05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170</w:t>
            </w:r>
          </w:p>
        </w:tc>
      </w:tr>
      <w:tr w14:paraId="3CCD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6DF9AAA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1248" w:type="pct"/>
            <w:noWrap w:val="0"/>
            <w:vAlign w:val="top"/>
          </w:tcPr>
          <w:p w14:paraId="17A4494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914" w:type="pct"/>
            <w:noWrap w:val="0"/>
            <w:vAlign w:val="center"/>
          </w:tcPr>
          <w:p w14:paraId="369288E1">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center"/>
          </w:tcPr>
          <w:p w14:paraId="01A45027">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3.4</w:t>
            </w:r>
          </w:p>
        </w:tc>
      </w:tr>
      <w:tr w14:paraId="7A54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4D56CC8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1248" w:type="pct"/>
            <w:noWrap w:val="0"/>
            <w:vAlign w:val="top"/>
          </w:tcPr>
          <w:p w14:paraId="102B706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镍</w:t>
            </w:r>
          </w:p>
        </w:tc>
        <w:tc>
          <w:tcPr>
            <w:tcW w:w="914" w:type="pct"/>
            <w:noWrap w:val="0"/>
            <w:vAlign w:val="center"/>
          </w:tcPr>
          <w:p w14:paraId="327EBE50">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center"/>
          </w:tcPr>
          <w:p w14:paraId="0AF22D42">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190</w:t>
            </w:r>
          </w:p>
        </w:tc>
      </w:tr>
      <w:tr w14:paraId="6E31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top"/>
          </w:tcPr>
          <w:p w14:paraId="16BF3C79">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1248" w:type="pct"/>
            <w:noWrap w:val="0"/>
            <w:vAlign w:val="top"/>
          </w:tcPr>
          <w:p w14:paraId="62EAE03C">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锌</w:t>
            </w:r>
          </w:p>
        </w:tc>
        <w:tc>
          <w:tcPr>
            <w:tcW w:w="914" w:type="pct"/>
            <w:noWrap w:val="0"/>
            <w:vAlign w:val="center"/>
          </w:tcPr>
          <w:p w14:paraId="415003E5">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2358" w:type="pct"/>
            <w:noWrap w:val="0"/>
            <w:vAlign w:val="top"/>
          </w:tcPr>
          <w:p w14:paraId="5F06BD4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r>
    </w:tbl>
    <w:p w14:paraId="6FDB4B12">
      <w:pPr>
        <w:pStyle w:val="48"/>
        <w:keepNext/>
        <w:keepLines/>
        <w:pageBreakBefore w:val="0"/>
        <w:widowControl w:val="0"/>
        <w:kinsoku/>
        <w:wordWrap/>
        <w:overflowPunct/>
        <w:topLinePunct w:val="0"/>
        <w:autoSpaceDE/>
        <w:autoSpaceDN/>
        <w:bidi w:val="0"/>
        <w:adjustRightInd w:val="0"/>
        <w:snapToGrid w:val="0"/>
        <w:spacing w:before="157" w:beforeLines="50" w:after="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2.5.2污染物排放因子及标准</w:t>
      </w:r>
    </w:p>
    <w:p w14:paraId="194F44A2">
      <w:pPr>
        <w:pageBreakBefore w:val="0"/>
        <w:widowControl w:val="0"/>
        <w:kinsoku/>
        <w:wordWrap/>
        <w:overflowPunct/>
        <w:topLinePunct w:val="0"/>
        <w:autoSpaceDE/>
        <w:autoSpaceDN/>
        <w:bidi w:val="0"/>
        <w:adjustRightInd w:val="0"/>
        <w:snapToGrid w:val="0"/>
        <w:spacing w:line="360" w:lineRule="auto"/>
        <w:ind w:firstLine="506" w:firstLineChars="200"/>
        <w:textAlignment w:val="auto"/>
        <w:rPr>
          <w:rFonts w:hint="default"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lang w:eastAsia="zh-CN"/>
        </w:rPr>
        <w:t>（</w:t>
      </w:r>
      <w:r>
        <w:rPr>
          <w:rFonts w:hint="default" w:ascii="Times New Roman" w:hAnsi="Times New Roman" w:cs="Times New Roman"/>
          <w:b/>
          <w:bCs/>
          <w:color w:val="auto"/>
          <w:spacing w:val="6"/>
          <w:sz w:val="24"/>
          <w:highlight w:val="none"/>
        </w:rPr>
        <w:t>1</w:t>
      </w:r>
      <w:r>
        <w:rPr>
          <w:rFonts w:hint="default" w:ascii="Times New Roman" w:hAnsi="Times New Roman" w:cs="Times New Roman"/>
          <w:b/>
          <w:bCs/>
          <w:color w:val="auto"/>
          <w:spacing w:val="6"/>
          <w:sz w:val="24"/>
          <w:highlight w:val="none"/>
          <w:lang w:eastAsia="zh-CN"/>
        </w:rPr>
        <w:t>）</w:t>
      </w:r>
      <w:r>
        <w:rPr>
          <w:rFonts w:hint="default" w:ascii="Times New Roman" w:hAnsi="Times New Roman" w:cs="Times New Roman"/>
          <w:b/>
          <w:bCs/>
          <w:color w:val="auto"/>
          <w:spacing w:val="6"/>
          <w:sz w:val="24"/>
          <w:highlight w:val="none"/>
        </w:rPr>
        <w:t>废气</w:t>
      </w:r>
    </w:p>
    <w:p w14:paraId="074787EB">
      <w:pPr>
        <w:pStyle w:val="57"/>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油气开采和集输过冲</w:t>
      </w:r>
      <w:r>
        <w:rPr>
          <w:rFonts w:hint="default" w:ascii="Times New Roman" w:hAnsi="Times New Roman" w:cs="Times New Roman"/>
          <w:color w:val="auto"/>
          <w:highlight w:val="none"/>
        </w:rPr>
        <w:t>非甲烷总烃无组织排放执行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陆上石油天然气开采工业大气污染物排放标准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GB39728-2020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企业边界污染物控制要求</w:t>
      </w:r>
      <w:r>
        <w:rPr>
          <w:rFonts w:hint="eastAsia" w:cs="Times New Roman"/>
          <w:color w:val="auto"/>
          <w:highlight w:val="none"/>
          <w:lang w:eastAsia="zh-CN"/>
        </w:rPr>
        <w:t>；</w:t>
      </w:r>
      <w:r>
        <w:rPr>
          <w:rFonts w:hint="eastAsia" w:cs="Times New Roman"/>
          <w:color w:val="auto"/>
          <w:highlight w:val="none"/>
          <w:lang w:val="en-US" w:eastAsia="zh-CN"/>
        </w:rPr>
        <w:t>硫化氢</w:t>
      </w:r>
      <w:r>
        <w:rPr>
          <w:rFonts w:hint="default" w:ascii="Times New Roman" w:hAnsi="Times New Roman" w:cs="Times New Roman"/>
          <w:color w:val="auto"/>
          <w:highlight w:val="none"/>
        </w:rPr>
        <w:t>无组织排放执行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恶臭污染物排放标准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GB14554-93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中新建项目二级标准。具体标准限值要求见表2.5-</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14:paraId="67CE3E47">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黑体" w:cs="Times New Roman"/>
          <w:b w:val="0"/>
          <w:bCs/>
          <w:color w:val="auto"/>
          <w:spacing w:val="4"/>
          <w:sz w:val="21"/>
          <w:szCs w:val="21"/>
          <w:highlight w:val="none"/>
        </w:rPr>
      </w:pPr>
      <w:r>
        <w:rPr>
          <w:rFonts w:hint="default" w:ascii="Times New Roman" w:hAnsi="Times New Roman" w:eastAsia="黑体" w:cs="Times New Roman"/>
          <w:b w:val="0"/>
          <w:bCs/>
          <w:color w:val="auto"/>
          <w:spacing w:val="4"/>
          <w:sz w:val="21"/>
          <w:szCs w:val="21"/>
          <w:highlight w:val="none"/>
        </w:rPr>
        <w:t>表2.5-</w:t>
      </w:r>
      <w:r>
        <w:rPr>
          <w:rFonts w:hint="default" w:ascii="Times New Roman" w:hAnsi="Times New Roman" w:eastAsia="黑体" w:cs="Times New Roman"/>
          <w:b w:val="0"/>
          <w:bCs/>
          <w:color w:val="auto"/>
          <w:spacing w:val="4"/>
          <w:sz w:val="21"/>
          <w:szCs w:val="21"/>
          <w:highlight w:val="none"/>
          <w:lang w:val="en-US" w:eastAsia="zh-CN"/>
        </w:rPr>
        <w:t>6</w:t>
      </w:r>
      <w:r>
        <w:rPr>
          <w:rFonts w:hint="default" w:ascii="Times New Roman" w:hAnsi="Times New Roman" w:eastAsia="黑体" w:cs="Times New Roman"/>
          <w:b w:val="0"/>
          <w:bCs/>
          <w:color w:val="auto"/>
          <w:spacing w:val="4"/>
          <w:sz w:val="21"/>
          <w:szCs w:val="21"/>
          <w:highlight w:val="none"/>
        </w:rPr>
        <w:t>大气污染物排放标准值</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2745"/>
        <w:gridCol w:w="4472"/>
      </w:tblGrid>
      <w:tr w14:paraId="64DF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66" w:type="pct"/>
            <w:noWrap w:val="0"/>
            <w:vAlign w:val="center"/>
          </w:tcPr>
          <w:p w14:paraId="2C63F33B">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610" w:type="pct"/>
            <w:noWrap w:val="0"/>
            <w:vAlign w:val="center"/>
          </w:tcPr>
          <w:p w14:paraId="3577EF6D">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最高允许排放浓度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mg/m³</w:t>
            </w:r>
            <w:r>
              <w:rPr>
                <w:rFonts w:hint="default" w:ascii="Times New Roman" w:hAnsi="Times New Roman" w:cs="Times New Roman"/>
                <w:color w:val="auto"/>
                <w:sz w:val="21"/>
                <w:szCs w:val="21"/>
                <w:highlight w:val="none"/>
                <w:lang w:eastAsia="zh-CN"/>
              </w:rPr>
              <w:t>）</w:t>
            </w:r>
          </w:p>
        </w:tc>
        <w:tc>
          <w:tcPr>
            <w:tcW w:w="2623" w:type="pct"/>
            <w:noWrap w:val="0"/>
            <w:vAlign w:val="center"/>
          </w:tcPr>
          <w:p w14:paraId="256BE3C3">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14:paraId="3E27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66" w:type="pct"/>
            <w:noWrap w:val="0"/>
            <w:vAlign w:val="center"/>
          </w:tcPr>
          <w:p w14:paraId="3F3BA696">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无组织</w:t>
            </w:r>
            <w:r>
              <w:rPr>
                <w:rFonts w:hint="eastAsia" w:ascii="Times New Roman" w:hAnsi="Times New Roman" w:cs="Times New Roman"/>
                <w:color w:val="auto"/>
                <w:sz w:val="21"/>
                <w:szCs w:val="21"/>
                <w:highlight w:val="none"/>
                <w:lang w:eastAsia="zh-CN"/>
              </w:rPr>
              <w:t>）</w:t>
            </w:r>
          </w:p>
        </w:tc>
        <w:tc>
          <w:tcPr>
            <w:tcW w:w="1610" w:type="pct"/>
            <w:noWrap w:val="0"/>
            <w:vAlign w:val="center"/>
          </w:tcPr>
          <w:p w14:paraId="56F6E4C7">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2623" w:type="pct"/>
            <w:noWrap w:val="0"/>
            <w:vAlign w:val="center"/>
          </w:tcPr>
          <w:p w14:paraId="38CAF286">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陆上石油天然气开采工业大气污染物排放标准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GB39728-2020</w:t>
            </w:r>
            <w:r>
              <w:rPr>
                <w:rFonts w:hint="default" w:ascii="Times New Roman" w:hAnsi="Times New Roman" w:cs="Times New Roman"/>
                <w:color w:val="auto"/>
                <w:sz w:val="21"/>
                <w:szCs w:val="21"/>
                <w:highlight w:val="none"/>
                <w:lang w:eastAsia="zh-CN"/>
              </w:rPr>
              <w:t>）</w:t>
            </w:r>
          </w:p>
        </w:tc>
      </w:tr>
      <w:tr w14:paraId="6933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66" w:type="pct"/>
            <w:noWrap w:val="0"/>
            <w:vAlign w:val="center"/>
          </w:tcPr>
          <w:p w14:paraId="6D66F787">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610" w:type="pct"/>
            <w:noWrap w:val="0"/>
            <w:vAlign w:val="center"/>
          </w:tcPr>
          <w:p w14:paraId="4B49396B">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w:t>
            </w:r>
          </w:p>
        </w:tc>
        <w:tc>
          <w:tcPr>
            <w:tcW w:w="2623" w:type="pct"/>
            <w:noWrap w:val="0"/>
            <w:vAlign w:val="center"/>
          </w:tcPr>
          <w:p w14:paraId="0B5BF4E0">
            <w:pPr>
              <w:pStyle w:val="56"/>
              <w:keepNext w:val="0"/>
              <w:keepLines w:val="0"/>
              <w:pageBreakBefore w:val="0"/>
              <w:widowControl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恶臭污染物排放标准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GB14554-93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中新建项目二级标准</w:t>
            </w:r>
          </w:p>
        </w:tc>
      </w:tr>
    </w:tbl>
    <w:p w14:paraId="04B9AAE1">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（2）废水</w:t>
      </w:r>
    </w:p>
    <w:p w14:paraId="4671CD6D">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施工期生活污水经井场撬装式污水处理站处理后，</w:t>
      </w:r>
      <w:r>
        <w:rPr>
          <w:rFonts w:hint="default" w:ascii="Times New Roman" w:hAnsi="Times New Roman" w:eastAsia="宋体" w:cs="Times New Roman"/>
          <w:color w:val="auto"/>
          <w:sz w:val="24"/>
          <w:szCs w:val="24"/>
          <w:highlight w:val="none"/>
          <w:u w:val="none"/>
        </w:rPr>
        <w:t>执行《农村生活污水处理排放标准》（DB654275-2019）表二的B级标准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用于生活区、井场及通井路降尘，不外排地表水</w:t>
      </w:r>
      <w:r>
        <w:rPr>
          <w:rFonts w:hint="default" w:ascii="Times New Roman" w:hAnsi="Times New Roman" w:cs="Times New Roman"/>
          <w:color w:val="auto"/>
          <w:sz w:val="24"/>
          <w:szCs w:val="24"/>
          <w:highlight w:val="none"/>
        </w:rPr>
        <w:t>环境，</w:t>
      </w:r>
      <w:r>
        <w:rPr>
          <w:rFonts w:hint="default" w:ascii="Times New Roman" w:hAnsi="Times New Roman" w:cs="Times New Roman"/>
          <w:color w:val="auto"/>
          <w:highlight w:val="none"/>
        </w:rPr>
        <w:t>见表2.5-</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。运营期工作人员由油田内部调剂，不新增工作人员，不新增生活污水。</w:t>
      </w:r>
    </w:p>
    <w:p w14:paraId="5AE7B1C4">
      <w:pPr>
        <w:widowControl w:val="0"/>
        <w:jc w:val="center"/>
        <w:rPr>
          <w:rFonts w:hint="default" w:ascii="Times New Roman" w:hAnsi="Times New Roman" w:eastAsia="黑体" w:cs="Times New Roman"/>
          <w:b w:val="0"/>
          <w:bCs/>
          <w:color w:val="auto"/>
          <w:kern w:val="0"/>
          <w:sz w:val="21"/>
          <w:szCs w:val="21"/>
          <w:highlight w:val="none"/>
          <w:lang w:val="en-US" w:eastAsia="zh-CN" w:bidi="ar-SA"/>
        </w:rPr>
      </w:pPr>
      <w:r>
        <w:rPr>
          <w:rFonts w:hint="default" w:ascii="Times New Roman" w:hAnsi="Times New Roman" w:eastAsia="黑体" w:cs="Times New Roman"/>
          <w:b w:val="0"/>
          <w:bCs/>
          <w:color w:val="auto"/>
          <w:kern w:val="0"/>
          <w:sz w:val="21"/>
          <w:szCs w:val="21"/>
          <w:highlight w:val="none"/>
          <w:lang w:val="en-US" w:eastAsia="zh-CN" w:bidi="ar-SA"/>
        </w:rPr>
        <w:t>表2.5-7《农村生活污水处理排放标准》（DB654275-2019）表二的B级标准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3203"/>
        <w:gridCol w:w="1331"/>
        <w:gridCol w:w="1331"/>
        <w:gridCol w:w="1332"/>
      </w:tblGrid>
      <w:tr w14:paraId="071A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5" w:type="dxa"/>
            <w:vAlign w:val="center"/>
          </w:tcPr>
          <w:p w14:paraId="0ADDF615">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序号</w:t>
            </w:r>
          </w:p>
        </w:tc>
        <w:tc>
          <w:tcPr>
            <w:tcW w:w="3203" w:type="dxa"/>
            <w:vAlign w:val="center"/>
          </w:tcPr>
          <w:p w14:paraId="7D6DE957">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污染物</w:t>
            </w:r>
          </w:p>
        </w:tc>
        <w:tc>
          <w:tcPr>
            <w:tcW w:w="1331" w:type="dxa"/>
            <w:vAlign w:val="center"/>
          </w:tcPr>
          <w:p w14:paraId="1571C82B">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A级</w:t>
            </w:r>
          </w:p>
        </w:tc>
        <w:tc>
          <w:tcPr>
            <w:tcW w:w="1331" w:type="dxa"/>
            <w:vAlign w:val="center"/>
          </w:tcPr>
          <w:p w14:paraId="5FDDF428">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b/>
                <w:bCs/>
                <w:color w:val="auto"/>
                <w:sz w:val="21"/>
                <w:szCs w:val="18"/>
                <w:highlight w:val="none"/>
              </w:rPr>
              <w:t>B级</w:t>
            </w:r>
          </w:p>
        </w:tc>
        <w:tc>
          <w:tcPr>
            <w:tcW w:w="1332" w:type="dxa"/>
            <w:vAlign w:val="center"/>
          </w:tcPr>
          <w:p w14:paraId="6D8E0472">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C级</w:t>
            </w:r>
          </w:p>
        </w:tc>
      </w:tr>
      <w:tr w14:paraId="3CA6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5" w:type="dxa"/>
            <w:vAlign w:val="center"/>
          </w:tcPr>
          <w:p w14:paraId="2BC6CDC3">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1</w:t>
            </w:r>
          </w:p>
        </w:tc>
        <w:tc>
          <w:tcPr>
            <w:tcW w:w="3203" w:type="dxa"/>
            <w:vAlign w:val="center"/>
          </w:tcPr>
          <w:p w14:paraId="77454A07">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pH</w:t>
            </w:r>
          </w:p>
        </w:tc>
        <w:tc>
          <w:tcPr>
            <w:tcW w:w="3994" w:type="dxa"/>
            <w:gridSpan w:val="3"/>
            <w:vAlign w:val="center"/>
          </w:tcPr>
          <w:p w14:paraId="14ECB48E">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b/>
                <w:bCs/>
                <w:color w:val="auto"/>
                <w:sz w:val="21"/>
                <w:szCs w:val="18"/>
                <w:highlight w:val="none"/>
              </w:rPr>
              <w:t>6</w:t>
            </w:r>
            <w:r>
              <w:rPr>
                <w:rFonts w:hint="eastAsia" w:cs="Times New Roman"/>
                <w:b/>
                <w:bCs/>
                <w:color w:val="auto"/>
                <w:sz w:val="21"/>
                <w:szCs w:val="18"/>
                <w:highlight w:val="none"/>
                <w:lang w:eastAsia="zh-CN"/>
              </w:rPr>
              <w:t>~</w:t>
            </w:r>
            <w:r>
              <w:rPr>
                <w:rFonts w:hint="default" w:ascii="Times New Roman" w:hAnsi="Times New Roman" w:eastAsia="宋体" w:cs="Times New Roman"/>
                <w:b/>
                <w:bCs/>
                <w:color w:val="auto"/>
                <w:sz w:val="21"/>
                <w:szCs w:val="18"/>
                <w:highlight w:val="none"/>
              </w:rPr>
              <w:t>9</w:t>
            </w:r>
          </w:p>
        </w:tc>
      </w:tr>
      <w:tr w14:paraId="7C0B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5" w:type="dxa"/>
            <w:vAlign w:val="center"/>
          </w:tcPr>
          <w:p w14:paraId="06FB5554">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2</w:t>
            </w:r>
          </w:p>
        </w:tc>
        <w:tc>
          <w:tcPr>
            <w:tcW w:w="3203" w:type="dxa"/>
            <w:vAlign w:val="center"/>
          </w:tcPr>
          <w:p w14:paraId="5F6D1CDD">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化学需氧量（COD</w:t>
            </w:r>
            <w:r>
              <w:rPr>
                <w:rFonts w:hint="default" w:ascii="Times New Roman" w:hAnsi="Times New Roman" w:eastAsia="宋体" w:cs="Times New Roman"/>
                <w:color w:val="auto"/>
                <w:sz w:val="21"/>
                <w:szCs w:val="18"/>
                <w:highlight w:val="none"/>
                <w:vertAlign w:val="subscript"/>
              </w:rPr>
              <w:t>cr</w:t>
            </w:r>
            <w:r>
              <w:rPr>
                <w:rFonts w:hint="default" w:ascii="Times New Roman" w:hAnsi="Times New Roman" w:eastAsia="宋体" w:cs="Times New Roman"/>
                <w:color w:val="auto"/>
                <w:sz w:val="21"/>
                <w:szCs w:val="18"/>
                <w:highlight w:val="none"/>
              </w:rPr>
              <w:t>），mg/L</w:t>
            </w:r>
          </w:p>
        </w:tc>
        <w:tc>
          <w:tcPr>
            <w:tcW w:w="1331" w:type="dxa"/>
            <w:vAlign w:val="center"/>
          </w:tcPr>
          <w:p w14:paraId="1A8D3E8F">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60</w:t>
            </w:r>
          </w:p>
        </w:tc>
        <w:tc>
          <w:tcPr>
            <w:tcW w:w="1331" w:type="dxa"/>
            <w:vAlign w:val="center"/>
          </w:tcPr>
          <w:p w14:paraId="5F565FC1">
            <w:pPr>
              <w:jc w:val="center"/>
              <w:rPr>
                <w:rFonts w:hint="default" w:ascii="Times New Roman" w:hAnsi="Times New Roman" w:eastAsia="宋体" w:cs="Times New Roman"/>
                <w:b/>
                <w:bCs/>
                <w:color w:val="auto"/>
                <w:sz w:val="21"/>
                <w:szCs w:val="18"/>
                <w:highlight w:val="none"/>
              </w:rPr>
            </w:pPr>
            <w:r>
              <w:rPr>
                <w:rFonts w:hint="default" w:ascii="Times New Roman" w:hAnsi="Times New Roman" w:eastAsia="宋体" w:cs="Times New Roman"/>
                <w:b/>
                <w:bCs/>
                <w:color w:val="auto"/>
                <w:sz w:val="21"/>
                <w:szCs w:val="18"/>
                <w:highlight w:val="none"/>
              </w:rPr>
              <w:t>180</w:t>
            </w:r>
          </w:p>
        </w:tc>
        <w:tc>
          <w:tcPr>
            <w:tcW w:w="1332" w:type="dxa"/>
            <w:vAlign w:val="center"/>
          </w:tcPr>
          <w:p w14:paraId="7227713C">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200</w:t>
            </w:r>
          </w:p>
        </w:tc>
      </w:tr>
      <w:tr w14:paraId="6B71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5" w:type="dxa"/>
            <w:vAlign w:val="center"/>
          </w:tcPr>
          <w:p w14:paraId="02994585">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3</w:t>
            </w:r>
          </w:p>
        </w:tc>
        <w:tc>
          <w:tcPr>
            <w:tcW w:w="3203" w:type="dxa"/>
            <w:vAlign w:val="center"/>
          </w:tcPr>
          <w:p w14:paraId="28BEF829">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悬浮物</w:t>
            </w:r>
            <w:r>
              <w:rPr>
                <w:rFonts w:hint="default" w:ascii="Times New Roman" w:hAnsi="Times New Roman" w:eastAsia="宋体" w:cs="Times New Roman"/>
                <w:color w:val="auto"/>
                <w:sz w:val="21"/>
                <w:szCs w:val="18"/>
                <w:highlight w:val="none"/>
                <w:lang w:eastAsia="zh-CN"/>
              </w:rPr>
              <w:t>（</w:t>
            </w:r>
            <w:r>
              <w:rPr>
                <w:rFonts w:hint="default" w:ascii="Times New Roman" w:hAnsi="Times New Roman" w:eastAsia="宋体" w:cs="Times New Roman"/>
                <w:color w:val="auto"/>
                <w:sz w:val="21"/>
                <w:szCs w:val="18"/>
                <w:highlight w:val="none"/>
              </w:rPr>
              <w:t>SS</w:t>
            </w:r>
            <w:r>
              <w:rPr>
                <w:rFonts w:hint="default" w:ascii="Times New Roman" w:hAnsi="Times New Roman" w:eastAsia="宋体" w:cs="Times New Roman"/>
                <w:color w:val="auto"/>
                <w:sz w:val="21"/>
                <w:szCs w:val="18"/>
                <w:highlight w:val="none"/>
                <w:lang w:eastAsia="zh-CN"/>
              </w:rPr>
              <w:t>）</w:t>
            </w:r>
            <w:r>
              <w:rPr>
                <w:rFonts w:hint="default" w:ascii="Times New Roman" w:hAnsi="Times New Roman" w:eastAsia="宋体" w:cs="Times New Roman"/>
                <w:color w:val="auto"/>
                <w:sz w:val="21"/>
                <w:szCs w:val="18"/>
                <w:highlight w:val="none"/>
              </w:rPr>
              <w:t>，mg/L</w:t>
            </w:r>
          </w:p>
        </w:tc>
        <w:tc>
          <w:tcPr>
            <w:tcW w:w="1331" w:type="dxa"/>
            <w:vAlign w:val="center"/>
          </w:tcPr>
          <w:p w14:paraId="37671506">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30</w:t>
            </w:r>
          </w:p>
        </w:tc>
        <w:tc>
          <w:tcPr>
            <w:tcW w:w="1331" w:type="dxa"/>
            <w:vAlign w:val="center"/>
          </w:tcPr>
          <w:p w14:paraId="3701A434">
            <w:pPr>
              <w:jc w:val="center"/>
              <w:rPr>
                <w:rFonts w:hint="default" w:ascii="Times New Roman" w:hAnsi="Times New Roman" w:eastAsia="宋体" w:cs="Times New Roman"/>
                <w:b/>
                <w:bCs/>
                <w:color w:val="auto"/>
                <w:sz w:val="21"/>
                <w:szCs w:val="18"/>
                <w:highlight w:val="none"/>
              </w:rPr>
            </w:pPr>
            <w:r>
              <w:rPr>
                <w:rFonts w:hint="default" w:ascii="Times New Roman" w:hAnsi="Times New Roman" w:eastAsia="宋体" w:cs="Times New Roman"/>
                <w:b/>
                <w:bCs/>
                <w:color w:val="auto"/>
                <w:sz w:val="21"/>
                <w:szCs w:val="18"/>
                <w:highlight w:val="none"/>
              </w:rPr>
              <w:t>90</w:t>
            </w:r>
          </w:p>
        </w:tc>
        <w:tc>
          <w:tcPr>
            <w:tcW w:w="1332" w:type="dxa"/>
            <w:vAlign w:val="center"/>
          </w:tcPr>
          <w:p w14:paraId="40AE70E8">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100</w:t>
            </w:r>
          </w:p>
        </w:tc>
      </w:tr>
      <w:tr w14:paraId="19E0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5" w:type="dxa"/>
            <w:vAlign w:val="center"/>
          </w:tcPr>
          <w:p w14:paraId="12CED6A6">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4</w:t>
            </w:r>
          </w:p>
        </w:tc>
        <w:tc>
          <w:tcPr>
            <w:tcW w:w="3203" w:type="dxa"/>
            <w:vAlign w:val="center"/>
          </w:tcPr>
          <w:p w14:paraId="12CD37C0">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粪大肠菌群，MPN/个</w:t>
            </w:r>
          </w:p>
        </w:tc>
        <w:tc>
          <w:tcPr>
            <w:tcW w:w="1331" w:type="dxa"/>
            <w:vAlign w:val="center"/>
          </w:tcPr>
          <w:p w14:paraId="36407E18">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10000</w:t>
            </w:r>
          </w:p>
        </w:tc>
        <w:tc>
          <w:tcPr>
            <w:tcW w:w="2663" w:type="dxa"/>
            <w:gridSpan w:val="2"/>
            <w:vAlign w:val="center"/>
          </w:tcPr>
          <w:p w14:paraId="56A1FB31">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b/>
                <w:bCs/>
                <w:color w:val="auto"/>
                <w:sz w:val="21"/>
                <w:szCs w:val="18"/>
                <w:highlight w:val="none"/>
              </w:rPr>
              <w:t>40000</w:t>
            </w:r>
          </w:p>
        </w:tc>
      </w:tr>
      <w:tr w14:paraId="313E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5" w:type="dxa"/>
            <w:vAlign w:val="center"/>
          </w:tcPr>
          <w:p w14:paraId="4767B8C3">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5</w:t>
            </w:r>
          </w:p>
        </w:tc>
        <w:tc>
          <w:tcPr>
            <w:tcW w:w="3203" w:type="dxa"/>
            <w:vAlign w:val="center"/>
          </w:tcPr>
          <w:p w14:paraId="35D65E7C">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蛔虫卵个数，个/L</w:t>
            </w:r>
          </w:p>
        </w:tc>
        <w:tc>
          <w:tcPr>
            <w:tcW w:w="3994" w:type="dxa"/>
            <w:gridSpan w:val="3"/>
            <w:vAlign w:val="center"/>
          </w:tcPr>
          <w:p w14:paraId="6B79D2CF">
            <w:pPr>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b/>
                <w:bCs/>
                <w:color w:val="auto"/>
                <w:sz w:val="21"/>
                <w:szCs w:val="18"/>
                <w:highlight w:val="none"/>
              </w:rPr>
              <w:t>2</w:t>
            </w:r>
          </w:p>
        </w:tc>
      </w:tr>
    </w:tbl>
    <w:p w14:paraId="7B716D6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24"/>
          <w:highlight w:val="none"/>
        </w:rPr>
      </w:pPr>
      <w:r>
        <w:rPr>
          <w:rFonts w:hint="default" w:ascii="Times New Roman" w:hAnsi="Times New Roman" w:cs="Times New Roman"/>
          <w:color w:val="auto"/>
          <w:highlight w:val="none"/>
          <w:lang w:eastAsia="zh-CN"/>
        </w:rPr>
        <w:t>按照《关于进一步加强石油天然气行业环境影响评价管理的通知》（环办环评函〔2019〕910号）规定：在相关行业污染</w:t>
      </w:r>
      <w:r>
        <w:rPr>
          <w:rFonts w:hint="eastAsia" w:cs="Times New Roman"/>
          <w:color w:val="auto"/>
          <w:highlight w:val="none"/>
          <w:lang w:val="en-US" w:eastAsia="zh-CN"/>
        </w:rPr>
        <w:t>物</w:t>
      </w:r>
      <w:r>
        <w:rPr>
          <w:rFonts w:hint="default" w:ascii="Times New Roman" w:hAnsi="Times New Roman" w:cs="Times New Roman"/>
          <w:color w:val="auto"/>
          <w:highlight w:val="none"/>
          <w:lang w:eastAsia="zh-CN"/>
        </w:rPr>
        <w:t>标准发布前，回注的开采废水应当经处理并符合《碎屑岩油藏注水水质指标技术要求及分析方法》（</w:t>
      </w:r>
      <w:r>
        <w:rPr>
          <w:rFonts w:hint="default" w:ascii="Times New Roman" w:hAnsi="Times New Roman" w:cs="Times New Roman"/>
          <w:color w:val="auto"/>
          <w:highlight w:val="none"/>
          <w:lang w:val="en-US" w:eastAsia="zh-CN"/>
        </w:rPr>
        <w:t>SY/T5329-2022</w:t>
      </w:r>
      <w:r>
        <w:rPr>
          <w:rFonts w:hint="default" w:ascii="Times New Roman" w:hAnsi="Times New Roman" w:cs="Times New Roman"/>
          <w:color w:val="auto"/>
          <w:highlight w:val="none"/>
          <w:lang w:eastAsia="zh-CN"/>
        </w:rPr>
        <w:t>）等相关标准要求回注，同步采取切实可行措施防治污染</w:t>
      </w:r>
      <w:r>
        <w:rPr>
          <w:rFonts w:hint="default" w:ascii="Times New Roman" w:hAnsi="Times New Roman" w:cs="Times New Roman"/>
          <w:color w:val="auto"/>
          <w:kern w:val="24"/>
          <w:highlight w:val="none"/>
        </w:rPr>
        <w:t>。</w:t>
      </w:r>
    </w:p>
    <w:p w14:paraId="02F3A0A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24"/>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运营期产生的采出水依托</w:t>
      </w:r>
      <w:r>
        <w:rPr>
          <w:rFonts w:hint="default" w:ascii="Times New Roman" w:hAnsi="Times New Roman" w:cs="Times New Roman"/>
          <w:color w:val="auto"/>
          <w:highlight w:val="none"/>
          <w:lang w:eastAsia="zh-CN"/>
        </w:rPr>
        <w:t>塔河油田三号联合站</w:t>
      </w:r>
      <w:r>
        <w:rPr>
          <w:rFonts w:hint="default" w:ascii="Times New Roman" w:hAnsi="Times New Roman" w:cs="Times New Roman"/>
          <w:color w:val="auto"/>
          <w:highlight w:val="none"/>
        </w:rPr>
        <w:t>处理达标后回注油层，不向外环境排放，回注水执行</w:t>
      </w:r>
      <w:r>
        <w:rPr>
          <w:rFonts w:hint="default" w:ascii="Times New Roman" w:hAnsi="Times New Roman" w:cs="Times New Roman"/>
          <w:color w:val="auto"/>
          <w:kern w:val="24"/>
          <w:sz w:val="24"/>
          <w:szCs w:val="24"/>
          <w:highlight w:val="none"/>
          <w:lang w:eastAsia="zh-CN"/>
        </w:rPr>
        <w:t>《</w:t>
      </w:r>
      <w:r>
        <w:rPr>
          <w:rFonts w:hint="default" w:ascii="Times New Roman" w:hAnsi="Times New Roman" w:cs="Times New Roman"/>
          <w:color w:val="auto"/>
          <w:kern w:val="24"/>
          <w:sz w:val="24"/>
          <w:szCs w:val="24"/>
          <w:highlight w:val="none"/>
        </w:rPr>
        <w:t>碎屑岩油藏注水水质指标技术要求及分析方法</w:t>
      </w:r>
      <w:r>
        <w:rPr>
          <w:rFonts w:hint="default" w:ascii="Times New Roman" w:hAnsi="Times New Roman" w:cs="Times New Roman"/>
          <w:color w:val="auto"/>
          <w:kern w:val="24"/>
          <w:sz w:val="24"/>
          <w:szCs w:val="24"/>
          <w:highlight w:val="none"/>
          <w:lang w:eastAsia="zh-CN"/>
        </w:rPr>
        <w:t>》（</w:t>
      </w:r>
      <w:r>
        <w:rPr>
          <w:rFonts w:hint="default" w:ascii="Times New Roman" w:hAnsi="Times New Roman" w:cs="Times New Roman"/>
          <w:color w:val="auto"/>
          <w:kern w:val="24"/>
          <w:sz w:val="24"/>
          <w:szCs w:val="24"/>
          <w:highlight w:val="none"/>
        </w:rPr>
        <w:t>SY/T5329-2022</w:t>
      </w:r>
      <w:r>
        <w:rPr>
          <w:rFonts w:hint="default" w:ascii="Times New Roman" w:hAnsi="Times New Roman" w:cs="Times New Roman"/>
          <w:color w:val="auto"/>
          <w:kern w:val="24"/>
          <w:sz w:val="24"/>
          <w:szCs w:val="24"/>
          <w:highlight w:val="none"/>
          <w:lang w:eastAsia="zh-CN"/>
        </w:rPr>
        <w:t>）</w:t>
      </w:r>
      <w:r>
        <w:rPr>
          <w:rFonts w:hint="default" w:ascii="Times New Roman" w:hAnsi="Times New Roman" w:cs="Times New Roman"/>
          <w:color w:val="auto"/>
          <w:kern w:val="24"/>
          <w:sz w:val="24"/>
          <w:szCs w:val="24"/>
          <w:highlight w:val="none"/>
        </w:rPr>
        <w:t>储层空气渗透率≥2.0μm²的标准，标准值见表2.</w:t>
      </w:r>
      <w:r>
        <w:rPr>
          <w:rFonts w:hint="default" w:ascii="Times New Roman" w:hAnsi="Times New Roman" w:cs="Times New Roman"/>
          <w:color w:val="auto"/>
          <w:kern w:val="24"/>
          <w:sz w:val="24"/>
          <w:szCs w:val="24"/>
          <w:highlight w:val="none"/>
          <w:lang w:val="en-US" w:eastAsia="zh-CN"/>
        </w:rPr>
        <w:t>5</w:t>
      </w:r>
      <w:r>
        <w:rPr>
          <w:rFonts w:hint="default" w:ascii="Times New Roman" w:hAnsi="Times New Roman" w:cs="Times New Roman"/>
          <w:color w:val="auto"/>
          <w:kern w:val="24"/>
          <w:sz w:val="24"/>
          <w:szCs w:val="24"/>
          <w:highlight w:val="none"/>
        </w:rPr>
        <w:t>-</w:t>
      </w:r>
      <w:r>
        <w:rPr>
          <w:rFonts w:hint="default" w:ascii="Times New Roman" w:hAnsi="Times New Roman" w:cs="Times New Roman"/>
          <w:color w:val="auto"/>
          <w:kern w:val="24"/>
          <w:sz w:val="24"/>
          <w:szCs w:val="24"/>
          <w:highlight w:val="none"/>
          <w:lang w:val="en-US" w:eastAsia="zh-CN"/>
        </w:rPr>
        <w:t>8</w:t>
      </w:r>
      <w:r>
        <w:rPr>
          <w:rFonts w:hint="default" w:ascii="Times New Roman" w:hAnsi="Times New Roman" w:cs="Times New Roman"/>
          <w:color w:val="auto"/>
          <w:highlight w:val="none"/>
        </w:rPr>
        <w:t>。</w:t>
      </w:r>
    </w:p>
    <w:p w14:paraId="580786F8">
      <w:pPr>
        <w:pStyle w:val="54"/>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kern w:val="0"/>
          <w:sz w:val="21"/>
          <w:szCs w:val="21"/>
          <w:highlight w:val="none"/>
          <w:lang w:val="en-US" w:eastAsia="zh-CN" w:bidi="ar-SA"/>
        </w:rPr>
        <w:t>表2.5-</w:t>
      </w:r>
      <w:r>
        <w:rPr>
          <w:rFonts w:hint="default" w:ascii="Times New Roman" w:hAnsi="Times New Roman" w:cs="Times New Roman"/>
          <w:b w:val="0"/>
          <w:bCs/>
          <w:color w:val="auto"/>
          <w:kern w:val="0"/>
          <w:sz w:val="21"/>
          <w:szCs w:val="21"/>
          <w:highlight w:val="none"/>
          <w:lang w:val="en-US" w:eastAsia="zh-CN" w:bidi="ar-SA"/>
        </w:rPr>
        <w:t>8</w:t>
      </w:r>
      <w:r>
        <w:rPr>
          <w:rFonts w:hint="default" w:ascii="Times New Roman" w:hAnsi="Times New Roman" w:eastAsia="黑体" w:cs="Times New Roman"/>
          <w:b w:val="0"/>
          <w:bCs/>
          <w:color w:val="auto"/>
          <w:sz w:val="21"/>
          <w:szCs w:val="21"/>
          <w:highlight w:val="none"/>
        </w:rPr>
        <w:t>《碎屑岩油藏注水水质指标技术要求及分析方法》（SY/T5329-2022）</w:t>
      </w:r>
    </w:p>
    <w:tbl>
      <w:tblPr>
        <w:tblStyle w:val="35"/>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892"/>
        <w:gridCol w:w="1376"/>
        <w:gridCol w:w="1344"/>
        <w:gridCol w:w="1238"/>
        <w:gridCol w:w="868"/>
      </w:tblGrid>
      <w:tr w14:paraId="3D67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10D78C82">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储层</w:t>
            </w:r>
            <w:r>
              <w:rPr>
                <w:rFonts w:hint="default" w:ascii="Times New Roman" w:hAnsi="Times New Roman" w:eastAsia="宋体" w:cs="Times New Roman"/>
                <w:color w:val="auto"/>
                <w:sz w:val="21"/>
                <w:szCs w:val="21"/>
                <w:highlight w:val="none"/>
              </w:rPr>
              <w:t>空气渗透率（μm²）</w:t>
            </w:r>
          </w:p>
        </w:tc>
        <w:tc>
          <w:tcPr>
            <w:tcW w:w="892" w:type="dxa"/>
            <w:noWrap w:val="0"/>
            <w:vAlign w:val="center"/>
          </w:tcPr>
          <w:p w14:paraId="5FBFC18B">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0.01</w:t>
            </w:r>
          </w:p>
        </w:tc>
        <w:tc>
          <w:tcPr>
            <w:tcW w:w="1376" w:type="dxa"/>
            <w:noWrap w:val="0"/>
            <w:vAlign w:val="center"/>
          </w:tcPr>
          <w:p w14:paraId="62B2D409">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0.01，0.05）</w:t>
            </w:r>
          </w:p>
        </w:tc>
        <w:tc>
          <w:tcPr>
            <w:tcW w:w="1344" w:type="dxa"/>
            <w:noWrap w:val="0"/>
            <w:vAlign w:val="center"/>
          </w:tcPr>
          <w:p w14:paraId="251A0067">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0.05，0.5）</w:t>
            </w:r>
          </w:p>
        </w:tc>
        <w:tc>
          <w:tcPr>
            <w:tcW w:w="1238" w:type="dxa"/>
            <w:noWrap w:val="0"/>
            <w:vAlign w:val="center"/>
          </w:tcPr>
          <w:p w14:paraId="32C85080">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0.5，2.0）</w:t>
            </w:r>
          </w:p>
        </w:tc>
        <w:tc>
          <w:tcPr>
            <w:tcW w:w="868" w:type="dxa"/>
            <w:noWrap w:val="0"/>
            <w:vAlign w:val="center"/>
          </w:tcPr>
          <w:p w14:paraId="6D56729C">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≥2.0</w:t>
            </w:r>
          </w:p>
        </w:tc>
      </w:tr>
      <w:tr w14:paraId="0B61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721A2C89">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水质标准分级</w:t>
            </w:r>
          </w:p>
        </w:tc>
        <w:tc>
          <w:tcPr>
            <w:tcW w:w="892" w:type="dxa"/>
            <w:noWrap w:val="0"/>
            <w:vAlign w:val="center"/>
          </w:tcPr>
          <w:p w14:paraId="279BD9E2">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Ⅰ</w:t>
            </w:r>
          </w:p>
        </w:tc>
        <w:tc>
          <w:tcPr>
            <w:tcW w:w="1376" w:type="dxa"/>
            <w:noWrap w:val="0"/>
            <w:vAlign w:val="center"/>
          </w:tcPr>
          <w:p w14:paraId="387A6218">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w:t>
            </w:r>
          </w:p>
        </w:tc>
        <w:tc>
          <w:tcPr>
            <w:tcW w:w="1344" w:type="dxa"/>
            <w:noWrap w:val="0"/>
            <w:vAlign w:val="center"/>
          </w:tcPr>
          <w:p w14:paraId="4EE0C23B">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Ⅲ</w:t>
            </w:r>
          </w:p>
        </w:tc>
        <w:tc>
          <w:tcPr>
            <w:tcW w:w="1238" w:type="dxa"/>
            <w:noWrap w:val="0"/>
            <w:vAlign w:val="center"/>
          </w:tcPr>
          <w:p w14:paraId="293710CA">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Ⅳ</w:t>
            </w:r>
          </w:p>
        </w:tc>
        <w:tc>
          <w:tcPr>
            <w:tcW w:w="868" w:type="dxa"/>
            <w:noWrap w:val="0"/>
            <w:vAlign w:val="center"/>
          </w:tcPr>
          <w:p w14:paraId="5381AF82">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Ⅴ</w:t>
            </w:r>
          </w:p>
        </w:tc>
      </w:tr>
      <w:tr w14:paraId="1F6F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3C06DD2D">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悬浮固体含量mg/L</w:t>
            </w:r>
          </w:p>
        </w:tc>
        <w:tc>
          <w:tcPr>
            <w:tcW w:w="892" w:type="dxa"/>
            <w:noWrap w:val="0"/>
            <w:vAlign w:val="center"/>
          </w:tcPr>
          <w:p w14:paraId="57FA6399">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≤8.0</w:t>
            </w:r>
          </w:p>
        </w:tc>
        <w:tc>
          <w:tcPr>
            <w:tcW w:w="1376" w:type="dxa"/>
            <w:noWrap w:val="0"/>
            <w:vAlign w:val="center"/>
          </w:tcPr>
          <w:p w14:paraId="4F0E4136">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≤15.0</w:t>
            </w:r>
          </w:p>
        </w:tc>
        <w:tc>
          <w:tcPr>
            <w:tcW w:w="1344" w:type="dxa"/>
            <w:noWrap w:val="0"/>
            <w:vAlign w:val="center"/>
          </w:tcPr>
          <w:p w14:paraId="0447020D">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≤20.0</w:t>
            </w:r>
          </w:p>
        </w:tc>
        <w:tc>
          <w:tcPr>
            <w:tcW w:w="1238" w:type="dxa"/>
            <w:noWrap w:val="0"/>
            <w:vAlign w:val="center"/>
          </w:tcPr>
          <w:p w14:paraId="749AEA74">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≤25.0</w:t>
            </w:r>
          </w:p>
        </w:tc>
        <w:tc>
          <w:tcPr>
            <w:tcW w:w="868" w:type="dxa"/>
            <w:noWrap w:val="0"/>
            <w:vAlign w:val="center"/>
          </w:tcPr>
          <w:p w14:paraId="6D86F16B">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≤35.0</w:t>
            </w:r>
          </w:p>
        </w:tc>
      </w:tr>
      <w:tr w14:paraId="40A5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47763AE8">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悬浮物颗粒直径中值㎛</w:t>
            </w:r>
          </w:p>
        </w:tc>
        <w:tc>
          <w:tcPr>
            <w:tcW w:w="892" w:type="dxa"/>
            <w:noWrap w:val="0"/>
            <w:vAlign w:val="center"/>
          </w:tcPr>
          <w:p w14:paraId="76B44448">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≤3.0</w:t>
            </w:r>
          </w:p>
        </w:tc>
        <w:tc>
          <w:tcPr>
            <w:tcW w:w="1376" w:type="dxa"/>
            <w:noWrap w:val="0"/>
            <w:vAlign w:val="center"/>
          </w:tcPr>
          <w:p w14:paraId="03358A4C">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344" w:type="dxa"/>
            <w:noWrap w:val="0"/>
            <w:vAlign w:val="center"/>
          </w:tcPr>
          <w:p w14:paraId="20780878">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238" w:type="dxa"/>
            <w:noWrap w:val="0"/>
            <w:vAlign w:val="center"/>
          </w:tcPr>
          <w:p w14:paraId="01747C4D">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868" w:type="dxa"/>
            <w:noWrap w:val="0"/>
            <w:vAlign w:val="center"/>
          </w:tcPr>
          <w:p w14:paraId="0A1C66B4">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≤5.5</w:t>
            </w:r>
          </w:p>
        </w:tc>
      </w:tr>
      <w:tr w14:paraId="1AD9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30F4A56E">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含油量mg/L</w:t>
            </w:r>
          </w:p>
        </w:tc>
        <w:tc>
          <w:tcPr>
            <w:tcW w:w="892" w:type="dxa"/>
            <w:noWrap w:val="0"/>
            <w:vAlign w:val="center"/>
          </w:tcPr>
          <w:p w14:paraId="2532D460">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376" w:type="dxa"/>
            <w:noWrap w:val="0"/>
            <w:vAlign w:val="center"/>
          </w:tcPr>
          <w:p w14:paraId="06366171">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≤10.0</w:t>
            </w:r>
          </w:p>
        </w:tc>
        <w:tc>
          <w:tcPr>
            <w:tcW w:w="1344" w:type="dxa"/>
            <w:noWrap w:val="0"/>
            <w:vAlign w:val="center"/>
          </w:tcPr>
          <w:p w14:paraId="05CF8DFD">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≤15.0</w:t>
            </w:r>
          </w:p>
        </w:tc>
        <w:tc>
          <w:tcPr>
            <w:tcW w:w="1238" w:type="dxa"/>
            <w:noWrap w:val="0"/>
            <w:vAlign w:val="center"/>
          </w:tcPr>
          <w:p w14:paraId="71C29C1F">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≤30.0</w:t>
            </w:r>
          </w:p>
        </w:tc>
        <w:tc>
          <w:tcPr>
            <w:tcW w:w="868" w:type="dxa"/>
            <w:noWrap w:val="0"/>
            <w:vAlign w:val="center"/>
          </w:tcPr>
          <w:p w14:paraId="60727135">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≤100.0</w:t>
            </w:r>
          </w:p>
        </w:tc>
      </w:tr>
      <w:tr w14:paraId="2677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818" w:type="dxa"/>
            <w:noWrap w:val="0"/>
            <w:vAlign w:val="center"/>
          </w:tcPr>
          <w:p w14:paraId="551B404F">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平均腐蚀率mm/a</w:t>
            </w:r>
          </w:p>
        </w:tc>
        <w:tc>
          <w:tcPr>
            <w:tcW w:w="5718" w:type="dxa"/>
            <w:gridSpan w:val="5"/>
            <w:noWrap w:val="0"/>
            <w:vAlign w:val="center"/>
          </w:tcPr>
          <w:p w14:paraId="6DD0207A">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≤0.076</w:t>
            </w:r>
          </w:p>
        </w:tc>
      </w:tr>
    </w:tbl>
    <w:p w14:paraId="5B01B201">
      <w:pPr>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482" w:firstLineChars="200"/>
        <w:jc w:val="both"/>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噪声</w:t>
      </w:r>
    </w:p>
    <w:p w14:paraId="1736976F">
      <w:pPr>
        <w:keepNext w:val="0"/>
        <w:keepLines w:val="0"/>
        <w:pageBreakBefore w:val="0"/>
        <w:widowControl/>
        <w:kinsoku/>
        <w:wordWrap/>
        <w:overflowPunct/>
        <w:topLinePunct w:val="0"/>
        <w:autoSpaceDE/>
        <w:autoSpaceDN/>
        <w:bidi w:val="0"/>
        <w:adjustRightInd w:val="0"/>
        <w:snapToGrid w:val="0"/>
        <w:spacing w:after="0" w:line="360" w:lineRule="auto"/>
        <w:ind w:firstLine="48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施工期采用《建筑施工场界环境噪声排放标准》（GB12523-2011）；运营期采用《工业企业厂界环境噪声排放标准》（GB12348-2008）中2类标准。噪声限值见表2.5-</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14:paraId="1EDB41D5">
      <w:pPr>
        <w:pStyle w:val="58"/>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表2.5-</w:t>
      </w:r>
      <w:r>
        <w:rPr>
          <w:rFonts w:hint="default" w:ascii="Times New Roman" w:hAnsi="Times New Roman" w:cs="Times New Roman"/>
          <w:color w:val="auto"/>
          <w:sz w:val="21"/>
          <w:szCs w:val="21"/>
          <w:highlight w:val="none"/>
          <w:lang w:val="en-US" w:eastAsia="zh-CN"/>
        </w:rPr>
        <w:t>9</w:t>
      </w:r>
      <w:r>
        <w:rPr>
          <w:rFonts w:hint="default" w:ascii="Times New Roman" w:hAnsi="Times New Roman" w:eastAsia="黑体" w:cs="Times New Roman"/>
          <w:color w:val="auto"/>
          <w:sz w:val="21"/>
          <w:szCs w:val="21"/>
          <w:highlight w:val="none"/>
        </w:rPr>
        <w:t>环境噪声排放标准</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3"/>
        <w:gridCol w:w="621"/>
        <w:gridCol w:w="1398"/>
        <w:gridCol w:w="1400"/>
      </w:tblGrid>
      <w:tr w14:paraId="4A4A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93" w:type="pct"/>
            <w:vMerge w:val="restart"/>
            <w:noWrap w:val="0"/>
            <w:vAlign w:val="center"/>
          </w:tcPr>
          <w:p w14:paraId="6C413C81">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c>
          <w:tcPr>
            <w:tcW w:w="364" w:type="pct"/>
            <w:vMerge w:val="restart"/>
            <w:noWrap w:val="0"/>
            <w:vAlign w:val="center"/>
          </w:tcPr>
          <w:p w14:paraId="23B490F1">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641" w:type="pct"/>
            <w:gridSpan w:val="2"/>
            <w:noWrap w:val="0"/>
            <w:vAlign w:val="center"/>
          </w:tcPr>
          <w:p w14:paraId="1E8A94A6">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噪声限值dB</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p>
        </w:tc>
      </w:tr>
      <w:tr w14:paraId="21A9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993" w:type="pct"/>
            <w:vMerge w:val="continue"/>
            <w:noWrap w:val="0"/>
            <w:vAlign w:val="center"/>
          </w:tcPr>
          <w:p w14:paraId="4133C814">
            <w:pPr>
              <w:pStyle w:val="56"/>
              <w:keepNext w:val="0"/>
              <w:keepLines w:val="0"/>
              <w:pageBreakBefore w:val="0"/>
              <w:widowControl w:val="0"/>
              <w:kinsoku/>
              <w:wordWrap/>
              <w:overflowPunct/>
              <w:topLinePunct w:val="0"/>
              <w:autoSpaceDE/>
              <w:autoSpaceDN/>
              <w:bidi w:val="0"/>
              <w:snapToGrid/>
              <w:spacing w:line="240" w:lineRule="auto"/>
              <w:ind w:left="-105" w:right="-105"/>
              <w:jc w:val="both"/>
              <w:rPr>
                <w:rFonts w:hint="default" w:ascii="Times New Roman" w:hAnsi="Times New Roman" w:eastAsia="宋体" w:cs="Times New Roman"/>
                <w:color w:val="auto"/>
                <w:sz w:val="21"/>
                <w:szCs w:val="21"/>
                <w:highlight w:val="none"/>
              </w:rPr>
            </w:pPr>
          </w:p>
        </w:tc>
        <w:tc>
          <w:tcPr>
            <w:tcW w:w="364" w:type="pct"/>
            <w:vMerge w:val="continue"/>
            <w:noWrap w:val="0"/>
            <w:vAlign w:val="center"/>
          </w:tcPr>
          <w:p w14:paraId="46EFDE83">
            <w:pPr>
              <w:pStyle w:val="56"/>
              <w:keepNext w:val="0"/>
              <w:keepLines w:val="0"/>
              <w:pageBreakBefore w:val="0"/>
              <w:widowControl w:val="0"/>
              <w:kinsoku/>
              <w:wordWrap/>
              <w:overflowPunct/>
              <w:topLinePunct w:val="0"/>
              <w:autoSpaceDE/>
              <w:autoSpaceDN/>
              <w:bidi w:val="0"/>
              <w:snapToGrid/>
              <w:spacing w:line="240" w:lineRule="auto"/>
              <w:ind w:left="-105" w:right="-105"/>
              <w:jc w:val="both"/>
              <w:rPr>
                <w:rFonts w:hint="default" w:ascii="Times New Roman" w:hAnsi="Times New Roman" w:eastAsia="宋体" w:cs="Times New Roman"/>
                <w:color w:val="auto"/>
                <w:sz w:val="21"/>
                <w:szCs w:val="21"/>
                <w:highlight w:val="none"/>
              </w:rPr>
            </w:pPr>
          </w:p>
        </w:tc>
        <w:tc>
          <w:tcPr>
            <w:tcW w:w="820" w:type="pct"/>
            <w:noWrap w:val="0"/>
            <w:vAlign w:val="center"/>
          </w:tcPr>
          <w:p w14:paraId="396CB9AD">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820" w:type="pct"/>
            <w:noWrap w:val="0"/>
            <w:vAlign w:val="center"/>
          </w:tcPr>
          <w:p w14:paraId="0F92EAF0">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7BAB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93" w:type="pct"/>
            <w:noWrap w:val="0"/>
            <w:vAlign w:val="center"/>
          </w:tcPr>
          <w:p w14:paraId="05785CB2">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建筑施工场界环境噪声排放标准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GB12523-2011</w:t>
            </w:r>
            <w:r>
              <w:rPr>
                <w:rFonts w:hint="default" w:ascii="Times New Roman" w:hAnsi="Times New Roman" w:cs="Times New Roman"/>
                <w:color w:val="auto"/>
                <w:sz w:val="21"/>
                <w:szCs w:val="21"/>
                <w:highlight w:val="none"/>
                <w:lang w:eastAsia="zh-CN"/>
              </w:rPr>
              <w:t>）</w:t>
            </w:r>
          </w:p>
        </w:tc>
        <w:tc>
          <w:tcPr>
            <w:tcW w:w="364" w:type="pct"/>
            <w:noWrap w:val="0"/>
            <w:vAlign w:val="center"/>
          </w:tcPr>
          <w:p w14:paraId="36A1309F">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20" w:type="pct"/>
            <w:noWrap w:val="0"/>
            <w:vAlign w:val="center"/>
          </w:tcPr>
          <w:p w14:paraId="63A80346">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820" w:type="pct"/>
            <w:noWrap w:val="0"/>
            <w:vAlign w:val="center"/>
          </w:tcPr>
          <w:p w14:paraId="43CDFBC4">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r w14:paraId="168D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93" w:type="pct"/>
            <w:noWrap w:val="0"/>
            <w:vAlign w:val="center"/>
          </w:tcPr>
          <w:p w14:paraId="57543148">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w:t>
            </w:r>
            <w:r>
              <w:rPr>
                <w:rFonts w:hint="default" w:ascii="Times New Roman" w:hAnsi="Times New Roman" w:cs="Times New Roman"/>
                <w:color w:val="auto"/>
                <w:sz w:val="21"/>
                <w:szCs w:val="21"/>
                <w:highlight w:val="none"/>
                <w:lang w:eastAsia="zh-CN"/>
              </w:rPr>
              <w:t>）</w:t>
            </w:r>
          </w:p>
        </w:tc>
        <w:tc>
          <w:tcPr>
            <w:tcW w:w="364" w:type="pct"/>
            <w:noWrap w:val="0"/>
            <w:vAlign w:val="center"/>
          </w:tcPr>
          <w:p w14:paraId="2A3DFDF6">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w:t>
            </w:r>
          </w:p>
        </w:tc>
        <w:tc>
          <w:tcPr>
            <w:tcW w:w="820" w:type="pct"/>
            <w:noWrap w:val="0"/>
            <w:vAlign w:val="center"/>
          </w:tcPr>
          <w:p w14:paraId="28578A4F">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20" w:type="pct"/>
            <w:noWrap w:val="0"/>
            <w:vAlign w:val="center"/>
          </w:tcPr>
          <w:p w14:paraId="7685BE07">
            <w:pPr>
              <w:pStyle w:val="56"/>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bl>
    <w:p w14:paraId="1D3B8AAF">
      <w:pPr>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482" w:firstLineChars="200"/>
        <w:jc w:val="both"/>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固体废物</w:t>
      </w:r>
    </w:p>
    <w:p w14:paraId="4ABC46CA">
      <w:pPr>
        <w:keepNext w:val="0"/>
        <w:keepLines w:val="0"/>
        <w:pageBreakBefore w:val="0"/>
        <w:widowControl/>
        <w:kinsoku/>
        <w:wordWrap/>
        <w:overflowPunct/>
        <w:topLinePunct w:val="0"/>
        <w:autoSpaceDE/>
        <w:autoSpaceDN/>
        <w:bidi w:val="0"/>
        <w:adjustRightInd w:val="0"/>
        <w:snapToGrid w:val="0"/>
        <w:spacing w:after="0" w:line="360" w:lineRule="auto"/>
        <w:ind w:firstLine="482"/>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根据项目产生的各种固体废物的性质和去向，钻井固体废物执行《油气田钻井固体废物综合利用污染控制要求》（DB65/T3997-2017）中综合利用污染物限值要求。一般工业固体废物贮存执行《一般工业固体废物贮存和填埋污染控制标准》（GB18599-2020）；危险废物鉴别执行《危险废物鉴别标准》（GB5085.1~7），危险废物贮存执行</w:t>
      </w:r>
      <w:r>
        <w:rPr>
          <w:rFonts w:hint="default" w:ascii="Times New Roman" w:hAnsi="Times New Roman" w:cs="Times New Roman"/>
          <w:color w:val="auto"/>
          <w:highlight w:val="none"/>
          <w:lang w:val="zh-CN"/>
        </w:rPr>
        <w:t>《危险废物贮存污染控制标准》（GB18597-2023），</w:t>
      </w:r>
      <w:r>
        <w:rPr>
          <w:rFonts w:hint="default" w:ascii="Times New Roman" w:hAnsi="Times New Roman" w:cs="Times New Roman"/>
          <w:color w:val="auto"/>
          <w:highlight w:val="none"/>
        </w:rPr>
        <w:t>危险废物的转移依照《危险废物转移管理办法》及《危险废物收集、贮存运输技术规范》（HJ2025-2012）进行监督和管理</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含油污泥满足《陆上石油天然气开采含油污泥资源化综合利用及污染控制技术要求》（SY/T7301-2016）及《关于含油污泥处置有关事宜的通知》（新环办发〔2018〕20号）要求</w:t>
      </w:r>
      <w:r>
        <w:rPr>
          <w:rFonts w:hint="eastAsia"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《危险废物环境管理指南陆上石油天然气开采》（生态环境部公告2021年第74号）要求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生活垃圾执行《生活垃圾填埋场污染控制标准》（</w:t>
      </w:r>
      <w:r>
        <w:rPr>
          <w:rFonts w:hint="eastAsia" w:ascii="Times New Roman" w:hAnsi="Times New Roman" w:cs="Times New Roman"/>
          <w:color w:val="auto"/>
          <w:highlight w:val="none"/>
          <w:lang w:eastAsia="zh-CN"/>
        </w:rPr>
        <w:t>GB16889-2024</w:t>
      </w:r>
      <w:r>
        <w:rPr>
          <w:rFonts w:hint="default" w:ascii="Times New Roman" w:hAnsi="Times New Roman" w:cs="Times New Roman"/>
          <w:color w:val="auto"/>
          <w:highlight w:val="none"/>
        </w:rPr>
        <w:t>）</w:t>
      </w:r>
      <w:r>
        <w:rPr>
          <w:rFonts w:hint="eastAsia" w:cs="Times New Roman"/>
          <w:color w:val="auto"/>
          <w:highlight w:val="none"/>
          <w:lang w:eastAsia="zh-CN"/>
        </w:rPr>
        <w:t>。</w:t>
      </w:r>
    </w:p>
    <w:p w14:paraId="5B591D5C">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auto"/>
          <w:highlight w:val="none"/>
        </w:rPr>
      </w:pPr>
      <w:bookmarkStart w:id="131" w:name="_Toc146540977"/>
      <w:bookmarkStart w:id="132" w:name="_Toc161551976"/>
      <w:bookmarkStart w:id="133" w:name="_Toc149456020"/>
      <w:bookmarkStart w:id="134" w:name="_Toc361761821"/>
      <w:bookmarkStart w:id="135" w:name="_Toc374724173"/>
      <w:bookmarkStart w:id="136" w:name="_Toc68025007"/>
      <w:bookmarkStart w:id="137" w:name="_Toc508291875"/>
      <w:bookmarkStart w:id="138" w:name="_Toc297590924"/>
      <w:bookmarkStart w:id="139" w:name="_Toc19227"/>
      <w:bookmarkStart w:id="140" w:name="_Toc255293762"/>
      <w:bookmarkStart w:id="141" w:name="_Toc13030"/>
      <w:bookmarkStart w:id="142" w:name="_Toc297590771"/>
      <w:bookmarkStart w:id="143" w:name="_Toc353966729"/>
      <w:bookmarkStart w:id="144" w:name="_Toc93507159"/>
      <w:bookmarkStart w:id="145" w:name="_Toc280954979"/>
      <w:bookmarkStart w:id="146" w:name="_Toc227650568"/>
      <w:bookmarkStart w:id="147" w:name="_Toc280954902"/>
      <w:bookmarkStart w:id="148" w:name="_Toc12180"/>
      <w:bookmarkStart w:id="149" w:name="_Hlk48603730"/>
      <w:r>
        <w:rPr>
          <w:rFonts w:hint="default" w:ascii="Times New Roman" w:hAnsi="Times New Roman" w:eastAsia="宋体" w:cs="Times New Roman"/>
          <w:color w:val="auto"/>
          <w:highlight w:val="none"/>
        </w:rPr>
        <w:t>2.6评价工作等级</w:t>
      </w:r>
      <w:bookmarkEnd w:id="131"/>
      <w:bookmarkEnd w:id="132"/>
      <w:bookmarkEnd w:id="133"/>
      <w:r>
        <w:rPr>
          <w:rFonts w:hint="default" w:ascii="Times New Roman" w:hAnsi="Times New Roman" w:eastAsia="宋体" w:cs="Times New Roman"/>
          <w:color w:val="auto"/>
          <w:highlight w:val="none"/>
        </w:rPr>
        <w:t>和评价范围</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bookmarkEnd w:id="149"/>
    <w:p w14:paraId="410E053F">
      <w:pPr>
        <w:pStyle w:val="4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highlight w:val="none"/>
        </w:rPr>
      </w:pPr>
      <w:bookmarkStart w:id="150" w:name="_Hlk69381725"/>
      <w:r>
        <w:rPr>
          <w:rFonts w:hint="default" w:ascii="Times New Roman" w:hAnsi="Times New Roman" w:cs="Times New Roman"/>
          <w:color w:val="auto"/>
          <w:highlight w:val="none"/>
        </w:rPr>
        <w:t>2.6.1环境空气</w:t>
      </w:r>
    </w:p>
    <w:bookmarkEnd w:id="150"/>
    <w:p w14:paraId="4E75C272">
      <w:pPr>
        <w:widowControl/>
        <w:spacing w:line="360" w:lineRule="auto"/>
        <w:ind w:firstLine="480" w:firstLineChars="200"/>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1</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评价等级</w:t>
      </w:r>
    </w:p>
    <w:p w14:paraId="07D4807E">
      <w:pPr>
        <w:widowControl/>
        <w:spacing w:line="360" w:lineRule="auto"/>
        <w:ind w:firstLine="480" w:firstLineChars="200"/>
        <w:jc w:val="both"/>
        <w:rPr>
          <w:rFonts w:hint="default" w:ascii="Times New Roman" w:hAnsi="Times New Roman" w:eastAsia="宋体" w:cs="Times New Roman"/>
          <w:color w:val="auto"/>
          <w:kern w:val="0"/>
          <w:sz w:val="24"/>
          <w:szCs w:val="20"/>
          <w:highlight w:val="none"/>
        </w:rPr>
      </w:pPr>
      <w:r>
        <w:rPr>
          <w:rFonts w:hint="default" w:ascii="Times New Roman" w:hAnsi="Times New Roman" w:cs="Times New Roman"/>
          <w:color w:val="auto"/>
          <w:kern w:val="0"/>
          <w:sz w:val="24"/>
          <w:szCs w:val="20"/>
          <w:highlight w:val="none"/>
          <w:lang w:eastAsia="zh-CN"/>
        </w:rPr>
        <w:t>本项目</w:t>
      </w:r>
      <w:r>
        <w:rPr>
          <w:rFonts w:hint="default" w:ascii="Times New Roman" w:hAnsi="Times New Roman" w:eastAsia="宋体" w:cs="Times New Roman"/>
          <w:color w:val="auto"/>
          <w:kern w:val="0"/>
          <w:sz w:val="24"/>
          <w:szCs w:val="20"/>
          <w:highlight w:val="none"/>
        </w:rPr>
        <w:t>废气排放源主要为</w:t>
      </w:r>
      <w:r>
        <w:rPr>
          <w:rFonts w:hint="eastAsia" w:cs="Times New Roman"/>
          <w:color w:val="auto"/>
          <w:kern w:val="0"/>
          <w:sz w:val="24"/>
          <w:szCs w:val="20"/>
          <w:highlight w:val="none"/>
          <w:lang w:val="en-US" w:eastAsia="zh-CN"/>
        </w:rPr>
        <w:t>4座侧钻</w:t>
      </w:r>
      <w:r>
        <w:rPr>
          <w:rFonts w:hint="default" w:ascii="Times New Roman" w:hAnsi="Times New Roman" w:eastAsia="宋体" w:cs="Times New Roman"/>
          <w:color w:val="auto"/>
          <w:kern w:val="0"/>
          <w:sz w:val="24"/>
          <w:szCs w:val="20"/>
          <w:highlight w:val="none"/>
        </w:rPr>
        <w:t>井场</w:t>
      </w:r>
      <w:r>
        <w:rPr>
          <w:rFonts w:hint="eastAsia" w:cs="Times New Roman"/>
          <w:color w:val="auto"/>
          <w:kern w:val="0"/>
          <w:sz w:val="24"/>
          <w:szCs w:val="20"/>
          <w:highlight w:val="none"/>
          <w:lang w:val="en-US" w:eastAsia="zh-CN"/>
        </w:rPr>
        <w:t>采油和集输过程中</w:t>
      </w:r>
      <w:r>
        <w:rPr>
          <w:rFonts w:hint="default" w:ascii="Times New Roman" w:hAnsi="Times New Roman" w:eastAsia="宋体" w:cs="Times New Roman"/>
          <w:color w:val="auto"/>
          <w:kern w:val="0"/>
          <w:sz w:val="24"/>
          <w:szCs w:val="20"/>
          <w:highlight w:val="none"/>
        </w:rPr>
        <w:t>的非甲烷总烃、硫化氢的无组织排放。根据工程特点、污染特征及周围环境状况，采用</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环境影响评价技术导则大气环境</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HJ2.2-2018</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中规定的方法，选取非甲烷总烃</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NMHC</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硫化氢（H</w:t>
      </w:r>
      <w:r>
        <w:rPr>
          <w:rFonts w:hint="default" w:ascii="Times New Roman" w:hAnsi="Times New Roman" w:eastAsia="宋体" w:cs="Times New Roman"/>
          <w:color w:val="auto"/>
          <w:kern w:val="0"/>
          <w:sz w:val="24"/>
          <w:szCs w:val="20"/>
          <w:highlight w:val="none"/>
          <w:vertAlign w:val="subscript"/>
        </w:rPr>
        <w:t>2</w:t>
      </w:r>
      <w:r>
        <w:rPr>
          <w:rFonts w:hint="default" w:ascii="Times New Roman" w:hAnsi="Times New Roman" w:eastAsia="宋体" w:cs="Times New Roman"/>
          <w:color w:val="auto"/>
          <w:kern w:val="0"/>
          <w:sz w:val="24"/>
          <w:szCs w:val="20"/>
          <w:highlight w:val="none"/>
        </w:rPr>
        <w:t>S）为</w:t>
      </w:r>
      <w:r>
        <w:rPr>
          <w:rFonts w:hint="eastAsia" w:cs="Times New Roman"/>
          <w:color w:val="auto"/>
          <w:kern w:val="0"/>
          <w:sz w:val="24"/>
          <w:szCs w:val="20"/>
          <w:highlight w:val="none"/>
          <w:lang w:val="en-US" w:eastAsia="zh-CN"/>
        </w:rPr>
        <w:t>评价因子</w:t>
      </w:r>
      <w:r>
        <w:rPr>
          <w:rFonts w:hint="default" w:ascii="Times New Roman" w:hAnsi="Times New Roman" w:eastAsia="宋体" w:cs="Times New Roman"/>
          <w:color w:val="auto"/>
          <w:kern w:val="0"/>
          <w:sz w:val="24"/>
          <w:szCs w:val="20"/>
          <w:highlight w:val="none"/>
        </w:rPr>
        <w:t>，计算出其最大地面浓度占标率Pi（第i个污染物，简称“最大浓度占标率”）及其地面浓度达标准值10%时所对应的最远距离D10%。其中Pi定义为：</w:t>
      </w:r>
    </w:p>
    <w:p w14:paraId="7943F2B0">
      <w:pPr>
        <w:pageBreakBefore w:val="0"/>
        <w:widowControl w:val="0"/>
        <w:kinsoku/>
        <w:wordWrap/>
        <w:overflowPunct/>
        <w:topLinePunct w:val="0"/>
        <w:autoSpaceDE/>
        <w:autoSpaceDN/>
        <w:bidi w:val="0"/>
        <w:adjustRightInd w:val="0"/>
        <w:snapToGrid w:val="0"/>
        <w:ind w:firstLine="200"/>
        <w:jc w:val="center"/>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"D:\\ADMINI~1.DES\\AppData\\Local\\Temp\\ksohtml\\wps226.tmp.jpg"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1095375" cy="427355"/>
            <wp:effectExtent l="0" t="0" r="9525" b="10795"/>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pic:cNvPicPr>
                      <a:picLocks noChangeAspect="1"/>
                    </pic:cNvPicPr>
                  </pic:nvPicPr>
                  <pic:blipFill>
                    <a:blip r:embed="rId29" r:link="rId30"/>
                    <a:stretch>
                      <a:fillRect/>
                    </a:stretch>
                  </pic:blipFill>
                  <pic:spPr>
                    <a:xfrm>
                      <a:off x="0" y="0"/>
                      <a:ext cx="1095375" cy="427355"/>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p>
    <w:p w14:paraId="2E38A420">
      <w:pPr>
        <w:widowControl/>
        <w:spacing w:line="360" w:lineRule="auto"/>
        <w:ind w:firstLine="480" w:firstLineChars="200"/>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式中：P</w:t>
      </w:r>
      <w:r>
        <w:rPr>
          <w:rFonts w:hint="default" w:ascii="Times New Roman" w:hAnsi="Times New Roman" w:eastAsia="宋体" w:cs="Times New Roman"/>
          <w:color w:val="auto"/>
          <w:kern w:val="0"/>
          <w:sz w:val="24"/>
          <w:szCs w:val="20"/>
          <w:highlight w:val="none"/>
          <w:vertAlign w:val="subscript"/>
        </w:rPr>
        <w:t>i</w:t>
      </w:r>
      <w:r>
        <w:rPr>
          <w:rFonts w:hint="default" w:ascii="Times New Roman" w:hAnsi="Times New Roman" w:eastAsia="宋体" w:cs="Times New Roman"/>
          <w:color w:val="auto"/>
          <w:kern w:val="0"/>
          <w:sz w:val="24"/>
          <w:szCs w:val="20"/>
          <w:highlight w:val="none"/>
        </w:rPr>
        <w:t>——第i个污染物的最大地面空气质量浓度占标率，%；</w:t>
      </w:r>
    </w:p>
    <w:p w14:paraId="6B08715A">
      <w:pPr>
        <w:widowControl/>
        <w:spacing w:line="360" w:lineRule="auto"/>
        <w:ind w:firstLine="1200" w:firstLineChars="500"/>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ρ</w:t>
      </w:r>
      <w:r>
        <w:rPr>
          <w:rFonts w:hint="default" w:ascii="Times New Roman" w:hAnsi="Times New Roman" w:eastAsia="宋体" w:cs="Times New Roman"/>
          <w:color w:val="auto"/>
          <w:kern w:val="0"/>
          <w:sz w:val="24"/>
          <w:szCs w:val="20"/>
          <w:highlight w:val="none"/>
          <w:vertAlign w:val="subscript"/>
        </w:rPr>
        <w:t>i</w:t>
      </w:r>
      <w:r>
        <w:rPr>
          <w:rFonts w:hint="default" w:ascii="Times New Roman" w:hAnsi="Times New Roman" w:eastAsia="宋体" w:cs="Times New Roman"/>
          <w:color w:val="auto"/>
          <w:kern w:val="0"/>
          <w:sz w:val="24"/>
          <w:szCs w:val="20"/>
          <w:highlight w:val="none"/>
        </w:rPr>
        <w:t>——采用估算模式计算出的第i个污染物的最大1h地面空气质量浓度，µg/m</w:t>
      </w:r>
      <w:r>
        <w:rPr>
          <w:rFonts w:hint="default" w:ascii="Times New Roman" w:hAnsi="Times New Roman" w:eastAsia="宋体" w:cs="Times New Roman"/>
          <w:color w:val="auto"/>
          <w:kern w:val="0"/>
          <w:sz w:val="24"/>
          <w:szCs w:val="20"/>
          <w:highlight w:val="none"/>
          <w:vertAlign w:val="superscript"/>
        </w:rPr>
        <w:t>3</w:t>
      </w:r>
      <w:r>
        <w:rPr>
          <w:rFonts w:hint="default" w:ascii="Times New Roman" w:hAnsi="Times New Roman" w:eastAsia="宋体" w:cs="Times New Roman"/>
          <w:color w:val="auto"/>
          <w:kern w:val="0"/>
          <w:sz w:val="24"/>
          <w:szCs w:val="20"/>
          <w:highlight w:val="none"/>
        </w:rPr>
        <w:t>；</w:t>
      </w:r>
    </w:p>
    <w:p w14:paraId="42055A81">
      <w:pPr>
        <w:widowControl/>
        <w:spacing w:line="360" w:lineRule="auto"/>
        <w:ind w:firstLine="1200" w:firstLineChars="500"/>
        <w:jc w:val="both"/>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eastAsia="宋体" w:cs="Times New Roman"/>
          <w:color w:val="auto"/>
          <w:kern w:val="0"/>
          <w:sz w:val="24"/>
          <w:szCs w:val="20"/>
          <w:highlight w:val="none"/>
        </w:rPr>
        <w:t>ρ</w:t>
      </w:r>
      <w:r>
        <w:rPr>
          <w:rFonts w:hint="default" w:ascii="Times New Roman" w:hAnsi="Times New Roman" w:eastAsia="宋体" w:cs="Times New Roman"/>
          <w:color w:val="auto"/>
          <w:kern w:val="0"/>
          <w:sz w:val="24"/>
          <w:szCs w:val="20"/>
          <w:highlight w:val="none"/>
          <w:vertAlign w:val="subscript"/>
        </w:rPr>
        <w:t>0i</w:t>
      </w:r>
      <w:r>
        <w:rPr>
          <w:rFonts w:hint="default" w:ascii="Times New Roman" w:hAnsi="Times New Roman" w:eastAsia="宋体" w:cs="Times New Roman"/>
          <w:color w:val="auto"/>
          <w:kern w:val="0"/>
          <w:sz w:val="24"/>
          <w:szCs w:val="20"/>
          <w:highlight w:val="none"/>
        </w:rPr>
        <w:t>——第i个污染物的环境空气质量标准，µg/m</w:t>
      </w:r>
      <w:r>
        <w:rPr>
          <w:rFonts w:hint="default" w:ascii="Times New Roman" w:hAnsi="Times New Roman" w:eastAsia="宋体" w:cs="Times New Roman"/>
          <w:color w:val="auto"/>
          <w:kern w:val="0"/>
          <w:sz w:val="24"/>
          <w:szCs w:val="20"/>
          <w:highlight w:val="none"/>
          <w:vertAlign w:val="superscript"/>
        </w:rPr>
        <w:t>3</w:t>
      </w:r>
      <w:r>
        <w:rPr>
          <w:rFonts w:hint="default" w:ascii="Times New Roman" w:hAnsi="Times New Roman" w:eastAsia="宋体" w:cs="Times New Roman"/>
          <w:color w:val="auto"/>
          <w:kern w:val="0"/>
          <w:sz w:val="24"/>
          <w:szCs w:val="20"/>
          <w:highlight w:val="none"/>
        </w:rPr>
        <w:t>。一般选用GB3095中1h平均质量浓度的二级浓度限值，如项目位于一类环境空气功能区，应选择相应的一级浓度限值；对该标准中未包含的污染物，使用</w:t>
      </w:r>
      <w:r>
        <w:rPr>
          <w:rFonts w:hint="default" w:ascii="Times New Roman" w:hAnsi="Times New Roman" w:cs="Times New Roman"/>
          <w:color w:val="auto"/>
          <w:kern w:val="0"/>
          <w:sz w:val="24"/>
          <w:szCs w:val="20"/>
          <w:highlight w:val="none"/>
          <w:lang w:val="en-US" w:eastAsia="zh-CN"/>
        </w:rPr>
        <w:t>2.5.1章节</w:t>
      </w:r>
      <w:r>
        <w:rPr>
          <w:rFonts w:hint="default" w:ascii="Times New Roman" w:hAnsi="Times New Roman" w:eastAsia="宋体" w:cs="Times New Roman"/>
          <w:color w:val="auto"/>
          <w:kern w:val="0"/>
          <w:sz w:val="24"/>
          <w:szCs w:val="20"/>
          <w:highlight w:val="none"/>
        </w:rPr>
        <w:t>确定的各评价因子1h平均质量浓度限值。对仅有8h平均质量浓度限值、日平均质量浓度限值或年平均质量浓度限值的，可分别按2倍、3倍、6倍折算为1h平均质量浓度限值</w:t>
      </w:r>
      <w:r>
        <w:rPr>
          <w:rFonts w:hint="default" w:ascii="Times New Roman" w:hAnsi="Times New Roman" w:eastAsia="宋体" w:cs="Times New Roman"/>
          <w:color w:val="auto"/>
          <w:kern w:val="0"/>
          <w:sz w:val="24"/>
          <w:szCs w:val="20"/>
          <w:highlight w:val="none"/>
          <w:lang w:eastAsia="zh-CN"/>
        </w:rPr>
        <w:t>。</w:t>
      </w:r>
    </w:p>
    <w:p w14:paraId="0910F1EC">
      <w:pPr>
        <w:widowControl/>
        <w:spacing w:line="360" w:lineRule="auto"/>
        <w:ind w:firstLine="480" w:firstLineChars="200"/>
        <w:jc w:val="both"/>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eastAsia="宋体" w:cs="Times New Roman"/>
          <w:color w:val="auto"/>
          <w:kern w:val="0"/>
          <w:sz w:val="24"/>
          <w:szCs w:val="20"/>
          <w:highlight w:val="none"/>
          <w:lang w:eastAsia="zh-CN"/>
        </w:rPr>
        <w:t>大气评价工作级别详见表2.6-1。</w:t>
      </w:r>
    </w:p>
    <w:p w14:paraId="3546D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黑体" w:cs="Times New Roman"/>
          <w:b w:val="0"/>
          <w:bCs/>
          <w:color w:val="auto"/>
          <w:kern w:val="0"/>
          <w:sz w:val="21"/>
          <w:szCs w:val="21"/>
          <w:highlight w:val="none"/>
          <w:lang w:val="en-US" w:eastAsia="zh-CN"/>
        </w:rPr>
        <w:t>表2.6-1评价工作等级</w:t>
      </w:r>
    </w:p>
    <w:tbl>
      <w:tblPr>
        <w:tblStyle w:val="35"/>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5894"/>
      </w:tblGrid>
      <w:tr w14:paraId="0208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pct"/>
            <w:noWrap w:val="0"/>
            <w:vAlign w:val="center"/>
          </w:tcPr>
          <w:p w14:paraId="03B90B1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3515" w:type="pct"/>
            <w:noWrap w:val="0"/>
            <w:vAlign w:val="center"/>
          </w:tcPr>
          <w:p w14:paraId="6369083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评价工作分级判据</w:t>
            </w:r>
          </w:p>
        </w:tc>
      </w:tr>
      <w:tr w14:paraId="63F3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4" w:type="pct"/>
            <w:noWrap w:val="0"/>
            <w:vAlign w:val="center"/>
          </w:tcPr>
          <w:p w14:paraId="364370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一级评价</w:t>
            </w:r>
          </w:p>
        </w:tc>
        <w:tc>
          <w:tcPr>
            <w:tcW w:w="3515" w:type="pct"/>
            <w:noWrap w:val="0"/>
            <w:vAlign w:val="center"/>
          </w:tcPr>
          <w:p w14:paraId="6C838E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u w:val="none"/>
              </w:rPr>
              <w:t>P</w:t>
            </w:r>
            <w:r>
              <w:rPr>
                <w:rFonts w:hint="default" w:ascii="Times New Roman" w:hAnsi="Times New Roman" w:eastAsia="宋体" w:cs="Times New Roman"/>
                <w:color w:val="auto"/>
                <w:sz w:val="21"/>
                <w:szCs w:val="21"/>
                <w:highlight w:val="none"/>
                <w:u w:val="none"/>
                <w:vertAlign w:val="subscript"/>
              </w:rPr>
              <w:t>max</w:t>
            </w:r>
            <w:r>
              <w:rPr>
                <w:rFonts w:hint="default" w:ascii="Times New Roman" w:hAnsi="Times New Roman" w:eastAsia="宋体" w:cs="Times New Roman"/>
                <w:color w:val="auto"/>
                <w:sz w:val="21"/>
                <w:szCs w:val="21"/>
                <w:highlight w:val="none"/>
                <w:u w:val="none"/>
              </w:rPr>
              <w:t>≥10%</w:t>
            </w:r>
          </w:p>
        </w:tc>
      </w:tr>
      <w:tr w14:paraId="6BDC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pct"/>
            <w:noWrap w:val="0"/>
            <w:vAlign w:val="center"/>
          </w:tcPr>
          <w:p w14:paraId="17A1D2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二级评价</w:t>
            </w:r>
          </w:p>
        </w:tc>
        <w:tc>
          <w:tcPr>
            <w:tcW w:w="3515" w:type="pct"/>
            <w:noWrap w:val="0"/>
            <w:vAlign w:val="center"/>
          </w:tcPr>
          <w:p w14:paraId="24C66C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1%≤P</w:t>
            </w:r>
            <w:r>
              <w:rPr>
                <w:rFonts w:hint="default" w:ascii="Times New Roman" w:hAnsi="Times New Roman" w:cs="Times New Roman"/>
                <w:color w:val="auto"/>
                <w:sz w:val="21"/>
                <w:szCs w:val="21"/>
                <w:highlight w:val="none"/>
                <w:vertAlign w:val="subscript"/>
              </w:rPr>
              <w:t>max</w:t>
            </w:r>
            <w:r>
              <w:rPr>
                <w:rFonts w:hint="default" w:ascii="Times New Roman" w:hAnsi="Times New Roman" w:cs="Times New Roman"/>
                <w:color w:val="auto"/>
                <w:sz w:val="21"/>
                <w:szCs w:val="21"/>
                <w:highlight w:val="none"/>
              </w:rPr>
              <w:t>＜10%</w:t>
            </w:r>
          </w:p>
        </w:tc>
      </w:tr>
      <w:tr w14:paraId="7A6A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pct"/>
            <w:noWrap w:val="0"/>
            <w:vAlign w:val="center"/>
          </w:tcPr>
          <w:p w14:paraId="48CC6B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三级评价</w:t>
            </w:r>
          </w:p>
        </w:tc>
        <w:tc>
          <w:tcPr>
            <w:tcW w:w="3515" w:type="pct"/>
            <w:noWrap w:val="0"/>
            <w:vAlign w:val="center"/>
          </w:tcPr>
          <w:p w14:paraId="4C91D5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vertAlign w:val="subscript"/>
              </w:rPr>
              <w:t>max</w:t>
            </w:r>
            <w:r>
              <w:rPr>
                <w:rFonts w:hint="default" w:ascii="Times New Roman" w:hAnsi="Times New Roman" w:cs="Times New Roman"/>
                <w:color w:val="auto"/>
                <w:sz w:val="21"/>
                <w:szCs w:val="21"/>
                <w:highlight w:val="none"/>
              </w:rPr>
              <w:t>＜1%</w:t>
            </w:r>
          </w:p>
        </w:tc>
      </w:tr>
    </w:tbl>
    <w:p w14:paraId="6DB83B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Cs w:val="24"/>
          <w:highlight w:val="none"/>
          <w:lang w:eastAsia="zh-CN"/>
        </w:rPr>
      </w:pPr>
      <w:r>
        <w:rPr>
          <w:rFonts w:hint="default" w:ascii="Times New Roman" w:hAnsi="Times New Roman" w:eastAsia="宋体" w:cs="Times New Roman"/>
          <w:color w:val="auto"/>
          <w:kern w:val="0"/>
          <w:szCs w:val="24"/>
          <w:highlight w:val="none"/>
          <w:lang w:eastAsia="zh-CN"/>
        </w:rPr>
        <w:t>估算模式所用参数见表2.6-2。</w:t>
      </w:r>
    </w:p>
    <w:p w14:paraId="5DC8A8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kern w:val="0"/>
          <w:sz w:val="21"/>
          <w:szCs w:val="21"/>
          <w:highlight w:val="none"/>
          <w:lang w:val="en-US" w:eastAsia="zh-CN"/>
        </w:rPr>
      </w:pPr>
      <w:r>
        <w:rPr>
          <w:rFonts w:hint="default" w:ascii="Times New Roman" w:hAnsi="Times New Roman" w:eastAsia="黑体" w:cs="Times New Roman"/>
          <w:b w:val="0"/>
          <w:bCs/>
          <w:color w:val="auto"/>
          <w:kern w:val="0"/>
          <w:sz w:val="21"/>
          <w:szCs w:val="21"/>
          <w:highlight w:val="none"/>
          <w:lang w:val="en-US" w:eastAsia="zh-CN"/>
        </w:rPr>
        <w:t>表2.6-2</w:t>
      </w:r>
      <w:r>
        <w:rPr>
          <w:rFonts w:hint="eastAsia" w:eastAsia="黑体" w:cs="Times New Roman"/>
          <w:b w:val="0"/>
          <w:bCs/>
          <w:color w:val="auto"/>
          <w:kern w:val="0"/>
          <w:sz w:val="21"/>
          <w:szCs w:val="21"/>
          <w:highlight w:val="none"/>
          <w:lang w:val="en-US" w:eastAsia="zh-CN"/>
        </w:rPr>
        <w:t xml:space="preserve">  </w:t>
      </w:r>
      <w:r>
        <w:rPr>
          <w:rFonts w:hint="default" w:ascii="Times New Roman" w:hAnsi="Times New Roman" w:eastAsia="黑体" w:cs="Times New Roman"/>
          <w:b w:val="0"/>
          <w:bCs/>
          <w:color w:val="auto"/>
          <w:kern w:val="0"/>
          <w:sz w:val="21"/>
          <w:szCs w:val="21"/>
          <w:highlight w:val="none"/>
          <w:lang w:val="en-US" w:eastAsia="zh-CN"/>
        </w:rPr>
        <w:t>估算模型参数表</w:t>
      </w:r>
    </w:p>
    <w:tbl>
      <w:tblPr>
        <w:tblStyle w:val="3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88"/>
        <w:gridCol w:w="2637"/>
        <w:gridCol w:w="3597"/>
      </w:tblGrid>
      <w:tr w14:paraId="41CD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2DB7F1ED">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3510" w:type="dxa"/>
            <w:noWrap w:val="0"/>
            <w:vAlign w:val="center"/>
          </w:tcPr>
          <w:p w14:paraId="74E445A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取值</w:t>
            </w:r>
          </w:p>
        </w:tc>
      </w:tr>
      <w:tr w14:paraId="231B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restart"/>
            <w:noWrap w:val="0"/>
            <w:vAlign w:val="center"/>
          </w:tcPr>
          <w:p w14:paraId="768D6C6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城市/农村选项</w:t>
            </w:r>
          </w:p>
        </w:tc>
        <w:tc>
          <w:tcPr>
            <w:tcW w:w="2573" w:type="dxa"/>
            <w:noWrap w:val="0"/>
            <w:vAlign w:val="center"/>
          </w:tcPr>
          <w:p w14:paraId="132A59FE">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w:t>
            </w:r>
          </w:p>
        </w:tc>
        <w:tc>
          <w:tcPr>
            <w:tcW w:w="3510" w:type="dxa"/>
            <w:noWrap w:val="0"/>
            <w:vAlign w:val="center"/>
          </w:tcPr>
          <w:p w14:paraId="1FD3AC6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农村</w:t>
            </w:r>
          </w:p>
        </w:tc>
      </w:tr>
      <w:tr w14:paraId="3E95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3E45F3AA">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4AA1550E">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人口数（城市人口数）</w:t>
            </w:r>
          </w:p>
        </w:tc>
        <w:tc>
          <w:tcPr>
            <w:tcW w:w="3510" w:type="dxa"/>
            <w:noWrap w:val="0"/>
            <w:vAlign w:val="center"/>
          </w:tcPr>
          <w:p w14:paraId="6532C6B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6AF4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3515DA5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最高环境温度/℃</w:t>
            </w:r>
          </w:p>
        </w:tc>
        <w:tc>
          <w:tcPr>
            <w:tcW w:w="3510" w:type="dxa"/>
            <w:noWrap w:val="0"/>
            <w:vAlign w:val="center"/>
          </w:tcPr>
          <w:p w14:paraId="14130D3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40.8</w:t>
            </w:r>
          </w:p>
        </w:tc>
      </w:tr>
      <w:tr w14:paraId="67F8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78E797F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最低环境温度/℃</w:t>
            </w:r>
          </w:p>
        </w:tc>
        <w:tc>
          <w:tcPr>
            <w:tcW w:w="3510" w:type="dxa"/>
            <w:noWrap w:val="0"/>
            <w:vAlign w:val="center"/>
          </w:tcPr>
          <w:p w14:paraId="01FDF65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23.7</w:t>
            </w:r>
          </w:p>
        </w:tc>
      </w:tr>
      <w:tr w14:paraId="21CB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158E10FB">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土地利用类型</w:t>
            </w:r>
          </w:p>
        </w:tc>
        <w:tc>
          <w:tcPr>
            <w:tcW w:w="3510" w:type="dxa"/>
            <w:noWrap w:val="0"/>
            <w:vAlign w:val="center"/>
          </w:tcPr>
          <w:p w14:paraId="53E6AED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荒漠</w:t>
            </w:r>
          </w:p>
        </w:tc>
      </w:tr>
      <w:tr w14:paraId="0B0E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0F53E0D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区域湿度条件</w:t>
            </w:r>
          </w:p>
        </w:tc>
        <w:tc>
          <w:tcPr>
            <w:tcW w:w="3510" w:type="dxa"/>
            <w:noWrap w:val="0"/>
            <w:vAlign w:val="center"/>
          </w:tcPr>
          <w:p w14:paraId="60E5F5A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干燥</w:t>
            </w:r>
          </w:p>
        </w:tc>
      </w:tr>
      <w:tr w14:paraId="7C8E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restart"/>
            <w:noWrap w:val="0"/>
            <w:vAlign w:val="center"/>
          </w:tcPr>
          <w:p w14:paraId="7556318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是否考虑地形</w:t>
            </w:r>
          </w:p>
        </w:tc>
        <w:tc>
          <w:tcPr>
            <w:tcW w:w="2573" w:type="dxa"/>
            <w:noWrap w:val="0"/>
            <w:vAlign w:val="center"/>
          </w:tcPr>
          <w:p w14:paraId="1C66DAE5">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考虑地形</w:t>
            </w:r>
          </w:p>
        </w:tc>
        <w:tc>
          <w:tcPr>
            <w:tcW w:w="3510" w:type="dxa"/>
            <w:noWrap w:val="0"/>
            <w:vAlign w:val="center"/>
          </w:tcPr>
          <w:p w14:paraId="4087F4FD">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shd w:val="clear" w:color="auto" w:fill="FFFFFF"/>
              </w:rPr>
              <w:t>□否</w:t>
            </w:r>
          </w:p>
        </w:tc>
      </w:tr>
      <w:tr w14:paraId="47C0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18C7617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5F9A0D1D">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地形数据分辨率（m）</w:t>
            </w:r>
          </w:p>
        </w:tc>
        <w:tc>
          <w:tcPr>
            <w:tcW w:w="3510" w:type="dxa"/>
            <w:noWrap w:val="0"/>
            <w:vAlign w:val="center"/>
          </w:tcPr>
          <w:p w14:paraId="0FD00B3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r>
      <w:tr w14:paraId="06B5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restart"/>
            <w:noWrap w:val="0"/>
            <w:vAlign w:val="center"/>
          </w:tcPr>
          <w:p w14:paraId="6D1DAEFA">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是否考虑海岸线熏烟</w:t>
            </w:r>
          </w:p>
        </w:tc>
        <w:tc>
          <w:tcPr>
            <w:tcW w:w="2573" w:type="dxa"/>
            <w:noWrap w:val="0"/>
            <w:vAlign w:val="center"/>
          </w:tcPr>
          <w:p w14:paraId="4BDE418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考虑海岸线熏烟</w:t>
            </w:r>
          </w:p>
        </w:tc>
        <w:tc>
          <w:tcPr>
            <w:tcW w:w="3510" w:type="dxa"/>
            <w:noWrap w:val="0"/>
            <w:vAlign w:val="center"/>
          </w:tcPr>
          <w:p w14:paraId="057B0FE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shd w:val="clear" w:color="auto" w:fill="FFFFFF"/>
              </w:rPr>
              <w:t>☑否</w:t>
            </w:r>
          </w:p>
        </w:tc>
      </w:tr>
      <w:tr w14:paraId="0ED6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2A8C411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3AEC109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岸线距离/km</w:t>
            </w:r>
          </w:p>
        </w:tc>
        <w:tc>
          <w:tcPr>
            <w:tcW w:w="3510" w:type="dxa"/>
            <w:noWrap w:val="0"/>
            <w:vAlign w:val="center"/>
          </w:tcPr>
          <w:p w14:paraId="5A9C57A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06D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391A021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26163B3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岸线方向/°</w:t>
            </w:r>
          </w:p>
        </w:tc>
        <w:tc>
          <w:tcPr>
            <w:tcW w:w="3510" w:type="dxa"/>
            <w:noWrap w:val="0"/>
            <w:vAlign w:val="center"/>
          </w:tcPr>
          <w:p w14:paraId="3B49F1EE">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16180958">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eastAsia="zh-CN"/>
        </w:rPr>
        <w:t>估算结果详见表2.6-3</w:t>
      </w:r>
      <w:r>
        <w:rPr>
          <w:rFonts w:hint="default" w:ascii="Times New Roman" w:hAnsi="Times New Roman" w:eastAsia="宋体" w:cs="Times New Roman"/>
          <w:color w:val="auto"/>
          <w:kern w:val="0"/>
          <w:sz w:val="24"/>
          <w:szCs w:val="20"/>
          <w:highlight w:val="none"/>
          <w:lang w:val="en-US" w:eastAsia="zh-CN"/>
        </w:rPr>
        <w:t>。</w:t>
      </w:r>
    </w:p>
    <w:p w14:paraId="255C36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kern w:val="0"/>
          <w:sz w:val="21"/>
          <w:szCs w:val="21"/>
          <w:highlight w:val="none"/>
          <w:lang w:val="en-US" w:eastAsia="zh-CN"/>
        </w:rPr>
      </w:pPr>
      <w:r>
        <w:rPr>
          <w:rFonts w:hint="default" w:ascii="Times New Roman" w:hAnsi="Times New Roman" w:eastAsia="黑体" w:cs="Times New Roman"/>
          <w:b w:val="0"/>
          <w:bCs/>
          <w:color w:val="auto"/>
          <w:kern w:val="0"/>
          <w:sz w:val="21"/>
          <w:szCs w:val="21"/>
          <w:highlight w:val="none"/>
          <w:lang w:val="en-US" w:eastAsia="zh-CN"/>
        </w:rPr>
        <w:t>表2.6-3估算模式计算结果表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3"/>
        <w:gridCol w:w="1095"/>
        <w:gridCol w:w="1118"/>
        <w:gridCol w:w="1105"/>
        <w:gridCol w:w="820"/>
        <w:gridCol w:w="728"/>
        <w:gridCol w:w="1160"/>
        <w:gridCol w:w="926"/>
      </w:tblGrid>
      <w:tr w14:paraId="0183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pct"/>
            <w:noWrap w:val="0"/>
            <w:tcMar>
              <w:top w:w="12" w:type="dxa"/>
              <w:left w:w="12" w:type="dxa"/>
              <w:bottom w:w="0" w:type="dxa"/>
              <w:right w:w="12" w:type="dxa"/>
            </w:tcMar>
            <w:vAlign w:val="center"/>
          </w:tcPr>
          <w:p w14:paraId="2ECB1579">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污染源名称</w:t>
            </w:r>
          </w:p>
        </w:tc>
        <w:tc>
          <w:tcPr>
            <w:tcW w:w="657" w:type="pct"/>
            <w:noWrap w:val="0"/>
            <w:tcMar>
              <w:top w:w="12" w:type="dxa"/>
              <w:left w:w="12" w:type="dxa"/>
              <w:bottom w:w="0" w:type="dxa"/>
              <w:right w:w="12" w:type="dxa"/>
            </w:tcMar>
            <w:vAlign w:val="center"/>
          </w:tcPr>
          <w:p w14:paraId="5EF86BE1">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评价因子</w:t>
            </w:r>
          </w:p>
        </w:tc>
        <w:tc>
          <w:tcPr>
            <w:tcW w:w="671" w:type="pct"/>
            <w:noWrap w:val="0"/>
            <w:tcMar>
              <w:top w:w="12" w:type="dxa"/>
              <w:left w:w="12" w:type="dxa"/>
              <w:bottom w:w="0" w:type="dxa"/>
              <w:right w:w="12" w:type="dxa"/>
            </w:tcMar>
            <w:vAlign w:val="center"/>
          </w:tcPr>
          <w:p w14:paraId="4E925185">
            <w:pPr>
              <w:pStyle w:val="138"/>
              <w:keepNext w:val="0"/>
              <w:keepLines w:val="0"/>
              <w:pageBreakBefore w:val="0"/>
              <w:widowControl/>
              <w:shd w:val="clear" w:color="auto" w:fill="auto"/>
              <w:kinsoku/>
              <w:wordWrap/>
              <w:overflowPunct/>
              <w:topLinePunct w:val="0"/>
              <w:autoSpaceDE/>
              <w:autoSpaceDN/>
              <w:bidi w:val="0"/>
              <w:snapToGrid/>
              <w:spacing w:after="0"/>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i</w:t>
            </w:r>
            <w:r>
              <w:rPr>
                <w:rFonts w:hint="default" w:ascii="Times New Roman" w:hAnsi="Times New Roman" w:cs="Times New Roman"/>
                <w:color w:val="auto"/>
                <w:szCs w:val="21"/>
                <w:highlight w:val="none"/>
              </w:rPr>
              <w:t>（μg/m</w:t>
            </w:r>
            <w:r>
              <w:rPr>
                <w:rFonts w:hint="default" w:ascii="Times New Roman" w:hAnsi="Times New Roman" w:cs="Times New Roman"/>
                <w:bCs/>
                <w:color w:val="auto"/>
                <w:szCs w:val="21"/>
                <w:highlight w:val="none"/>
                <w:vertAlign w:val="superscript"/>
              </w:rPr>
              <w:t>3</w:t>
            </w:r>
            <w:r>
              <w:rPr>
                <w:rFonts w:hint="default" w:ascii="Times New Roman" w:hAnsi="Times New Roman" w:cs="Times New Roman"/>
                <w:color w:val="auto"/>
                <w:szCs w:val="21"/>
                <w:highlight w:val="none"/>
              </w:rPr>
              <w:t>）</w:t>
            </w:r>
          </w:p>
        </w:tc>
        <w:tc>
          <w:tcPr>
            <w:tcW w:w="663" w:type="pct"/>
            <w:noWrap w:val="0"/>
            <w:tcMar>
              <w:top w:w="12" w:type="dxa"/>
              <w:left w:w="12" w:type="dxa"/>
              <w:bottom w:w="0" w:type="dxa"/>
              <w:right w:w="12" w:type="dxa"/>
            </w:tcMar>
            <w:vAlign w:val="center"/>
          </w:tcPr>
          <w:p w14:paraId="56C070D2">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评价标准（μg/m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492" w:type="pct"/>
            <w:noWrap w:val="0"/>
            <w:tcMar>
              <w:top w:w="12" w:type="dxa"/>
              <w:left w:w="12" w:type="dxa"/>
              <w:bottom w:w="0" w:type="dxa"/>
              <w:right w:w="12" w:type="dxa"/>
            </w:tcMar>
            <w:vAlign w:val="center"/>
          </w:tcPr>
          <w:p w14:paraId="7643E5BD">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i</w:t>
            </w:r>
            <w:r>
              <w:rPr>
                <w:rFonts w:hint="default" w:ascii="Times New Roman" w:hAnsi="Times New Roman" w:cs="Times New Roman"/>
                <w:color w:val="auto"/>
                <w:szCs w:val="21"/>
                <w:highlight w:val="none"/>
              </w:rPr>
              <w:t>（%）</w:t>
            </w:r>
          </w:p>
        </w:tc>
        <w:tc>
          <w:tcPr>
            <w:tcW w:w="437" w:type="pct"/>
            <w:noWrap w:val="0"/>
            <w:tcMar>
              <w:top w:w="12" w:type="dxa"/>
              <w:left w:w="12" w:type="dxa"/>
              <w:bottom w:w="0" w:type="dxa"/>
              <w:right w:w="12" w:type="dxa"/>
            </w:tcMar>
            <w:vAlign w:val="center"/>
          </w:tcPr>
          <w:p w14:paraId="15320C76">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max</w:t>
            </w:r>
            <w:r>
              <w:rPr>
                <w:rFonts w:hint="default" w:ascii="Times New Roman" w:hAnsi="Times New Roman" w:cs="Times New Roman"/>
                <w:color w:val="auto"/>
                <w:szCs w:val="21"/>
                <w:highlight w:val="none"/>
              </w:rPr>
              <w:t>（%）</w:t>
            </w:r>
          </w:p>
        </w:tc>
        <w:tc>
          <w:tcPr>
            <w:tcW w:w="696" w:type="pct"/>
            <w:noWrap w:val="0"/>
            <w:tcMar>
              <w:top w:w="12" w:type="dxa"/>
              <w:left w:w="12" w:type="dxa"/>
              <w:bottom w:w="0" w:type="dxa"/>
              <w:right w:w="12" w:type="dxa"/>
            </w:tcMar>
            <w:vAlign w:val="center"/>
          </w:tcPr>
          <w:p w14:paraId="2EDA0FC8">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最大浓度出现距离（m）</w:t>
            </w:r>
          </w:p>
        </w:tc>
        <w:tc>
          <w:tcPr>
            <w:tcW w:w="555" w:type="pct"/>
            <w:noWrap w:val="0"/>
            <w:tcMar>
              <w:top w:w="12" w:type="dxa"/>
              <w:left w:w="12" w:type="dxa"/>
              <w:bottom w:w="0" w:type="dxa"/>
              <w:right w:w="12" w:type="dxa"/>
            </w:tcMar>
            <w:vAlign w:val="center"/>
          </w:tcPr>
          <w:p w14:paraId="7DD453B1">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（m）</w:t>
            </w:r>
          </w:p>
        </w:tc>
      </w:tr>
      <w:tr w14:paraId="0CAB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pct"/>
            <w:vMerge w:val="restart"/>
            <w:noWrap w:val="0"/>
            <w:tcMar>
              <w:top w:w="12" w:type="dxa"/>
              <w:left w:w="12" w:type="dxa"/>
              <w:bottom w:w="0" w:type="dxa"/>
              <w:right w:w="12" w:type="dxa"/>
            </w:tcMar>
            <w:vAlign w:val="center"/>
          </w:tcPr>
          <w:p w14:paraId="5352200D">
            <w:pPr>
              <w:keepNext w:val="0"/>
              <w:keepLines w:val="0"/>
              <w:pageBreakBefore w:val="0"/>
              <w:widowControl/>
              <w:shd w:val="clear" w:color="auto" w:fill="auto"/>
              <w:kinsoku/>
              <w:wordWrap/>
              <w:overflowPunct/>
              <w:topLinePunct w:val="0"/>
              <w:autoSpaceDE/>
              <w:autoSpaceDN/>
              <w:bidi w:val="0"/>
              <w:snapToGrid/>
              <w:jc w:val="center"/>
              <w:textAlignment w:val="auto"/>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18"/>
                <w:highlight w:val="none"/>
                <w:lang w:val="en-US" w:eastAsia="zh-CN"/>
              </w:rPr>
              <w:t>T</w:t>
            </w:r>
            <w:r>
              <w:rPr>
                <w:rFonts w:hint="eastAsia" w:cs="Times New Roman"/>
                <w:color w:val="auto"/>
                <w:sz w:val="21"/>
                <w:szCs w:val="18"/>
                <w:highlight w:val="none"/>
                <w:lang w:val="en-US" w:eastAsia="zh-CN"/>
              </w:rPr>
              <w:t>H10294CH井</w:t>
            </w:r>
          </w:p>
          <w:p w14:paraId="5561A85B">
            <w:pPr>
              <w:keepNext w:val="0"/>
              <w:keepLines w:val="0"/>
              <w:pageBreakBefore w:val="0"/>
              <w:widowControl/>
              <w:shd w:val="clear" w:color="auto" w:fill="auto"/>
              <w:kinsoku/>
              <w:wordWrap/>
              <w:overflowPunct/>
              <w:topLinePunct w:val="0"/>
              <w:autoSpaceDE/>
              <w:autoSpaceDN/>
              <w:bidi w:val="0"/>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bidi="ar"/>
              </w:rPr>
              <w:t>无组织废气</w:t>
            </w:r>
          </w:p>
        </w:tc>
        <w:tc>
          <w:tcPr>
            <w:tcW w:w="657" w:type="pct"/>
            <w:noWrap w:val="0"/>
            <w:tcMar>
              <w:top w:w="12" w:type="dxa"/>
              <w:left w:w="12" w:type="dxa"/>
              <w:bottom w:w="0" w:type="dxa"/>
              <w:right w:w="12" w:type="dxa"/>
            </w:tcMar>
            <w:vAlign w:val="center"/>
          </w:tcPr>
          <w:p w14:paraId="6756EEB2">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671" w:type="pct"/>
            <w:noWrap w:val="0"/>
            <w:tcMar>
              <w:top w:w="12" w:type="dxa"/>
              <w:left w:w="12" w:type="dxa"/>
              <w:bottom w:w="0" w:type="dxa"/>
              <w:right w:w="12" w:type="dxa"/>
            </w:tcMar>
            <w:vAlign w:val="center"/>
          </w:tcPr>
          <w:p w14:paraId="43483C53">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45.037</w:t>
            </w:r>
          </w:p>
        </w:tc>
        <w:tc>
          <w:tcPr>
            <w:tcW w:w="663" w:type="pct"/>
            <w:noWrap w:val="0"/>
            <w:tcMar>
              <w:top w:w="12" w:type="dxa"/>
              <w:left w:w="12" w:type="dxa"/>
              <w:bottom w:w="0" w:type="dxa"/>
              <w:right w:w="12" w:type="dxa"/>
            </w:tcMar>
            <w:vAlign w:val="center"/>
          </w:tcPr>
          <w:p w14:paraId="26B929A9">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2000</w:t>
            </w:r>
          </w:p>
        </w:tc>
        <w:tc>
          <w:tcPr>
            <w:tcW w:w="492" w:type="pct"/>
            <w:noWrap w:val="0"/>
            <w:tcMar>
              <w:top w:w="12" w:type="dxa"/>
              <w:left w:w="12" w:type="dxa"/>
              <w:bottom w:w="0" w:type="dxa"/>
              <w:right w:w="12" w:type="dxa"/>
            </w:tcMar>
            <w:vAlign w:val="center"/>
          </w:tcPr>
          <w:p w14:paraId="23901F05">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2.25</w:t>
            </w:r>
          </w:p>
        </w:tc>
        <w:tc>
          <w:tcPr>
            <w:tcW w:w="437" w:type="pct"/>
            <w:vMerge w:val="restart"/>
            <w:noWrap w:val="0"/>
            <w:tcMar>
              <w:top w:w="12" w:type="dxa"/>
              <w:left w:w="12" w:type="dxa"/>
              <w:bottom w:w="0" w:type="dxa"/>
              <w:right w:w="12" w:type="dxa"/>
            </w:tcMar>
            <w:vAlign w:val="center"/>
          </w:tcPr>
          <w:p w14:paraId="6905D992">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2.25</w:t>
            </w:r>
          </w:p>
        </w:tc>
        <w:tc>
          <w:tcPr>
            <w:tcW w:w="696" w:type="pct"/>
            <w:vMerge w:val="restart"/>
            <w:noWrap w:val="0"/>
            <w:tcMar>
              <w:top w:w="12" w:type="dxa"/>
              <w:left w:w="12" w:type="dxa"/>
              <w:bottom w:w="0" w:type="dxa"/>
              <w:right w:w="12" w:type="dxa"/>
            </w:tcMar>
            <w:vAlign w:val="center"/>
          </w:tcPr>
          <w:p w14:paraId="5419E8E7">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555" w:type="pct"/>
            <w:vMerge w:val="restart"/>
            <w:noWrap w:val="0"/>
            <w:tcMar>
              <w:top w:w="12" w:type="dxa"/>
              <w:left w:w="12" w:type="dxa"/>
              <w:bottom w:w="0" w:type="dxa"/>
              <w:right w:w="12" w:type="dxa"/>
            </w:tcMar>
            <w:vAlign w:val="center"/>
          </w:tcPr>
          <w:p w14:paraId="3ADDD263">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BBF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pct"/>
            <w:vMerge w:val="continue"/>
            <w:noWrap w:val="0"/>
            <w:vAlign w:val="center"/>
          </w:tcPr>
          <w:p w14:paraId="136A4AB5">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c>
          <w:tcPr>
            <w:tcW w:w="657" w:type="pct"/>
            <w:noWrap w:val="0"/>
            <w:tcMar>
              <w:top w:w="12" w:type="dxa"/>
              <w:left w:w="12" w:type="dxa"/>
              <w:bottom w:w="0" w:type="dxa"/>
              <w:right w:w="12" w:type="dxa"/>
            </w:tcMar>
            <w:vAlign w:val="center"/>
          </w:tcPr>
          <w:p w14:paraId="275AB9C9">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671" w:type="pct"/>
            <w:noWrap w:val="0"/>
            <w:tcMar>
              <w:top w:w="12" w:type="dxa"/>
              <w:left w:w="12" w:type="dxa"/>
              <w:bottom w:w="0" w:type="dxa"/>
              <w:right w:w="12" w:type="dxa"/>
            </w:tcMar>
            <w:vAlign w:val="center"/>
          </w:tcPr>
          <w:p w14:paraId="60C9A954">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0.155437</w:t>
            </w:r>
          </w:p>
        </w:tc>
        <w:tc>
          <w:tcPr>
            <w:tcW w:w="663" w:type="pct"/>
            <w:noWrap w:val="0"/>
            <w:tcMar>
              <w:top w:w="12" w:type="dxa"/>
              <w:left w:w="12" w:type="dxa"/>
              <w:bottom w:w="0" w:type="dxa"/>
              <w:right w:w="12" w:type="dxa"/>
            </w:tcMar>
            <w:vAlign w:val="center"/>
          </w:tcPr>
          <w:p w14:paraId="5F096D41">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10</w:t>
            </w:r>
          </w:p>
        </w:tc>
        <w:tc>
          <w:tcPr>
            <w:tcW w:w="492" w:type="pct"/>
            <w:noWrap w:val="0"/>
            <w:tcMar>
              <w:top w:w="12" w:type="dxa"/>
              <w:left w:w="12" w:type="dxa"/>
              <w:bottom w:w="0" w:type="dxa"/>
              <w:right w:w="12" w:type="dxa"/>
            </w:tcMar>
            <w:vAlign w:val="center"/>
          </w:tcPr>
          <w:p w14:paraId="3DE3FBAB">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1.55</w:t>
            </w:r>
          </w:p>
        </w:tc>
        <w:tc>
          <w:tcPr>
            <w:tcW w:w="437" w:type="pct"/>
            <w:vMerge w:val="continue"/>
            <w:noWrap w:val="0"/>
            <w:vAlign w:val="center"/>
          </w:tcPr>
          <w:p w14:paraId="7711C46A">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c>
          <w:tcPr>
            <w:tcW w:w="696" w:type="pct"/>
            <w:vMerge w:val="continue"/>
            <w:noWrap w:val="0"/>
            <w:vAlign w:val="center"/>
          </w:tcPr>
          <w:p w14:paraId="22A9719B">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c>
          <w:tcPr>
            <w:tcW w:w="555" w:type="pct"/>
            <w:vMerge w:val="continue"/>
            <w:noWrap w:val="0"/>
            <w:tcMar>
              <w:top w:w="12" w:type="dxa"/>
              <w:left w:w="12" w:type="dxa"/>
              <w:bottom w:w="0" w:type="dxa"/>
              <w:right w:w="12" w:type="dxa"/>
            </w:tcMar>
            <w:vAlign w:val="center"/>
          </w:tcPr>
          <w:p w14:paraId="42FDFA5F">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r>
      <w:tr w14:paraId="4BDD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pct"/>
            <w:vMerge w:val="restart"/>
            <w:noWrap w:val="0"/>
            <w:vAlign w:val="center"/>
          </w:tcPr>
          <w:p w14:paraId="32C4DB82">
            <w:pPr>
              <w:keepNext w:val="0"/>
              <w:keepLines w:val="0"/>
              <w:pageBreakBefore w:val="0"/>
              <w:widowControl/>
              <w:shd w:val="clear" w:color="auto" w:fill="auto"/>
              <w:kinsoku/>
              <w:wordWrap/>
              <w:overflowPunct/>
              <w:topLinePunct w:val="0"/>
              <w:autoSpaceDE/>
              <w:autoSpaceDN/>
              <w:bidi w:val="0"/>
              <w:snapToGrid/>
              <w:jc w:val="center"/>
              <w:textAlignment w:val="auto"/>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18"/>
                <w:highlight w:val="none"/>
                <w:lang w:val="en-US" w:eastAsia="zh-CN"/>
              </w:rPr>
              <w:t>T</w:t>
            </w:r>
            <w:r>
              <w:rPr>
                <w:rFonts w:hint="eastAsia" w:ascii="Times New Roman" w:hAnsi="Times New Roman" w:cs="Times New Roman"/>
                <w:color w:val="auto"/>
                <w:sz w:val="21"/>
                <w:szCs w:val="18"/>
                <w:highlight w:val="none"/>
                <w:lang w:val="en-US" w:eastAsia="zh-CN"/>
              </w:rPr>
              <w:t>K872</w:t>
            </w:r>
            <w:r>
              <w:rPr>
                <w:rFonts w:hint="eastAsia" w:cs="Times New Roman"/>
                <w:color w:val="auto"/>
                <w:sz w:val="21"/>
                <w:szCs w:val="18"/>
                <w:highlight w:val="none"/>
                <w:lang w:val="en-US" w:eastAsia="zh-CN"/>
              </w:rPr>
              <w:t>CH井</w:t>
            </w:r>
          </w:p>
          <w:p w14:paraId="0CE4FD2F">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bidi="ar"/>
              </w:rPr>
              <w:t>无组织废气</w:t>
            </w:r>
          </w:p>
        </w:tc>
        <w:tc>
          <w:tcPr>
            <w:tcW w:w="657" w:type="pct"/>
            <w:shd w:val="clear" w:color="auto" w:fill="auto"/>
            <w:noWrap w:val="0"/>
            <w:tcMar>
              <w:top w:w="12" w:type="dxa"/>
              <w:left w:w="12" w:type="dxa"/>
              <w:bottom w:w="0" w:type="dxa"/>
              <w:right w:w="12" w:type="dxa"/>
            </w:tcMar>
            <w:vAlign w:val="center"/>
          </w:tcPr>
          <w:p w14:paraId="450B64D1">
            <w:pPr>
              <w:pStyle w:val="138"/>
              <w:keepNext w:val="0"/>
              <w:keepLines w:val="0"/>
              <w:pageBreakBefore w:val="0"/>
              <w:widowControl/>
              <w:shd w:val="clear" w:color="auto" w:fill="auto"/>
              <w:kinsoku/>
              <w:wordWrap/>
              <w:overflowPunct/>
              <w:topLinePunct w:val="0"/>
              <w:autoSpaceDE/>
              <w:autoSpaceDN/>
              <w:bidi w:val="0"/>
              <w:snapToGrid/>
              <w:spacing w:after="0"/>
              <w:ind w:firstLine="0" w:firstLineChars="0"/>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cs="Times New Roman"/>
                <w:color w:val="auto"/>
                <w:szCs w:val="21"/>
                <w:highlight w:val="none"/>
              </w:rPr>
              <w:t>非甲烷总烃</w:t>
            </w:r>
          </w:p>
        </w:tc>
        <w:tc>
          <w:tcPr>
            <w:tcW w:w="671" w:type="pct"/>
            <w:noWrap w:val="0"/>
            <w:tcMar>
              <w:top w:w="12" w:type="dxa"/>
              <w:left w:w="12" w:type="dxa"/>
              <w:bottom w:w="0" w:type="dxa"/>
              <w:right w:w="12" w:type="dxa"/>
            </w:tcMar>
            <w:vAlign w:val="center"/>
          </w:tcPr>
          <w:p w14:paraId="3A40B889">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eastAsia"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45.037</w:t>
            </w:r>
          </w:p>
        </w:tc>
        <w:tc>
          <w:tcPr>
            <w:tcW w:w="663" w:type="pct"/>
            <w:shd w:val="clear" w:color="auto" w:fill="auto"/>
            <w:noWrap w:val="0"/>
            <w:tcMar>
              <w:top w:w="12" w:type="dxa"/>
              <w:left w:w="12" w:type="dxa"/>
              <w:bottom w:w="0" w:type="dxa"/>
              <w:right w:w="12" w:type="dxa"/>
            </w:tcMar>
            <w:vAlign w:val="center"/>
          </w:tcPr>
          <w:p w14:paraId="7ABC8CFE">
            <w:pPr>
              <w:pStyle w:val="138"/>
              <w:keepNext w:val="0"/>
              <w:keepLines w:val="0"/>
              <w:pageBreakBefore w:val="0"/>
              <w:widowControl/>
              <w:shd w:val="clear" w:color="auto" w:fill="auto"/>
              <w:kinsoku/>
              <w:wordWrap/>
              <w:overflowPunct/>
              <w:topLinePunct w:val="0"/>
              <w:autoSpaceDE/>
              <w:autoSpaceDN/>
              <w:bidi w:val="0"/>
              <w:snapToGrid/>
              <w:spacing w:after="0"/>
              <w:ind w:firstLine="0" w:firstLineChars="0"/>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cs="Times New Roman"/>
                <w:b w:val="0"/>
                <w:bCs w:val="0"/>
                <w:color w:val="auto"/>
                <w:szCs w:val="21"/>
                <w:highlight w:val="none"/>
              </w:rPr>
              <w:t>2000</w:t>
            </w:r>
          </w:p>
        </w:tc>
        <w:tc>
          <w:tcPr>
            <w:tcW w:w="492" w:type="pct"/>
            <w:noWrap w:val="0"/>
            <w:tcMar>
              <w:top w:w="12" w:type="dxa"/>
              <w:left w:w="12" w:type="dxa"/>
              <w:bottom w:w="0" w:type="dxa"/>
              <w:right w:w="12" w:type="dxa"/>
            </w:tcMar>
            <w:vAlign w:val="center"/>
          </w:tcPr>
          <w:p w14:paraId="4019E597">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2.25</w:t>
            </w:r>
          </w:p>
        </w:tc>
        <w:tc>
          <w:tcPr>
            <w:tcW w:w="437" w:type="pct"/>
            <w:vMerge w:val="restart"/>
            <w:noWrap w:val="0"/>
            <w:vAlign w:val="center"/>
          </w:tcPr>
          <w:p w14:paraId="2011835B">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2.25</w:t>
            </w:r>
          </w:p>
        </w:tc>
        <w:tc>
          <w:tcPr>
            <w:tcW w:w="696" w:type="pct"/>
            <w:vMerge w:val="restart"/>
            <w:noWrap w:val="0"/>
            <w:vAlign w:val="center"/>
          </w:tcPr>
          <w:p w14:paraId="5BAC6132">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555" w:type="pct"/>
            <w:vMerge w:val="restart"/>
            <w:noWrap w:val="0"/>
            <w:tcMar>
              <w:top w:w="12" w:type="dxa"/>
              <w:left w:w="12" w:type="dxa"/>
              <w:bottom w:w="0" w:type="dxa"/>
              <w:right w:w="12" w:type="dxa"/>
            </w:tcMar>
            <w:vAlign w:val="center"/>
          </w:tcPr>
          <w:p w14:paraId="1EB87934">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14:paraId="71CC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pct"/>
            <w:vMerge w:val="continue"/>
            <w:noWrap w:val="0"/>
            <w:vAlign w:val="center"/>
          </w:tcPr>
          <w:p w14:paraId="4D09AC59">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c>
          <w:tcPr>
            <w:tcW w:w="657" w:type="pct"/>
            <w:shd w:val="clear" w:color="auto" w:fill="auto"/>
            <w:noWrap w:val="0"/>
            <w:tcMar>
              <w:top w:w="12" w:type="dxa"/>
              <w:left w:w="12" w:type="dxa"/>
              <w:bottom w:w="0" w:type="dxa"/>
              <w:right w:w="12" w:type="dxa"/>
            </w:tcMar>
            <w:vAlign w:val="center"/>
          </w:tcPr>
          <w:p w14:paraId="03CFEA52">
            <w:pPr>
              <w:pStyle w:val="138"/>
              <w:keepNext w:val="0"/>
              <w:keepLines w:val="0"/>
              <w:pageBreakBefore w:val="0"/>
              <w:widowControl/>
              <w:shd w:val="clear" w:color="auto" w:fill="auto"/>
              <w:kinsoku/>
              <w:wordWrap/>
              <w:overflowPunct/>
              <w:topLinePunct w:val="0"/>
              <w:autoSpaceDE/>
              <w:autoSpaceDN/>
              <w:bidi w:val="0"/>
              <w:snapToGrid/>
              <w:spacing w:after="0"/>
              <w:ind w:firstLine="0" w:firstLineChars="0"/>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cs="Times New Roman"/>
                <w:color w:val="auto"/>
                <w:szCs w:val="21"/>
                <w:highlight w:val="none"/>
              </w:rPr>
              <w:t>硫化氢</w:t>
            </w:r>
          </w:p>
        </w:tc>
        <w:tc>
          <w:tcPr>
            <w:tcW w:w="671" w:type="pct"/>
            <w:noWrap w:val="0"/>
            <w:tcMar>
              <w:top w:w="12" w:type="dxa"/>
              <w:left w:w="12" w:type="dxa"/>
              <w:bottom w:w="0" w:type="dxa"/>
              <w:right w:w="12" w:type="dxa"/>
            </w:tcMar>
            <w:vAlign w:val="center"/>
          </w:tcPr>
          <w:p w14:paraId="0451A431">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eastAsia"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0.043841</w:t>
            </w:r>
          </w:p>
        </w:tc>
        <w:tc>
          <w:tcPr>
            <w:tcW w:w="663" w:type="pct"/>
            <w:shd w:val="clear" w:color="auto" w:fill="auto"/>
            <w:noWrap w:val="0"/>
            <w:tcMar>
              <w:top w:w="12" w:type="dxa"/>
              <w:left w:w="12" w:type="dxa"/>
              <w:bottom w:w="0" w:type="dxa"/>
              <w:right w:w="12" w:type="dxa"/>
            </w:tcMar>
            <w:vAlign w:val="center"/>
          </w:tcPr>
          <w:p w14:paraId="10E52764">
            <w:pPr>
              <w:pStyle w:val="138"/>
              <w:keepNext w:val="0"/>
              <w:keepLines w:val="0"/>
              <w:pageBreakBefore w:val="0"/>
              <w:widowControl/>
              <w:shd w:val="clear" w:color="auto" w:fill="auto"/>
              <w:kinsoku/>
              <w:wordWrap/>
              <w:overflowPunct/>
              <w:topLinePunct w:val="0"/>
              <w:autoSpaceDE/>
              <w:autoSpaceDN/>
              <w:bidi w:val="0"/>
              <w:snapToGrid/>
              <w:spacing w:after="0"/>
              <w:ind w:firstLine="0" w:firstLineChars="0"/>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cs="Times New Roman"/>
                <w:b w:val="0"/>
                <w:bCs w:val="0"/>
                <w:color w:val="auto"/>
                <w:szCs w:val="21"/>
                <w:highlight w:val="none"/>
              </w:rPr>
              <w:t>10</w:t>
            </w:r>
          </w:p>
        </w:tc>
        <w:tc>
          <w:tcPr>
            <w:tcW w:w="492" w:type="pct"/>
            <w:noWrap w:val="0"/>
            <w:tcMar>
              <w:top w:w="12" w:type="dxa"/>
              <w:left w:w="12" w:type="dxa"/>
              <w:bottom w:w="0" w:type="dxa"/>
              <w:right w:w="12" w:type="dxa"/>
            </w:tcMar>
            <w:vAlign w:val="center"/>
          </w:tcPr>
          <w:p w14:paraId="2583F3FC">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0.44</w:t>
            </w:r>
          </w:p>
        </w:tc>
        <w:tc>
          <w:tcPr>
            <w:tcW w:w="437" w:type="pct"/>
            <w:vMerge w:val="continue"/>
            <w:noWrap w:val="0"/>
            <w:vAlign w:val="center"/>
          </w:tcPr>
          <w:p w14:paraId="0FC45E27">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c>
          <w:tcPr>
            <w:tcW w:w="696" w:type="pct"/>
            <w:vMerge w:val="continue"/>
            <w:noWrap w:val="0"/>
            <w:vAlign w:val="center"/>
          </w:tcPr>
          <w:p w14:paraId="2794DD51">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c>
          <w:tcPr>
            <w:tcW w:w="555" w:type="pct"/>
            <w:vMerge w:val="continue"/>
            <w:noWrap w:val="0"/>
            <w:tcMar>
              <w:top w:w="12" w:type="dxa"/>
              <w:left w:w="12" w:type="dxa"/>
              <w:bottom w:w="0" w:type="dxa"/>
              <w:right w:w="12" w:type="dxa"/>
            </w:tcMar>
            <w:vAlign w:val="center"/>
          </w:tcPr>
          <w:p w14:paraId="60530EC6">
            <w:pPr>
              <w:pStyle w:val="138"/>
              <w:keepNext w:val="0"/>
              <w:keepLines w:val="0"/>
              <w:pageBreakBefore w:val="0"/>
              <w:widowControl/>
              <w:shd w:val="clear" w:color="auto" w:fill="auto"/>
              <w:kinsoku/>
              <w:wordWrap/>
              <w:overflowPunct/>
              <w:topLinePunct w:val="0"/>
              <w:autoSpaceDE/>
              <w:autoSpaceDN/>
              <w:bidi w:val="0"/>
              <w:snapToGrid/>
              <w:spacing w:after="0"/>
              <w:textAlignment w:val="auto"/>
              <w:rPr>
                <w:rFonts w:hint="default" w:ascii="Times New Roman" w:hAnsi="Times New Roman" w:cs="Times New Roman"/>
                <w:color w:val="auto"/>
                <w:szCs w:val="21"/>
                <w:highlight w:val="none"/>
              </w:rPr>
            </w:pPr>
          </w:p>
        </w:tc>
      </w:tr>
    </w:tbl>
    <w:p w14:paraId="709F68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kern w:val="0"/>
          <w:sz w:val="21"/>
          <w:szCs w:val="21"/>
          <w:highlight w:val="none"/>
          <w:lang w:val="en-US" w:eastAsia="zh-CN"/>
        </w:rPr>
      </w:pPr>
    </w:p>
    <w:p w14:paraId="7CF9270E">
      <w:pPr>
        <w:widowControl/>
        <w:spacing w:line="360" w:lineRule="auto"/>
        <w:ind w:firstLine="480" w:firstLineChars="200"/>
        <w:jc w:val="both"/>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eastAsia="宋体" w:cs="Times New Roman"/>
          <w:color w:val="auto"/>
          <w:kern w:val="0"/>
          <w:sz w:val="24"/>
          <w:szCs w:val="20"/>
          <w:highlight w:val="none"/>
          <w:lang w:eastAsia="zh-CN"/>
        </w:rPr>
        <w:t>经计算可知，</w:t>
      </w:r>
      <w:r>
        <w:rPr>
          <w:rFonts w:hint="default" w:ascii="Times New Roman" w:hAnsi="Times New Roman" w:cs="Times New Roman"/>
          <w:color w:val="auto"/>
          <w:kern w:val="0"/>
          <w:sz w:val="24"/>
          <w:szCs w:val="20"/>
          <w:highlight w:val="none"/>
          <w:lang w:eastAsia="zh-CN"/>
        </w:rPr>
        <w:t>本项目</w:t>
      </w:r>
      <w:r>
        <w:rPr>
          <w:rFonts w:hint="default" w:ascii="Times New Roman" w:hAnsi="Times New Roman" w:eastAsia="宋体" w:cs="Times New Roman"/>
          <w:color w:val="auto"/>
          <w:kern w:val="0"/>
          <w:sz w:val="24"/>
          <w:szCs w:val="20"/>
          <w:highlight w:val="none"/>
          <w:lang w:eastAsia="zh-CN"/>
        </w:rPr>
        <w:t>最大占标率为</w:t>
      </w:r>
      <w:r>
        <w:rPr>
          <w:rFonts w:hint="eastAsia" w:cs="Times New Roman"/>
          <w:color w:val="auto"/>
          <w:kern w:val="0"/>
          <w:sz w:val="24"/>
          <w:szCs w:val="20"/>
          <w:highlight w:val="none"/>
          <w:lang w:val="en-US" w:eastAsia="zh-CN"/>
        </w:rPr>
        <w:t>2.25</w:t>
      </w:r>
      <w:r>
        <w:rPr>
          <w:rFonts w:hint="default" w:ascii="Times New Roman" w:hAnsi="Times New Roman" w:eastAsia="宋体" w:cs="Times New Roman"/>
          <w:color w:val="auto"/>
          <w:kern w:val="0"/>
          <w:sz w:val="24"/>
          <w:szCs w:val="20"/>
          <w:highlight w:val="none"/>
          <w:lang w:eastAsia="zh-CN"/>
        </w:rPr>
        <w:t>%</w:t>
      </w:r>
      <w:r>
        <w:rPr>
          <w:rFonts w:hint="eastAsia" w:cs="Times New Roman"/>
          <w:color w:val="auto"/>
          <w:kern w:val="0"/>
          <w:sz w:val="24"/>
          <w:szCs w:val="20"/>
          <w:highlight w:val="none"/>
          <w:lang w:eastAsia="zh-CN"/>
        </w:rPr>
        <w:t>，</w:t>
      </w:r>
      <w:r>
        <w:rPr>
          <w:rFonts w:hint="eastAsia" w:cs="Times New Roman"/>
          <w:color w:val="auto"/>
          <w:kern w:val="0"/>
          <w:sz w:val="24"/>
          <w:szCs w:val="20"/>
          <w:highlight w:val="none"/>
          <w:lang w:val="en-US" w:eastAsia="zh-CN"/>
        </w:rPr>
        <w:t>来自井场无组织非甲烷总烃排放占标率</w:t>
      </w:r>
      <w:r>
        <w:rPr>
          <w:rFonts w:hint="eastAsia"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lang w:eastAsia="zh-CN"/>
        </w:rPr>
        <w:t>占标率10%的最远距离D</w:t>
      </w:r>
      <w:r>
        <w:rPr>
          <w:rFonts w:hint="default" w:ascii="Times New Roman" w:hAnsi="Times New Roman" w:eastAsia="宋体" w:cs="Times New Roman"/>
          <w:color w:val="auto"/>
          <w:kern w:val="0"/>
          <w:sz w:val="24"/>
          <w:szCs w:val="20"/>
          <w:highlight w:val="none"/>
          <w:vertAlign w:val="subscript"/>
          <w:lang w:eastAsia="zh-CN"/>
        </w:rPr>
        <w:t>10%</w:t>
      </w:r>
      <w:r>
        <w:rPr>
          <w:rFonts w:hint="default" w:ascii="Times New Roman" w:hAnsi="Times New Roman" w:eastAsia="宋体" w:cs="Times New Roman"/>
          <w:color w:val="auto"/>
          <w:kern w:val="0"/>
          <w:sz w:val="24"/>
          <w:szCs w:val="20"/>
          <w:highlight w:val="none"/>
          <w:lang w:eastAsia="zh-CN"/>
        </w:rPr>
        <w:t>为0m，最大占标率</w:t>
      </w:r>
      <w:r>
        <w:rPr>
          <w:rFonts w:hint="default" w:ascii="Times New Roman" w:hAnsi="Times New Roman" w:eastAsia="宋体" w:cs="Times New Roman"/>
          <w:color w:val="auto"/>
          <w:kern w:val="0"/>
          <w:sz w:val="24"/>
          <w:szCs w:val="20"/>
          <w:highlight w:val="none"/>
          <w:lang w:val="en-US" w:eastAsia="zh-CN"/>
        </w:rPr>
        <w:t>在</w:t>
      </w:r>
      <w:r>
        <w:rPr>
          <w:rFonts w:hint="default" w:ascii="Times New Roman" w:hAnsi="Times New Roman" w:eastAsia="宋体" w:cs="Times New Roman"/>
          <w:color w:val="auto"/>
          <w:kern w:val="0"/>
          <w:sz w:val="24"/>
          <w:szCs w:val="20"/>
          <w:highlight w:val="none"/>
          <w:lang w:eastAsia="zh-CN"/>
        </w:rPr>
        <w:t>1%≤Pmax＜10%，根据《环境影响评价技术导则大气环境》（HJ2.2-2018）中大气环境评价工作分级判据判别，确定本次环评大气影响评价的工作等级为二级。</w:t>
      </w:r>
    </w:p>
    <w:p w14:paraId="2CBC565F">
      <w:pPr>
        <w:widowControl/>
        <w:spacing w:line="360" w:lineRule="auto"/>
        <w:ind w:firstLine="480" w:firstLineChars="200"/>
        <w:jc w:val="both"/>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eastAsia="宋体" w:cs="Times New Roman"/>
          <w:color w:val="auto"/>
          <w:kern w:val="0"/>
          <w:sz w:val="24"/>
          <w:szCs w:val="20"/>
          <w:highlight w:val="none"/>
          <w:lang w:eastAsia="zh-CN"/>
        </w:rPr>
        <w:t>（2）评价范围</w:t>
      </w:r>
    </w:p>
    <w:p w14:paraId="0DB037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4"/>
          <w:szCs w:val="20"/>
          <w:highlight w:val="none"/>
          <w:lang w:eastAsia="zh-CN"/>
        </w:rPr>
        <w:t>根据《环境影响评价技术导则大气环境》（HJ2.2-2018）的规定，并结合</w:t>
      </w:r>
      <w:r>
        <w:rPr>
          <w:rFonts w:hint="default" w:ascii="Times New Roman" w:hAnsi="Times New Roman" w:cs="Times New Roman"/>
          <w:color w:val="auto"/>
          <w:kern w:val="0"/>
          <w:sz w:val="24"/>
          <w:szCs w:val="20"/>
          <w:highlight w:val="none"/>
          <w:lang w:eastAsia="zh-CN"/>
        </w:rPr>
        <w:t>本项目</w:t>
      </w:r>
      <w:r>
        <w:rPr>
          <w:rFonts w:hint="default" w:ascii="Times New Roman" w:hAnsi="Times New Roman" w:eastAsia="宋体" w:cs="Times New Roman"/>
          <w:color w:val="auto"/>
          <w:kern w:val="0"/>
          <w:sz w:val="24"/>
          <w:szCs w:val="20"/>
          <w:highlight w:val="none"/>
          <w:lang w:eastAsia="zh-CN"/>
        </w:rPr>
        <w:t>特点，考虑油田整体开发对大气环境的区域影响，最终确定大气环境影响评价范围为以</w:t>
      </w:r>
      <w:r>
        <w:rPr>
          <w:rFonts w:hint="eastAsia" w:cs="Times New Roman"/>
          <w:color w:val="auto"/>
          <w:kern w:val="0"/>
          <w:sz w:val="24"/>
          <w:szCs w:val="20"/>
          <w:highlight w:val="none"/>
          <w:lang w:val="en-US" w:eastAsia="zh-CN"/>
        </w:rPr>
        <w:t>各</w:t>
      </w:r>
      <w:r>
        <w:rPr>
          <w:rFonts w:hint="default" w:ascii="Times New Roman" w:hAnsi="Times New Roman" w:eastAsia="宋体" w:cs="Times New Roman"/>
          <w:color w:val="auto"/>
          <w:kern w:val="0"/>
          <w:sz w:val="24"/>
          <w:szCs w:val="20"/>
          <w:highlight w:val="none"/>
          <w:lang w:eastAsia="zh-CN"/>
        </w:rPr>
        <w:t>井场为中心</w:t>
      </w:r>
      <w:r>
        <w:rPr>
          <w:rFonts w:hint="eastAsia"/>
          <w:color w:val="auto"/>
          <w:sz w:val="24"/>
          <w:szCs w:val="24"/>
          <w:highlight w:val="none"/>
        </w:rPr>
        <w:t>边长为</w:t>
      </w:r>
      <w:r>
        <w:rPr>
          <w:rFonts w:hint="eastAsia"/>
          <w:color w:val="auto"/>
          <w:sz w:val="24"/>
          <w:szCs w:val="24"/>
          <w:highlight w:val="none"/>
          <w:lang w:val="en-US" w:eastAsia="zh-CN"/>
        </w:rPr>
        <w:t>5km</w:t>
      </w:r>
      <w:r>
        <w:rPr>
          <w:rFonts w:hint="default" w:ascii="Times New Roman" w:hAnsi="Times New Roman" w:eastAsia="宋体" w:cs="Times New Roman"/>
          <w:color w:val="auto"/>
          <w:kern w:val="0"/>
          <w:sz w:val="24"/>
          <w:szCs w:val="20"/>
          <w:highlight w:val="none"/>
          <w:lang w:eastAsia="zh-CN"/>
        </w:rPr>
        <w:t>的矩形区域作为大气环境评价范围，大气评价范围见</w:t>
      </w:r>
      <w:r>
        <w:rPr>
          <w:rFonts w:hint="default" w:ascii="Times New Roman" w:hAnsi="Times New Roman" w:eastAsia="宋体" w:cs="Times New Roman"/>
          <w:color w:val="auto"/>
          <w:kern w:val="0"/>
          <w:sz w:val="24"/>
          <w:szCs w:val="20"/>
          <w:highlight w:val="none"/>
          <w:lang w:val="en-US" w:eastAsia="zh-CN"/>
        </w:rPr>
        <w:t>图2.6-1</w:t>
      </w:r>
      <w:r>
        <w:rPr>
          <w:rFonts w:hint="default" w:ascii="Times New Roman" w:hAnsi="Times New Roman" w:cs="Times New Roman"/>
          <w:color w:val="auto"/>
          <w:szCs w:val="24"/>
          <w:highlight w:val="none"/>
        </w:rPr>
        <w:t>。</w:t>
      </w:r>
    </w:p>
    <w:p w14:paraId="76A47E78">
      <w:pPr>
        <w:pStyle w:val="4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2.6.2地表水</w:t>
      </w:r>
    </w:p>
    <w:p w14:paraId="66C10C1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1</w:t>
      </w:r>
      <w:r>
        <w:rPr>
          <w:rFonts w:hint="default"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评价等级</w:t>
      </w:r>
    </w:p>
    <w:p w14:paraId="7BABB8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rPr>
        <w:t>按照</w:t>
      </w:r>
      <w:r>
        <w:rPr>
          <w:rFonts w:hint="default"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环境影响评价技术导则地表水环境</w:t>
      </w:r>
      <w:r>
        <w:rPr>
          <w:rFonts w:hint="default"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HJ2.3-2018</w:t>
      </w:r>
      <w:r>
        <w:rPr>
          <w:rFonts w:hint="default"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，项目属于水污染影响型建设项目。</w:t>
      </w:r>
      <w:r>
        <w:rPr>
          <w:rFonts w:hint="eastAsia" w:cs="Times New Roman"/>
          <w:snapToGrid w:val="0"/>
          <w:color w:val="auto"/>
          <w:sz w:val="24"/>
          <w:highlight w:val="none"/>
          <w:lang w:val="en-US" w:eastAsia="zh-CN"/>
        </w:rPr>
        <w:t>本项目TK872CH井口</w:t>
      </w:r>
      <w:r>
        <w:rPr>
          <w:rFonts w:hint="default" w:ascii="Times New Roman" w:hAnsi="Times New Roman" w:cs="Times New Roman"/>
          <w:snapToGrid w:val="0"/>
          <w:color w:val="auto"/>
          <w:sz w:val="24"/>
          <w:highlight w:val="none"/>
        </w:rPr>
        <w:t>距离</w:t>
      </w:r>
      <w:r>
        <w:rPr>
          <w:rFonts w:hint="eastAsia" w:cs="Times New Roman"/>
          <w:snapToGrid w:val="0"/>
          <w:color w:val="auto"/>
          <w:sz w:val="24"/>
          <w:highlight w:val="none"/>
          <w:lang w:val="en-US" w:eastAsia="zh-CN"/>
        </w:rPr>
        <w:t>木日达里亚河约200m</w:t>
      </w:r>
      <w:r>
        <w:rPr>
          <w:rFonts w:hint="default" w:ascii="Times New Roman" w:hAnsi="Times New Roman" w:cs="Times New Roman"/>
          <w:snapToGrid w:val="0"/>
          <w:color w:val="auto"/>
          <w:sz w:val="24"/>
          <w:highlight w:val="none"/>
        </w:rPr>
        <w:t>。在油田正常开采及油气集输过程中，</w:t>
      </w:r>
      <w:r>
        <w:rPr>
          <w:rFonts w:hint="default" w:ascii="Times New Roman" w:hAnsi="Times New Roman" w:cs="Times New Roman"/>
          <w:snapToGrid w:val="0"/>
          <w:color w:val="auto"/>
          <w:sz w:val="24"/>
          <w:highlight w:val="none"/>
          <w:lang w:eastAsia="zh-CN"/>
        </w:rPr>
        <w:t>本项目</w:t>
      </w:r>
      <w:r>
        <w:rPr>
          <w:rFonts w:hint="default" w:ascii="Times New Roman" w:hAnsi="Times New Roman" w:cs="Times New Roman"/>
          <w:snapToGrid w:val="0"/>
          <w:color w:val="auto"/>
          <w:sz w:val="24"/>
          <w:highlight w:val="none"/>
        </w:rPr>
        <w:t>产生的含油污水、井下作业废水不外排，不与周边地表水体发生水力联系，项目地表水环境影响评价等级为三级B。</w:t>
      </w:r>
    </w:p>
    <w:p w14:paraId="7B4138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2</w:t>
      </w:r>
      <w:r>
        <w:rPr>
          <w:rFonts w:hint="default"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评价范围</w:t>
      </w:r>
    </w:p>
    <w:p w14:paraId="7A545B03">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黑体" w:cs="Times New Roman"/>
          <w:b w:val="0"/>
          <w:bCs/>
          <w:color w:val="auto"/>
          <w:kern w:val="0"/>
          <w:sz w:val="21"/>
          <w:szCs w:val="21"/>
          <w:highlight w:val="none"/>
          <w:lang w:val="en-US" w:eastAsia="zh-CN" w:bidi="ar-SA"/>
        </w:rPr>
      </w:pPr>
      <w:r>
        <w:rPr>
          <w:rFonts w:hint="default" w:ascii="Times New Roman" w:hAnsi="Times New Roman" w:cs="Times New Roman"/>
          <w:snapToGrid w:val="0"/>
          <w:color w:val="auto"/>
          <w:sz w:val="24"/>
          <w:highlight w:val="none"/>
        </w:rPr>
        <w:t>项目施工期产生的污染物可以依托处置，运营阶段正常情况无废水排放，本次地表水环境影响评价重点论证项目废水综合利用不外排的可行性和可靠性</w:t>
      </w:r>
      <w:r>
        <w:rPr>
          <w:rFonts w:hint="default" w:ascii="Times New Roman" w:hAnsi="Times New Roman" w:eastAsia="宋体" w:cs="Times New Roman"/>
          <w:caps w:val="0"/>
          <w:color w:val="auto"/>
          <w:spacing w:val="5"/>
          <w:kern w:val="2"/>
          <w:sz w:val="25"/>
          <w:szCs w:val="25"/>
          <w:highlight w:val="none"/>
          <w:lang w:eastAsia="zh-CN"/>
        </w:rPr>
        <w:t>。</w:t>
      </w:r>
    </w:p>
    <w:p w14:paraId="165E3EBF">
      <w:pPr>
        <w:pStyle w:val="50"/>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kern w:val="0"/>
          <w:sz w:val="21"/>
          <w:szCs w:val="21"/>
          <w:highlight w:val="none"/>
          <w:lang w:val="en-US" w:eastAsia="zh-CN" w:bidi="ar-SA"/>
        </w:rPr>
        <w:t>表2.6-4</w:t>
      </w:r>
      <w:r>
        <w:rPr>
          <w:rFonts w:hint="eastAsia" w:eastAsia="黑体" w:cs="Times New Roman"/>
          <w:b w:val="0"/>
          <w:bCs/>
          <w:color w:val="auto"/>
          <w:kern w:val="0"/>
          <w:sz w:val="21"/>
          <w:szCs w:val="21"/>
          <w:highlight w:val="none"/>
          <w:lang w:val="en-US" w:eastAsia="zh-CN" w:bidi="ar-SA"/>
        </w:rPr>
        <w:t xml:space="preserve">  </w:t>
      </w:r>
      <w:r>
        <w:rPr>
          <w:rFonts w:hint="default" w:ascii="Times New Roman" w:hAnsi="Times New Roman" w:eastAsia="黑体" w:cs="Times New Roman"/>
          <w:b w:val="0"/>
          <w:bCs/>
          <w:color w:val="auto"/>
          <w:kern w:val="0"/>
          <w:sz w:val="21"/>
          <w:szCs w:val="21"/>
          <w:highlight w:val="none"/>
          <w:lang w:val="en-US" w:eastAsia="zh-CN" w:bidi="ar-SA"/>
        </w:rPr>
        <w:t>水污染影响型建设项目评价等级判定</w:t>
      </w:r>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784"/>
        <w:gridCol w:w="1549"/>
        <w:gridCol w:w="5029"/>
      </w:tblGrid>
      <w:tr w14:paraId="4BB997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7" w:type="pct"/>
            <w:vMerge w:val="restart"/>
            <w:noWrap w:val="0"/>
            <w:vAlign w:val="center"/>
          </w:tcPr>
          <w:p w14:paraId="4A4CF8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评价等级</w:t>
            </w:r>
          </w:p>
        </w:tc>
        <w:tc>
          <w:tcPr>
            <w:tcW w:w="3932" w:type="pct"/>
            <w:gridSpan w:val="2"/>
            <w:noWrap w:val="0"/>
            <w:vAlign w:val="center"/>
          </w:tcPr>
          <w:p w14:paraId="143366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判定依据</w:t>
            </w:r>
          </w:p>
        </w:tc>
      </w:tr>
      <w:tr w14:paraId="467BC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7" w:type="pct"/>
            <w:vMerge w:val="continue"/>
            <w:noWrap w:val="0"/>
            <w:vAlign w:val="center"/>
          </w:tcPr>
          <w:p w14:paraId="32278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p>
        </w:tc>
        <w:tc>
          <w:tcPr>
            <w:tcW w:w="926" w:type="pct"/>
            <w:noWrap w:val="0"/>
            <w:vAlign w:val="center"/>
          </w:tcPr>
          <w:p w14:paraId="33BECE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排放方式</w:t>
            </w:r>
          </w:p>
        </w:tc>
        <w:tc>
          <w:tcPr>
            <w:tcW w:w="3006" w:type="pct"/>
            <w:noWrap w:val="0"/>
            <w:vAlign w:val="center"/>
          </w:tcPr>
          <w:p w14:paraId="320616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lang w:eastAsia="zh-CN"/>
              </w:rPr>
            </w:pPr>
            <w:r>
              <w:rPr>
                <w:rFonts w:hint="default" w:ascii="Times New Roman" w:hAnsi="Times New Roman" w:eastAsia="宋体" w:cs="Times New Roman"/>
                <w:caps w:val="0"/>
                <w:color w:val="auto"/>
                <w:spacing w:val="0"/>
                <w:kern w:val="2"/>
                <w:sz w:val="21"/>
                <w:szCs w:val="21"/>
                <w:highlight w:val="none"/>
              </w:rPr>
              <w:t>废水排放量Q/</w:t>
            </w:r>
            <w:r>
              <w:rPr>
                <w:rFonts w:hint="default" w:ascii="Times New Roman" w:hAnsi="Times New Roman" w:cs="Times New Roman"/>
                <w:caps w:val="0"/>
                <w:color w:val="auto"/>
                <w:spacing w:val="0"/>
                <w:kern w:val="2"/>
                <w:sz w:val="21"/>
                <w:szCs w:val="21"/>
                <w:highlight w:val="none"/>
                <w:lang w:eastAsia="zh-CN"/>
              </w:rPr>
              <w:t>（</w:t>
            </w:r>
            <w:r>
              <w:rPr>
                <w:rFonts w:hint="default" w:ascii="Times New Roman" w:hAnsi="Times New Roman" w:eastAsia="宋体" w:cs="Times New Roman"/>
                <w:caps w:val="0"/>
                <w:color w:val="auto"/>
                <w:spacing w:val="0"/>
                <w:kern w:val="2"/>
                <w:sz w:val="21"/>
                <w:szCs w:val="21"/>
                <w:highlight w:val="none"/>
              </w:rPr>
              <w:t>m</w:t>
            </w:r>
            <w:r>
              <w:rPr>
                <w:rFonts w:hint="default" w:ascii="Times New Roman" w:hAnsi="Times New Roman" w:eastAsia="宋体" w:cs="Times New Roman"/>
                <w:caps w:val="0"/>
                <w:color w:val="auto"/>
                <w:spacing w:val="0"/>
                <w:kern w:val="2"/>
                <w:sz w:val="21"/>
                <w:szCs w:val="21"/>
                <w:highlight w:val="none"/>
                <w:vertAlign w:val="superscript"/>
              </w:rPr>
              <w:t>3</w:t>
            </w:r>
            <w:r>
              <w:rPr>
                <w:rFonts w:hint="default" w:ascii="Times New Roman" w:hAnsi="Times New Roman" w:eastAsia="宋体" w:cs="Times New Roman"/>
                <w:caps w:val="0"/>
                <w:color w:val="auto"/>
                <w:spacing w:val="0"/>
                <w:kern w:val="2"/>
                <w:sz w:val="21"/>
                <w:szCs w:val="21"/>
                <w:highlight w:val="none"/>
              </w:rPr>
              <w:t>/d</w:t>
            </w:r>
            <w:r>
              <w:rPr>
                <w:rFonts w:hint="default" w:ascii="Times New Roman" w:hAnsi="Times New Roman" w:cs="Times New Roman"/>
                <w:caps w:val="0"/>
                <w:color w:val="auto"/>
                <w:spacing w:val="0"/>
                <w:kern w:val="2"/>
                <w:sz w:val="21"/>
                <w:szCs w:val="21"/>
                <w:highlight w:val="none"/>
                <w:lang w:eastAsia="zh-CN"/>
              </w:rPr>
              <w:t>）</w:t>
            </w:r>
            <w:r>
              <w:rPr>
                <w:rFonts w:hint="default" w:ascii="Times New Roman" w:hAnsi="Times New Roman" w:eastAsia="宋体" w:cs="Times New Roman"/>
                <w:caps w:val="0"/>
                <w:color w:val="auto"/>
                <w:spacing w:val="0"/>
                <w:kern w:val="2"/>
                <w:sz w:val="21"/>
                <w:szCs w:val="21"/>
                <w:highlight w:val="none"/>
              </w:rPr>
              <w:t>；水污染物当量数W/</w:t>
            </w:r>
            <w:r>
              <w:rPr>
                <w:rFonts w:hint="default" w:ascii="Times New Roman" w:hAnsi="Times New Roman" w:cs="Times New Roman"/>
                <w:caps w:val="0"/>
                <w:color w:val="auto"/>
                <w:spacing w:val="0"/>
                <w:kern w:val="2"/>
                <w:sz w:val="21"/>
                <w:szCs w:val="21"/>
                <w:highlight w:val="none"/>
                <w:lang w:eastAsia="zh-CN"/>
              </w:rPr>
              <w:t>（</w:t>
            </w:r>
            <w:r>
              <w:rPr>
                <w:rFonts w:hint="default" w:ascii="Times New Roman" w:hAnsi="Times New Roman" w:eastAsia="宋体" w:cs="Times New Roman"/>
                <w:caps w:val="0"/>
                <w:color w:val="auto"/>
                <w:spacing w:val="0"/>
                <w:kern w:val="2"/>
                <w:sz w:val="21"/>
                <w:szCs w:val="21"/>
                <w:highlight w:val="none"/>
              </w:rPr>
              <w:t>无量纲</w:t>
            </w:r>
            <w:r>
              <w:rPr>
                <w:rFonts w:hint="default" w:ascii="Times New Roman" w:hAnsi="Times New Roman" w:cs="Times New Roman"/>
                <w:caps w:val="0"/>
                <w:color w:val="auto"/>
                <w:spacing w:val="0"/>
                <w:kern w:val="2"/>
                <w:sz w:val="21"/>
                <w:szCs w:val="21"/>
                <w:highlight w:val="none"/>
                <w:lang w:eastAsia="zh-CN"/>
              </w:rPr>
              <w:t>）</w:t>
            </w:r>
          </w:p>
        </w:tc>
      </w:tr>
      <w:tr w14:paraId="09CB3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7" w:type="pct"/>
            <w:noWrap w:val="0"/>
            <w:vAlign w:val="center"/>
          </w:tcPr>
          <w:p w14:paraId="3BDCA7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一级</w:t>
            </w:r>
          </w:p>
        </w:tc>
        <w:tc>
          <w:tcPr>
            <w:tcW w:w="926" w:type="pct"/>
            <w:noWrap w:val="0"/>
            <w:vAlign w:val="center"/>
          </w:tcPr>
          <w:p w14:paraId="6E437C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直接排放</w:t>
            </w:r>
          </w:p>
        </w:tc>
        <w:tc>
          <w:tcPr>
            <w:tcW w:w="3006" w:type="pct"/>
            <w:noWrap w:val="0"/>
            <w:vAlign w:val="center"/>
          </w:tcPr>
          <w:p w14:paraId="0233B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Q≥20000或W≥600000</w:t>
            </w:r>
          </w:p>
        </w:tc>
      </w:tr>
      <w:tr w14:paraId="607236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7" w:type="pct"/>
            <w:noWrap w:val="0"/>
            <w:vAlign w:val="center"/>
          </w:tcPr>
          <w:p w14:paraId="4EA2D3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二级</w:t>
            </w:r>
          </w:p>
        </w:tc>
        <w:tc>
          <w:tcPr>
            <w:tcW w:w="926" w:type="pct"/>
            <w:noWrap w:val="0"/>
            <w:vAlign w:val="center"/>
          </w:tcPr>
          <w:p w14:paraId="1FA9D0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直接排放</w:t>
            </w:r>
          </w:p>
        </w:tc>
        <w:tc>
          <w:tcPr>
            <w:tcW w:w="3006" w:type="pct"/>
            <w:noWrap w:val="0"/>
            <w:vAlign w:val="center"/>
          </w:tcPr>
          <w:p w14:paraId="03DD9A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其他</w:t>
            </w:r>
          </w:p>
        </w:tc>
      </w:tr>
      <w:tr w14:paraId="76AE0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7" w:type="pct"/>
            <w:noWrap w:val="0"/>
            <w:vAlign w:val="center"/>
          </w:tcPr>
          <w:p w14:paraId="4C93F8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三级A</w:t>
            </w:r>
          </w:p>
        </w:tc>
        <w:tc>
          <w:tcPr>
            <w:tcW w:w="926" w:type="pct"/>
            <w:noWrap w:val="0"/>
            <w:vAlign w:val="center"/>
          </w:tcPr>
          <w:p w14:paraId="286A4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直接排放</w:t>
            </w:r>
          </w:p>
        </w:tc>
        <w:tc>
          <w:tcPr>
            <w:tcW w:w="3006" w:type="pct"/>
            <w:noWrap w:val="0"/>
            <w:vAlign w:val="center"/>
          </w:tcPr>
          <w:p w14:paraId="5EA57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Q＜200且W＜6000</w:t>
            </w:r>
          </w:p>
        </w:tc>
      </w:tr>
      <w:tr w14:paraId="35D346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7" w:type="pct"/>
            <w:noWrap w:val="0"/>
            <w:vAlign w:val="center"/>
          </w:tcPr>
          <w:p w14:paraId="015BC437">
            <w:pPr>
              <w:widowControl w:val="0"/>
              <w:jc w:val="center"/>
              <w:rPr>
                <w:rFonts w:hint="default" w:ascii="Times New Roman" w:hAnsi="Times New Roman" w:eastAsia="宋体" w:cs="Times New Roman"/>
                <w:b/>
                <w:bCs/>
                <w:caps w:val="0"/>
                <w:color w:val="auto"/>
                <w:spacing w:val="0"/>
                <w:kern w:val="2"/>
                <w:sz w:val="21"/>
                <w:szCs w:val="21"/>
                <w:highlight w:val="none"/>
              </w:rPr>
            </w:pPr>
            <w:r>
              <w:rPr>
                <w:rFonts w:hint="default" w:ascii="Times New Roman" w:hAnsi="Times New Roman" w:eastAsia="宋体" w:cs="Times New Roman"/>
                <w:b/>
                <w:bCs/>
                <w:caps w:val="0"/>
                <w:color w:val="auto"/>
                <w:spacing w:val="0"/>
                <w:kern w:val="2"/>
                <w:sz w:val="21"/>
                <w:szCs w:val="21"/>
                <w:highlight w:val="none"/>
              </w:rPr>
              <w:t>三级B</w:t>
            </w:r>
          </w:p>
        </w:tc>
        <w:tc>
          <w:tcPr>
            <w:tcW w:w="926" w:type="pct"/>
            <w:noWrap w:val="0"/>
            <w:vAlign w:val="center"/>
          </w:tcPr>
          <w:p w14:paraId="60FC9F25">
            <w:pPr>
              <w:widowControl w:val="0"/>
              <w:jc w:val="center"/>
              <w:rPr>
                <w:rFonts w:hint="default" w:ascii="Times New Roman" w:hAnsi="Times New Roman" w:eastAsia="宋体" w:cs="Times New Roman"/>
                <w:b/>
                <w:bCs/>
                <w:caps w:val="0"/>
                <w:color w:val="auto"/>
                <w:spacing w:val="0"/>
                <w:kern w:val="2"/>
                <w:sz w:val="21"/>
                <w:szCs w:val="21"/>
                <w:highlight w:val="none"/>
              </w:rPr>
            </w:pPr>
            <w:r>
              <w:rPr>
                <w:rFonts w:hint="default" w:ascii="Times New Roman" w:hAnsi="Times New Roman" w:eastAsia="宋体" w:cs="Times New Roman"/>
                <w:b/>
                <w:bCs/>
                <w:caps w:val="0"/>
                <w:color w:val="auto"/>
                <w:spacing w:val="0"/>
                <w:kern w:val="2"/>
                <w:sz w:val="21"/>
                <w:szCs w:val="21"/>
                <w:highlight w:val="none"/>
              </w:rPr>
              <w:t>间接排放</w:t>
            </w:r>
          </w:p>
        </w:tc>
        <w:tc>
          <w:tcPr>
            <w:tcW w:w="3006" w:type="pct"/>
            <w:noWrap w:val="0"/>
            <w:vAlign w:val="center"/>
          </w:tcPr>
          <w:p w14:paraId="5050E5D2">
            <w:pPr>
              <w:widowControl w:val="0"/>
              <w:jc w:val="center"/>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w:t>
            </w:r>
          </w:p>
        </w:tc>
      </w:tr>
      <w:tr w14:paraId="0D6DF0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7" w:hRule="atLeast"/>
          <w:jc w:val="center"/>
        </w:trPr>
        <w:tc>
          <w:tcPr>
            <w:tcW w:w="5000" w:type="pct"/>
            <w:gridSpan w:val="3"/>
            <w:noWrap w:val="0"/>
            <w:vAlign w:val="center"/>
          </w:tcPr>
          <w:p w14:paraId="140C00A7">
            <w:pPr>
              <w:widowControl w:val="0"/>
              <w:jc w:val="both"/>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注1：依托现有排放口，且对外环境未新增排放污染物的直接排放建设项目，评价等级参照间接排放，定为三级B。</w:t>
            </w:r>
          </w:p>
          <w:p w14:paraId="24407ADD">
            <w:pPr>
              <w:widowControl w:val="0"/>
              <w:jc w:val="both"/>
              <w:rPr>
                <w:rFonts w:hint="default" w:ascii="Times New Roman" w:hAnsi="Times New Roman" w:eastAsia="宋体" w:cs="Times New Roman"/>
                <w:caps w:val="0"/>
                <w:color w:val="auto"/>
                <w:spacing w:val="0"/>
                <w:kern w:val="2"/>
                <w:sz w:val="21"/>
                <w:szCs w:val="21"/>
                <w:highlight w:val="none"/>
              </w:rPr>
            </w:pPr>
            <w:r>
              <w:rPr>
                <w:rFonts w:hint="default" w:ascii="Times New Roman" w:hAnsi="Times New Roman" w:eastAsia="宋体" w:cs="Times New Roman"/>
                <w:caps w:val="0"/>
                <w:color w:val="auto"/>
                <w:spacing w:val="0"/>
                <w:kern w:val="2"/>
                <w:sz w:val="21"/>
                <w:szCs w:val="21"/>
                <w:highlight w:val="none"/>
              </w:rPr>
              <w:t>注2：建设项目生产工艺中有废水产生，但作为回水利用，不排放到外环境的，按三级B评价。</w:t>
            </w:r>
          </w:p>
        </w:tc>
      </w:tr>
    </w:tbl>
    <w:p w14:paraId="7D382962">
      <w:pPr>
        <w:pStyle w:val="48"/>
        <w:keepNext/>
        <w:keepLines/>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地下水</w:t>
      </w:r>
    </w:p>
    <w:p w14:paraId="01F114CE">
      <w:pPr>
        <w:pageBreakBefore w:val="0"/>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2.6.3.1</w:t>
      </w:r>
      <w:r>
        <w:rPr>
          <w:rFonts w:hint="default" w:ascii="Times New Roman" w:hAnsi="Times New Roman" w:cs="Times New Roman"/>
          <w:b/>
          <w:bCs/>
          <w:color w:val="auto"/>
          <w:highlight w:val="none"/>
        </w:rPr>
        <w:t>评价等级</w:t>
      </w:r>
    </w:p>
    <w:p w14:paraId="51C78A9F">
      <w:pPr>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环境影响评价技术导则地下水环境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HJ610-2016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中附录A地下水环境影响评价行业分类表</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属于“F石油、天然气”的</w:t>
      </w:r>
      <w:r>
        <w:rPr>
          <w:rFonts w:hint="default" w:ascii="Times New Roman" w:hAnsi="Times New Roman" w:cs="Times New Roman"/>
          <w:color w:val="auto"/>
          <w:highlight w:val="none"/>
        </w:rPr>
        <w:t>石油开采项目，为I类项目。</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评价范围内不存在集中式饮用水源地，不位于区内集中式饮用水水源的补给径流区，项目场地不涉及分散式饮用水水源地，区域地下水划分为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不敏感</w:t>
      </w:r>
      <w:r>
        <w:rPr>
          <w:rFonts w:hint="default" w:ascii="Times New Roman" w:hAnsi="Times New Roman" w:cs="Times New Roman"/>
          <w:color w:val="auto"/>
          <w:highlight w:val="none"/>
          <w:lang w:eastAsia="zh-CN"/>
        </w:rPr>
        <w:t>”。</w:t>
      </w:r>
    </w:p>
    <w:p w14:paraId="01943876">
      <w:pPr>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依据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环境影响评价技术导则地下水环境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HJ610-2016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中的地下水环境敏感程度分级表及建设项目评价工作等级分级表，确定</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地下水评价等级为二级。</w:t>
      </w:r>
    </w:p>
    <w:p w14:paraId="352D231D">
      <w:pPr>
        <w:pStyle w:val="5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val="0"/>
          <w:bCs/>
          <w:color w:val="auto"/>
          <w:kern w:val="0"/>
          <w:sz w:val="21"/>
          <w:szCs w:val="21"/>
          <w:highlight w:val="none"/>
          <w:lang w:val="en-US" w:eastAsia="zh-CN" w:bidi="ar-SA"/>
        </w:rPr>
      </w:pPr>
      <w:r>
        <w:rPr>
          <w:rFonts w:hint="default" w:ascii="Times New Roman" w:hAnsi="Times New Roman" w:eastAsia="黑体" w:cs="Times New Roman"/>
          <w:b w:val="0"/>
          <w:bCs/>
          <w:color w:val="auto"/>
          <w:kern w:val="0"/>
          <w:sz w:val="21"/>
          <w:szCs w:val="21"/>
          <w:highlight w:val="none"/>
          <w:lang w:val="en-US" w:eastAsia="zh-CN" w:bidi="ar-SA"/>
        </w:rPr>
        <w:t>表2.6-5地下水环境影响评价行业分类表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1115"/>
        <w:gridCol w:w="1115"/>
        <w:gridCol w:w="1588"/>
        <w:gridCol w:w="1462"/>
      </w:tblGrid>
      <w:tr w14:paraId="54E6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248" w:type="dxa"/>
            <w:vMerge w:val="restart"/>
            <w:tcBorders>
              <w:tl2br w:val="single" w:color="auto" w:sz="4" w:space="0"/>
            </w:tcBorders>
            <w:noWrap w:val="0"/>
            <w:vAlign w:val="center"/>
          </w:tcPr>
          <w:p w14:paraId="5061526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p>
          <w:p w14:paraId="088E7878">
            <w:pPr>
              <w:pStyle w:val="52"/>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环评类别</w:t>
            </w:r>
          </w:p>
        </w:tc>
        <w:tc>
          <w:tcPr>
            <w:tcW w:w="1115" w:type="dxa"/>
            <w:vMerge w:val="restart"/>
            <w:noWrap w:val="0"/>
            <w:vAlign w:val="center"/>
          </w:tcPr>
          <w:p w14:paraId="10C89DB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报告书</w:t>
            </w:r>
          </w:p>
        </w:tc>
        <w:tc>
          <w:tcPr>
            <w:tcW w:w="1115" w:type="dxa"/>
            <w:vMerge w:val="restart"/>
            <w:noWrap w:val="0"/>
            <w:vAlign w:val="center"/>
          </w:tcPr>
          <w:p w14:paraId="6A546A1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报告表</w:t>
            </w:r>
          </w:p>
        </w:tc>
        <w:tc>
          <w:tcPr>
            <w:tcW w:w="3050" w:type="dxa"/>
            <w:gridSpan w:val="2"/>
            <w:noWrap w:val="0"/>
            <w:vAlign w:val="center"/>
          </w:tcPr>
          <w:p w14:paraId="6014219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地下水环境影响评价项目类别</w:t>
            </w:r>
          </w:p>
        </w:tc>
      </w:tr>
      <w:tr w14:paraId="5C85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248" w:type="dxa"/>
            <w:vMerge w:val="continue"/>
            <w:noWrap w:val="0"/>
            <w:vAlign w:val="center"/>
          </w:tcPr>
          <w:p w14:paraId="39F5ECC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p>
        </w:tc>
        <w:tc>
          <w:tcPr>
            <w:tcW w:w="1115" w:type="dxa"/>
            <w:vMerge w:val="continue"/>
            <w:noWrap w:val="0"/>
            <w:vAlign w:val="center"/>
          </w:tcPr>
          <w:p w14:paraId="6923693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p>
        </w:tc>
        <w:tc>
          <w:tcPr>
            <w:tcW w:w="1115" w:type="dxa"/>
            <w:vMerge w:val="continue"/>
            <w:noWrap w:val="0"/>
            <w:vAlign w:val="center"/>
          </w:tcPr>
          <w:p w14:paraId="5A780CC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p>
        </w:tc>
        <w:tc>
          <w:tcPr>
            <w:tcW w:w="1588" w:type="dxa"/>
            <w:noWrap w:val="0"/>
            <w:vAlign w:val="center"/>
          </w:tcPr>
          <w:p w14:paraId="693739AE">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报告书</w:t>
            </w:r>
          </w:p>
        </w:tc>
        <w:tc>
          <w:tcPr>
            <w:tcW w:w="1462" w:type="dxa"/>
            <w:noWrap w:val="0"/>
            <w:vAlign w:val="center"/>
          </w:tcPr>
          <w:p w14:paraId="03D4C54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报告表</w:t>
            </w:r>
          </w:p>
        </w:tc>
      </w:tr>
      <w:tr w14:paraId="6DB7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248" w:type="dxa"/>
            <w:noWrap w:val="0"/>
            <w:vAlign w:val="center"/>
          </w:tcPr>
          <w:p w14:paraId="1AD8333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F石油、天然气</w:t>
            </w:r>
          </w:p>
        </w:tc>
        <w:tc>
          <w:tcPr>
            <w:tcW w:w="5280" w:type="dxa"/>
            <w:gridSpan w:val="4"/>
            <w:noWrap w:val="0"/>
            <w:vAlign w:val="center"/>
          </w:tcPr>
          <w:p w14:paraId="4E547B0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p>
        </w:tc>
      </w:tr>
      <w:tr w14:paraId="2850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248" w:type="dxa"/>
            <w:noWrap w:val="0"/>
            <w:vAlign w:val="center"/>
          </w:tcPr>
          <w:p w14:paraId="1A27411F">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37、石油开采</w:t>
            </w:r>
          </w:p>
        </w:tc>
        <w:tc>
          <w:tcPr>
            <w:tcW w:w="1115" w:type="dxa"/>
            <w:noWrap w:val="0"/>
            <w:vAlign w:val="center"/>
          </w:tcPr>
          <w:p w14:paraId="585887E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全部</w:t>
            </w:r>
          </w:p>
        </w:tc>
        <w:tc>
          <w:tcPr>
            <w:tcW w:w="1115" w:type="dxa"/>
            <w:noWrap w:val="0"/>
            <w:vAlign w:val="center"/>
          </w:tcPr>
          <w:p w14:paraId="29DACCCB">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588" w:type="dxa"/>
            <w:noWrap w:val="0"/>
            <w:vAlign w:val="center"/>
          </w:tcPr>
          <w:p w14:paraId="49222726">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类</w:t>
            </w:r>
          </w:p>
        </w:tc>
        <w:tc>
          <w:tcPr>
            <w:tcW w:w="1462" w:type="dxa"/>
            <w:noWrap w:val="0"/>
            <w:vAlign w:val="center"/>
          </w:tcPr>
          <w:p w14:paraId="2AD48B49">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p>
        </w:tc>
      </w:tr>
    </w:tbl>
    <w:p w14:paraId="26262B28">
      <w:pPr>
        <w:pStyle w:val="5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val="0"/>
          <w:bCs/>
          <w:color w:val="auto"/>
          <w:kern w:val="0"/>
          <w:sz w:val="21"/>
          <w:szCs w:val="21"/>
          <w:highlight w:val="none"/>
          <w:lang w:val="en-US" w:eastAsia="zh-CN" w:bidi="ar-SA"/>
        </w:rPr>
      </w:pPr>
    </w:p>
    <w:p w14:paraId="39E8CB26">
      <w:pPr>
        <w:pStyle w:val="5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val="0"/>
          <w:bCs/>
          <w:color w:val="auto"/>
          <w:kern w:val="0"/>
          <w:sz w:val="21"/>
          <w:szCs w:val="21"/>
          <w:highlight w:val="none"/>
          <w:lang w:val="en-US" w:eastAsia="zh-CN" w:bidi="ar-SA"/>
        </w:rPr>
      </w:pPr>
      <w:r>
        <w:rPr>
          <w:rFonts w:hint="default" w:ascii="Times New Roman" w:hAnsi="Times New Roman" w:eastAsia="黑体" w:cs="Times New Roman"/>
          <w:b w:val="0"/>
          <w:bCs/>
          <w:color w:val="auto"/>
          <w:kern w:val="0"/>
          <w:sz w:val="21"/>
          <w:szCs w:val="21"/>
          <w:highlight w:val="none"/>
          <w:lang w:val="en-US" w:eastAsia="zh-CN" w:bidi="ar-SA"/>
        </w:rPr>
        <w:t>表2.6-6地下水环境敏感程度分级</w:t>
      </w:r>
    </w:p>
    <w:tbl>
      <w:tblPr>
        <w:tblStyle w:val="3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540"/>
      </w:tblGrid>
      <w:tr w14:paraId="4803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28E591B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分级</w:t>
            </w:r>
          </w:p>
        </w:tc>
        <w:tc>
          <w:tcPr>
            <w:tcW w:w="7540" w:type="dxa"/>
            <w:noWrap w:val="0"/>
            <w:vAlign w:val="center"/>
          </w:tcPr>
          <w:p w14:paraId="3E0E6647">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项目场地的地下水环境敏感特征</w:t>
            </w:r>
          </w:p>
        </w:tc>
      </w:tr>
      <w:tr w14:paraId="48F4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268A35D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敏感</w:t>
            </w:r>
          </w:p>
        </w:tc>
        <w:tc>
          <w:tcPr>
            <w:tcW w:w="7540" w:type="dxa"/>
            <w:noWrap w:val="0"/>
            <w:vAlign w:val="center"/>
          </w:tcPr>
          <w:p w14:paraId="56BF9817">
            <w:pPr>
              <w:pStyle w:val="52"/>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集中式饮用水水源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包括已建成的在用、备用、应急水源地，在建和规划的饮用水水源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准保护区；除集中式饮用水水源以外的国家或地方政府设定的与地下水环境</w:t>
            </w:r>
            <w:r>
              <w:rPr>
                <w:rFonts w:hint="eastAsia" w:cs="Times New Roman"/>
                <w:color w:val="auto"/>
                <w:highlight w:val="none"/>
                <w:lang w:eastAsia="zh-CN"/>
              </w:rPr>
              <w:t>相关的其他</w:t>
            </w:r>
            <w:r>
              <w:rPr>
                <w:rFonts w:hint="default" w:ascii="Times New Roman" w:hAnsi="Times New Roman" w:cs="Times New Roman"/>
                <w:color w:val="auto"/>
                <w:highlight w:val="none"/>
              </w:rPr>
              <w:t>保护区，如热水、矿泉水、温泉等特殊地下水资源保护区。</w:t>
            </w:r>
          </w:p>
        </w:tc>
      </w:tr>
      <w:tr w14:paraId="44D2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5D2A607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较敏感</w:t>
            </w:r>
          </w:p>
        </w:tc>
        <w:tc>
          <w:tcPr>
            <w:tcW w:w="7540" w:type="dxa"/>
            <w:noWrap w:val="0"/>
            <w:vAlign w:val="center"/>
          </w:tcPr>
          <w:p w14:paraId="32CAD352">
            <w:pPr>
              <w:pStyle w:val="52"/>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集中式饮用水水源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包括已建成的在用、备用、应急水源，在建和规划的饮用水水源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准保护区以外的补给径流区；未划定准保护区的集中式饮用水水源，其保护区以外的补给径流区；分散式饮用水水源地；特殊地下水资源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矿泉水、温泉等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保护区以外的分布区等</w:t>
            </w:r>
            <w:r>
              <w:rPr>
                <w:rFonts w:hint="eastAsia" w:cs="Times New Roman"/>
                <w:color w:val="auto"/>
                <w:highlight w:val="none"/>
                <w:lang w:eastAsia="zh-CN"/>
              </w:rPr>
              <w:t>其他未</w:t>
            </w:r>
            <w:r>
              <w:rPr>
                <w:rFonts w:hint="default" w:ascii="Times New Roman" w:hAnsi="Times New Roman" w:cs="Times New Roman"/>
                <w:color w:val="auto"/>
                <w:highlight w:val="none"/>
              </w:rPr>
              <w:t>列入上述敏感分级的环境敏感区。</w:t>
            </w:r>
          </w:p>
        </w:tc>
      </w:tr>
      <w:tr w14:paraId="1E11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1113E474">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不敏感</w:t>
            </w:r>
          </w:p>
        </w:tc>
        <w:tc>
          <w:tcPr>
            <w:tcW w:w="7540" w:type="dxa"/>
            <w:noWrap w:val="0"/>
            <w:vAlign w:val="center"/>
          </w:tcPr>
          <w:p w14:paraId="232548BE">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上述地区之外的</w:t>
            </w:r>
            <w:r>
              <w:rPr>
                <w:rFonts w:hint="eastAsia" w:cs="Times New Roman"/>
                <w:color w:val="auto"/>
                <w:highlight w:val="none"/>
                <w:lang w:eastAsia="zh-CN"/>
              </w:rPr>
              <w:t>其他</w:t>
            </w:r>
            <w:r>
              <w:rPr>
                <w:rFonts w:hint="default" w:ascii="Times New Roman" w:hAnsi="Times New Roman" w:cs="Times New Roman"/>
                <w:color w:val="auto"/>
                <w:highlight w:val="none"/>
              </w:rPr>
              <w:t>地区。</w:t>
            </w:r>
          </w:p>
        </w:tc>
      </w:tr>
    </w:tbl>
    <w:p w14:paraId="4D8D341D">
      <w:pPr>
        <w:pStyle w:val="5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val="0"/>
          <w:bCs/>
          <w:color w:val="auto"/>
          <w:kern w:val="0"/>
          <w:sz w:val="21"/>
          <w:szCs w:val="21"/>
          <w:highlight w:val="none"/>
          <w:lang w:val="en-US" w:eastAsia="zh-CN" w:bidi="ar-SA"/>
        </w:rPr>
      </w:pPr>
    </w:p>
    <w:p w14:paraId="3E9341C7">
      <w:pPr>
        <w:pStyle w:val="5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val="0"/>
          <w:bCs/>
          <w:color w:val="auto"/>
          <w:kern w:val="0"/>
          <w:sz w:val="21"/>
          <w:szCs w:val="21"/>
          <w:highlight w:val="none"/>
          <w:lang w:val="en-US" w:eastAsia="zh-CN" w:bidi="ar-SA"/>
        </w:rPr>
      </w:pPr>
      <w:r>
        <w:rPr>
          <w:rFonts w:hint="default" w:ascii="Times New Roman" w:hAnsi="Times New Roman" w:eastAsia="黑体" w:cs="Times New Roman"/>
          <w:b w:val="0"/>
          <w:bCs/>
          <w:color w:val="auto"/>
          <w:kern w:val="0"/>
          <w:sz w:val="21"/>
          <w:szCs w:val="21"/>
          <w:highlight w:val="none"/>
          <w:lang w:val="en-US" w:eastAsia="zh-CN" w:bidi="ar-SA"/>
        </w:rPr>
        <w:t>表2.6-7地下水环境影响评价工作等级划分</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01C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250" w:type="pct"/>
            <w:tcBorders>
              <w:tl2br w:val="single" w:color="auto" w:sz="4" w:space="0"/>
            </w:tcBorders>
            <w:noWrap w:val="0"/>
            <w:vAlign w:val="center"/>
          </w:tcPr>
          <w:p w14:paraId="31C90930">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项目类别</w:t>
            </w:r>
          </w:p>
          <w:p w14:paraId="7EE17086">
            <w:pPr>
              <w:pStyle w:val="52"/>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环境敏感程度</w:t>
            </w:r>
          </w:p>
        </w:tc>
        <w:tc>
          <w:tcPr>
            <w:tcW w:w="1250" w:type="pct"/>
            <w:noWrap w:val="0"/>
            <w:vAlign w:val="center"/>
          </w:tcPr>
          <w:p w14:paraId="0B5EAE8D">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I类项目</w:t>
            </w:r>
          </w:p>
        </w:tc>
        <w:tc>
          <w:tcPr>
            <w:tcW w:w="1250" w:type="pct"/>
            <w:noWrap w:val="0"/>
            <w:vAlign w:val="center"/>
          </w:tcPr>
          <w:p w14:paraId="2636B045">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Ⅱ类</w:t>
            </w:r>
            <w:r>
              <w:rPr>
                <w:rFonts w:hint="default" w:ascii="Times New Roman" w:hAnsi="Times New Roman" w:cs="Times New Roman"/>
                <w:color w:val="auto"/>
                <w:highlight w:val="none"/>
              </w:rPr>
              <w:t>项目</w:t>
            </w:r>
          </w:p>
        </w:tc>
        <w:tc>
          <w:tcPr>
            <w:tcW w:w="1250" w:type="pct"/>
            <w:noWrap w:val="0"/>
            <w:vAlign w:val="center"/>
          </w:tcPr>
          <w:p w14:paraId="0DF326B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eastAsia" w:cs="Times New Roman"/>
                <w:color w:val="auto"/>
                <w:highlight w:val="none"/>
                <w:lang w:eastAsia="zh-CN"/>
              </w:rPr>
              <w:t>Ⅲ</w:t>
            </w:r>
            <w:r>
              <w:rPr>
                <w:rFonts w:hint="default" w:ascii="Times New Roman" w:hAnsi="Times New Roman" w:cs="Times New Roman"/>
                <w:color w:val="auto"/>
                <w:highlight w:val="none"/>
              </w:rPr>
              <w:t>类项目</w:t>
            </w:r>
          </w:p>
        </w:tc>
      </w:tr>
      <w:tr w14:paraId="18EA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14:paraId="7693170A">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敏感</w:t>
            </w:r>
          </w:p>
        </w:tc>
        <w:tc>
          <w:tcPr>
            <w:tcW w:w="1250" w:type="pct"/>
            <w:noWrap w:val="0"/>
            <w:vAlign w:val="center"/>
          </w:tcPr>
          <w:p w14:paraId="569B99E3">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1250" w:type="pct"/>
            <w:noWrap w:val="0"/>
            <w:vAlign w:val="center"/>
          </w:tcPr>
          <w:p w14:paraId="4AC14831">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1250" w:type="pct"/>
            <w:noWrap w:val="0"/>
            <w:vAlign w:val="center"/>
          </w:tcPr>
          <w:p w14:paraId="5331219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r>
      <w:tr w14:paraId="0FE1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14:paraId="640FCBA2">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较敏感</w:t>
            </w:r>
          </w:p>
        </w:tc>
        <w:tc>
          <w:tcPr>
            <w:tcW w:w="1250" w:type="pct"/>
            <w:noWrap w:val="0"/>
            <w:vAlign w:val="center"/>
          </w:tcPr>
          <w:p w14:paraId="3999490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1250" w:type="pct"/>
            <w:noWrap w:val="0"/>
            <w:vAlign w:val="center"/>
          </w:tcPr>
          <w:p w14:paraId="1BF648F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1250" w:type="pct"/>
            <w:noWrap w:val="0"/>
            <w:vAlign w:val="center"/>
          </w:tcPr>
          <w:p w14:paraId="43079E78">
            <w:pPr>
              <w:pStyle w:val="5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r>
      <w:tr w14:paraId="7815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14:paraId="258D181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不敏感</w:t>
            </w:r>
          </w:p>
        </w:tc>
        <w:tc>
          <w:tcPr>
            <w:tcW w:w="1250" w:type="pct"/>
            <w:noWrap w:val="0"/>
            <w:vAlign w:val="center"/>
          </w:tcPr>
          <w:p w14:paraId="581788FF">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1250" w:type="pct"/>
            <w:noWrap w:val="0"/>
            <w:vAlign w:val="center"/>
          </w:tcPr>
          <w:p w14:paraId="7D79C058">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1250" w:type="pct"/>
            <w:noWrap w:val="0"/>
            <w:vAlign w:val="center"/>
          </w:tcPr>
          <w:p w14:paraId="725A773D">
            <w:pPr>
              <w:pStyle w:val="52"/>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r>
    </w:tbl>
    <w:p w14:paraId="03094A00">
      <w:pPr>
        <w:keepNext w:val="0"/>
        <w:keepLines w:val="0"/>
        <w:pageBreakBefore w:val="0"/>
        <w:widowControl/>
        <w:kinsoku/>
        <w:wordWrap/>
        <w:overflowPunct/>
        <w:topLinePunct w:val="0"/>
        <w:autoSpaceDE/>
        <w:autoSpaceDN/>
        <w:bidi w:val="0"/>
        <w:adjustRightInd w:val="0"/>
        <w:snapToGrid w:val="0"/>
        <w:spacing w:after="0" w:line="360" w:lineRule="auto"/>
        <w:ind w:firstLine="420"/>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（2）评价范围</w:t>
      </w:r>
    </w:p>
    <w:p w14:paraId="105F0BA2">
      <w:pPr>
        <w:pStyle w:val="57"/>
        <w:jc w:val="both"/>
        <w:rPr>
          <w:color w:val="auto"/>
          <w:highlight w:val="none"/>
        </w:rPr>
      </w:pPr>
      <w:bookmarkStart w:id="151" w:name="OLE_LINK298"/>
      <w:bookmarkStart w:id="152" w:name="_Hlk68964072"/>
      <w:bookmarkStart w:id="153" w:name="_Hlk69832293"/>
      <w:r>
        <w:rPr>
          <w:rFonts w:ascii="Times New Roman" w:hAnsi="Times New Roman" w:eastAsia="宋体" w:cs="Times New Roman"/>
          <w:color w:val="auto"/>
          <w:kern w:val="0"/>
          <w:sz w:val="24"/>
          <w:szCs w:val="20"/>
          <w:highlight w:val="none"/>
        </w:rPr>
        <w:t>根据《环境影响评价技术导则地下水环境》（HJ610-2016），地下水现状评价范围可采用公式计算法、查表法、自定义法等确定。</w:t>
      </w:r>
      <w:r>
        <w:rPr>
          <w:rFonts w:hint="eastAsia" w:cs="Times New Roman"/>
          <w:color w:val="auto"/>
          <w:kern w:val="0"/>
          <w:sz w:val="24"/>
          <w:szCs w:val="20"/>
          <w:highlight w:val="none"/>
          <w:lang w:val="en-US" w:eastAsia="zh-CN"/>
        </w:rPr>
        <w:t>本次评价采用“查表法”对地下水评价范围进行划分。</w:t>
      </w:r>
      <w:r>
        <w:rPr>
          <w:rFonts w:hint="eastAsia" w:ascii="Times New Roman" w:hAnsi="Times New Roman" w:eastAsia="宋体" w:cs="Times New Roman"/>
          <w:color w:val="auto"/>
          <w:kern w:val="0"/>
          <w:sz w:val="24"/>
          <w:szCs w:val="24"/>
          <w:highlight w:val="none"/>
        </w:rPr>
        <w:t>根据《环境影响评价技术导则</w:t>
      </w:r>
      <w:r>
        <w:rPr>
          <w:rFonts w:hint="eastAsia" w:cs="Times New Roman"/>
          <w:color w:val="auto"/>
          <w:kern w:val="0"/>
          <w:sz w:val="24"/>
          <w:szCs w:val="24"/>
          <w:highlight w:val="none"/>
          <w:lang w:val="en-US" w:eastAsia="zh-CN"/>
        </w:rPr>
        <w:t xml:space="preserve"> </w:t>
      </w:r>
      <w:r>
        <w:rPr>
          <w:rFonts w:hint="eastAsia" w:ascii="Times New Roman" w:hAnsi="Times New Roman" w:eastAsia="宋体" w:cs="Times New Roman"/>
          <w:color w:val="auto"/>
          <w:kern w:val="0"/>
          <w:sz w:val="24"/>
          <w:szCs w:val="24"/>
          <w:highlight w:val="none"/>
        </w:rPr>
        <w:t>地下水环境》（HJ610-2016），二级评价的调查评价范围在6km</w:t>
      </w:r>
      <w:r>
        <w:rPr>
          <w:rFonts w:ascii="Times New Roman" w:hAnsi="Times New Roman" w:eastAsia="宋体" w:cs="Times New Roman"/>
          <w:color w:val="auto"/>
          <w:kern w:val="0"/>
          <w:sz w:val="24"/>
          <w:szCs w:val="24"/>
          <w:highlight w:val="none"/>
          <w:vertAlign w:val="superscript"/>
        </w:rPr>
        <w:t>2</w:t>
      </w:r>
      <w:r>
        <w:rPr>
          <w:rFonts w:hint="eastAsia"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4"/>
          <w:highlight w:val="none"/>
        </w:rPr>
        <w:t>20</w:t>
      </w:r>
      <w:r>
        <w:rPr>
          <w:rFonts w:hint="eastAsia" w:ascii="Times New Roman" w:hAnsi="Times New Roman" w:eastAsia="宋体" w:cs="Times New Roman"/>
          <w:color w:val="auto"/>
          <w:kern w:val="0"/>
          <w:sz w:val="24"/>
          <w:szCs w:val="24"/>
          <w:highlight w:val="none"/>
        </w:rPr>
        <w:t>km</w:t>
      </w:r>
      <w:r>
        <w:rPr>
          <w:rFonts w:ascii="Times New Roman" w:hAnsi="Times New Roman" w:eastAsia="宋体" w:cs="Times New Roman"/>
          <w:color w:val="auto"/>
          <w:kern w:val="0"/>
          <w:sz w:val="24"/>
          <w:szCs w:val="24"/>
          <w:highlight w:val="none"/>
          <w:vertAlign w:val="superscript"/>
        </w:rPr>
        <w:t>2</w:t>
      </w:r>
      <w:r>
        <w:rPr>
          <w:rFonts w:hint="eastAsia" w:ascii="Times New Roman" w:hAnsi="Times New Roman" w:eastAsia="宋体" w:cs="Times New Roman"/>
          <w:color w:val="auto"/>
          <w:kern w:val="0"/>
          <w:sz w:val="24"/>
          <w:szCs w:val="24"/>
          <w:highlight w:val="none"/>
        </w:rPr>
        <w:t>之间，</w:t>
      </w:r>
      <w:r>
        <w:rPr>
          <w:rFonts w:hint="eastAsia" w:cs="Times New Roman"/>
          <w:color w:val="auto"/>
          <w:kern w:val="0"/>
          <w:sz w:val="24"/>
          <w:szCs w:val="24"/>
          <w:highlight w:val="none"/>
          <w:lang w:val="en-US" w:eastAsia="zh-CN"/>
        </w:rPr>
        <w:t>项目区</w:t>
      </w:r>
      <w:r>
        <w:rPr>
          <w:rFonts w:hint="eastAsia" w:ascii="Times New Roman" w:hAnsi="Times New Roman" w:eastAsia="宋体" w:cs="Times New Roman"/>
          <w:color w:val="auto"/>
          <w:kern w:val="0"/>
          <w:sz w:val="24"/>
          <w:szCs w:val="24"/>
          <w:highlight w:val="none"/>
        </w:rPr>
        <w:t>地下水</w:t>
      </w:r>
      <w:r>
        <w:rPr>
          <w:rFonts w:hint="eastAsia" w:cs="Times New Roman"/>
          <w:color w:val="auto"/>
          <w:kern w:val="0"/>
          <w:sz w:val="24"/>
          <w:szCs w:val="24"/>
          <w:highlight w:val="none"/>
          <w:lang w:val="en-US" w:eastAsia="zh-CN"/>
        </w:rPr>
        <w:t>总体</w:t>
      </w:r>
      <w:r>
        <w:rPr>
          <w:rFonts w:hint="eastAsia" w:ascii="Times New Roman" w:hAnsi="Times New Roman" w:eastAsia="宋体" w:cs="Times New Roman"/>
          <w:color w:val="auto"/>
          <w:kern w:val="0"/>
          <w:sz w:val="24"/>
          <w:szCs w:val="24"/>
          <w:highlight w:val="none"/>
        </w:rPr>
        <w:t>流向为</w:t>
      </w:r>
      <w:r>
        <w:rPr>
          <w:rFonts w:hint="eastAsia" w:cs="Times New Roman"/>
          <w:color w:val="auto"/>
          <w:kern w:val="0"/>
          <w:sz w:val="24"/>
          <w:szCs w:val="24"/>
          <w:highlight w:val="none"/>
          <w:lang w:val="en-US" w:eastAsia="zh-CN"/>
        </w:rPr>
        <w:t>自西北向东南</w:t>
      </w:r>
      <w:r>
        <w:rPr>
          <w:rFonts w:hint="eastAsia" w:ascii="Times New Roman" w:hAnsi="Times New Roman" w:eastAsia="宋体" w:cs="Times New Roman"/>
          <w:color w:val="auto"/>
          <w:kern w:val="0"/>
          <w:sz w:val="24"/>
          <w:szCs w:val="24"/>
          <w:highlight w:val="none"/>
        </w:rPr>
        <w:t>，选取</w:t>
      </w:r>
      <w:r>
        <w:rPr>
          <w:rFonts w:hint="eastAsia" w:cs="Times New Roman"/>
          <w:color w:val="auto"/>
          <w:kern w:val="0"/>
          <w:sz w:val="24"/>
          <w:szCs w:val="24"/>
          <w:highlight w:val="none"/>
          <w:lang w:val="en-US" w:eastAsia="zh-CN"/>
        </w:rPr>
        <w:t>各井场地下水流向</w:t>
      </w:r>
      <w:r>
        <w:rPr>
          <w:rFonts w:hint="eastAsia" w:ascii="Times New Roman" w:hAnsi="Times New Roman" w:eastAsia="宋体" w:cs="Times New Roman"/>
          <w:color w:val="auto"/>
          <w:kern w:val="0"/>
          <w:sz w:val="24"/>
          <w:szCs w:val="24"/>
          <w:highlight w:val="none"/>
        </w:rPr>
        <w:t>下游</w:t>
      </w:r>
      <w:r>
        <w:rPr>
          <w:rFonts w:hint="eastAsia" w:cs="Times New Roman"/>
          <w:color w:val="auto"/>
          <w:kern w:val="0"/>
          <w:sz w:val="24"/>
          <w:szCs w:val="24"/>
          <w:highlight w:val="none"/>
          <w:lang w:val="en-US" w:eastAsia="zh-CN"/>
        </w:rPr>
        <w:t>2</w:t>
      </w:r>
      <w:r>
        <w:rPr>
          <w:rFonts w:hint="eastAsia" w:ascii="Times New Roman" w:hAnsi="Times New Roman" w:eastAsia="宋体" w:cs="Times New Roman"/>
          <w:color w:val="auto"/>
          <w:kern w:val="0"/>
          <w:sz w:val="24"/>
          <w:szCs w:val="24"/>
          <w:highlight w:val="none"/>
        </w:rPr>
        <w:t>km、两侧</w:t>
      </w:r>
      <w:r>
        <w:rPr>
          <w:rFonts w:hint="eastAsia"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rPr>
        <w:t>km、上游</w:t>
      </w:r>
      <w:r>
        <w:rPr>
          <w:rFonts w:hint="eastAsia"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rPr>
        <w:t>km、集输管线两侧200m作为地下水评价范围</w:t>
      </w:r>
      <w:r>
        <w:rPr>
          <w:rFonts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0"/>
          <w:highlight w:val="none"/>
        </w:rPr>
        <w:t>评价范围见图2.6-1</w:t>
      </w:r>
      <w:r>
        <w:rPr>
          <w:color w:val="auto"/>
          <w:highlight w:val="none"/>
        </w:rPr>
        <w:t>。</w:t>
      </w:r>
    </w:p>
    <w:bookmarkEnd w:id="151"/>
    <w:p w14:paraId="5859F18D">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2.6.4生态</w:t>
      </w:r>
    </w:p>
    <w:bookmarkEnd w:id="152"/>
    <w:bookmarkEnd w:id="153"/>
    <w:p w14:paraId="35A45F5F">
      <w:pPr>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（1）评价等级</w:t>
      </w:r>
    </w:p>
    <w:p w14:paraId="1D239093">
      <w:pPr>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根据《环境影响评价技术导则生态影响》（HJ19-2022）的生态评价等级判定条件，判定过程详见表2.6-</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lang w:eastAsia="zh-CN"/>
        </w:rPr>
        <w:t>。根据判定可知，本项目生态环境影响评价工作涉及</w:t>
      </w:r>
      <w:r>
        <w:rPr>
          <w:rFonts w:hint="eastAsia" w:cs="Times New Roman"/>
          <w:color w:val="auto"/>
          <w:highlight w:val="none"/>
          <w:lang w:val="en-US" w:eastAsia="zh-CN"/>
        </w:rPr>
        <w:t>天然林段</w:t>
      </w:r>
      <w:r>
        <w:rPr>
          <w:rFonts w:hint="default" w:ascii="Times New Roman" w:hAnsi="Times New Roman" w:cs="Times New Roman"/>
          <w:color w:val="auto"/>
          <w:highlight w:val="none"/>
          <w:lang w:val="en-US" w:eastAsia="zh-CN"/>
        </w:rPr>
        <w:t>工程</w:t>
      </w:r>
      <w:r>
        <w:rPr>
          <w:rFonts w:hint="default" w:ascii="Times New Roman" w:hAnsi="Times New Roman" w:cs="Times New Roman"/>
          <w:color w:val="auto"/>
          <w:highlight w:val="none"/>
          <w:lang w:eastAsia="zh-CN"/>
        </w:rPr>
        <w:t>为二级评价，不涉及</w:t>
      </w:r>
      <w:r>
        <w:rPr>
          <w:rFonts w:hint="eastAsia" w:cs="Times New Roman"/>
          <w:color w:val="auto"/>
          <w:highlight w:val="none"/>
          <w:lang w:val="en-US" w:eastAsia="zh-CN"/>
        </w:rPr>
        <w:t>天然林</w:t>
      </w:r>
      <w:r>
        <w:rPr>
          <w:rFonts w:hint="default" w:ascii="Times New Roman" w:hAnsi="Times New Roman" w:cs="Times New Roman"/>
          <w:color w:val="auto"/>
          <w:highlight w:val="none"/>
          <w:lang w:val="en-US" w:eastAsia="zh-CN"/>
        </w:rPr>
        <w:t>段</w:t>
      </w:r>
      <w:r>
        <w:rPr>
          <w:rFonts w:hint="default" w:ascii="Times New Roman" w:hAnsi="Times New Roman" w:cs="Times New Roman"/>
          <w:color w:val="auto"/>
          <w:highlight w:val="none"/>
          <w:lang w:eastAsia="zh-CN"/>
        </w:rPr>
        <w:t>工程为三级评价。</w:t>
      </w:r>
    </w:p>
    <w:p w14:paraId="21F11AE9">
      <w:pPr>
        <w:pStyle w:val="50"/>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kern w:val="0"/>
          <w:sz w:val="21"/>
          <w:szCs w:val="21"/>
          <w:highlight w:val="none"/>
          <w:lang w:val="en-US" w:eastAsia="zh-CN" w:bidi="ar-SA"/>
        </w:rPr>
        <w:t>表2.6-8生态环境评价等级判定</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4408"/>
        <w:gridCol w:w="2511"/>
        <w:gridCol w:w="1244"/>
      </w:tblGrid>
      <w:tr w14:paraId="4E92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2780D922">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序号</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3E662A10">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生态评价等级判定要求</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20310E6">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kern w:val="2"/>
                <w:sz w:val="21"/>
                <w:szCs w:val="21"/>
                <w:highlight w:val="none"/>
                <w:lang w:eastAsia="zh-CN" w:bidi="ar"/>
              </w:rPr>
              <w:t>本项目</w:t>
            </w:r>
            <w:r>
              <w:rPr>
                <w:rFonts w:hint="default" w:ascii="Times New Roman" w:hAnsi="Times New Roman" w:eastAsia="宋体" w:cs="Times New Roman"/>
                <w:bCs/>
                <w:color w:val="auto"/>
                <w:kern w:val="2"/>
                <w:sz w:val="21"/>
                <w:szCs w:val="21"/>
                <w:highlight w:val="none"/>
                <w:lang w:bidi="ar"/>
              </w:rPr>
              <w:t>情况</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04AB1971">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生态影响评价等级</w:t>
            </w:r>
          </w:p>
        </w:tc>
      </w:tr>
      <w:tr w14:paraId="5233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28E05100">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a</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727D0C4A">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涉及国家公园、自然保护区、世界自然遗产、重要生境时，评价等级为一级；</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83F6C59">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不涉及</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0942B66F">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w:t>
            </w:r>
          </w:p>
        </w:tc>
      </w:tr>
      <w:tr w14:paraId="6EB4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31FC9EEF">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b</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576A3C3D">
            <w:pPr>
              <w:pStyle w:val="32"/>
              <w:widowControl w:val="0"/>
              <w:adjustRightInd w:val="0"/>
              <w:spacing w:before="0" w:beforeAutospacing="0" w:after="0" w:afterAutospacing="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涉及自然公园时，评价等级为二级；</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C4C44E4">
            <w:pPr>
              <w:pStyle w:val="32"/>
              <w:widowControl w:val="0"/>
              <w:adjustRightIn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不涉及</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6C3963FF">
            <w:pPr>
              <w:pStyle w:val="32"/>
              <w:widowControl w:val="0"/>
              <w:adjustRightIn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w:t>
            </w:r>
          </w:p>
        </w:tc>
      </w:tr>
      <w:tr w14:paraId="23E2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055ECF17">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c</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3634AF87">
            <w:pPr>
              <w:pStyle w:val="32"/>
              <w:widowControl w:val="0"/>
              <w:adjustRightInd w:val="0"/>
              <w:spacing w:before="0" w:beforeAutospacing="0" w:after="0" w:afterAutospacing="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涉及生态保护红线时，评价等级不低于二级；</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2420A62">
            <w:pPr>
              <w:pStyle w:val="32"/>
              <w:widowControl w:val="0"/>
              <w:adjustRightIn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不涉及</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15338263">
            <w:pPr>
              <w:pStyle w:val="32"/>
              <w:widowControl w:val="0"/>
              <w:adjustRightIn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w:t>
            </w:r>
          </w:p>
        </w:tc>
      </w:tr>
      <w:tr w14:paraId="13EB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47BE2901">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d</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763B3DAB">
            <w:pPr>
              <w:pStyle w:val="32"/>
              <w:widowControl w:val="0"/>
              <w:adjustRightInd w:val="0"/>
              <w:spacing w:before="0" w:beforeAutospacing="0" w:after="0" w:afterAutospacing="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根据HJ2.3判断属于水文要素影响型且地表水评价等级不低于二级的建设项目，生态影响评价等级不低于二级；</w:t>
            </w:r>
          </w:p>
        </w:tc>
        <w:tc>
          <w:tcPr>
            <w:tcW w:w="2510" w:type="dxa"/>
            <w:tcBorders>
              <w:top w:val="single" w:color="auto" w:sz="4" w:space="0"/>
              <w:left w:val="single" w:color="auto" w:sz="4" w:space="0"/>
              <w:bottom w:val="single" w:color="auto" w:sz="4" w:space="0"/>
              <w:right w:val="single" w:color="auto" w:sz="4" w:space="0"/>
            </w:tcBorders>
            <w:noWrap w:val="0"/>
            <w:vAlign w:val="center"/>
          </w:tcPr>
          <w:p w14:paraId="7B07758F">
            <w:pPr>
              <w:pStyle w:val="135"/>
              <w:spacing w:line="28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不涉及</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4"/>
                <w:highlight w:val="none"/>
              </w:rPr>
              <w:t>地表水</w:t>
            </w:r>
            <w:r>
              <w:rPr>
                <w:rFonts w:hint="eastAsia" w:ascii="Times New Roman" w:hAnsi="Times New Roman" w:cs="Times New Roman"/>
                <w:color w:val="auto"/>
                <w:sz w:val="21"/>
                <w:szCs w:val="24"/>
                <w:highlight w:val="none"/>
                <w:lang w:val="en-US" w:eastAsia="zh-CN"/>
              </w:rPr>
              <w:t>评价等级</w:t>
            </w:r>
            <w:r>
              <w:rPr>
                <w:rFonts w:hint="default" w:ascii="Times New Roman" w:hAnsi="Times New Roman" w:cs="Times New Roman"/>
                <w:color w:val="auto"/>
                <w:sz w:val="21"/>
                <w:szCs w:val="24"/>
                <w:highlight w:val="none"/>
              </w:rPr>
              <w:t>为三级B</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2A94481A">
            <w:pPr>
              <w:pStyle w:val="32"/>
              <w:widowControl w:val="0"/>
              <w:adjustRightIn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w:t>
            </w:r>
          </w:p>
        </w:tc>
      </w:tr>
      <w:tr w14:paraId="69FF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210" w:type="pct"/>
            <w:tcBorders>
              <w:top w:val="single" w:color="auto" w:sz="4" w:space="0"/>
              <w:left w:val="single" w:color="auto" w:sz="4" w:space="0"/>
              <w:right w:val="single" w:color="auto" w:sz="4" w:space="0"/>
            </w:tcBorders>
            <w:noWrap w:val="0"/>
            <w:vAlign w:val="center"/>
          </w:tcPr>
          <w:p w14:paraId="73531E9D">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e</w:t>
            </w:r>
          </w:p>
        </w:tc>
        <w:tc>
          <w:tcPr>
            <w:tcW w:w="2585" w:type="pct"/>
            <w:tcBorders>
              <w:top w:val="single" w:color="auto" w:sz="4" w:space="0"/>
              <w:left w:val="single" w:color="auto" w:sz="4" w:space="0"/>
              <w:right w:val="single" w:color="auto" w:sz="4" w:space="0"/>
            </w:tcBorders>
            <w:noWrap w:val="0"/>
            <w:vAlign w:val="center"/>
          </w:tcPr>
          <w:p w14:paraId="4F45E0BD">
            <w:pPr>
              <w:pStyle w:val="32"/>
              <w:widowControl w:val="0"/>
              <w:adjustRightInd w:val="0"/>
              <w:spacing w:before="0" w:beforeAutospacing="0" w:after="0" w:afterAutospacing="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根据HJ610、HJ964判断地下水水位或土壤影响范围内分布有天然林、公益林、湿地等生态保护目标的建设项目，生态影响评价等级不低于二级；</w:t>
            </w:r>
          </w:p>
        </w:tc>
        <w:tc>
          <w:tcPr>
            <w:tcW w:w="2510" w:type="dxa"/>
            <w:tcBorders>
              <w:top w:val="single" w:color="auto" w:sz="4" w:space="0"/>
              <w:left w:val="single" w:color="auto" w:sz="4" w:space="0"/>
              <w:right w:val="single" w:color="auto" w:sz="4" w:space="0"/>
            </w:tcBorders>
            <w:noWrap w:val="0"/>
            <w:vAlign w:val="center"/>
          </w:tcPr>
          <w:p w14:paraId="51A7603F">
            <w:pPr>
              <w:pStyle w:val="135"/>
              <w:spacing w:line="280" w:lineRule="exact"/>
              <w:ind w:firstLine="0" w:firstLineChars="0"/>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cs="Times New Roman"/>
                <w:color w:val="auto"/>
                <w:sz w:val="21"/>
                <w:szCs w:val="24"/>
                <w:highlight w:val="none"/>
                <w:lang w:val="en-US" w:eastAsia="zh-CN"/>
              </w:rPr>
              <w:t>土壤影响范围内分布有国家二级</w:t>
            </w:r>
            <w:r>
              <w:rPr>
                <w:rFonts w:hint="eastAsia" w:ascii="Times New Roman" w:hAnsi="Times New Roman" w:cs="Times New Roman"/>
                <w:color w:val="auto"/>
                <w:sz w:val="21"/>
                <w:szCs w:val="24"/>
                <w:highlight w:val="none"/>
              </w:rPr>
              <w:t>公益林</w:t>
            </w:r>
            <w:r>
              <w:rPr>
                <w:rFonts w:hint="eastAsia" w:ascii="Times New Roman" w:hAnsi="Times New Roman" w:cs="Times New Roman"/>
                <w:color w:val="auto"/>
                <w:sz w:val="21"/>
                <w:szCs w:val="24"/>
                <w:highlight w:val="none"/>
                <w:lang w:eastAsia="zh-CN"/>
              </w:rPr>
              <w:t>，生态影响评价等级不低于二级</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4C8EAB36">
            <w:pPr>
              <w:pStyle w:val="32"/>
              <w:widowControl w:val="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二级</w:t>
            </w:r>
          </w:p>
        </w:tc>
      </w:tr>
      <w:tr w14:paraId="606D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581F13ED">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f</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615373CF">
            <w:pPr>
              <w:pStyle w:val="32"/>
              <w:widowControl w:val="0"/>
              <w:adjustRightInd w:val="0"/>
              <w:spacing w:before="0" w:beforeAutospacing="0" w:after="0" w:afterAutospacing="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当工程占地规模大于20km</w:t>
            </w:r>
            <w:r>
              <w:rPr>
                <w:rFonts w:hint="default" w:ascii="Times New Roman" w:hAnsi="Times New Roman" w:eastAsia="宋体" w:cs="Times New Roman"/>
                <w:bCs/>
                <w:color w:val="auto"/>
                <w:kern w:val="2"/>
                <w:sz w:val="21"/>
                <w:szCs w:val="21"/>
                <w:highlight w:val="none"/>
                <w:vertAlign w:val="superscript"/>
                <w:lang w:bidi="ar"/>
              </w:rPr>
              <w:t>2</w:t>
            </w:r>
            <w:r>
              <w:rPr>
                <w:rFonts w:hint="default" w:ascii="Times New Roman" w:hAnsi="Times New Roman" w:eastAsia="宋体" w:cs="Times New Roman"/>
                <w:bCs/>
                <w:color w:val="auto"/>
                <w:kern w:val="2"/>
                <w:sz w:val="21"/>
                <w:szCs w:val="21"/>
                <w:highlight w:val="none"/>
                <w:lang w:bidi="ar"/>
              </w:rPr>
              <w:t>时（包括永久和临时占用陆域和水域），评价等级不低于二级；改扩建项目的占地范围以新增占地（包括陆域和水域）确定；</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0C5F98E">
            <w:pPr>
              <w:pStyle w:val="32"/>
              <w:widowControl w:val="0"/>
              <w:adjustRightIn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2"/>
                <w:sz w:val="21"/>
                <w:szCs w:val="21"/>
                <w:highlight w:val="none"/>
                <w:lang w:eastAsia="zh-CN" w:bidi="ar"/>
              </w:rPr>
              <w:t>本项目</w:t>
            </w:r>
            <w:r>
              <w:rPr>
                <w:rFonts w:hint="default" w:ascii="Times New Roman" w:hAnsi="Times New Roman" w:eastAsia="宋体" w:cs="Times New Roman"/>
                <w:color w:val="auto"/>
                <w:kern w:val="2"/>
                <w:sz w:val="21"/>
                <w:szCs w:val="21"/>
                <w:highlight w:val="none"/>
                <w:lang w:bidi="ar"/>
              </w:rPr>
              <w:t>占地面积为0.</w:t>
            </w:r>
            <w:r>
              <w:rPr>
                <w:rFonts w:hint="eastAsia" w:cs="Times New Roman"/>
                <w:color w:val="auto"/>
                <w:kern w:val="2"/>
                <w:sz w:val="21"/>
                <w:szCs w:val="21"/>
                <w:highlight w:val="none"/>
                <w:lang w:val="en-US" w:eastAsia="zh-CN" w:bidi="ar"/>
              </w:rPr>
              <w:t>0486</w:t>
            </w:r>
            <w:r>
              <w:rPr>
                <w:rFonts w:hint="default" w:ascii="Times New Roman" w:hAnsi="Times New Roman" w:eastAsia="宋体" w:cs="Times New Roman"/>
                <w:color w:val="auto"/>
                <w:kern w:val="2"/>
                <w:sz w:val="21"/>
                <w:szCs w:val="21"/>
                <w:highlight w:val="none"/>
                <w:lang w:bidi="ar"/>
              </w:rPr>
              <w:t>km</w:t>
            </w:r>
            <w:r>
              <w:rPr>
                <w:rFonts w:hint="default" w:ascii="Times New Roman" w:hAnsi="Times New Roman" w:eastAsia="宋体" w:cs="Times New Roman"/>
                <w:color w:val="auto"/>
                <w:kern w:val="2"/>
                <w:sz w:val="21"/>
                <w:szCs w:val="21"/>
                <w:highlight w:val="none"/>
                <w:vertAlign w:val="superscript"/>
                <w:lang w:bidi="ar"/>
              </w:rPr>
              <w:t>2</w:t>
            </w:r>
            <w:r>
              <w:rPr>
                <w:rFonts w:hint="default" w:ascii="Times New Roman" w:hAnsi="Times New Roman" w:cs="Times New Roman"/>
                <w:color w:val="auto"/>
                <w:kern w:val="2"/>
                <w:sz w:val="21"/>
                <w:szCs w:val="21"/>
                <w:highlight w:val="none"/>
                <w:lang w:eastAsia="zh-CN" w:bidi="ar"/>
              </w:rPr>
              <w:t>（</w:t>
            </w:r>
            <w:r>
              <w:rPr>
                <w:rFonts w:hint="eastAsia" w:cs="Times New Roman"/>
                <w:color w:val="auto"/>
                <w:kern w:val="2"/>
                <w:sz w:val="21"/>
                <w:szCs w:val="21"/>
                <w:highlight w:val="none"/>
                <w:lang w:val="en-US" w:eastAsia="zh-CN" w:bidi="ar"/>
              </w:rPr>
              <w:t>4.8608</w:t>
            </w:r>
            <w:r>
              <w:rPr>
                <w:rFonts w:hint="default" w:ascii="Times New Roman" w:hAnsi="Times New Roman" w:eastAsia="宋体" w:cs="Times New Roman"/>
                <w:color w:val="auto"/>
                <w:kern w:val="2"/>
                <w:sz w:val="21"/>
                <w:szCs w:val="21"/>
                <w:highlight w:val="none"/>
                <w:lang w:val="en-US" w:eastAsia="zh-CN" w:bidi="ar"/>
              </w:rPr>
              <w:t>hm</w:t>
            </w:r>
            <w:r>
              <w:rPr>
                <w:rFonts w:hint="default" w:ascii="Times New Roman" w:hAnsi="Times New Roman" w:eastAsia="宋体" w:cs="Times New Roman"/>
                <w:color w:val="auto"/>
                <w:kern w:val="2"/>
                <w:sz w:val="21"/>
                <w:szCs w:val="21"/>
                <w:highlight w:val="none"/>
                <w:vertAlign w:val="superscript"/>
                <w:lang w:val="en-US" w:eastAsia="zh-CN" w:bidi="ar"/>
              </w:rPr>
              <w:t>2</w:t>
            </w:r>
            <w:r>
              <w:rPr>
                <w:rFonts w:hint="default" w:ascii="Times New Roman" w:hAnsi="Times New Roman" w:cs="Times New Roman"/>
                <w:color w:val="auto"/>
                <w:kern w:val="2"/>
                <w:sz w:val="21"/>
                <w:szCs w:val="21"/>
                <w:highlight w:val="none"/>
                <w:lang w:eastAsia="zh-CN" w:bidi="ar"/>
              </w:rPr>
              <w:t>）</w:t>
            </w:r>
            <w:r>
              <w:rPr>
                <w:rFonts w:hint="default" w:ascii="Times New Roman" w:hAnsi="Times New Roman" w:eastAsia="宋体" w:cs="Times New Roman"/>
                <w:color w:val="auto"/>
                <w:kern w:val="2"/>
                <w:sz w:val="21"/>
                <w:szCs w:val="21"/>
                <w:highlight w:val="none"/>
                <w:lang w:bidi="ar"/>
              </w:rPr>
              <w:t>＜20km</w:t>
            </w:r>
            <w:r>
              <w:rPr>
                <w:rFonts w:hint="default" w:ascii="Times New Roman" w:hAnsi="Times New Roman" w:eastAsia="宋体" w:cs="Times New Roman"/>
                <w:color w:val="auto"/>
                <w:kern w:val="2"/>
                <w:sz w:val="21"/>
                <w:szCs w:val="21"/>
                <w:highlight w:val="none"/>
                <w:vertAlign w:val="superscript"/>
                <w:lang w:bidi="ar"/>
              </w:rPr>
              <w:t>2</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79E09E6B">
            <w:pPr>
              <w:pStyle w:val="32"/>
              <w:widowControl w:val="0"/>
              <w:adjustRightIn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w:t>
            </w:r>
          </w:p>
        </w:tc>
      </w:tr>
      <w:tr w14:paraId="146B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0C7BDA41">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g</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34B057AB">
            <w:pPr>
              <w:pStyle w:val="32"/>
              <w:widowControl w:val="0"/>
              <w:adjustRightInd w:val="0"/>
              <w:spacing w:before="0" w:beforeAutospacing="0" w:after="0" w:afterAutospacing="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除本条a~f以外的情况，评价等级为三级；</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67243A6">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24178EFD">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2"/>
                <w:sz w:val="21"/>
                <w:szCs w:val="21"/>
                <w:highlight w:val="none"/>
                <w:lang w:bidi="ar"/>
              </w:rPr>
              <w:t>/</w:t>
            </w:r>
          </w:p>
        </w:tc>
      </w:tr>
      <w:tr w14:paraId="6336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6FB37C76">
            <w:pPr>
              <w:pStyle w:val="32"/>
              <w:widowControl w:val="0"/>
              <w:adjustRightIn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bidi="ar"/>
              </w:rPr>
              <w:t>h</w:t>
            </w:r>
          </w:p>
        </w:tc>
        <w:tc>
          <w:tcPr>
            <w:tcW w:w="2585" w:type="pct"/>
            <w:tcBorders>
              <w:top w:val="single" w:color="auto" w:sz="4" w:space="0"/>
              <w:left w:val="single" w:color="auto" w:sz="4" w:space="0"/>
              <w:bottom w:val="single" w:color="auto" w:sz="4" w:space="0"/>
              <w:right w:val="single" w:color="auto" w:sz="4" w:space="0"/>
            </w:tcBorders>
            <w:noWrap w:val="0"/>
            <w:vAlign w:val="center"/>
          </w:tcPr>
          <w:p w14:paraId="4F18732B">
            <w:pPr>
              <w:pStyle w:val="32"/>
              <w:widowControl w:val="0"/>
              <w:adjustRightInd w:val="0"/>
              <w:spacing w:before="0" w:beforeAutospacing="0" w:after="0" w:afterAutospacing="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kern w:val="2"/>
                <w:sz w:val="21"/>
                <w:szCs w:val="21"/>
                <w:highlight w:val="none"/>
                <w:lang w:bidi="ar"/>
              </w:rPr>
              <w:t>当评价等级判定同时符合上述多种情况时，应采用其中最高的评价等级</w:t>
            </w:r>
            <w:r>
              <w:rPr>
                <w:rFonts w:hint="default" w:ascii="Times New Roman" w:hAnsi="Times New Roman" w:cs="Times New Roman"/>
                <w:bCs/>
                <w:color w:val="auto"/>
                <w:kern w:val="2"/>
                <w:sz w:val="21"/>
                <w:szCs w:val="21"/>
                <w:highlight w:val="none"/>
                <w:lang w:eastAsia="zh-CN" w:bidi="ar"/>
              </w:rPr>
              <w:t>。</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617CA15">
            <w:pPr>
              <w:pStyle w:val="32"/>
              <w:widowControl w:val="0"/>
              <w:adjustRightInd w:val="0"/>
              <w:spacing w:before="0" w:beforeAutospacing="0" w:after="0" w:afterAutospacing="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kern w:val="2"/>
                <w:sz w:val="21"/>
                <w:szCs w:val="21"/>
                <w:highlight w:val="none"/>
                <w:lang w:val="en-US" w:eastAsia="zh-CN" w:bidi="ar"/>
              </w:rPr>
              <w:t>二级</w:t>
            </w:r>
          </w:p>
        </w:tc>
        <w:tc>
          <w:tcPr>
            <w:tcW w:w="730" w:type="pct"/>
            <w:tcBorders>
              <w:top w:val="single" w:color="auto" w:sz="4" w:space="0"/>
              <w:left w:val="single" w:color="auto" w:sz="4" w:space="0"/>
              <w:bottom w:val="single" w:color="auto" w:sz="4" w:space="0"/>
              <w:right w:val="single" w:color="auto" w:sz="4" w:space="0"/>
            </w:tcBorders>
            <w:noWrap w:val="0"/>
            <w:vAlign w:val="center"/>
          </w:tcPr>
          <w:p w14:paraId="7BB1687B">
            <w:pPr>
              <w:pStyle w:val="32"/>
              <w:widowControl w:val="0"/>
              <w:adjustRightInd w:val="0"/>
              <w:spacing w:before="0" w:beforeAutospacing="0" w:after="0" w:afterAutospacing="0"/>
              <w:jc w:val="center"/>
              <w:rPr>
                <w:rFonts w:hint="eastAsia" w:ascii="Times New Roman" w:hAnsi="Times New Roman" w:eastAsia="宋体" w:cs="Times New Roman"/>
                <w:bCs/>
                <w:color w:val="auto"/>
                <w:sz w:val="21"/>
                <w:szCs w:val="21"/>
                <w:highlight w:val="none"/>
                <w:lang w:eastAsia="zh-CN"/>
              </w:rPr>
            </w:pPr>
            <w:r>
              <w:rPr>
                <w:rFonts w:hint="eastAsia" w:cs="Times New Roman"/>
                <w:color w:val="auto"/>
                <w:kern w:val="2"/>
                <w:sz w:val="21"/>
                <w:szCs w:val="21"/>
                <w:highlight w:val="none"/>
                <w:lang w:val="en-US" w:eastAsia="zh-CN" w:bidi="ar"/>
              </w:rPr>
              <w:t>二级</w:t>
            </w:r>
          </w:p>
        </w:tc>
      </w:tr>
    </w:tbl>
    <w:p w14:paraId="7254E16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评价范围</w:t>
      </w:r>
    </w:p>
    <w:p w14:paraId="69C42787">
      <w:pPr>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val="en-US" w:eastAsia="zh-CN"/>
        </w:rPr>
        <w:t>油气田开发工程具有分布面积广的特点，且基本呈点状、线状分布，故其对环境影响仅限于各井场及内部输送管线较近的范围。根据《环境影响评价技术导则生态影响》（HJ19-2022），考虑油气田整体开发对生态环境的影响，确定生态环境评价范围为各井场边界向外扩展50m；根据《环境影响评价技术导则</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生态影响》（HJ19-2022），“线性工程穿越生态敏感区时，以线路穿越段向两端外延1km、线路中心线向两侧外延1km为参考评价范围”，本项目</w:t>
      </w:r>
      <w:r>
        <w:rPr>
          <w:rFonts w:hint="eastAsia"/>
          <w:color w:val="auto"/>
          <w:highlight w:val="none"/>
        </w:rPr>
        <w:t>新建TH102117X井至T707CH</w:t>
      </w:r>
      <w:r>
        <w:rPr>
          <w:rFonts w:hint="eastAsia"/>
          <w:color w:val="auto"/>
          <w:highlight w:val="none"/>
          <w:lang w:val="en-US" w:eastAsia="zh-CN"/>
        </w:rPr>
        <w:t>井集输</w:t>
      </w:r>
      <w:r>
        <w:rPr>
          <w:rFonts w:hint="default" w:ascii="Times New Roman" w:hAnsi="Times New Roman" w:cs="Times New Roman"/>
          <w:color w:val="auto"/>
          <w:sz w:val="24"/>
          <w:szCs w:val="24"/>
          <w:highlight w:val="none"/>
          <w:lang w:val="en-US" w:eastAsia="zh-CN"/>
        </w:rPr>
        <w:t>管线穿越生态敏感区</w:t>
      </w:r>
      <w:r>
        <w:rPr>
          <w:rFonts w:hint="eastAsia" w:cs="Times New Roman"/>
          <w:color w:val="auto"/>
          <w:sz w:val="24"/>
          <w:szCs w:val="24"/>
          <w:highlight w:val="none"/>
          <w:lang w:val="en-US" w:eastAsia="zh-CN"/>
        </w:rPr>
        <w:t>（公益林）</w:t>
      </w:r>
      <w:r>
        <w:rPr>
          <w:rFonts w:hint="default" w:ascii="Times New Roman" w:hAnsi="Times New Roman" w:cs="Times New Roman"/>
          <w:color w:val="auto"/>
          <w:sz w:val="24"/>
          <w:szCs w:val="24"/>
          <w:highlight w:val="none"/>
          <w:lang w:val="en-US" w:eastAsia="zh-CN"/>
        </w:rPr>
        <w:t>时，以线路穿越段向两侧外延1km为评价范围；穿越非生态敏感区时，以线性工程两侧外延300m为评价范围</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sz w:val="24"/>
          <w:szCs w:val="24"/>
          <w:highlight w:val="none"/>
          <w:lang w:val="en-US" w:eastAsia="zh-CN"/>
        </w:rPr>
        <w:t>生态评价范围见</w:t>
      </w:r>
      <w:r>
        <w:rPr>
          <w:rFonts w:hint="default" w:ascii="Times New Roman" w:hAnsi="Times New Roman" w:cs="Times New Roman"/>
          <w:color w:val="auto"/>
          <w:szCs w:val="24"/>
          <w:highlight w:val="none"/>
          <w:lang w:val="en-US" w:eastAsia="zh-CN"/>
        </w:rPr>
        <w:t>图2.6-1</w:t>
      </w:r>
      <w:r>
        <w:rPr>
          <w:rFonts w:hint="default" w:ascii="Times New Roman" w:hAnsi="Times New Roman" w:cs="Times New Roman"/>
          <w:color w:val="auto"/>
          <w:highlight w:val="none"/>
        </w:rPr>
        <w:t>。</w:t>
      </w:r>
    </w:p>
    <w:p w14:paraId="7DFB5FB2">
      <w:pPr>
        <w:pStyle w:val="4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声环境</w:t>
      </w:r>
    </w:p>
    <w:p w14:paraId="7EAC77DB">
      <w:pPr>
        <w:pStyle w:val="5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eastAsia="zh-CN"/>
        </w:rPr>
        <w:t>噪声源主要包括施工期内井场机械噪声、运营期站场机泵和井场井下作业噪声。</w:t>
      </w:r>
    </w:p>
    <w:p w14:paraId="13B9B3DF">
      <w:pPr>
        <w:pStyle w:val="5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eastAsia="zh-CN"/>
        </w:rPr>
        <w:t>所在功能区适用于《声环境质量标准》（GB3096-2008）中规定的2类标准，且噪声源周围200m没有固定集中的人群活动。依据《环境影响评价技术导则声环境》（HJ2.4-2021）中的规定，</w:t>
      </w:r>
      <w:r>
        <w:rPr>
          <w:rFonts w:hint="default" w:ascii="Times New Roman" w:hAnsi="Times New Roman"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eastAsia="zh-CN"/>
        </w:rPr>
        <w:t>声环境影响评价工作等级定为二级</w:t>
      </w:r>
      <w:r>
        <w:rPr>
          <w:rFonts w:hint="default" w:ascii="Times New Roman" w:hAnsi="Times New Roman" w:eastAsia="宋体" w:cs="Times New Roman"/>
          <w:color w:val="auto"/>
          <w:sz w:val="24"/>
          <w:szCs w:val="24"/>
          <w:highlight w:val="none"/>
        </w:rPr>
        <w:t>。</w:t>
      </w:r>
    </w:p>
    <w:p w14:paraId="01958DE4">
      <w:pPr>
        <w:keepNext w:val="0"/>
        <w:keepLines w:val="0"/>
        <w:pageBreakBefore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根据《环境影响评价技术导则声环境》（HJ2.4-2021）要求，“满足一级评价的要求，一般以建设项目边界向外200m为评价范围；二级、三级评价范围可根据建设项目所在区域和相邻区域的声环境功能区</w:t>
      </w:r>
      <w:r>
        <w:rPr>
          <w:rFonts w:hint="default" w:ascii="Times New Roman" w:hAnsi="Times New Roman" w:cs="Times New Roman"/>
          <w:color w:val="auto"/>
          <w:highlight w:val="none"/>
          <w:lang w:val="en-US" w:eastAsia="zh-CN"/>
        </w:rPr>
        <w:t>类别及声环境保护目标等实际情况适当缩小</w:t>
      </w:r>
      <w:r>
        <w:rPr>
          <w:rFonts w:hint="default" w:ascii="Times New Roman" w:hAnsi="Times New Roman" w:cs="Times New Roman"/>
          <w:color w:val="auto"/>
          <w:highlight w:val="none"/>
          <w:lang w:eastAsia="zh-CN"/>
        </w:rPr>
        <w:t>”，根据项目特点，本次声环境评价范围为</w:t>
      </w:r>
      <w:r>
        <w:rPr>
          <w:rFonts w:hint="eastAsia" w:cs="Times New Roman"/>
          <w:color w:val="auto"/>
          <w:highlight w:val="none"/>
          <w:lang w:val="en-US" w:eastAsia="zh-CN"/>
        </w:rPr>
        <w:t>各</w:t>
      </w:r>
      <w:r>
        <w:rPr>
          <w:rFonts w:hint="default" w:ascii="Times New Roman" w:hAnsi="Times New Roman" w:cs="Times New Roman"/>
          <w:color w:val="auto"/>
          <w:highlight w:val="none"/>
          <w:lang w:eastAsia="zh-CN"/>
        </w:rPr>
        <w:t>井场边界向外扩200m作为评价范围。评价范围见</w:t>
      </w:r>
      <w:r>
        <w:rPr>
          <w:rFonts w:hint="default" w:ascii="Times New Roman" w:hAnsi="Times New Roman" w:cs="Times New Roman"/>
          <w:color w:val="auto"/>
          <w:szCs w:val="24"/>
          <w:highlight w:val="none"/>
          <w:lang w:val="en-US" w:eastAsia="zh-CN"/>
        </w:rPr>
        <w:t>图2.6-1</w:t>
      </w:r>
      <w:r>
        <w:rPr>
          <w:rFonts w:hint="default" w:ascii="Times New Roman" w:hAnsi="Times New Roman" w:cs="Times New Roman"/>
          <w:color w:val="auto"/>
          <w:highlight w:val="none"/>
        </w:rPr>
        <w:t>。</w:t>
      </w:r>
    </w:p>
    <w:p w14:paraId="23C45417">
      <w:pPr>
        <w:pStyle w:val="48"/>
        <w:pageBreakBefore w:val="0"/>
        <w:kinsoku/>
        <w:wordWrap/>
        <w:overflowPunct/>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154" w:name="_Hlk48603751"/>
      <w:r>
        <w:rPr>
          <w:rFonts w:hint="default" w:ascii="Times New Roman" w:hAnsi="Times New Roman" w:cs="Times New Roman"/>
          <w:color w:val="auto"/>
          <w:highlight w:val="none"/>
        </w:rPr>
        <w:t>2.6.</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土壤环境</w:t>
      </w:r>
    </w:p>
    <w:p w14:paraId="506B3E17">
      <w:pPr>
        <w:keepNext w:val="0"/>
        <w:keepLines/>
        <w:pageBreakBefore w:val="0"/>
        <w:widowControl/>
        <w:suppressLineNumbers w:val="0"/>
        <w:kinsoku/>
        <w:wordWrap/>
        <w:overflowPunct/>
        <w:autoSpaceDN/>
        <w:bidi w:val="0"/>
        <w:adjustRightInd w:val="0"/>
        <w:snapToGrid w:val="0"/>
        <w:spacing w:beforeAutospacing="0" w:afterAutospacing="0" w:line="360" w:lineRule="auto"/>
        <w:ind w:left="0" w:right="0"/>
        <w:jc w:val="left"/>
        <w:textAlignment w:val="auto"/>
        <w:outlineLvl w:val="3"/>
        <w:rPr>
          <w:rFonts w:hint="default" w:ascii="Times New Roman" w:hAnsi="Times New Roman" w:eastAsia="宋体" w:cs="Times New Roman"/>
          <w:b/>
          <w:bCs w:val="0"/>
          <w:caps w:val="0"/>
          <w:color w:val="auto"/>
          <w:sz w:val="24"/>
          <w:szCs w:val="24"/>
          <w:highlight w:val="none"/>
          <w:lang w:val="en-US"/>
        </w:rPr>
      </w:pPr>
      <w:r>
        <w:rPr>
          <w:rFonts w:hint="default" w:ascii="Times New Roman" w:hAnsi="Times New Roman" w:eastAsia="宋体" w:cs="Times New Roman"/>
          <w:b/>
          <w:bCs w:val="0"/>
          <w:caps w:val="0"/>
          <w:color w:val="auto"/>
          <w:kern w:val="0"/>
          <w:sz w:val="24"/>
          <w:szCs w:val="24"/>
          <w:highlight w:val="none"/>
          <w:lang w:val="en-US" w:eastAsia="zh-CN" w:bidi="ar"/>
        </w:rPr>
        <w:t>2.6.</w:t>
      </w:r>
      <w:r>
        <w:rPr>
          <w:rFonts w:hint="default" w:ascii="Times New Roman" w:hAnsi="Times New Roman" w:cs="Times New Roman"/>
          <w:b/>
          <w:bCs w:val="0"/>
          <w:caps w:val="0"/>
          <w:color w:val="auto"/>
          <w:kern w:val="0"/>
          <w:sz w:val="24"/>
          <w:szCs w:val="24"/>
          <w:highlight w:val="none"/>
          <w:lang w:val="en-US" w:eastAsia="zh-CN" w:bidi="ar"/>
        </w:rPr>
        <w:t>6</w:t>
      </w:r>
      <w:r>
        <w:rPr>
          <w:rFonts w:hint="default" w:ascii="Times New Roman" w:hAnsi="Times New Roman" w:eastAsia="宋体" w:cs="Times New Roman"/>
          <w:b/>
          <w:bCs w:val="0"/>
          <w:caps w:val="0"/>
          <w:color w:val="auto"/>
          <w:kern w:val="0"/>
          <w:sz w:val="24"/>
          <w:szCs w:val="24"/>
          <w:highlight w:val="none"/>
          <w:lang w:val="en-US" w:eastAsia="zh-CN" w:bidi="ar"/>
        </w:rPr>
        <w:t>.1评价等级</w:t>
      </w:r>
    </w:p>
    <w:p w14:paraId="0093491E">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caps w:val="0"/>
          <w:color w:val="auto"/>
          <w:kern w:val="2"/>
          <w:sz w:val="24"/>
          <w:szCs w:val="32"/>
          <w:highlight w:val="none"/>
          <w:lang w:val="en-US" w:eastAsia="zh-CN" w:bidi="ar"/>
        </w:rPr>
      </w:pPr>
      <w:r>
        <w:rPr>
          <w:rFonts w:hint="default" w:ascii="Times New Roman" w:hAnsi="Times New Roman" w:eastAsia="宋体" w:cs="Times New Roman"/>
          <w:caps w:val="0"/>
          <w:color w:val="auto"/>
          <w:kern w:val="2"/>
          <w:sz w:val="24"/>
          <w:szCs w:val="32"/>
          <w:highlight w:val="none"/>
          <w:lang w:val="en-US" w:eastAsia="zh-CN" w:bidi="ar"/>
        </w:rPr>
        <w:t>根据《环境影响评价技术导则土壤环境</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试行</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HJ964-2018</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和《环境影响评价技术导则陆地石油天然气开发建设项目》</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HJ349-2023</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以及区域历史监测数据，工程所在区域土壤盐分含量大于</w:t>
      </w:r>
      <w:r>
        <w:rPr>
          <w:rFonts w:hint="default" w:ascii="Times New Roman" w:hAnsi="Times New Roman" w:cs="Times New Roman"/>
          <w:caps w:val="0"/>
          <w:color w:val="auto"/>
          <w:kern w:val="2"/>
          <w:sz w:val="24"/>
          <w:szCs w:val="32"/>
          <w:highlight w:val="none"/>
          <w:lang w:val="en-US" w:eastAsia="zh-CN" w:bidi="ar"/>
        </w:rPr>
        <w:t>4</w:t>
      </w:r>
      <w:r>
        <w:rPr>
          <w:rFonts w:hint="default" w:ascii="Times New Roman" w:hAnsi="Times New Roman" w:eastAsia="宋体" w:cs="Times New Roman"/>
          <w:caps w:val="0"/>
          <w:color w:val="auto"/>
          <w:kern w:val="2"/>
          <w:sz w:val="24"/>
          <w:szCs w:val="32"/>
          <w:highlight w:val="none"/>
          <w:lang w:val="en-US" w:eastAsia="zh-CN" w:bidi="ar"/>
        </w:rPr>
        <w:t>g/kg，即项目所在区域属于土壤盐化地区，</w:t>
      </w:r>
      <w:r>
        <w:rPr>
          <w:rFonts w:hint="default" w:ascii="Times New Roman" w:hAnsi="Times New Roman" w:cs="Times New Roman"/>
          <w:caps w:val="0"/>
          <w:color w:val="auto"/>
          <w:kern w:val="2"/>
          <w:sz w:val="24"/>
          <w:szCs w:val="32"/>
          <w:highlight w:val="none"/>
          <w:lang w:val="en-US" w:eastAsia="zh-CN" w:bidi="ar"/>
        </w:rPr>
        <w:t>本项目</w:t>
      </w:r>
      <w:r>
        <w:rPr>
          <w:rFonts w:hint="default" w:ascii="Times New Roman" w:hAnsi="Times New Roman" w:eastAsia="宋体" w:cs="Times New Roman"/>
          <w:caps w:val="0"/>
          <w:color w:val="auto"/>
          <w:kern w:val="2"/>
          <w:sz w:val="24"/>
          <w:szCs w:val="32"/>
          <w:highlight w:val="none"/>
          <w:lang w:val="en-US" w:eastAsia="zh-CN" w:bidi="ar"/>
        </w:rPr>
        <w:t>类别同时按照生态影响型项目和污染影响型项目考虑，并根据不同项目类型类别分别判定评价等级。</w:t>
      </w:r>
    </w:p>
    <w:p w14:paraId="5D68CC3D">
      <w:pPr>
        <w:keepNext w:val="0"/>
        <w:keepLines w:val="0"/>
        <w:pageBreakBefore w:val="0"/>
        <w:widowControl/>
        <w:kinsoku/>
        <w:wordWrap/>
        <w:overflowPunct/>
        <w:topLinePunct w:val="0"/>
        <w:autoSpaceDE/>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t>（1）建设项目类别</w:t>
      </w:r>
    </w:p>
    <w:p w14:paraId="205D393F">
      <w:pPr>
        <w:keepNext w:val="0"/>
        <w:keepLines w:val="0"/>
        <w:pageBreakBefore w:val="0"/>
        <w:widowControl/>
        <w:kinsoku/>
        <w:wordWrap/>
        <w:overflowPunct/>
        <w:topLinePunct w:val="0"/>
        <w:autoSpaceDE/>
        <w:autoSpaceDN/>
        <w:bidi w:val="0"/>
        <w:adjustRightInd/>
        <w:snapToGrid/>
        <w:spacing w:line="360" w:lineRule="auto"/>
        <w:ind w:left="0" w:right="0" w:firstLine="482"/>
        <w:jc w:val="both"/>
        <w:textAlignment w:val="auto"/>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本项目属于陆地石油开采项目，项目内容包含井场及集输管线建设</w:t>
      </w:r>
      <w:r>
        <w:rPr>
          <w:rFonts w:ascii="宋体" w:hAnsi="宋体" w:eastAsia="宋体" w:cs="宋体"/>
          <w:color w:val="auto"/>
          <w:spacing w:val="-11"/>
          <w:sz w:val="24"/>
          <w:szCs w:val="24"/>
          <w:highlight w:val="none"/>
        </w:rPr>
        <w:t>。根据《环</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境影响评价技术导则 土壤环境（试行）》（</w:t>
      </w:r>
      <w:r>
        <w:rPr>
          <w:rFonts w:ascii="Times New Roman" w:hAnsi="Times New Roman" w:eastAsia="Times New Roman" w:cs="Times New Roman"/>
          <w:color w:val="auto"/>
          <w:sz w:val="24"/>
          <w:szCs w:val="24"/>
          <w:highlight w:val="none"/>
        </w:rPr>
        <w:t>HJ</w:t>
      </w:r>
      <w:r>
        <w:rPr>
          <w:rFonts w:ascii="Times New Roman" w:hAnsi="Times New Roman" w:eastAsia="Times New Roman" w:cs="Times New Roman"/>
          <w:color w:val="auto"/>
          <w:spacing w:val="1"/>
          <w:sz w:val="24"/>
          <w:szCs w:val="24"/>
          <w:highlight w:val="none"/>
        </w:rPr>
        <w:t>964-20</w:t>
      </w:r>
      <w:r>
        <w:rPr>
          <w:rFonts w:ascii="Times New Roman" w:hAnsi="Times New Roman" w:eastAsia="Times New Roman" w:cs="Times New Roman"/>
          <w:color w:val="auto"/>
          <w:sz w:val="24"/>
          <w:szCs w:val="24"/>
          <w:highlight w:val="none"/>
        </w:rPr>
        <w:t>18</w:t>
      </w:r>
      <w:r>
        <w:rPr>
          <w:rFonts w:ascii="宋体" w:hAnsi="宋体" w:eastAsia="宋体" w:cs="宋体"/>
          <w:color w:val="auto"/>
          <w:sz w:val="24"/>
          <w:szCs w:val="24"/>
          <w:highlight w:val="none"/>
        </w:rPr>
        <w:t xml:space="preserve">）和《环境影响评价技 </w:t>
      </w:r>
      <w:r>
        <w:rPr>
          <w:rFonts w:ascii="宋体" w:hAnsi="宋体" w:eastAsia="宋体" w:cs="宋体"/>
          <w:color w:val="auto"/>
          <w:spacing w:val="-1"/>
          <w:sz w:val="24"/>
          <w:szCs w:val="24"/>
          <w:highlight w:val="none"/>
        </w:rPr>
        <w:t>术导则 陆地石油天然气开发建设项目》（</w:t>
      </w:r>
      <w:r>
        <w:rPr>
          <w:rFonts w:ascii="Times New Roman" w:hAnsi="Times New Roman" w:eastAsia="Times New Roman" w:cs="Times New Roman"/>
          <w:color w:val="auto"/>
          <w:spacing w:val="-1"/>
          <w:sz w:val="24"/>
          <w:szCs w:val="24"/>
          <w:highlight w:val="none"/>
        </w:rPr>
        <w:t>HJ349-2</w:t>
      </w:r>
      <w:r>
        <w:rPr>
          <w:rFonts w:ascii="Times New Roman" w:hAnsi="Times New Roman" w:eastAsia="Times New Roman" w:cs="Times New Roman"/>
          <w:color w:val="auto"/>
          <w:spacing w:val="-2"/>
          <w:sz w:val="24"/>
          <w:szCs w:val="24"/>
          <w:highlight w:val="none"/>
        </w:rPr>
        <w:t>023</w:t>
      </w:r>
      <w:r>
        <w:rPr>
          <w:rFonts w:ascii="宋体" w:hAnsi="宋体" w:eastAsia="宋体" w:cs="宋体"/>
          <w:color w:val="auto"/>
          <w:spacing w:val="-13"/>
          <w:sz w:val="24"/>
          <w:szCs w:val="24"/>
          <w:highlight w:val="none"/>
        </w:rPr>
        <w:t>）：</w:t>
      </w:r>
      <w:r>
        <w:rPr>
          <w:rFonts w:hint="eastAsia" w:ascii="Times New Roman" w:hAnsi="Times New Roman" w:eastAsia="宋体" w:cs="Times New Roman"/>
          <w:color w:val="auto"/>
          <w:spacing w:val="-2"/>
          <w:sz w:val="24"/>
          <w:szCs w:val="24"/>
          <w:highlight w:val="none"/>
          <w:lang w:eastAsia="zh-CN"/>
        </w:rPr>
        <w:t>“</w:t>
      </w:r>
      <w:r>
        <w:rPr>
          <w:rFonts w:ascii="宋体" w:hAnsi="宋体" w:eastAsia="宋体" w:cs="宋体"/>
          <w:color w:val="auto"/>
          <w:spacing w:val="-2"/>
          <w:sz w:val="24"/>
          <w:szCs w:val="24"/>
          <w:highlight w:val="none"/>
        </w:rPr>
        <w:t>建设项目按照站场和</w:t>
      </w:r>
      <w:r>
        <w:rPr>
          <w:rFonts w:ascii="宋体" w:hAnsi="宋体" w:eastAsia="宋体" w:cs="宋体"/>
          <w:color w:val="auto"/>
          <w:spacing w:val="-3"/>
          <w:sz w:val="24"/>
          <w:szCs w:val="24"/>
          <w:highlight w:val="none"/>
        </w:rPr>
        <w:t>内部集输管道分别判断行业分类。常规石油和页岩油、致密油等非常规石油开采</w:t>
      </w:r>
      <w:r>
        <w:rPr>
          <w:rFonts w:ascii="宋体" w:hAnsi="宋体" w:eastAsia="宋体" w:cs="宋体"/>
          <w:color w:val="auto"/>
          <w:spacing w:val="-2"/>
          <w:sz w:val="24"/>
          <w:szCs w:val="24"/>
          <w:highlight w:val="none"/>
        </w:rPr>
        <w:t>井场、站场等工程，按照</w:t>
      </w:r>
      <w:r>
        <w:rPr>
          <w:rFonts w:ascii="宋体" w:hAnsi="宋体" w:eastAsia="宋体" w:cs="宋体"/>
          <w:color w:val="auto"/>
          <w:spacing w:val="-52"/>
          <w:sz w:val="24"/>
          <w:szCs w:val="24"/>
          <w:highlight w:val="none"/>
        </w:rPr>
        <w:t xml:space="preserve"> </w:t>
      </w:r>
      <w:r>
        <w:rPr>
          <w:rFonts w:ascii="Times New Roman" w:hAnsi="Times New Roman" w:eastAsia="Times New Roman" w:cs="Times New Roman"/>
          <w:color w:val="auto"/>
          <w:spacing w:val="-2"/>
          <w:sz w:val="24"/>
          <w:szCs w:val="24"/>
          <w:highlight w:val="none"/>
        </w:rPr>
        <w:t xml:space="preserve">I </w:t>
      </w:r>
      <w:r>
        <w:rPr>
          <w:rFonts w:ascii="宋体" w:hAnsi="宋体" w:eastAsia="宋体" w:cs="宋体"/>
          <w:color w:val="auto"/>
          <w:spacing w:val="-2"/>
          <w:sz w:val="24"/>
          <w:szCs w:val="24"/>
          <w:highlight w:val="none"/>
        </w:rPr>
        <w:t>类建设项目开展土壤环境影响评价；常规天然气和页</w:t>
      </w:r>
      <w:r>
        <w:rPr>
          <w:rFonts w:ascii="宋体" w:hAnsi="宋体" w:eastAsia="宋体" w:cs="宋体"/>
          <w:color w:val="auto"/>
          <w:spacing w:val="-3"/>
          <w:sz w:val="24"/>
          <w:szCs w:val="24"/>
          <w:highlight w:val="none"/>
        </w:rPr>
        <w:t>岩气、致密气等非常规天然气开采（含天然气净化厂）站场等工程，油类和废水</w:t>
      </w:r>
      <w:r>
        <w:rPr>
          <w:rFonts w:ascii="宋体" w:hAnsi="宋体" w:eastAsia="宋体" w:cs="宋体"/>
          <w:color w:val="auto"/>
          <w:spacing w:val="2"/>
          <w:sz w:val="24"/>
          <w:szCs w:val="24"/>
          <w:highlight w:val="none"/>
        </w:rPr>
        <w:t>等输送管道，按照</w:t>
      </w:r>
      <w:r>
        <w:rPr>
          <w:rFonts w:ascii="Times New Roman" w:hAnsi="Times New Roman" w:eastAsia="Times New Roman" w:cs="Times New Roman"/>
          <w:color w:val="auto"/>
          <w:spacing w:val="2"/>
          <w:sz w:val="24"/>
          <w:szCs w:val="24"/>
          <w:highlight w:val="none"/>
        </w:rPr>
        <w:t>Ⅱ</w:t>
      </w:r>
      <w:r>
        <w:rPr>
          <w:rFonts w:ascii="宋体" w:hAnsi="宋体" w:eastAsia="宋体" w:cs="宋体"/>
          <w:color w:val="auto"/>
          <w:spacing w:val="2"/>
          <w:sz w:val="24"/>
          <w:szCs w:val="24"/>
          <w:highlight w:val="none"/>
        </w:rPr>
        <w:t>类建设项目开展土壤环境影响评价</w:t>
      </w:r>
      <w:r>
        <w:rPr>
          <w:rFonts w:ascii="宋体" w:hAnsi="宋体" w:eastAsia="宋体" w:cs="宋体"/>
          <w:color w:val="auto"/>
          <w:spacing w:val="-88"/>
          <w:sz w:val="24"/>
          <w:szCs w:val="24"/>
          <w:highlight w:val="none"/>
        </w:rPr>
        <w:t xml:space="preserve"> </w:t>
      </w:r>
      <w:r>
        <w:rPr>
          <w:rFonts w:ascii="Times New Roman" w:hAnsi="Times New Roman" w:eastAsia="Times New Roman" w:cs="Times New Roman"/>
          <w:color w:val="auto"/>
          <w:spacing w:val="2"/>
          <w:sz w:val="24"/>
          <w:szCs w:val="24"/>
          <w:highlight w:val="none"/>
        </w:rPr>
        <w:t>…</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lang w:eastAsia="zh-CN"/>
        </w:rPr>
        <w:t>”</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2"/>
          <w:sz w:val="24"/>
          <w:szCs w:val="24"/>
          <w:highlight w:val="none"/>
        </w:rPr>
        <w:t>。因</w:t>
      </w:r>
      <w:r>
        <w:rPr>
          <w:rFonts w:ascii="宋体" w:hAnsi="宋体" w:eastAsia="宋体" w:cs="宋体"/>
          <w:color w:val="auto"/>
          <w:spacing w:val="1"/>
          <w:sz w:val="24"/>
          <w:szCs w:val="24"/>
          <w:highlight w:val="none"/>
        </w:rPr>
        <w:t>此，本</w:t>
      </w:r>
      <w:r>
        <w:rPr>
          <w:rFonts w:hint="eastAsia" w:ascii="宋体" w:hAnsi="宋体" w:eastAsia="宋体" w:cs="宋体"/>
          <w:color w:val="auto"/>
          <w:spacing w:val="1"/>
          <w:sz w:val="24"/>
          <w:szCs w:val="24"/>
          <w:highlight w:val="none"/>
          <w:lang w:val="en-US" w:eastAsia="zh-CN"/>
        </w:rPr>
        <w:t>项目</w:t>
      </w:r>
      <w:r>
        <w:rPr>
          <w:rFonts w:ascii="宋体" w:hAnsi="宋体" w:eastAsia="宋体" w:cs="宋体"/>
          <w:color w:val="auto"/>
          <w:spacing w:val="-1"/>
          <w:sz w:val="24"/>
          <w:szCs w:val="24"/>
          <w:highlight w:val="none"/>
        </w:rPr>
        <w:t>采油井场为</w:t>
      </w:r>
      <w:r>
        <w:rPr>
          <w:rFonts w:ascii="Times New Roman" w:hAnsi="Times New Roman" w:eastAsia="Times New Roman" w:cs="Times New Roman"/>
          <w:color w:val="auto"/>
          <w:spacing w:val="-1"/>
          <w:sz w:val="24"/>
          <w:szCs w:val="24"/>
          <w:highlight w:val="none"/>
        </w:rPr>
        <w:t xml:space="preserve">“I </w:t>
      </w:r>
      <w:r>
        <w:rPr>
          <w:rFonts w:ascii="宋体" w:hAnsi="宋体" w:eastAsia="宋体" w:cs="宋体"/>
          <w:color w:val="auto"/>
          <w:spacing w:val="-1"/>
          <w:sz w:val="24"/>
          <w:szCs w:val="24"/>
          <w:highlight w:val="none"/>
        </w:rPr>
        <w:t>类建设项目</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pacing w:val="-29"/>
          <w:sz w:val="24"/>
          <w:szCs w:val="24"/>
          <w:highlight w:val="none"/>
        </w:rPr>
        <w:t xml:space="preserve"> </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 xml:space="preserve"> </w:t>
      </w:r>
      <w:r>
        <w:rPr>
          <w:rFonts w:hint="eastAsia" w:ascii="宋体" w:hAnsi="宋体" w:eastAsia="宋体" w:cs="宋体"/>
          <w:color w:val="auto"/>
          <w:spacing w:val="-1"/>
          <w:sz w:val="24"/>
          <w:szCs w:val="24"/>
          <w:highlight w:val="none"/>
          <w:lang w:val="en-US" w:eastAsia="zh-CN"/>
        </w:rPr>
        <w:t>集油</w:t>
      </w:r>
      <w:r>
        <w:rPr>
          <w:rFonts w:ascii="宋体" w:hAnsi="宋体" w:eastAsia="宋体" w:cs="宋体"/>
          <w:color w:val="auto"/>
          <w:spacing w:val="-1"/>
          <w:sz w:val="24"/>
          <w:szCs w:val="24"/>
          <w:highlight w:val="none"/>
        </w:rPr>
        <w:t>管线为</w:t>
      </w:r>
      <w:r>
        <w:rPr>
          <w:rFonts w:ascii="Times New Roman" w:hAnsi="Times New Roman" w:eastAsia="Times New Roman" w:cs="Times New Roman"/>
          <w:color w:val="auto"/>
          <w:spacing w:val="-1"/>
          <w:sz w:val="24"/>
          <w:szCs w:val="24"/>
          <w:highlight w:val="none"/>
        </w:rPr>
        <w:t>“Ⅱ</w:t>
      </w:r>
      <w:r>
        <w:rPr>
          <w:rFonts w:ascii="宋体" w:hAnsi="宋体" w:eastAsia="宋体" w:cs="宋体"/>
          <w:color w:val="auto"/>
          <w:spacing w:val="-2"/>
          <w:sz w:val="24"/>
          <w:szCs w:val="24"/>
          <w:highlight w:val="none"/>
        </w:rPr>
        <w:t>类建设项目</w:t>
      </w:r>
      <w:r>
        <w:rPr>
          <w:rFonts w:ascii="Times New Roman" w:hAnsi="Times New Roman" w:eastAsia="Times New Roman" w:cs="Times New Roman"/>
          <w:color w:val="auto"/>
          <w:spacing w:val="-2"/>
          <w:sz w:val="24"/>
          <w:szCs w:val="24"/>
          <w:highlight w:val="none"/>
        </w:rPr>
        <w:t>”</w:t>
      </w:r>
      <w:r>
        <w:rPr>
          <w:rFonts w:ascii="宋体" w:hAnsi="宋体" w:eastAsia="宋体" w:cs="宋体"/>
          <w:color w:val="auto"/>
          <w:spacing w:val="-2"/>
          <w:sz w:val="24"/>
          <w:szCs w:val="24"/>
          <w:highlight w:val="none"/>
        </w:rPr>
        <w:t>。</w:t>
      </w:r>
    </w:p>
    <w:p w14:paraId="4B026440">
      <w:pPr>
        <w:keepNext w:val="0"/>
        <w:keepLines w:val="0"/>
        <w:pageBreakBefore w:val="0"/>
        <w:kinsoku/>
        <w:wordWrap/>
        <w:overflowPunct/>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t>（2）占地规模</w:t>
      </w:r>
    </w:p>
    <w:p w14:paraId="306A6CF4">
      <w:pPr>
        <w:keepNext w:val="0"/>
        <w:keepLines w:val="0"/>
        <w:pageBreakBefore w:val="0"/>
        <w:kinsoku/>
        <w:wordWrap/>
        <w:overflowPunct/>
        <w:autoSpaceDN/>
        <w:bidi w:val="0"/>
        <w:adjustRightInd w:val="0"/>
        <w:snapToGrid w:val="0"/>
        <w:spacing w:after="0" w:line="360" w:lineRule="auto"/>
        <w:ind w:left="0" w:right="0" w:firstLine="48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aps w:val="0"/>
          <w:color w:val="auto"/>
          <w:kern w:val="2"/>
          <w:sz w:val="24"/>
          <w:szCs w:val="32"/>
          <w:highlight w:val="none"/>
          <w:lang w:val="en-US" w:eastAsia="zh-CN" w:bidi="ar"/>
        </w:rPr>
        <w:t>根据《环境影响评价技术导则土壤环境</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试行</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HJ964-2018</w:t>
      </w:r>
      <w:r>
        <w:rPr>
          <w:rFonts w:hint="default" w:ascii="Times New Roman" w:hAnsi="Times New Roman" w:cs="Times New Roman"/>
          <w:caps w:val="0"/>
          <w:color w:val="auto"/>
          <w:kern w:val="2"/>
          <w:sz w:val="24"/>
          <w:szCs w:val="32"/>
          <w:highlight w:val="no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中“建设项目占地规模分为大型（≥50hm</w:t>
      </w:r>
      <w:r>
        <w:rPr>
          <w:rFonts w:hint="default" w:ascii="Times New Roman" w:hAnsi="Times New Roman" w:eastAsia="宋体" w:cs="Times New Roman"/>
          <w:caps w:val="0"/>
          <w:color w:val="auto"/>
          <w:kern w:val="2"/>
          <w:sz w:val="24"/>
          <w:szCs w:val="32"/>
          <w:highlight w:val="none"/>
          <w:vertAlign w:val="superscript"/>
          <w:lang w:val="en-US" w:eastAsia="zh-CN" w:bidi="ar"/>
        </w:rPr>
        <w:t>2</w:t>
      </w:r>
      <w:r>
        <w:rPr>
          <w:rFonts w:hint="default" w:ascii="Times New Roman" w:hAnsi="Times New Roman" w:eastAsia="宋体" w:cs="Times New Roman"/>
          <w:caps w:val="0"/>
          <w:color w:val="auto"/>
          <w:kern w:val="2"/>
          <w:sz w:val="24"/>
          <w:szCs w:val="32"/>
          <w:highlight w:val="none"/>
          <w:lang w:val="en-US" w:eastAsia="zh-CN" w:bidi="ar"/>
        </w:rPr>
        <w:t>）、中型（5～50hm</w:t>
      </w:r>
      <w:r>
        <w:rPr>
          <w:rFonts w:hint="default" w:ascii="Times New Roman" w:hAnsi="Times New Roman" w:eastAsia="宋体" w:cs="Times New Roman"/>
          <w:caps w:val="0"/>
          <w:color w:val="auto"/>
          <w:kern w:val="2"/>
          <w:sz w:val="24"/>
          <w:szCs w:val="32"/>
          <w:highlight w:val="none"/>
          <w:vertAlign w:val="superscript"/>
          <w:lang w:val="en-US" w:eastAsia="zh-CN" w:bidi="ar"/>
        </w:rPr>
        <w:t>2</w:t>
      </w:r>
      <w:r>
        <w:rPr>
          <w:rFonts w:hint="default" w:ascii="Times New Roman" w:hAnsi="Times New Roman" w:eastAsia="宋体" w:cs="Times New Roman"/>
          <w:caps w:val="0"/>
          <w:color w:val="auto"/>
          <w:kern w:val="2"/>
          <w:sz w:val="24"/>
          <w:szCs w:val="32"/>
          <w:highlight w:val="none"/>
          <w:lang w:val="en-US" w:eastAsia="zh-CN" w:bidi="ar"/>
        </w:rPr>
        <w:t>）和小型（≤5hm</w:t>
      </w:r>
      <w:r>
        <w:rPr>
          <w:rFonts w:hint="default" w:ascii="Times New Roman" w:hAnsi="Times New Roman" w:eastAsia="宋体" w:cs="Times New Roman"/>
          <w:caps w:val="0"/>
          <w:color w:val="auto"/>
          <w:kern w:val="2"/>
          <w:sz w:val="24"/>
          <w:szCs w:val="32"/>
          <w:highlight w:val="none"/>
          <w:vertAlign w:val="superscript"/>
          <w:lang w:val="en-US" w:eastAsia="zh-CN" w:bidi="ar"/>
        </w:rPr>
        <w:t>2</w:t>
      </w:r>
      <w:r>
        <w:rPr>
          <w:rFonts w:hint="default" w:ascii="Times New Roman" w:hAnsi="Times New Roman" w:eastAsia="宋体" w:cs="Times New Roman"/>
          <w:caps w:val="0"/>
          <w:color w:val="auto"/>
          <w:kern w:val="2"/>
          <w:sz w:val="24"/>
          <w:szCs w:val="32"/>
          <w:highlight w:val="none"/>
          <w:lang w:val="en-US" w:eastAsia="zh-CN" w:bidi="ar"/>
        </w:rPr>
        <w:t>）”，</w:t>
      </w:r>
      <w:r>
        <w:rPr>
          <w:rFonts w:hint="default" w:ascii="Times New Roman" w:hAnsi="Times New Roman" w:cs="Times New Roman"/>
          <w:caps w:val="0"/>
          <w:color w:val="auto"/>
          <w:kern w:val="2"/>
          <w:sz w:val="24"/>
          <w:szCs w:val="32"/>
          <w:highlight w:val="none"/>
          <w:lang w:val="en-US" w:eastAsia="zh-CN" w:bidi="ar"/>
        </w:rPr>
        <w:t>本项目</w:t>
      </w:r>
      <w:r>
        <w:rPr>
          <w:rFonts w:hint="eastAsia" w:cs="Times New Roman"/>
          <w:caps w:val="0"/>
          <w:color w:val="auto"/>
          <w:kern w:val="2"/>
          <w:sz w:val="24"/>
          <w:szCs w:val="32"/>
          <w:highlight w:val="none"/>
          <w:lang w:val="en-US" w:eastAsia="zh-CN" w:bidi="ar"/>
        </w:rPr>
        <w:t>不新增永久占地</w:t>
      </w:r>
      <w:r>
        <w:rPr>
          <w:rFonts w:hint="default" w:ascii="Times New Roman" w:hAnsi="Times New Roman" w:eastAsia="宋体" w:cs="Times New Roman"/>
          <w:caps w:val="0"/>
          <w:color w:val="auto"/>
          <w:kern w:val="2"/>
          <w:sz w:val="24"/>
          <w:szCs w:val="32"/>
          <w:highlight w:val="none"/>
          <w:vertAlign w:val="baseline"/>
          <w:lang w:val="en-US" w:eastAsia="zh-CN" w:bidi="ar"/>
        </w:rPr>
        <w:t>，</w:t>
      </w:r>
      <w:r>
        <w:rPr>
          <w:rFonts w:hint="default" w:ascii="Times New Roman" w:hAnsi="Times New Roman" w:eastAsia="宋体" w:cs="Times New Roman"/>
          <w:caps w:val="0"/>
          <w:color w:val="auto"/>
          <w:kern w:val="2"/>
          <w:sz w:val="24"/>
          <w:szCs w:val="32"/>
          <w:highlight w:val="none"/>
          <w:lang w:val="en-US" w:eastAsia="zh-CN" w:bidi="ar"/>
        </w:rPr>
        <w:t>占地规模为</w:t>
      </w:r>
      <w:r>
        <w:rPr>
          <w:rFonts w:hint="default" w:ascii="Times New Roman" w:hAnsi="Times New Roman" w:eastAsia="宋体" w:cs="Times New Roman"/>
          <w:b/>
          <w:bCs/>
          <w:caps w:val="0"/>
          <w:color w:val="auto"/>
          <w:kern w:val="2"/>
          <w:sz w:val="24"/>
          <w:szCs w:val="32"/>
          <w:highlight w:val="none"/>
          <w:lang w:val="en-US" w:eastAsia="zh-CN" w:bidi="ar"/>
        </w:rPr>
        <w:t>小型</w:t>
      </w:r>
      <w:r>
        <w:rPr>
          <w:rFonts w:hint="default" w:ascii="Times New Roman" w:hAnsi="Times New Roman" w:eastAsia="宋体" w:cs="Times New Roman"/>
          <w:caps w:val="0"/>
          <w:color w:val="auto"/>
          <w:kern w:val="2"/>
          <w:sz w:val="24"/>
          <w:szCs w:val="32"/>
          <w:highlight w:val="none"/>
          <w:lang w:val="en-US" w:eastAsia="zh-CN" w:bidi="ar"/>
        </w:rPr>
        <w:t>。</w:t>
      </w:r>
    </w:p>
    <w:p w14:paraId="0EDE32F7">
      <w:pPr>
        <w:keepNext w:val="0"/>
        <w:keepLines w:val="0"/>
        <w:pageBreakBefore w:val="0"/>
        <w:kinsoku/>
        <w:wordWrap/>
        <w:overflowPunct/>
        <w:autoSpaceDN/>
        <w:bidi w:val="0"/>
        <w:adjustRightInd w:val="0"/>
        <w:snapToGrid w:val="0"/>
        <w:spacing w:line="360" w:lineRule="auto"/>
        <w:ind w:firstLine="482" w:firstLineChars="200"/>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t>（3）建设项目敏感程度</w:t>
      </w:r>
    </w:p>
    <w:p w14:paraId="64E08361">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caps w:val="0"/>
          <w:color w:val="auto"/>
          <w:kern w:val="2"/>
          <w:sz w:val="24"/>
          <w:szCs w:val="32"/>
          <w:highlight w:val="none"/>
          <w:lang w:val="en-US" w:bidi="ar"/>
        </w:rPr>
      </w:pPr>
      <w:r>
        <w:rPr>
          <w:rFonts w:hint="default" w:ascii="Times New Roman" w:hAnsi="Times New Roman" w:eastAsia="宋体" w:cs="Times New Roman"/>
          <w:caps w:val="0"/>
          <w:color w:val="auto"/>
          <w:kern w:val="2"/>
          <w:sz w:val="24"/>
          <w:szCs w:val="32"/>
          <w:highlight w:val="none"/>
          <w:lang w:val="en-US" w:eastAsia="zh-CN" w:bidi="ar"/>
        </w:rPr>
        <w:t>①污染影响型</w:t>
      </w:r>
    </w:p>
    <w:p w14:paraId="4E52103D">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caps w:val="0"/>
          <w:color w:val="auto"/>
          <w:kern w:val="2"/>
          <w:sz w:val="24"/>
          <w:szCs w:val="32"/>
          <w:highlight w:val="none"/>
          <w:lang w:val="en-US" w:eastAsia="zh-CN" w:bidi="ar"/>
        </w:rPr>
      </w:pPr>
      <w:r>
        <w:rPr>
          <w:rFonts w:hint="default" w:ascii="Times New Roman" w:hAnsi="Times New Roman" w:cs="Times New Roman"/>
          <w:caps w:val="0"/>
          <w:color w:val="auto"/>
          <w:kern w:val="2"/>
          <w:sz w:val="24"/>
          <w:szCs w:val="32"/>
          <w:highlight w:val="none"/>
          <w:lang w:val="en-US" w:eastAsia="zh-CN" w:bidi="ar"/>
        </w:rPr>
        <w:t>本项目</w:t>
      </w:r>
      <w:r>
        <w:rPr>
          <w:rFonts w:hint="default" w:ascii="Times New Roman" w:hAnsi="Times New Roman" w:eastAsia="宋体" w:cs="Times New Roman"/>
          <w:caps w:val="0"/>
          <w:color w:val="auto"/>
          <w:kern w:val="2"/>
          <w:sz w:val="24"/>
          <w:szCs w:val="32"/>
          <w:highlight w:val="none"/>
          <w:u w:val="none"/>
          <w:lang w:val="en-US" w:eastAsia="zh-CN" w:bidi="ar"/>
        </w:rPr>
        <w:t>井场及管线周边200m范围内涉及</w:t>
      </w:r>
      <w:r>
        <w:rPr>
          <w:rFonts w:hint="default" w:ascii="Times New Roman" w:hAnsi="Times New Roman" w:cs="Times New Roman"/>
          <w:caps w:val="0"/>
          <w:color w:val="auto"/>
          <w:kern w:val="2"/>
          <w:sz w:val="24"/>
          <w:szCs w:val="32"/>
          <w:highlight w:val="none"/>
          <w:u w:val="none"/>
          <w:lang w:val="en-US" w:eastAsia="zh-CN" w:bidi="ar"/>
        </w:rPr>
        <w:t>天然</w:t>
      </w:r>
      <w:r>
        <w:rPr>
          <w:rFonts w:hint="default" w:ascii="Times New Roman" w:hAnsi="Times New Roman" w:eastAsia="宋体" w:cs="Times New Roman"/>
          <w:caps w:val="0"/>
          <w:color w:val="auto"/>
          <w:kern w:val="2"/>
          <w:sz w:val="24"/>
          <w:szCs w:val="32"/>
          <w:highlight w:val="none"/>
          <w:u w:val="none"/>
          <w:lang w:val="en-US" w:eastAsia="zh-CN" w:bidi="ar"/>
        </w:rPr>
        <w:t>牧草地</w:t>
      </w:r>
      <w:r>
        <w:rPr>
          <w:rFonts w:hint="eastAsia" w:cs="Times New Roman"/>
          <w:caps w:val="0"/>
          <w:color w:val="auto"/>
          <w:kern w:val="2"/>
          <w:sz w:val="24"/>
          <w:szCs w:val="32"/>
          <w:highlight w:val="none"/>
          <w:u w:val="none"/>
          <w:lang w:val="en-US" w:eastAsia="zh-CN" w:bidi="ar"/>
        </w:rPr>
        <w:t>、耕地</w:t>
      </w:r>
      <w:r>
        <w:rPr>
          <w:rFonts w:hint="default" w:ascii="Times New Roman" w:hAnsi="Times New Roman" w:eastAsia="宋体" w:cs="Times New Roman"/>
          <w:caps w:val="0"/>
          <w:color w:val="auto"/>
          <w:kern w:val="2"/>
          <w:sz w:val="24"/>
          <w:szCs w:val="32"/>
          <w:highlight w:val="none"/>
          <w:u w:val="none"/>
          <w:lang w:val="en-US" w:eastAsia="zh-CN" w:bidi="ar"/>
        </w:rPr>
        <w:t>等土壤环境敏感目标和其他土壤环境敏感目标，土壤环境敏感程度为“敏感”</w:t>
      </w:r>
      <w:r>
        <w:rPr>
          <w:rFonts w:hint="default" w:ascii="Times New Roman" w:hAnsi="Times New Roman" w:eastAsia="宋体" w:cs="Times New Roman"/>
          <w:caps w:val="0"/>
          <w:color w:val="auto"/>
          <w:kern w:val="2"/>
          <w:sz w:val="24"/>
          <w:szCs w:val="32"/>
          <w:highlight w:val="none"/>
          <w:lang w:val="en-US" w:eastAsia="zh-CN" w:bidi="ar"/>
        </w:rPr>
        <w:t>。</w:t>
      </w:r>
    </w:p>
    <w:p w14:paraId="750A8DE2">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caps w:val="0"/>
          <w:color w:val="auto"/>
          <w:kern w:val="2"/>
          <w:sz w:val="24"/>
          <w:szCs w:val="32"/>
          <w:highlight w:val="none"/>
          <w:lang w:val="en-US" w:bidi="ar"/>
        </w:rPr>
      </w:pPr>
      <w:r>
        <w:rPr>
          <w:rFonts w:hint="default" w:ascii="Times New Roman" w:hAnsi="Times New Roman" w:eastAsia="宋体" w:cs="Times New Roman"/>
          <w:caps w:val="0"/>
          <w:color w:val="auto"/>
          <w:kern w:val="2"/>
          <w:sz w:val="24"/>
          <w:szCs w:val="32"/>
          <w:highlight w:val="none"/>
          <w:lang w:val="en-US" w:eastAsia="zh-CN" w:bidi="ar"/>
        </w:rPr>
        <w:t>②生态影响型</w:t>
      </w:r>
    </w:p>
    <w:p w14:paraId="2A365F9A">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caps w:val="0"/>
          <w:color w:val="auto"/>
          <w:kern w:val="2"/>
          <w:sz w:val="24"/>
          <w:szCs w:val="32"/>
          <w:highlight w:val="none"/>
          <w:u w:val="none"/>
          <w:lang w:val="en-US" w:eastAsia="zh-CN" w:bidi="ar"/>
        </w:rPr>
      </w:pPr>
      <w:r>
        <w:rPr>
          <w:rFonts w:hint="default" w:ascii="Times New Roman" w:hAnsi="Times New Roman" w:eastAsia="宋体" w:cs="Times New Roman"/>
          <w:caps w:val="0"/>
          <w:color w:val="auto"/>
          <w:kern w:val="2"/>
          <w:sz w:val="24"/>
          <w:szCs w:val="32"/>
          <w:highlight w:val="none"/>
          <w:lang w:val="en-US" w:eastAsia="zh-CN" w:bidi="ar"/>
        </w:rPr>
        <w:t>根据区域历史监测数据，</w:t>
      </w:r>
      <w:r>
        <w:rPr>
          <w:rFonts w:hint="default" w:ascii="Times New Roman" w:hAnsi="Times New Roman" w:eastAsia="宋体" w:cs="Times New Roman"/>
          <w:color w:val="auto"/>
          <w:sz w:val="24"/>
          <w:szCs w:val="24"/>
          <w:highlight w:val="none"/>
          <w:u w:val="none"/>
          <w:lang w:val="en-US" w:eastAsia="zh-CN" w:bidi="ar-SA"/>
        </w:rPr>
        <w:t>项目区域土壤含盐量大于4g/kg，生态影响型土壤敏感程度为“敏感”。</w:t>
      </w:r>
    </w:p>
    <w:p w14:paraId="0B8F2C52">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aps w:val="0"/>
          <w:color w:val="auto"/>
          <w:sz w:val="24"/>
          <w:szCs w:val="24"/>
          <w:highlight w:val="none"/>
          <w:lang w:val="en-US"/>
        </w:rPr>
      </w:pPr>
      <w:r>
        <w:rPr>
          <w:rFonts w:hint="default" w:ascii="Times New Roman" w:hAnsi="Times New Roman" w:eastAsia="宋体" w:cs="Times New Roman"/>
          <w:b/>
          <w:bCs/>
          <w:caps w:val="0"/>
          <w:color w:val="auto"/>
          <w:sz w:val="24"/>
          <w:szCs w:val="24"/>
          <w:highlight w:val="none"/>
          <w:lang w:val="en-US" w:eastAsia="zh-CN"/>
        </w:rPr>
        <w:t>（</w:t>
      </w:r>
      <w:r>
        <w:rPr>
          <w:rFonts w:hint="default" w:ascii="Times New Roman" w:hAnsi="Times New Roman" w:eastAsia="宋体" w:cs="Times New Roman"/>
          <w:b/>
          <w:bCs/>
          <w:caps w:val="0"/>
          <w:color w:val="auto"/>
          <w:sz w:val="24"/>
          <w:szCs w:val="24"/>
          <w:highlight w:val="none"/>
          <w:lang w:val="en-US"/>
        </w:rPr>
        <w:t>4</w:t>
      </w:r>
      <w:r>
        <w:rPr>
          <w:rFonts w:hint="default" w:ascii="Times New Roman" w:hAnsi="Times New Roman" w:eastAsia="宋体" w:cs="Times New Roman"/>
          <w:b/>
          <w:bCs/>
          <w:caps w:val="0"/>
          <w:color w:val="auto"/>
          <w:sz w:val="24"/>
          <w:szCs w:val="24"/>
          <w:highlight w:val="none"/>
          <w:lang w:val="en-US" w:eastAsia="zh-CN"/>
        </w:rPr>
        <w:t>）评价工作等级判定</w:t>
      </w:r>
    </w:p>
    <w:p w14:paraId="185CB32C">
      <w:pPr>
        <w:keepNext w:val="0"/>
        <w:keepLines w:val="0"/>
        <w:pageBreakBefore w:val="0"/>
        <w:widowControl/>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aps w:val="0"/>
          <w:color w:val="auto"/>
          <w:kern w:val="2"/>
          <w:sz w:val="24"/>
          <w:szCs w:val="32"/>
          <w:highlight w:val="none"/>
          <w:lang w:val="en-US" w:eastAsia="zh-CN" w:bidi="ar"/>
        </w:rPr>
        <w:t>根据《环境影响评价技术导则土壤环境（试行）》（HJ964-2018），生态影响型和污染影响型土壤环境影响评价工作等级划分见表2.6-</w:t>
      </w:r>
      <w:r>
        <w:rPr>
          <w:rFonts w:hint="eastAsia" w:cs="Times New Roman"/>
          <w:caps w:val="0"/>
          <w:color w:val="auto"/>
          <w:kern w:val="2"/>
          <w:sz w:val="24"/>
          <w:szCs w:val="32"/>
          <w:highlight w:val="none"/>
          <w:lang w:val="en-US" w:eastAsia="zh-CN" w:bidi="ar"/>
        </w:rPr>
        <w:t>9</w:t>
      </w:r>
      <w:r>
        <w:rPr>
          <w:rFonts w:hint="default" w:ascii="Times New Roman" w:hAnsi="Times New Roman" w:eastAsia="宋体" w:cs="Times New Roman"/>
          <w:caps w:val="0"/>
          <w:color w:val="auto"/>
          <w:kern w:val="2"/>
          <w:sz w:val="24"/>
          <w:szCs w:val="32"/>
          <w:highlight w:val="none"/>
          <w:lang w:val="en-US" w:eastAsia="zh-CN" w:bidi="ar"/>
        </w:rPr>
        <w:t>和表2.6-</w:t>
      </w:r>
      <w:r>
        <w:rPr>
          <w:rFonts w:hint="default" w:ascii="Times New Roman" w:hAnsi="Times New Roman" w:cs="Times New Roman"/>
          <w:caps w:val="0"/>
          <w:color w:val="auto"/>
          <w:kern w:val="2"/>
          <w:sz w:val="24"/>
          <w:szCs w:val="32"/>
          <w:highlight w:val="none"/>
          <w:lang w:val="en-US" w:eastAsia="zh-CN" w:bidi="ar"/>
        </w:rPr>
        <w:t>1</w:t>
      </w:r>
      <w:r>
        <w:rPr>
          <w:rFonts w:hint="eastAsia" w:cs="Times New Roman"/>
          <w:caps w:val="0"/>
          <w:color w:val="auto"/>
          <w:kern w:val="2"/>
          <w:sz w:val="24"/>
          <w:szCs w:val="32"/>
          <w:highlight w:val="none"/>
          <w:lang w:val="en-US" w:eastAsia="zh-CN" w:bidi="ar"/>
        </w:rPr>
        <w:t>0</w:t>
      </w:r>
      <w:r>
        <w:rPr>
          <w:rFonts w:hint="default" w:ascii="Times New Roman" w:hAnsi="Times New Roman" w:eastAsia="宋体" w:cs="Times New Roman"/>
          <w:caps w:val="0"/>
          <w:color w:val="auto"/>
          <w:kern w:val="2"/>
          <w:sz w:val="24"/>
          <w:szCs w:val="32"/>
          <w:highlight w:val="none"/>
          <w:lang w:val="en-US" w:eastAsia="zh-CN" w:bidi="ar"/>
        </w:rPr>
        <w:t>。</w:t>
      </w:r>
    </w:p>
    <w:p w14:paraId="4E4668D6">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highlight w:val="none"/>
        </w:rPr>
      </w:pPr>
      <w:r>
        <w:rPr>
          <w:rFonts w:hint="default" w:ascii="Times New Roman" w:hAnsi="Times New Roman" w:eastAsia="黑体" w:cs="Times New Roman"/>
          <w:b w:val="0"/>
          <w:bCs/>
          <w:color w:val="auto"/>
          <w:kern w:val="0"/>
          <w:sz w:val="21"/>
          <w:szCs w:val="21"/>
          <w:highlight w:val="none"/>
          <w:lang w:val="en-US" w:eastAsia="zh-CN" w:bidi="ar-SA"/>
        </w:rPr>
        <w:t>表2.6-</w:t>
      </w:r>
      <w:r>
        <w:rPr>
          <w:rFonts w:hint="eastAsia" w:eastAsia="黑体" w:cs="Times New Roman"/>
          <w:b w:val="0"/>
          <w:bCs/>
          <w:color w:val="auto"/>
          <w:kern w:val="0"/>
          <w:sz w:val="21"/>
          <w:szCs w:val="21"/>
          <w:highlight w:val="none"/>
          <w:lang w:val="en-US" w:eastAsia="zh-CN" w:bidi="ar-SA"/>
        </w:rPr>
        <w:t xml:space="preserve">9  </w:t>
      </w:r>
      <w:r>
        <w:rPr>
          <w:rFonts w:hint="default" w:ascii="Times New Roman" w:hAnsi="Times New Roman" w:eastAsia="黑体" w:cs="Times New Roman"/>
          <w:b w:val="0"/>
          <w:bCs/>
          <w:color w:val="auto"/>
          <w:kern w:val="0"/>
          <w:sz w:val="21"/>
          <w:szCs w:val="21"/>
          <w:highlight w:val="none"/>
          <w:lang w:val="en-US" w:eastAsia="zh-CN" w:bidi="ar-SA"/>
        </w:rPr>
        <w:t>生态影响型土壤环境评价工作等级划分依据一览表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572"/>
        <w:gridCol w:w="1608"/>
        <w:gridCol w:w="2091"/>
        <w:gridCol w:w="2091"/>
      </w:tblGrid>
      <w:tr w14:paraId="13D9F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03" w:hRule="atLeast"/>
          <w:jc w:val="center"/>
        </w:trPr>
        <w:tc>
          <w:tcPr>
            <w:tcW w:w="1538" w:type="pct"/>
            <w:tcBorders>
              <w:top w:val="single" w:color="auto" w:sz="8" w:space="0"/>
              <w:left w:val="single" w:color="auto" w:sz="8" w:space="0"/>
              <w:bottom w:val="single" w:color="auto" w:sz="4" w:space="0"/>
              <w:right w:val="single" w:color="auto" w:sz="4" w:space="0"/>
              <w:tl2br w:val="single" w:color="auto" w:sz="4" w:space="0"/>
            </w:tcBorders>
            <w:noWrap w:val="0"/>
            <w:vAlign w:val="center"/>
          </w:tcPr>
          <w:p w14:paraId="6713F1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eastAsia" w:cs="Times New Roman"/>
                <w:caps w:val="0"/>
                <w:color w:val="auto"/>
                <w:spacing w:val="-10"/>
                <w:kern w:val="0"/>
                <w:sz w:val="21"/>
                <w:szCs w:val="21"/>
                <w:highlight w:val="none"/>
                <w:lang w:val="en-US" w:eastAsia="zh-CN" w:bidi="ar"/>
              </w:rPr>
              <w:t xml:space="preserve">                  </w:t>
            </w:r>
            <w:r>
              <w:rPr>
                <w:rFonts w:hint="default" w:ascii="Times New Roman" w:hAnsi="Times New Roman" w:eastAsia="宋体" w:cs="Times New Roman"/>
                <w:caps w:val="0"/>
                <w:color w:val="auto"/>
                <w:spacing w:val="-10"/>
                <w:kern w:val="0"/>
                <w:sz w:val="21"/>
                <w:szCs w:val="21"/>
                <w:highlight w:val="none"/>
                <w:lang w:val="en-US" w:eastAsia="zh-CN" w:bidi="ar"/>
              </w:rPr>
              <w:t>项目类别</w:t>
            </w:r>
          </w:p>
          <w:p w14:paraId="377C6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环境敏感程度</w:t>
            </w:r>
          </w:p>
        </w:tc>
        <w:tc>
          <w:tcPr>
            <w:tcW w:w="961" w:type="pct"/>
            <w:tcBorders>
              <w:top w:val="single" w:color="auto" w:sz="8" w:space="0"/>
              <w:left w:val="single" w:color="auto" w:sz="4" w:space="0"/>
              <w:bottom w:val="single" w:color="auto" w:sz="4" w:space="0"/>
              <w:right w:val="single" w:color="auto" w:sz="4" w:space="0"/>
            </w:tcBorders>
            <w:noWrap w:val="0"/>
            <w:vAlign w:val="center"/>
          </w:tcPr>
          <w:p w14:paraId="045D1B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Ⅰ类项目</w:t>
            </w:r>
          </w:p>
        </w:tc>
        <w:tc>
          <w:tcPr>
            <w:tcW w:w="1250" w:type="pct"/>
            <w:tcBorders>
              <w:top w:val="single" w:color="auto" w:sz="8" w:space="0"/>
              <w:left w:val="single" w:color="auto" w:sz="4" w:space="0"/>
              <w:bottom w:val="single" w:color="auto" w:sz="4" w:space="0"/>
              <w:right w:val="single" w:color="auto" w:sz="4" w:space="0"/>
            </w:tcBorders>
            <w:noWrap w:val="0"/>
            <w:vAlign w:val="center"/>
          </w:tcPr>
          <w:p w14:paraId="3688B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Ⅱ类项目</w:t>
            </w:r>
          </w:p>
        </w:tc>
        <w:tc>
          <w:tcPr>
            <w:tcW w:w="1250" w:type="pct"/>
            <w:tcBorders>
              <w:top w:val="single" w:color="auto" w:sz="8" w:space="0"/>
              <w:left w:val="single" w:color="auto" w:sz="4" w:space="0"/>
              <w:bottom w:val="single" w:color="auto" w:sz="4" w:space="0"/>
              <w:right w:val="single" w:color="auto" w:sz="8" w:space="0"/>
            </w:tcBorders>
            <w:noWrap w:val="0"/>
            <w:vAlign w:val="center"/>
          </w:tcPr>
          <w:p w14:paraId="57F4C6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Ⅲ类项目</w:t>
            </w:r>
          </w:p>
        </w:tc>
      </w:tr>
      <w:tr w14:paraId="2E9AC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38" w:type="pct"/>
            <w:tcBorders>
              <w:top w:val="single" w:color="auto" w:sz="4" w:space="0"/>
              <w:left w:val="single" w:color="auto" w:sz="8" w:space="0"/>
              <w:bottom w:val="single" w:color="auto" w:sz="4" w:space="0"/>
              <w:right w:val="single" w:color="auto" w:sz="4" w:space="0"/>
            </w:tcBorders>
            <w:noWrap w:val="0"/>
            <w:vAlign w:val="center"/>
          </w:tcPr>
          <w:p w14:paraId="62061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敏感</w:t>
            </w:r>
          </w:p>
        </w:tc>
        <w:tc>
          <w:tcPr>
            <w:tcW w:w="961" w:type="pct"/>
            <w:tcBorders>
              <w:top w:val="single" w:color="auto" w:sz="4" w:space="0"/>
              <w:left w:val="single" w:color="auto" w:sz="4" w:space="0"/>
              <w:bottom w:val="single" w:color="auto" w:sz="4" w:space="0"/>
              <w:right w:val="single" w:color="auto" w:sz="4" w:space="0"/>
            </w:tcBorders>
            <w:noWrap w:val="0"/>
            <w:vAlign w:val="center"/>
          </w:tcPr>
          <w:p w14:paraId="6BD59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一</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8DE5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b/>
                <w:bCs/>
                <w:caps w:val="0"/>
                <w:color w:val="auto"/>
                <w:spacing w:val="-10"/>
                <w:kern w:val="0"/>
                <w:sz w:val="21"/>
                <w:szCs w:val="21"/>
                <w:highlight w:val="none"/>
                <w:lang w:val="en-US" w:eastAsia="zh-CN" w:bidi="ar"/>
              </w:rPr>
              <w:t>二</w:t>
            </w:r>
          </w:p>
        </w:tc>
        <w:tc>
          <w:tcPr>
            <w:tcW w:w="1250" w:type="pct"/>
            <w:tcBorders>
              <w:top w:val="single" w:color="auto" w:sz="4" w:space="0"/>
              <w:left w:val="single" w:color="auto" w:sz="4" w:space="0"/>
              <w:bottom w:val="single" w:color="auto" w:sz="4" w:space="0"/>
              <w:right w:val="single" w:color="auto" w:sz="8" w:space="0"/>
            </w:tcBorders>
            <w:noWrap w:val="0"/>
            <w:vAlign w:val="center"/>
          </w:tcPr>
          <w:p w14:paraId="23BD56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w:t>
            </w:r>
          </w:p>
        </w:tc>
      </w:tr>
      <w:tr w14:paraId="6F71E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3" w:hRule="atLeast"/>
          <w:jc w:val="center"/>
        </w:trPr>
        <w:tc>
          <w:tcPr>
            <w:tcW w:w="1538" w:type="pct"/>
            <w:tcBorders>
              <w:top w:val="single" w:color="auto" w:sz="4" w:space="0"/>
              <w:left w:val="single" w:color="auto" w:sz="8" w:space="0"/>
              <w:bottom w:val="single" w:color="auto" w:sz="4" w:space="0"/>
              <w:right w:val="single" w:color="auto" w:sz="4" w:space="0"/>
            </w:tcBorders>
            <w:noWrap w:val="0"/>
            <w:vAlign w:val="center"/>
          </w:tcPr>
          <w:p w14:paraId="5CD059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较敏感</w:t>
            </w:r>
          </w:p>
        </w:tc>
        <w:tc>
          <w:tcPr>
            <w:tcW w:w="961" w:type="pct"/>
            <w:tcBorders>
              <w:top w:val="single" w:color="auto" w:sz="4" w:space="0"/>
              <w:left w:val="single" w:color="auto" w:sz="4" w:space="0"/>
              <w:bottom w:val="single" w:color="auto" w:sz="4" w:space="0"/>
              <w:right w:val="single" w:color="auto" w:sz="4" w:space="0"/>
            </w:tcBorders>
            <w:noWrap w:val="0"/>
            <w:vAlign w:val="center"/>
          </w:tcPr>
          <w:p w14:paraId="5943B9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b/>
                <w:bCs/>
                <w:caps w:val="0"/>
                <w:color w:val="auto"/>
                <w:spacing w:val="-10"/>
                <w:kern w:val="0"/>
                <w:sz w:val="21"/>
                <w:szCs w:val="21"/>
                <w:highlight w:val="none"/>
                <w:lang w:val="en-US" w:eastAsia="zh-CN" w:bidi="ar"/>
              </w:rPr>
              <w:t>二</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3A1655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w:t>
            </w:r>
          </w:p>
        </w:tc>
        <w:tc>
          <w:tcPr>
            <w:tcW w:w="1250" w:type="pct"/>
            <w:tcBorders>
              <w:top w:val="single" w:color="auto" w:sz="4" w:space="0"/>
              <w:left w:val="single" w:color="auto" w:sz="4" w:space="0"/>
              <w:bottom w:val="single" w:color="auto" w:sz="4" w:space="0"/>
              <w:right w:val="single" w:color="auto" w:sz="8" w:space="0"/>
            </w:tcBorders>
            <w:noWrap w:val="0"/>
            <w:vAlign w:val="center"/>
          </w:tcPr>
          <w:p w14:paraId="70D302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w:t>
            </w:r>
          </w:p>
        </w:tc>
      </w:tr>
      <w:tr w14:paraId="63A37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1538" w:type="pct"/>
            <w:tcBorders>
              <w:top w:val="single" w:color="auto" w:sz="4" w:space="0"/>
              <w:left w:val="single" w:color="auto" w:sz="8" w:space="0"/>
              <w:bottom w:val="single" w:color="auto" w:sz="8" w:space="0"/>
              <w:right w:val="single" w:color="auto" w:sz="4" w:space="0"/>
            </w:tcBorders>
            <w:noWrap w:val="0"/>
            <w:vAlign w:val="center"/>
          </w:tcPr>
          <w:p w14:paraId="0DC66F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不敏感</w:t>
            </w:r>
          </w:p>
        </w:tc>
        <w:tc>
          <w:tcPr>
            <w:tcW w:w="961" w:type="pct"/>
            <w:tcBorders>
              <w:top w:val="single" w:color="auto" w:sz="4" w:space="0"/>
              <w:left w:val="single" w:color="auto" w:sz="4" w:space="0"/>
              <w:bottom w:val="single" w:color="auto" w:sz="8" w:space="0"/>
              <w:right w:val="single" w:color="auto" w:sz="4" w:space="0"/>
            </w:tcBorders>
            <w:noWrap w:val="0"/>
            <w:vAlign w:val="center"/>
          </w:tcPr>
          <w:p w14:paraId="6B1FE0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b/>
                <w:bCs/>
                <w:caps w:val="0"/>
                <w:color w:val="auto"/>
                <w:spacing w:val="-10"/>
                <w:kern w:val="0"/>
                <w:sz w:val="21"/>
                <w:szCs w:val="21"/>
                <w:highlight w:val="none"/>
                <w:lang w:val="en-US" w:eastAsia="zh-CN" w:bidi="ar"/>
              </w:rPr>
              <w:t>二</w:t>
            </w:r>
          </w:p>
        </w:tc>
        <w:tc>
          <w:tcPr>
            <w:tcW w:w="1250" w:type="pct"/>
            <w:tcBorders>
              <w:top w:val="single" w:color="auto" w:sz="4" w:space="0"/>
              <w:left w:val="single" w:color="auto" w:sz="4" w:space="0"/>
              <w:bottom w:val="single" w:color="auto" w:sz="8" w:space="0"/>
              <w:right w:val="single" w:color="auto" w:sz="4" w:space="0"/>
            </w:tcBorders>
            <w:noWrap w:val="0"/>
            <w:vAlign w:val="center"/>
          </w:tcPr>
          <w:p w14:paraId="1453A6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w:t>
            </w:r>
          </w:p>
        </w:tc>
        <w:tc>
          <w:tcPr>
            <w:tcW w:w="1250" w:type="pct"/>
            <w:tcBorders>
              <w:top w:val="single" w:color="auto" w:sz="4" w:space="0"/>
              <w:left w:val="single" w:color="auto" w:sz="4" w:space="0"/>
              <w:bottom w:val="single" w:color="auto" w:sz="8" w:space="0"/>
              <w:right w:val="single" w:color="auto" w:sz="8" w:space="0"/>
            </w:tcBorders>
            <w:noWrap w:val="0"/>
            <w:vAlign w:val="center"/>
          </w:tcPr>
          <w:p w14:paraId="7E5387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w:t>
            </w:r>
          </w:p>
        </w:tc>
      </w:tr>
    </w:tbl>
    <w:p w14:paraId="1EA87B60">
      <w:pPr>
        <w:pStyle w:val="50"/>
        <w:keepNext w:val="0"/>
        <w:keepLines w:val="0"/>
        <w:pageBreakBefore w:val="0"/>
        <w:widowControl/>
        <w:kinsoku/>
        <w:wordWrap/>
        <w:overflowPunct/>
        <w:topLinePunct w:val="0"/>
        <w:autoSpaceDE/>
        <w:autoSpaceDN/>
        <w:bidi w:val="0"/>
        <w:adjustRightInd w:val="0"/>
        <w:snapToGrid w:val="0"/>
        <w:spacing w:before="157" w:beforeLines="50" w:line="240" w:lineRule="auto"/>
        <w:textAlignment w:val="auto"/>
        <w:rPr>
          <w:rFonts w:hint="default" w:ascii="Times New Roman" w:hAnsi="Times New Roman" w:eastAsia="黑体" w:cs="Times New Roman"/>
          <w:b w:val="0"/>
          <w:bCs/>
          <w:color w:val="auto"/>
          <w:kern w:val="0"/>
          <w:sz w:val="21"/>
          <w:szCs w:val="21"/>
          <w:highlight w:val="none"/>
          <w:lang w:val="en-US" w:eastAsia="zh-CN" w:bidi="ar-SA"/>
        </w:rPr>
      </w:pPr>
    </w:p>
    <w:p w14:paraId="24BF6B83">
      <w:pPr>
        <w:pStyle w:val="50"/>
        <w:keepNext w:val="0"/>
        <w:keepLines w:val="0"/>
        <w:pageBreakBefore w:val="0"/>
        <w:widowControl/>
        <w:kinsoku/>
        <w:wordWrap/>
        <w:overflowPunct/>
        <w:topLinePunct w:val="0"/>
        <w:autoSpaceDE/>
        <w:autoSpaceDN/>
        <w:bidi w:val="0"/>
        <w:adjustRightInd w:val="0"/>
        <w:snapToGrid w:val="0"/>
        <w:spacing w:before="157" w:beforeLines="50" w:line="240" w:lineRule="auto"/>
        <w:textAlignment w:val="auto"/>
        <w:rPr>
          <w:rFonts w:hint="default" w:ascii="Times New Roman" w:hAnsi="Times New Roman" w:eastAsia="宋体" w:cs="Times New Roman"/>
          <w:b w:val="0"/>
          <w:bCs/>
          <w:color w:val="auto"/>
          <w:highlight w:val="none"/>
        </w:rPr>
      </w:pPr>
      <w:r>
        <w:rPr>
          <w:rFonts w:hint="default" w:ascii="Times New Roman" w:hAnsi="Times New Roman" w:eastAsia="黑体" w:cs="Times New Roman"/>
          <w:b w:val="0"/>
          <w:bCs/>
          <w:color w:val="auto"/>
          <w:kern w:val="0"/>
          <w:sz w:val="21"/>
          <w:szCs w:val="21"/>
          <w:highlight w:val="none"/>
          <w:lang w:val="en-US" w:eastAsia="zh-CN" w:bidi="ar-SA"/>
        </w:rPr>
        <w:t>表2.6-1</w:t>
      </w:r>
      <w:r>
        <w:rPr>
          <w:rFonts w:hint="eastAsia" w:eastAsia="黑体" w:cs="Times New Roman"/>
          <w:b w:val="0"/>
          <w:bCs/>
          <w:color w:val="auto"/>
          <w:kern w:val="0"/>
          <w:sz w:val="21"/>
          <w:szCs w:val="21"/>
          <w:highlight w:val="none"/>
          <w:lang w:val="en-US" w:eastAsia="zh-CN" w:bidi="ar-SA"/>
        </w:rPr>
        <w:t>0</w:t>
      </w:r>
      <w:r>
        <w:rPr>
          <w:rFonts w:hint="default" w:ascii="Times New Roman" w:hAnsi="Times New Roman" w:eastAsia="黑体" w:cs="Times New Roman"/>
          <w:b w:val="0"/>
          <w:bCs/>
          <w:color w:val="auto"/>
          <w:kern w:val="0"/>
          <w:sz w:val="21"/>
          <w:szCs w:val="21"/>
          <w:highlight w:val="none"/>
          <w:lang w:val="en-US" w:eastAsia="zh-CN" w:bidi="ar-SA"/>
        </w:rPr>
        <w:t>污染影响型土壤环境评价工作等级划分依据一览表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523"/>
        <w:gridCol w:w="800"/>
        <w:gridCol w:w="629"/>
        <w:gridCol w:w="631"/>
        <w:gridCol w:w="629"/>
        <w:gridCol w:w="629"/>
        <w:gridCol w:w="631"/>
        <w:gridCol w:w="629"/>
        <w:gridCol w:w="629"/>
        <w:gridCol w:w="631"/>
      </w:tblGrid>
      <w:tr w14:paraId="31161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1" w:hRule="atLeast"/>
          <w:jc w:val="center"/>
        </w:trPr>
        <w:tc>
          <w:tcPr>
            <w:tcW w:w="2723" w:type="dxa"/>
            <w:vMerge w:val="restart"/>
            <w:tcBorders>
              <w:top w:val="single" w:color="auto" w:sz="8" w:space="0"/>
              <w:left w:val="single" w:color="auto" w:sz="8" w:space="0"/>
              <w:bottom w:val="single" w:color="auto" w:sz="4" w:space="0"/>
              <w:right w:val="single" w:color="auto" w:sz="4" w:space="0"/>
              <w:tl2br w:val="single" w:color="auto" w:sz="4" w:space="0"/>
            </w:tcBorders>
            <w:noWrap w:val="0"/>
            <w:vAlign w:val="center"/>
          </w:tcPr>
          <w:p w14:paraId="7ECF6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占地规模</w:t>
            </w:r>
          </w:p>
          <w:p w14:paraId="53645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敏感程度</w:t>
            </w:r>
          </w:p>
        </w:tc>
        <w:tc>
          <w:tcPr>
            <w:tcW w:w="2220" w:type="dxa"/>
            <w:gridSpan w:val="3"/>
            <w:tcBorders>
              <w:top w:val="single" w:color="auto" w:sz="8" w:space="0"/>
              <w:left w:val="single" w:color="auto" w:sz="4" w:space="0"/>
              <w:bottom w:val="single" w:color="auto" w:sz="4" w:space="0"/>
              <w:right w:val="single" w:color="auto" w:sz="4" w:space="0"/>
            </w:tcBorders>
            <w:noWrap w:val="0"/>
            <w:vAlign w:val="center"/>
          </w:tcPr>
          <w:p w14:paraId="4B8E25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Ⅰ类</w:t>
            </w:r>
          </w:p>
        </w:tc>
        <w:tc>
          <w:tcPr>
            <w:tcW w:w="2036" w:type="dxa"/>
            <w:gridSpan w:val="3"/>
            <w:tcBorders>
              <w:top w:val="single" w:color="auto" w:sz="8" w:space="0"/>
              <w:left w:val="single" w:color="auto" w:sz="4" w:space="0"/>
              <w:bottom w:val="single" w:color="auto" w:sz="4" w:space="0"/>
              <w:right w:val="single" w:color="auto" w:sz="4" w:space="0"/>
            </w:tcBorders>
            <w:noWrap w:val="0"/>
            <w:vAlign w:val="center"/>
          </w:tcPr>
          <w:p w14:paraId="20075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Ⅱ类</w:t>
            </w:r>
          </w:p>
        </w:tc>
        <w:tc>
          <w:tcPr>
            <w:tcW w:w="2036" w:type="dxa"/>
            <w:gridSpan w:val="3"/>
            <w:tcBorders>
              <w:top w:val="single" w:color="auto" w:sz="8" w:space="0"/>
              <w:left w:val="single" w:color="auto" w:sz="4" w:space="0"/>
              <w:bottom w:val="single" w:color="auto" w:sz="4" w:space="0"/>
              <w:right w:val="single" w:color="auto" w:sz="8" w:space="0"/>
            </w:tcBorders>
            <w:noWrap w:val="0"/>
            <w:vAlign w:val="center"/>
          </w:tcPr>
          <w:p w14:paraId="05759A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Ⅲ类</w:t>
            </w:r>
          </w:p>
        </w:tc>
      </w:tr>
      <w:tr w14:paraId="1D267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7" w:hRule="atLeast"/>
          <w:jc w:val="center"/>
        </w:trPr>
        <w:tc>
          <w:tcPr>
            <w:tcW w:w="2723" w:type="dxa"/>
            <w:vMerge w:val="continue"/>
            <w:tcBorders>
              <w:top w:val="single" w:color="auto" w:sz="8" w:space="0"/>
              <w:left w:val="single" w:color="auto" w:sz="8" w:space="0"/>
              <w:bottom w:val="single" w:color="auto" w:sz="4" w:space="0"/>
              <w:right w:val="single" w:color="auto" w:sz="4" w:space="0"/>
              <w:tl2br w:val="single" w:color="auto" w:sz="4" w:space="0"/>
            </w:tcBorders>
            <w:noWrap w:val="0"/>
            <w:vAlign w:val="center"/>
          </w:tcPr>
          <w:p w14:paraId="5CD22155">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auto"/>
                <w:sz w:val="21"/>
                <w:szCs w:val="21"/>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14:paraId="57E631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1C88C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中</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352B8D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小</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03F45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25345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中</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46863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小</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5E52A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069C08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中</w:t>
            </w:r>
          </w:p>
        </w:tc>
        <w:tc>
          <w:tcPr>
            <w:tcW w:w="680" w:type="dxa"/>
            <w:tcBorders>
              <w:top w:val="single" w:color="auto" w:sz="4" w:space="0"/>
              <w:left w:val="single" w:color="auto" w:sz="4" w:space="0"/>
              <w:bottom w:val="single" w:color="auto" w:sz="4" w:space="0"/>
              <w:right w:val="single" w:color="auto" w:sz="8" w:space="0"/>
            </w:tcBorders>
            <w:noWrap w:val="0"/>
            <w:vAlign w:val="center"/>
          </w:tcPr>
          <w:p w14:paraId="27FEE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小</w:t>
            </w:r>
          </w:p>
        </w:tc>
      </w:tr>
      <w:tr w14:paraId="6B0AF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2" w:hRule="atLeast"/>
          <w:jc w:val="center"/>
        </w:trPr>
        <w:tc>
          <w:tcPr>
            <w:tcW w:w="2723" w:type="dxa"/>
            <w:tcBorders>
              <w:top w:val="single" w:color="auto" w:sz="4" w:space="0"/>
              <w:left w:val="single" w:color="auto" w:sz="8" w:space="0"/>
              <w:bottom w:val="single" w:color="auto" w:sz="4" w:space="0"/>
              <w:right w:val="single" w:color="auto" w:sz="4" w:space="0"/>
            </w:tcBorders>
            <w:noWrap w:val="0"/>
            <w:vAlign w:val="center"/>
          </w:tcPr>
          <w:p w14:paraId="0C70E6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敏感</w:t>
            </w:r>
          </w:p>
        </w:tc>
        <w:tc>
          <w:tcPr>
            <w:tcW w:w="862" w:type="dxa"/>
            <w:tcBorders>
              <w:top w:val="single" w:color="auto" w:sz="4" w:space="0"/>
              <w:left w:val="single" w:color="auto" w:sz="4" w:space="0"/>
              <w:bottom w:val="single" w:color="auto" w:sz="4" w:space="0"/>
              <w:right w:val="single" w:color="auto" w:sz="4" w:space="0"/>
            </w:tcBorders>
            <w:noWrap w:val="0"/>
            <w:vAlign w:val="center"/>
          </w:tcPr>
          <w:p w14:paraId="62FDD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一级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570FDA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一级</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A4CB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一级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025449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2A23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18265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A9945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1E565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80" w:type="dxa"/>
            <w:tcBorders>
              <w:top w:val="single" w:color="auto" w:sz="4" w:space="0"/>
              <w:left w:val="single" w:color="auto" w:sz="4" w:space="0"/>
              <w:bottom w:val="single" w:color="auto" w:sz="4" w:space="0"/>
              <w:right w:val="single" w:color="auto" w:sz="8" w:space="0"/>
            </w:tcBorders>
            <w:noWrap w:val="0"/>
            <w:vAlign w:val="center"/>
          </w:tcPr>
          <w:p w14:paraId="4978A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r>
      <w:tr w14:paraId="71ED7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23" w:type="dxa"/>
            <w:tcBorders>
              <w:top w:val="single" w:color="auto" w:sz="4" w:space="0"/>
              <w:left w:val="single" w:color="auto" w:sz="8" w:space="0"/>
              <w:bottom w:val="single" w:color="auto" w:sz="4" w:space="0"/>
              <w:right w:val="single" w:color="auto" w:sz="4" w:space="0"/>
            </w:tcBorders>
            <w:noWrap w:val="0"/>
            <w:vAlign w:val="center"/>
          </w:tcPr>
          <w:p w14:paraId="551C1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较敏感</w:t>
            </w:r>
          </w:p>
        </w:tc>
        <w:tc>
          <w:tcPr>
            <w:tcW w:w="862" w:type="dxa"/>
            <w:tcBorders>
              <w:top w:val="single" w:color="auto" w:sz="4" w:space="0"/>
              <w:left w:val="single" w:color="auto" w:sz="4" w:space="0"/>
              <w:bottom w:val="single" w:color="auto" w:sz="4" w:space="0"/>
              <w:right w:val="single" w:color="auto" w:sz="4" w:space="0"/>
            </w:tcBorders>
            <w:noWrap w:val="0"/>
            <w:vAlign w:val="center"/>
          </w:tcPr>
          <w:p w14:paraId="4700C2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一级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51EA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一级</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756EBE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31BCB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7D03C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FAD7B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0D18C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6EEC0D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80" w:type="dxa"/>
            <w:tcBorders>
              <w:top w:val="single" w:color="auto" w:sz="4" w:space="0"/>
              <w:left w:val="single" w:color="auto" w:sz="4" w:space="0"/>
              <w:bottom w:val="single" w:color="auto" w:sz="4" w:space="0"/>
              <w:right w:val="single" w:color="auto" w:sz="8" w:space="0"/>
            </w:tcBorders>
            <w:noWrap w:val="0"/>
            <w:vAlign w:val="center"/>
          </w:tcPr>
          <w:p w14:paraId="3C553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w:t>
            </w:r>
          </w:p>
        </w:tc>
      </w:tr>
      <w:tr w14:paraId="2B872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2723" w:type="dxa"/>
            <w:tcBorders>
              <w:top w:val="single" w:color="auto" w:sz="4" w:space="0"/>
              <w:left w:val="single" w:color="auto" w:sz="8" w:space="0"/>
              <w:bottom w:val="single" w:color="auto" w:sz="8" w:space="0"/>
              <w:right w:val="single" w:color="auto" w:sz="4" w:space="0"/>
            </w:tcBorders>
            <w:noWrap w:val="0"/>
            <w:vAlign w:val="center"/>
          </w:tcPr>
          <w:p w14:paraId="55E717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不敏感</w:t>
            </w:r>
          </w:p>
        </w:tc>
        <w:tc>
          <w:tcPr>
            <w:tcW w:w="862" w:type="dxa"/>
            <w:tcBorders>
              <w:top w:val="single" w:color="auto" w:sz="4" w:space="0"/>
              <w:left w:val="single" w:color="auto" w:sz="4" w:space="0"/>
              <w:bottom w:val="single" w:color="auto" w:sz="8" w:space="0"/>
              <w:right w:val="single" w:color="auto" w:sz="4" w:space="0"/>
            </w:tcBorders>
            <w:noWrap w:val="0"/>
            <w:vAlign w:val="center"/>
          </w:tcPr>
          <w:p w14:paraId="3DDA2A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一级</w:t>
            </w:r>
          </w:p>
        </w:tc>
        <w:tc>
          <w:tcPr>
            <w:tcW w:w="678" w:type="dxa"/>
            <w:tcBorders>
              <w:top w:val="single" w:color="auto" w:sz="4" w:space="0"/>
              <w:left w:val="single" w:color="auto" w:sz="4" w:space="0"/>
              <w:bottom w:val="single" w:color="auto" w:sz="8" w:space="0"/>
              <w:right w:val="single" w:color="auto" w:sz="4" w:space="0"/>
            </w:tcBorders>
            <w:noWrap w:val="0"/>
            <w:vAlign w:val="center"/>
          </w:tcPr>
          <w:p w14:paraId="63E5DE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80" w:type="dxa"/>
            <w:tcBorders>
              <w:top w:val="single" w:color="auto" w:sz="4" w:space="0"/>
              <w:left w:val="single" w:color="auto" w:sz="4" w:space="0"/>
              <w:bottom w:val="single" w:color="auto" w:sz="8" w:space="0"/>
              <w:right w:val="single" w:color="auto" w:sz="4" w:space="0"/>
            </w:tcBorders>
            <w:noWrap w:val="0"/>
            <w:vAlign w:val="center"/>
          </w:tcPr>
          <w:p w14:paraId="51ABD0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78" w:type="dxa"/>
            <w:tcBorders>
              <w:top w:val="single" w:color="auto" w:sz="4" w:space="0"/>
              <w:left w:val="single" w:color="auto" w:sz="4" w:space="0"/>
              <w:bottom w:val="single" w:color="auto" w:sz="8" w:space="0"/>
              <w:right w:val="single" w:color="auto" w:sz="4" w:space="0"/>
            </w:tcBorders>
            <w:noWrap w:val="0"/>
            <w:vAlign w:val="center"/>
          </w:tcPr>
          <w:p w14:paraId="2464BC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二级</w:t>
            </w:r>
          </w:p>
        </w:tc>
        <w:tc>
          <w:tcPr>
            <w:tcW w:w="678" w:type="dxa"/>
            <w:tcBorders>
              <w:top w:val="single" w:color="auto" w:sz="4" w:space="0"/>
              <w:left w:val="single" w:color="auto" w:sz="4" w:space="0"/>
              <w:bottom w:val="single" w:color="auto" w:sz="8" w:space="0"/>
              <w:right w:val="single" w:color="auto" w:sz="4" w:space="0"/>
            </w:tcBorders>
            <w:noWrap w:val="0"/>
            <w:vAlign w:val="center"/>
          </w:tcPr>
          <w:p w14:paraId="05B6C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80" w:type="dxa"/>
            <w:tcBorders>
              <w:top w:val="single" w:color="auto" w:sz="4" w:space="0"/>
              <w:left w:val="single" w:color="auto" w:sz="4" w:space="0"/>
              <w:bottom w:val="single" w:color="auto" w:sz="8" w:space="0"/>
              <w:right w:val="single" w:color="auto" w:sz="4" w:space="0"/>
            </w:tcBorders>
            <w:noWrap w:val="0"/>
            <w:vAlign w:val="center"/>
          </w:tcPr>
          <w:p w14:paraId="0F1900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78" w:type="dxa"/>
            <w:tcBorders>
              <w:top w:val="single" w:color="auto" w:sz="4" w:space="0"/>
              <w:left w:val="single" w:color="auto" w:sz="4" w:space="0"/>
              <w:bottom w:val="single" w:color="auto" w:sz="8" w:space="0"/>
              <w:right w:val="single" w:color="auto" w:sz="4" w:space="0"/>
            </w:tcBorders>
            <w:noWrap w:val="0"/>
            <w:vAlign w:val="center"/>
          </w:tcPr>
          <w:p w14:paraId="647908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三级</w:t>
            </w:r>
          </w:p>
        </w:tc>
        <w:tc>
          <w:tcPr>
            <w:tcW w:w="678" w:type="dxa"/>
            <w:tcBorders>
              <w:top w:val="single" w:color="auto" w:sz="4" w:space="0"/>
              <w:left w:val="single" w:color="auto" w:sz="4" w:space="0"/>
              <w:bottom w:val="single" w:color="auto" w:sz="8" w:space="0"/>
              <w:right w:val="single" w:color="auto" w:sz="4" w:space="0"/>
            </w:tcBorders>
            <w:noWrap w:val="0"/>
            <w:vAlign w:val="center"/>
          </w:tcPr>
          <w:p w14:paraId="10A9D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w:t>
            </w:r>
          </w:p>
        </w:tc>
        <w:tc>
          <w:tcPr>
            <w:tcW w:w="680" w:type="dxa"/>
            <w:tcBorders>
              <w:top w:val="single" w:color="auto" w:sz="4" w:space="0"/>
              <w:left w:val="single" w:color="auto" w:sz="4" w:space="0"/>
              <w:bottom w:val="single" w:color="auto" w:sz="8" w:space="0"/>
              <w:right w:val="single" w:color="auto" w:sz="8" w:space="0"/>
            </w:tcBorders>
            <w:noWrap w:val="0"/>
            <w:vAlign w:val="center"/>
          </w:tcPr>
          <w:p w14:paraId="1362D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10"/>
                <w:sz w:val="21"/>
                <w:szCs w:val="21"/>
                <w:highlight w:val="none"/>
                <w:lang w:val="en-US"/>
              </w:rPr>
            </w:pPr>
            <w:r>
              <w:rPr>
                <w:rFonts w:hint="default" w:ascii="Times New Roman" w:hAnsi="Times New Roman" w:eastAsia="宋体" w:cs="Times New Roman"/>
                <w:caps w:val="0"/>
                <w:color w:val="auto"/>
                <w:spacing w:val="-10"/>
                <w:kern w:val="0"/>
                <w:sz w:val="21"/>
                <w:szCs w:val="21"/>
                <w:highlight w:val="none"/>
                <w:lang w:val="en-US" w:eastAsia="zh-CN" w:bidi="ar"/>
              </w:rPr>
              <w:t>-</w:t>
            </w:r>
          </w:p>
        </w:tc>
      </w:tr>
    </w:tbl>
    <w:p w14:paraId="3F1B0CC2">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aps w:val="0"/>
          <w:color w:val="auto"/>
          <w:kern w:val="2"/>
          <w:sz w:val="24"/>
          <w:szCs w:val="32"/>
          <w:highlight w:val="none"/>
          <w:lang w:val="en-US" w:eastAsia="zh-CN" w:bidi="ar"/>
        </w:rPr>
      </w:pPr>
      <w:r>
        <w:rPr>
          <w:rFonts w:hint="default" w:ascii="Times New Roman" w:hAnsi="Times New Roman" w:eastAsia="宋体" w:cs="Times New Roman"/>
          <w:caps w:val="0"/>
          <w:color w:val="auto"/>
          <w:kern w:val="2"/>
          <w:sz w:val="24"/>
          <w:szCs w:val="32"/>
          <w:highlight w:val="none"/>
          <w:lang w:val="en-US" w:eastAsia="zh-CN" w:bidi="ar"/>
        </w:rPr>
        <w:t>①</w:t>
      </w:r>
      <w:r>
        <w:rPr>
          <w:rFonts w:hint="default" w:ascii="Times New Roman" w:hAnsi="Times New Roman" w:cs="Times New Roman"/>
          <w:caps w:val="0"/>
          <w:color w:val="auto"/>
          <w:kern w:val="2"/>
          <w:sz w:val="24"/>
          <w:szCs w:val="32"/>
          <w:highlight w:val="none"/>
          <w:lang w:val="en-US" w:eastAsia="zh-CN" w:bidi="ar"/>
        </w:rPr>
        <w:t>本项目</w:t>
      </w:r>
      <w:r>
        <w:rPr>
          <w:rFonts w:hint="default" w:ascii="Times New Roman" w:hAnsi="Times New Roman" w:eastAsia="宋体" w:cs="Times New Roman"/>
          <w:caps w:val="0"/>
          <w:color w:val="auto"/>
          <w:kern w:val="2"/>
          <w:sz w:val="24"/>
          <w:szCs w:val="32"/>
          <w:highlight w:val="none"/>
          <w:lang w:val="en-US" w:eastAsia="zh-CN" w:bidi="ar"/>
        </w:rPr>
        <w:t>属于</w:t>
      </w:r>
      <w:r>
        <w:rPr>
          <w:rFonts w:hint="default" w:ascii="Times New Roman" w:hAnsi="Times New Roman" w:eastAsia="宋体" w:cs="Times New Roman"/>
          <w:caps w:val="0"/>
          <w:color w:val="auto"/>
          <w:kern w:val="2"/>
          <w:sz w:val="24"/>
          <w:szCs w:val="32"/>
          <w:highlight w:val="none"/>
          <w:u w:val="none"/>
          <w:lang w:val="en-US" w:eastAsia="zh-CN" w:bidi="ar"/>
        </w:rPr>
        <w:t>“石油开采项目”</w:t>
      </w:r>
      <w:r>
        <w:rPr>
          <w:rFonts w:hint="default" w:ascii="Times New Roman" w:hAnsi="Times New Roman" w:eastAsia="宋体" w:cs="Times New Roman"/>
          <w:caps w:val="0"/>
          <w:color w:val="auto"/>
          <w:kern w:val="2"/>
          <w:sz w:val="24"/>
          <w:szCs w:val="32"/>
          <w:highlight w:val="none"/>
          <w:lang w:val="en-US" w:eastAsia="zh-CN" w:bidi="ar"/>
        </w:rPr>
        <w:t>，属于</w:t>
      </w:r>
      <w:r>
        <w:rPr>
          <w:rFonts w:hint="default" w:ascii="Times New Roman" w:hAnsi="Times New Roman" w:eastAsia="宋体" w:cs="Times New Roman"/>
          <w:b/>
          <w:bCs/>
          <w:caps w:val="0"/>
          <w:color w:val="auto"/>
          <w:kern w:val="2"/>
          <w:sz w:val="24"/>
          <w:szCs w:val="32"/>
          <w:highlight w:val="none"/>
          <w:u w:val="none"/>
          <w:lang w:val="en-US" w:eastAsia="zh-CN" w:bidi="ar"/>
        </w:rPr>
        <w:t>I</w:t>
      </w:r>
      <w:r>
        <w:rPr>
          <w:rFonts w:hint="default" w:ascii="Times New Roman" w:hAnsi="Times New Roman" w:eastAsia="宋体" w:cs="Times New Roman"/>
          <w:b/>
          <w:bCs/>
          <w:caps w:val="0"/>
          <w:color w:val="auto"/>
          <w:kern w:val="2"/>
          <w:sz w:val="24"/>
          <w:szCs w:val="32"/>
          <w:highlight w:val="none"/>
          <w:lang w:val="en-US" w:eastAsia="zh-CN" w:bidi="ar"/>
        </w:rPr>
        <w:t>类</w:t>
      </w:r>
      <w:r>
        <w:rPr>
          <w:rFonts w:hint="default" w:ascii="Times New Roman" w:hAnsi="Times New Roman" w:eastAsia="宋体" w:cs="Times New Roman"/>
          <w:caps w:val="0"/>
          <w:color w:val="auto"/>
          <w:kern w:val="2"/>
          <w:sz w:val="24"/>
          <w:szCs w:val="32"/>
          <w:highlight w:val="none"/>
          <w:lang w:val="en-US" w:eastAsia="zh-CN" w:bidi="ar"/>
        </w:rPr>
        <w:t>项目，生态影响型环境敏感程度为</w:t>
      </w:r>
      <w:r>
        <w:rPr>
          <w:rFonts w:hint="default" w:ascii="Times New Roman" w:hAnsi="Times New Roman" w:eastAsia="宋体" w:cs="Times New Roman"/>
          <w:b/>
          <w:bCs/>
          <w:caps w:val="0"/>
          <w:color w:val="auto"/>
          <w:kern w:val="2"/>
          <w:sz w:val="24"/>
          <w:szCs w:val="32"/>
          <w:highlight w:val="none"/>
          <w:lang w:val="en-US" w:eastAsia="zh-CN" w:bidi="ar"/>
        </w:rPr>
        <w:t>敏感</w:t>
      </w:r>
      <w:r>
        <w:rPr>
          <w:rFonts w:hint="default" w:ascii="Times New Roman" w:hAnsi="Times New Roman" w:eastAsia="宋体" w:cs="Times New Roman"/>
          <w:caps w:val="0"/>
          <w:color w:val="auto"/>
          <w:kern w:val="2"/>
          <w:sz w:val="24"/>
          <w:szCs w:val="32"/>
          <w:highlight w:val="none"/>
          <w:lang w:val="en-US" w:eastAsia="zh-CN" w:bidi="ar"/>
        </w:rPr>
        <w:t>，生态影响型土壤环境影响评价工作等级为</w:t>
      </w:r>
      <w:r>
        <w:rPr>
          <w:rFonts w:hint="default" w:ascii="Times New Roman" w:hAnsi="Times New Roman" w:cs="Times New Roman"/>
          <w:b/>
          <w:bCs/>
          <w:caps w:val="0"/>
          <w:color w:val="auto"/>
          <w:kern w:val="2"/>
          <w:sz w:val="24"/>
          <w:szCs w:val="32"/>
          <w:highlight w:val="none"/>
          <w:lang w:val="en-US" w:eastAsia="zh-CN" w:bidi="ar"/>
        </w:rPr>
        <w:t>一</w:t>
      </w:r>
      <w:r>
        <w:rPr>
          <w:rFonts w:hint="default" w:ascii="Times New Roman" w:hAnsi="Times New Roman" w:eastAsia="宋体" w:cs="Times New Roman"/>
          <w:b/>
          <w:bCs/>
          <w:caps w:val="0"/>
          <w:color w:val="auto"/>
          <w:kern w:val="2"/>
          <w:sz w:val="24"/>
          <w:szCs w:val="32"/>
          <w:highlight w:val="none"/>
          <w:lang w:val="en-US" w:eastAsia="zh-CN" w:bidi="ar"/>
        </w:rPr>
        <w:t>级</w:t>
      </w:r>
      <w:r>
        <w:rPr>
          <w:rFonts w:hint="default" w:ascii="Times New Roman" w:hAnsi="Times New Roman" w:eastAsia="宋体" w:cs="Times New Roman"/>
          <w:caps w:val="0"/>
          <w:color w:val="auto"/>
          <w:kern w:val="2"/>
          <w:sz w:val="24"/>
          <w:szCs w:val="32"/>
          <w:highlight w:val="none"/>
          <w:lang w:val="en-US" w:eastAsia="zh-CN" w:bidi="ar"/>
        </w:rPr>
        <w:t>。</w:t>
      </w:r>
    </w:p>
    <w:p w14:paraId="2AA7732C">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aps w:val="0"/>
          <w:color w:val="auto"/>
          <w:kern w:val="2"/>
          <w:sz w:val="24"/>
          <w:szCs w:val="32"/>
          <w:highlight w:val="none"/>
          <w:lang w:val="en-US" w:eastAsia="zh-CN" w:bidi="ar"/>
        </w:rPr>
      </w:pPr>
      <w:r>
        <w:rPr>
          <w:rFonts w:hint="default" w:ascii="Times New Roman" w:hAnsi="Times New Roman" w:eastAsia="宋体" w:cs="Times New Roman"/>
          <w:caps w:val="0"/>
          <w:color w:val="auto"/>
          <w:kern w:val="2"/>
          <w:sz w:val="24"/>
          <w:szCs w:val="32"/>
          <w:highlight w:val="none"/>
          <w:lang w:val="en-US" w:eastAsia="zh-CN" w:bidi="ar"/>
        </w:rPr>
        <w:t>②</w:t>
      </w:r>
      <w:r>
        <w:rPr>
          <w:rFonts w:hint="default" w:ascii="Times New Roman" w:hAnsi="Times New Roman" w:cs="Times New Roman"/>
          <w:caps w:val="0"/>
          <w:color w:val="auto"/>
          <w:kern w:val="2"/>
          <w:sz w:val="24"/>
          <w:szCs w:val="32"/>
          <w:highlight w:val="none"/>
          <w:lang w:val="en-US" w:eastAsia="zh-CN" w:bidi="ar"/>
        </w:rPr>
        <w:t>本项目</w:t>
      </w:r>
      <w:r>
        <w:rPr>
          <w:rFonts w:hint="default" w:ascii="Times New Roman" w:hAnsi="Times New Roman" w:eastAsia="宋体" w:cs="Times New Roman"/>
          <w:caps w:val="0"/>
          <w:color w:val="auto"/>
          <w:kern w:val="2"/>
          <w:sz w:val="24"/>
          <w:szCs w:val="32"/>
          <w:highlight w:val="none"/>
          <w:lang w:val="en-US" w:eastAsia="zh-CN" w:bidi="ar"/>
        </w:rPr>
        <w:t>属于</w:t>
      </w:r>
      <w:r>
        <w:rPr>
          <w:rFonts w:hint="default" w:ascii="Times New Roman" w:hAnsi="Times New Roman" w:eastAsia="宋体" w:cs="Times New Roman"/>
          <w:caps w:val="0"/>
          <w:color w:val="auto"/>
          <w:kern w:val="2"/>
          <w:sz w:val="24"/>
          <w:szCs w:val="32"/>
          <w:highlight w:val="none"/>
          <w:u w:val="none"/>
          <w:lang w:val="en-US" w:eastAsia="zh-CN" w:bidi="ar"/>
        </w:rPr>
        <w:t>“石油开采项目”，</w:t>
      </w:r>
      <w:r>
        <w:rPr>
          <w:rFonts w:hint="default" w:ascii="Times New Roman" w:hAnsi="Times New Roman" w:eastAsia="宋体" w:cs="Times New Roman"/>
          <w:caps w:val="0"/>
          <w:color w:val="auto"/>
          <w:kern w:val="2"/>
          <w:sz w:val="24"/>
          <w:szCs w:val="32"/>
          <w:highlight w:val="none"/>
          <w:lang w:val="en-US" w:eastAsia="zh-CN" w:bidi="ar"/>
        </w:rPr>
        <w:t>属于</w:t>
      </w:r>
      <w:r>
        <w:rPr>
          <w:rFonts w:hint="default" w:ascii="Times New Roman" w:hAnsi="Times New Roman" w:eastAsia="宋体" w:cs="Times New Roman"/>
          <w:b/>
          <w:bCs/>
          <w:caps w:val="0"/>
          <w:color w:val="auto"/>
          <w:kern w:val="2"/>
          <w:sz w:val="24"/>
          <w:szCs w:val="32"/>
          <w:highlight w:val="none"/>
          <w:u w:val="none"/>
          <w:lang w:val="en-US" w:eastAsia="zh-CN" w:bidi="ar"/>
        </w:rPr>
        <w:t>I</w:t>
      </w:r>
      <w:r>
        <w:rPr>
          <w:rFonts w:hint="default" w:ascii="Times New Roman" w:hAnsi="Times New Roman" w:eastAsia="宋体" w:cs="Times New Roman"/>
          <w:b/>
          <w:bCs/>
          <w:caps w:val="0"/>
          <w:color w:val="auto"/>
          <w:kern w:val="2"/>
          <w:sz w:val="24"/>
          <w:szCs w:val="32"/>
          <w:highlight w:val="none"/>
          <w:lang w:val="en-US" w:eastAsia="zh-CN" w:bidi="ar"/>
        </w:rPr>
        <w:t>类</w:t>
      </w:r>
      <w:r>
        <w:rPr>
          <w:rFonts w:hint="default" w:ascii="Times New Roman" w:hAnsi="Times New Roman" w:eastAsia="宋体" w:cs="Times New Roman"/>
          <w:caps w:val="0"/>
          <w:color w:val="auto"/>
          <w:kern w:val="2"/>
          <w:sz w:val="24"/>
          <w:szCs w:val="32"/>
          <w:highlight w:val="none"/>
          <w:lang w:val="en-US" w:eastAsia="zh-CN" w:bidi="ar"/>
        </w:rPr>
        <w:t>项目，项目占地规模为</w:t>
      </w:r>
      <w:r>
        <w:rPr>
          <w:rFonts w:hint="default" w:ascii="Times New Roman" w:hAnsi="Times New Roman" w:eastAsia="宋体" w:cs="Times New Roman"/>
          <w:b/>
          <w:bCs/>
          <w:caps w:val="0"/>
          <w:color w:val="auto"/>
          <w:kern w:val="2"/>
          <w:sz w:val="24"/>
          <w:szCs w:val="32"/>
          <w:highlight w:val="none"/>
          <w:lang w:val="en-US" w:eastAsia="zh-CN" w:bidi="ar"/>
        </w:rPr>
        <w:t>小型</w:t>
      </w:r>
      <w:r>
        <w:rPr>
          <w:rFonts w:hint="default" w:ascii="Times New Roman" w:hAnsi="Times New Roman" w:eastAsia="宋体" w:cs="Times New Roman"/>
          <w:caps w:val="0"/>
          <w:color w:val="auto"/>
          <w:kern w:val="2"/>
          <w:sz w:val="24"/>
          <w:szCs w:val="32"/>
          <w:highlight w:val="none"/>
          <w:lang w:val="en-US" w:eastAsia="zh-CN" w:bidi="ar"/>
        </w:rPr>
        <w:t>，环境敏感程度为</w:t>
      </w:r>
      <w:r>
        <w:rPr>
          <w:rFonts w:hint="default" w:ascii="Times New Roman" w:hAnsi="Times New Roman" w:eastAsia="宋体" w:cs="Times New Roman"/>
          <w:b/>
          <w:bCs/>
          <w:caps w:val="0"/>
          <w:color w:val="auto"/>
          <w:kern w:val="2"/>
          <w:sz w:val="24"/>
          <w:szCs w:val="32"/>
          <w:highlight w:val="none"/>
          <w:lang w:val="en-US" w:eastAsia="zh-CN" w:bidi="ar"/>
        </w:rPr>
        <w:t>敏感</w:t>
      </w:r>
      <w:r>
        <w:rPr>
          <w:rFonts w:hint="default" w:ascii="Times New Roman" w:hAnsi="Times New Roman" w:eastAsia="宋体" w:cs="Times New Roman"/>
          <w:caps w:val="0"/>
          <w:color w:val="auto"/>
          <w:kern w:val="2"/>
          <w:sz w:val="24"/>
          <w:szCs w:val="32"/>
          <w:highlight w:val="none"/>
          <w:lang w:val="en-US" w:eastAsia="zh-CN" w:bidi="ar"/>
        </w:rPr>
        <w:t>，污染影响型土壤环境影响评价工作等级为</w:t>
      </w:r>
      <w:r>
        <w:rPr>
          <w:rFonts w:hint="default" w:ascii="Times New Roman" w:hAnsi="Times New Roman" w:cs="Times New Roman"/>
          <w:b/>
          <w:bCs/>
          <w:caps w:val="0"/>
          <w:color w:val="auto"/>
          <w:kern w:val="2"/>
          <w:sz w:val="24"/>
          <w:szCs w:val="32"/>
          <w:highlight w:val="none"/>
          <w:lang w:val="en-US" w:eastAsia="zh-CN" w:bidi="ar"/>
        </w:rPr>
        <w:t>一</w:t>
      </w:r>
      <w:r>
        <w:rPr>
          <w:rFonts w:hint="default" w:ascii="Times New Roman" w:hAnsi="Times New Roman" w:eastAsia="宋体" w:cs="Times New Roman"/>
          <w:b/>
          <w:bCs/>
          <w:caps w:val="0"/>
          <w:color w:val="auto"/>
          <w:kern w:val="2"/>
          <w:sz w:val="24"/>
          <w:szCs w:val="32"/>
          <w:highlight w:val="none"/>
          <w:lang w:val="en-US" w:eastAsia="zh-CN" w:bidi="ar"/>
        </w:rPr>
        <w:t>级。</w:t>
      </w:r>
    </w:p>
    <w:p w14:paraId="306ABE16">
      <w:pPr>
        <w:keepNext w:val="0"/>
        <w:keepLines w:val="0"/>
        <w:pageBreakBefore w:val="0"/>
        <w:widowControl/>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caps w:val="0"/>
          <w:color w:val="auto"/>
          <w:kern w:val="2"/>
          <w:sz w:val="24"/>
          <w:szCs w:val="32"/>
          <w:highlight w:val="none"/>
          <w:lang w:val="en-US" w:eastAsia="zh-CN" w:bidi="ar"/>
        </w:rPr>
      </w:pPr>
      <w:r>
        <w:rPr>
          <w:rFonts w:hint="default" w:ascii="Times New Roman" w:hAnsi="Times New Roman" w:eastAsia="宋体" w:cs="Times New Roman"/>
          <w:caps w:val="0"/>
          <w:color w:val="auto"/>
          <w:kern w:val="2"/>
          <w:sz w:val="24"/>
          <w:szCs w:val="32"/>
          <w:highlight w:val="none"/>
          <w:lang w:val="en-US" w:eastAsia="zh-CN" w:bidi="ar"/>
        </w:rPr>
        <w:t>根据《环境影响评价技术导则 土壤环境（试行）》（HJ964-2018），生态影响型和污染影响型土壤环境影响评价工作等级划分见表 2.6-</w:t>
      </w:r>
      <w:r>
        <w:rPr>
          <w:rFonts w:hint="eastAsia" w:ascii="Times New Roman" w:hAnsi="Times New Roman" w:eastAsia="宋体" w:cs="Times New Roman"/>
          <w:caps w:val="0"/>
          <w:color w:val="auto"/>
          <w:kern w:val="2"/>
          <w:sz w:val="24"/>
          <w:szCs w:val="32"/>
          <w:highlight w:val="none"/>
          <w:lang w:val="en-US" w:eastAsia="zh-CN" w:bidi="ar"/>
        </w:rPr>
        <w:t>11</w:t>
      </w:r>
      <w:r>
        <w:rPr>
          <w:rFonts w:hint="default" w:ascii="Times New Roman" w:hAnsi="Times New Roman" w:eastAsia="宋体" w:cs="Times New Roman"/>
          <w:caps w:val="0"/>
          <w:color w:val="auto"/>
          <w:kern w:val="2"/>
          <w:sz w:val="24"/>
          <w:szCs w:val="32"/>
          <w:highlight w:val="none"/>
          <w:lang w:val="en-US" w:eastAsia="zh-CN" w:bidi="ar"/>
        </w:rPr>
        <w:t xml:space="preserve"> 和表 2.6-</w:t>
      </w:r>
      <w:r>
        <w:rPr>
          <w:rFonts w:hint="eastAsia" w:ascii="Times New Roman" w:hAnsi="Times New Roman" w:eastAsia="宋体" w:cs="Times New Roman"/>
          <w:caps w:val="0"/>
          <w:color w:val="auto"/>
          <w:kern w:val="2"/>
          <w:sz w:val="24"/>
          <w:szCs w:val="32"/>
          <w:highlight w:val="none"/>
          <w:lang w:val="en-US" w:eastAsia="zh-CN" w:bidi="ar"/>
        </w:rPr>
        <w:t>12</w:t>
      </w:r>
      <w:r>
        <w:rPr>
          <w:rFonts w:hint="default" w:ascii="Times New Roman" w:hAnsi="Times New Roman" w:eastAsia="宋体" w:cs="Times New Roman"/>
          <w:caps w:val="0"/>
          <w:color w:val="auto"/>
          <w:kern w:val="2"/>
          <w:sz w:val="24"/>
          <w:szCs w:val="32"/>
          <w:highlight w:val="none"/>
          <w:lang w:val="en-US" w:eastAsia="zh-CN" w:bidi="ar"/>
        </w:rPr>
        <w:t>。</w:t>
      </w:r>
    </w:p>
    <w:p w14:paraId="794BEBCB">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ascii="黑体" w:hAnsi="黑体" w:eastAsia="黑体" w:cs="黑体"/>
          <w:color w:val="auto"/>
          <w:sz w:val="21"/>
          <w:szCs w:val="21"/>
          <w:highlight w:val="none"/>
        </w:rPr>
      </w:pPr>
      <w:r>
        <w:rPr>
          <w:rFonts w:ascii="黑体" w:hAnsi="黑体" w:eastAsia="黑体" w:cs="黑体"/>
          <w:color w:val="auto"/>
          <w:spacing w:val="8"/>
          <w:sz w:val="21"/>
          <w:szCs w:val="21"/>
          <w:highlight w:val="none"/>
        </w:rPr>
        <w:t>表</w:t>
      </w:r>
      <w:r>
        <w:rPr>
          <w:rFonts w:ascii="黑体" w:hAnsi="黑体" w:eastAsia="黑体" w:cs="黑体"/>
          <w:color w:val="auto"/>
          <w:spacing w:val="-43"/>
          <w:sz w:val="21"/>
          <w:szCs w:val="21"/>
          <w:highlight w:val="none"/>
        </w:rPr>
        <w:t xml:space="preserve"> </w:t>
      </w:r>
      <w:r>
        <w:rPr>
          <w:rFonts w:ascii="Times New Roman" w:hAnsi="Times New Roman" w:eastAsia="Times New Roman" w:cs="Times New Roman"/>
          <w:color w:val="auto"/>
          <w:spacing w:val="8"/>
          <w:sz w:val="21"/>
          <w:szCs w:val="21"/>
          <w:highlight w:val="none"/>
        </w:rPr>
        <w:t>2.6-</w:t>
      </w:r>
      <w:r>
        <w:rPr>
          <w:rFonts w:hint="eastAsia" w:ascii="Times New Roman" w:hAnsi="Times New Roman" w:eastAsia="宋体" w:cs="Times New Roman"/>
          <w:color w:val="auto"/>
          <w:spacing w:val="8"/>
          <w:sz w:val="21"/>
          <w:szCs w:val="21"/>
          <w:highlight w:val="none"/>
          <w:lang w:val="en-US" w:eastAsia="zh-CN"/>
        </w:rPr>
        <w:t>11</w:t>
      </w:r>
      <w:r>
        <w:rPr>
          <w:rFonts w:ascii="黑体" w:hAnsi="黑体" w:eastAsia="黑体" w:cs="黑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黑体" w:hAnsi="黑体" w:eastAsia="黑体" w:cs="黑体"/>
          <w:color w:val="auto"/>
          <w:spacing w:val="8"/>
          <w:sz w:val="21"/>
          <w:szCs w:val="21"/>
          <w:highlight w:val="none"/>
        </w:rPr>
        <w:t xml:space="preserve">）   </w:t>
      </w:r>
      <w:r>
        <w:rPr>
          <w:rFonts w:hint="eastAsia" w:ascii="黑体" w:hAnsi="黑体" w:eastAsia="黑体" w:cs="黑体"/>
          <w:color w:val="auto"/>
          <w:spacing w:val="8"/>
          <w:sz w:val="21"/>
          <w:szCs w:val="21"/>
          <w:highlight w:val="none"/>
          <w:lang w:val="en-US" w:eastAsia="zh-CN"/>
        </w:rPr>
        <w:t>采油</w:t>
      </w:r>
      <w:r>
        <w:rPr>
          <w:rFonts w:ascii="黑体" w:hAnsi="黑体" w:eastAsia="黑体" w:cs="黑体"/>
          <w:color w:val="auto"/>
          <w:spacing w:val="8"/>
          <w:sz w:val="21"/>
          <w:szCs w:val="21"/>
          <w:highlight w:val="none"/>
        </w:rPr>
        <w:t>井场生态影响型土壤环境评价工作等级划分依据</w:t>
      </w:r>
    </w:p>
    <w:p w14:paraId="5C6A4DDE">
      <w:pPr>
        <w:spacing w:line="101" w:lineRule="exact"/>
        <w:rPr>
          <w:color w:val="auto"/>
          <w:sz w:val="21"/>
          <w:szCs w:val="21"/>
          <w:highlight w:val="none"/>
        </w:rPr>
      </w:pPr>
    </w:p>
    <w:tbl>
      <w:tblPr>
        <w:tblStyle w:val="60"/>
        <w:tblW w:w="8366"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6"/>
        <w:gridCol w:w="1606"/>
        <w:gridCol w:w="2087"/>
        <w:gridCol w:w="2097"/>
      </w:tblGrid>
      <w:tr w14:paraId="65310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576" w:type="dxa"/>
            <w:tcBorders>
              <w:top w:val="single" w:color="000000" w:sz="6" w:space="0"/>
              <w:left w:val="single" w:color="000000" w:sz="6" w:space="0"/>
              <w:tl2br w:val="single" w:color="000000" w:sz="4" w:space="0"/>
            </w:tcBorders>
            <w:vAlign w:val="top"/>
          </w:tcPr>
          <w:p w14:paraId="51D94C2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lang w:val="en-US" w:eastAsia="zh-CN"/>
              </w:rPr>
              <w:t xml:space="preserve">                </w:t>
            </w:r>
            <w:r>
              <w:rPr>
                <w:rFonts w:ascii="宋体" w:hAnsi="宋体" w:eastAsia="宋体" w:cs="宋体"/>
                <w:color w:val="auto"/>
                <w:spacing w:val="-6"/>
                <w:sz w:val="21"/>
                <w:szCs w:val="21"/>
                <w:highlight w:val="none"/>
              </w:rPr>
              <w:t>项目类别</w:t>
            </w:r>
          </w:p>
          <w:p w14:paraId="27E48AD1">
            <w:pPr>
              <w:keepNext w:val="0"/>
              <w:keepLines w:val="0"/>
              <w:pageBreakBefore w:val="0"/>
              <w:widowControl/>
              <w:kinsoku/>
              <w:wordWrap/>
              <w:overflowPunct/>
              <w:topLinePunct w:val="0"/>
              <w:autoSpaceDE/>
              <w:autoSpaceDN/>
              <w:bidi w:val="0"/>
              <w:adjustRightInd/>
              <w:snapToGrid/>
              <w:spacing w:line="320" w:lineRule="exact"/>
              <w:ind w:left="30"/>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环境敏感程度</w:t>
            </w:r>
          </w:p>
        </w:tc>
        <w:tc>
          <w:tcPr>
            <w:tcW w:w="1606" w:type="dxa"/>
            <w:tcBorders>
              <w:top w:val="single" w:color="000000" w:sz="6" w:space="0"/>
            </w:tcBorders>
            <w:vAlign w:val="top"/>
          </w:tcPr>
          <w:p w14:paraId="3333709D">
            <w:pPr>
              <w:pStyle w:val="42"/>
              <w:keepNext w:val="0"/>
              <w:keepLines w:val="0"/>
              <w:pageBreakBefore w:val="0"/>
              <w:widowControl/>
              <w:kinsoku/>
              <w:wordWrap/>
              <w:overflowPunct/>
              <w:topLinePunct w:val="0"/>
              <w:autoSpaceDE/>
              <w:autoSpaceDN/>
              <w:bidi w:val="0"/>
              <w:adjustRightInd/>
              <w:snapToGrid/>
              <w:spacing w:line="320" w:lineRule="exact"/>
              <w:ind w:left="488"/>
              <w:jc w:val="both"/>
              <w:textAlignment w:val="auto"/>
              <w:rPr>
                <w:rFonts w:ascii="宋体" w:hAnsi="宋体" w:eastAsia="宋体" w:cs="宋体"/>
                <w:color w:val="auto"/>
                <w:sz w:val="21"/>
                <w:szCs w:val="21"/>
                <w:highlight w:val="none"/>
              </w:rPr>
            </w:pPr>
            <w:r>
              <w:rPr>
                <w:color w:val="auto"/>
                <w:spacing w:val="-4"/>
                <w:sz w:val="21"/>
                <w:szCs w:val="21"/>
                <w:highlight w:val="none"/>
              </w:rPr>
              <w:t>Ⅰ</w:t>
            </w:r>
            <w:r>
              <w:rPr>
                <w:rFonts w:ascii="宋体" w:hAnsi="宋体" w:eastAsia="宋体" w:cs="宋体"/>
                <w:color w:val="auto"/>
                <w:spacing w:val="-4"/>
                <w:sz w:val="21"/>
                <w:szCs w:val="21"/>
                <w:highlight w:val="none"/>
              </w:rPr>
              <w:t>类项目</w:t>
            </w:r>
          </w:p>
        </w:tc>
        <w:tc>
          <w:tcPr>
            <w:tcW w:w="2087" w:type="dxa"/>
            <w:tcBorders>
              <w:top w:val="single" w:color="000000" w:sz="6" w:space="0"/>
            </w:tcBorders>
            <w:vAlign w:val="top"/>
          </w:tcPr>
          <w:p w14:paraId="380DFD1D">
            <w:pPr>
              <w:pStyle w:val="42"/>
              <w:keepNext w:val="0"/>
              <w:keepLines w:val="0"/>
              <w:pageBreakBefore w:val="0"/>
              <w:widowControl/>
              <w:kinsoku/>
              <w:wordWrap/>
              <w:overflowPunct/>
              <w:topLinePunct w:val="0"/>
              <w:autoSpaceDE/>
              <w:autoSpaceDN/>
              <w:bidi w:val="0"/>
              <w:adjustRightInd/>
              <w:snapToGrid/>
              <w:spacing w:line="320" w:lineRule="exact"/>
              <w:ind w:left="698"/>
              <w:jc w:val="both"/>
              <w:textAlignment w:val="auto"/>
              <w:rPr>
                <w:rFonts w:ascii="宋体" w:hAnsi="宋体" w:eastAsia="宋体" w:cs="宋体"/>
                <w:color w:val="auto"/>
                <w:sz w:val="21"/>
                <w:szCs w:val="21"/>
                <w:highlight w:val="none"/>
              </w:rPr>
            </w:pPr>
            <w:r>
              <w:rPr>
                <w:color w:val="auto"/>
                <w:spacing w:val="-3"/>
                <w:sz w:val="21"/>
                <w:szCs w:val="21"/>
                <w:highlight w:val="none"/>
              </w:rPr>
              <w:t>Ⅱ</w:t>
            </w:r>
            <w:r>
              <w:rPr>
                <w:rFonts w:ascii="宋体" w:hAnsi="宋体" w:eastAsia="宋体" w:cs="宋体"/>
                <w:color w:val="auto"/>
                <w:spacing w:val="-3"/>
                <w:sz w:val="21"/>
                <w:szCs w:val="21"/>
                <w:highlight w:val="none"/>
              </w:rPr>
              <w:t>类项目</w:t>
            </w:r>
          </w:p>
        </w:tc>
        <w:tc>
          <w:tcPr>
            <w:tcW w:w="2097" w:type="dxa"/>
            <w:tcBorders>
              <w:top w:val="single" w:color="000000" w:sz="6" w:space="0"/>
              <w:right w:val="single" w:color="000000" w:sz="6" w:space="0"/>
            </w:tcBorders>
            <w:vAlign w:val="top"/>
          </w:tcPr>
          <w:p w14:paraId="5321C2A1">
            <w:pPr>
              <w:pStyle w:val="42"/>
              <w:keepNext w:val="0"/>
              <w:keepLines w:val="0"/>
              <w:pageBreakBefore w:val="0"/>
              <w:widowControl/>
              <w:kinsoku/>
              <w:wordWrap/>
              <w:overflowPunct/>
              <w:topLinePunct w:val="0"/>
              <w:autoSpaceDE/>
              <w:autoSpaceDN/>
              <w:bidi w:val="0"/>
              <w:adjustRightInd/>
              <w:snapToGrid/>
              <w:spacing w:line="320" w:lineRule="exact"/>
              <w:ind w:left="671"/>
              <w:jc w:val="both"/>
              <w:textAlignment w:val="auto"/>
              <w:rPr>
                <w:rFonts w:ascii="宋体" w:hAnsi="宋体" w:eastAsia="宋体" w:cs="宋体"/>
                <w:color w:val="auto"/>
                <w:sz w:val="21"/>
                <w:szCs w:val="21"/>
                <w:highlight w:val="none"/>
              </w:rPr>
            </w:pPr>
            <w:r>
              <w:rPr>
                <w:color w:val="auto"/>
                <w:spacing w:val="-2"/>
                <w:sz w:val="21"/>
                <w:szCs w:val="21"/>
                <w:highlight w:val="none"/>
              </w:rPr>
              <w:t>Ⅲ</w:t>
            </w:r>
            <w:r>
              <w:rPr>
                <w:rFonts w:ascii="宋体" w:hAnsi="宋体" w:eastAsia="宋体" w:cs="宋体"/>
                <w:color w:val="auto"/>
                <w:spacing w:val="-2"/>
                <w:sz w:val="21"/>
                <w:szCs w:val="21"/>
                <w:highlight w:val="none"/>
              </w:rPr>
              <w:t>类项目</w:t>
            </w:r>
          </w:p>
        </w:tc>
      </w:tr>
      <w:tr w14:paraId="6A8CB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76" w:type="dxa"/>
            <w:tcBorders>
              <w:left w:val="single" w:color="000000" w:sz="6" w:space="0"/>
            </w:tcBorders>
            <w:vAlign w:val="top"/>
          </w:tcPr>
          <w:p w14:paraId="7E133A5A">
            <w:pPr>
              <w:keepNext w:val="0"/>
              <w:keepLines w:val="0"/>
              <w:pageBreakBefore w:val="0"/>
              <w:widowControl/>
              <w:kinsoku/>
              <w:wordWrap/>
              <w:overflowPunct/>
              <w:topLinePunct w:val="0"/>
              <w:autoSpaceDE/>
              <w:autoSpaceDN/>
              <w:bidi w:val="0"/>
              <w:adjustRightInd/>
              <w:snapToGrid/>
              <w:spacing w:line="320" w:lineRule="exact"/>
              <w:ind w:left="109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敏感</w:t>
            </w:r>
          </w:p>
        </w:tc>
        <w:tc>
          <w:tcPr>
            <w:tcW w:w="1606" w:type="dxa"/>
            <w:shd w:val="clear" w:color="auto" w:fill="D7D7D7" w:themeFill="background1" w:themeFillShade="D8"/>
            <w:vAlign w:val="top"/>
          </w:tcPr>
          <w:p w14:paraId="6ACBB94D">
            <w:pPr>
              <w:keepNext w:val="0"/>
              <w:keepLines w:val="0"/>
              <w:pageBreakBefore w:val="0"/>
              <w:widowControl/>
              <w:kinsoku/>
              <w:wordWrap/>
              <w:overflowPunct/>
              <w:topLinePunct w:val="0"/>
              <w:autoSpaceDE/>
              <w:autoSpaceDN/>
              <w:bidi w:val="0"/>
              <w:adjustRightInd/>
              <w:snapToGrid/>
              <w:spacing w:line="320" w:lineRule="exact"/>
              <w:ind w:left="715"/>
              <w:textAlignment w:val="auto"/>
              <w:rPr>
                <w:rFonts w:ascii="宋体" w:hAnsi="宋体" w:eastAsia="宋体" w:cs="宋体"/>
                <w:color w:val="auto"/>
                <w:sz w:val="21"/>
                <w:szCs w:val="21"/>
                <w:highlight w:val="none"/>
              </w:rPr>
            </w:pPr>
            <w:r>
              <w:rPr>
                <w:rFonts w:ascii="宋体" w:hAnsi="宋体" w:eastAsia="宋体" w:cs="宋体"/>
                <w:color w:val="auto"/>
                <w:position w:val="-4"/>
                <w:sz w:val="21"/>
                <w:szCs w:val="21"/>
                <w:highlight w:val="none"/>
              </w:rPr>
              <w:t>一</w:t>
            </w:r>
          </w:p>
        </w:tc>
        <w:tc>
          <w:tcPr>
            <w:tcW w:w="2087" w:type="dxa"/>
            <w:vAlign w:val="top"/>
          </w:tcPr>
          <w:p w14:paraId="13B3B850">
            <w:pPr>
              <w:keepNext w:val="0"/>
              <w:keepLines w:val="0"/>
              <w:pageBreakBefore w:val="0"/>
              <w:widowControl/>
              <w:kinsoku/>
              <w:wordWrap/>
              <w:overflowPunct/>
              <w:topLinePunct w:val="0"/>
              <w:autoSpaceDE/>
              <w:autoSpaceDN/>
              <w:bidi w:val="0"/>
              <w:adjustRightInd/>
              <w:snapToGrid/>
              <w:spacing w:line="320" w:lineRule="exact"/>
              <w:ind w:left="95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97" w:type="dxa"/>
            <w:tcBorders>
              <w:right w:val="single" w:color="000000" w:sz="6" w:space="0"/>
            </w:tcBorders>
            <w:vAlign w:val="top"/>
          </w:tcPr>
          <w:p w14:paraId="630CD623">
            <w:pPr>
              <w:keepNext w:val="0"/>
              <w:keepLines w:val="0"/>
              <w:pageBreakBefore w:val="0"/>
              <w:widowControl/>
              <w:kinsoku/>
              <w:wordWrap/>
              <w:overflowPunct/>
              <w:topLinePunct w:val="0"/>
              <w:autoSpaceDE/>
              <w:autoSpaceDN/>
              <w:bidi w:val="0"/>
              <w:adjustRightInd/>
              <w:snapToGrid/>
              <w:spacing w:line="320" w:lineRule="exact"/>
              <w:ind w:left="959" w:firstLine="210" w:firstLineChars="100"/>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三</w:t>
            </w:r>
          </w:p>
        </w:tc>
      </w:tr>
      <w:tr w14:paraId="2730F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76" w:type="dxa"/>
            <w:tcBorders>
              <w:left w:val="single" w:color="000000" w:sz="6" w:space="0"/>
            </w:tcBorders>
            <w:vAlign w:val="top"/>
          </w:tcPr>
          <w:p w14:paraId="4BD313B3">
            <w:pPr>
              <w:keepNext w:val="0"/>
              <w:keepLines w:val="0"/>
              <w:pageBreakBefore w:val="0"/>
              <w:widowControl/>
              <w:kinsoku/>
              <w:wordWrap/>
              <w:overflowPunct/>
              <w:topLinePunct w:val="0"/>
              <w:autoSpaceDE/>
              <w:autoSpaceDN/>
              <w:bidi w:val="0"/>
              <w:adjustRightInd/>
              <w:snapToGrid/>
              <w:spacing w:line="320" w:lineRule="exact"/>
              <w:ind w:left="1002"/>
              <w:textAlignment w:val="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较敏感</w:t>
            </w:r>
          </w:p>
        </w:tc>
        <w:tc>
          <w:tcPr>
            <w:tcW w:w="1606" w:type="dxa"/>
            <w:vAlign w:val="top"/>
          </w:tcPr>
          <w:p w14:paraId="698F24AC">
            <w:pPr>
              <w:keepNext w:val="0"/>
              <w:keepLines w:val="0"/>
              <w:pageBreakBefore w:val="0"/>
              <w:widowControl/>
              <w:kinsoku/>
              <w:wordWrap/>
              <w:overflowPunct/>
              <w:topLinePunct w:val="0"/>
              <w:autoSpaceDE/>
              <w:autoSpaceDN/>
              <w:bidi w:val="0"/>
              <w:adjustRightInd/>
              <w:snapToGrid/>
              <w:spacing w:line="320" w:lineRule="exact"/>
              <w:ind w:left="715"/>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87" w:type="dxa"/>
            <w:vAlign w:val="top"/>
          </w:tcPr>
          <w:p w14:paraId="7E12FEEB">
            <w:pPr>
              <w:keepNext w:val="0"/>
              <w:keepLines w:val="0"/>
              <w:pageBreakBefore w:val="0"/>
              <w:widowControl/>
              <w:kinsoku/>
              <w:wordWrap/>
              <w:overflowPunct/>
              <w:topLinePunct w:val="0"/>
              <w:autoSpaceDE/>
              <w:autoSpaceDN/>
              <w:bidi w:val="0"/>
              <w:adjustRightInd/>
              <w:snapToGrid/>
              <w:spacing w:line="320" w:lineRule="exact"/>
              <w:ind w:left="95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97" w:type="dxa"/>
            <w:tcBorders>
              <w:right w:val="single" w:color="000000" w:sz="6" w:space="0"/>
            </w:tcBorders>
            <w:vAlign w:val="top"/>
          </w:tcPr>
          <w:p w14:paraId="4CA76B0E">
            <w:pPr>
              <w:keepNext w:val="0"/>
              <w:keepLines w:val="0"/>
              <w:pageBreakBefore w:val="0"/>
              <w:widowControl/>
              <w:kinsoku/>
              <w:wordWrap/>
              <w:overflowPunct/>
              <w:topLinePunct w:val="0"/>
              <w:autoSpaceDE/>
              <w:autoSpaceDN/>
              <w:bidi w:val="0"/>
              <w:adjustRightInd/>
              <w:snapToGrid/>
              <w:spacing w:line="320" w:lineRule="exact"/>
              <w:ind w:left="95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三</w:t>
            </w:r>
          </w:p>
        </w:tc>
      </w:tr>
      <w:tr w14:paraId="730B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76" w:type="dxa"/>
            <w:tcBorders>
              <w:left w:val="single" w:color="000000" w:sz="6" w:space="0"/>
              <w:bottom w:val="single" w:color="000000" w:sz="6" w:space="0"/>
            </w:tcBorders>
            <w:vAlign w:val="top"/>
          </w:tcPr>
          <w:p w14:paraId="6B4DEFBB">
            <w:pPr>
              <w:keepNext w:val="0"/>
              <w:keepLines w:val="0"/>
              <w:pageBreakBefore w:val="0"/>
              <w:widowControl/>
              <w:kinsoku/>
              <w:wordWrap/>
              <w:overflowPunct/>
              <w:topLinePunct w:val="0"/>
              <w:autoSpaceDE/>
              <w:autoSpaceDN/>
              <w:bidi w:val="0"/>
              <w:adjustRightInd/>
              <w:snapToGrid/>
              <w:spacing w:line="320" w:lineRule="exact"/>
              <w:ind w:left="1006"/>
              <w:textAlignment w:val="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不敏感</w:t>
            </w:r>
          </w:p>
        </w:tc>
        <w:tc>
          <w:tcPr>
            <w:tcW w:w="1606" w:type="dxa"/>
            <w:tcBorders>
              <w:bottom w:val="single" w:color="000000" w:sz="6" w:space="0"/>
            </w:tcBorders>
            <w:shd w:val="clear" w:color="auto" w:fill="auto"/>
            <w:vAlign w:val="top"/>
          </w:tcPr>
          <w:p w14:paraId="39CD8911">
            <w:pPr>
              <w:keepNext w:val="0"/>
              <w:keepLines w:val="0"/>
              <w:pageBreakBefore w:val="0"/>
              <w:widowControl/>
              <w:kinsoku/>
              <w:wordWrap/>
              <w:overflowPunct/>
              <w:topLinePunct w:val="0"/>
              <w:autoSpaceDE/>
              <w:autoSpaceDN/>
              <w:bidi w:val="0"/>
              <w:adjustRightInd/>
              <w:snapToGrid/>
              <w:spacing w:line="320" w:lineRule="exact"/>
              <w:ind w:left="715"/>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87" w:type="dxa"/>
            <w:tcBorders>
              <w:bottom w:val="single" w:color="000000" w:sz="6" w:space="0"/>
            </w:tcBorders>
            <w:vAlign w:val="top"/>
          </w:tcPr>
          <w:p w14:paraId="0A88E3E8">
            <w:pPr>
              <w:keepNext w:val="0"/>
              <w:keepLines w:val="0"/>
              <w:pageBreakBefore w:val="0"/>
              <w:widowControl/>
              <w:kinsoku/>
              <w:wordWrap/>
              <w:overflowPunct/>
              <w:topLinePunct w:val="0"/>
              <w:autoSpaceDE/>
              <w:autoSpaceDN/>
              <w:bidi w:val="0"/>
              <w:adjustRightInd/>
              <w:snapToGrid/>
              <w:spacing w:line="320" w:lineRule="exact"/>
              <w:ind w:left="956"/>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三</w:t>
            </w:r>
          </w:p>
        </w:tc>
        <w:tc>
          <w:tcPr>
            <w:tcW w:w="2097" w:type="dxa"/>
            <w:tcBorders>
              <w:bottom w:val="single" w:color="000000" w:sz="6" w:space="0"/>
              <w:right w:val="single" w:color="000000" w:sz="6" w:space="0"/>
            </w:tcBorders>
            <w:vAlign w:val="top"/>
          </w:tcPr>
          <w:p w14:paraId="0A6381BB">
            <w:pPr>
              <w:pStyle w:val="42"/>
              <w:keepNext w:val="0"/>
              <w:keepLines w:val="0"/>
              <w:pageBreakBefore w:val="0"/>
              <w:widowControl/>
              <w:kinsoku/>
              <w:wordWrap/>
              <w:overflowPunct/>
              <w:topLinePunct w:val="0"/>
              <w:autoSpaceDE/>
              <w:autoSpaceDN/>
              <w:bidi w:val="0"/>
              <w:adjustRightInd/>
              <w:snapToGrid/>
              <w:spacing w:line="320" w:lineRule="exact"/>
              <w:ind w:left="1023"/>
              <w:textAlignment w:val="auto"/>
              <w:rPr>
                <w:color w:val="auto"/>
                <w:sz w:val="21"/>
                <w:szCs w:val="21"/>
                <w:highlight w:val="none"/>
              </w:rPr>
            </w:pPr>
            <w:r>
              <w:rPr>
                <w:color w:val="auto"/>
                <w:spacing w:val="2"/>
                <w:sz w:val="21"/>
                <w:szCs w:val="21"/>
                <w:highlight w:val="none"/>
              </w:rPr>
              <w:t>/</w:t>
            </w:r>
          </w:p>
        </w:tc>
      </w:tr>
    </w:tbl>
    <w:p w14:paraId="527B74B8">
      <w:pPr>
        <w:spacing w:before="139" w:line="228" w:lineRule="auto"/>
        <w:ind w:left="808"/>
        <w:rPr>
          <w:rFonts w:ascii="黑体" w:hAnsi="黑体" w:eastAsia="黑体" w:cs="黑体"/>
          <w:color w:val="auto"/>
          <w:sz w:val="21"/>
          <w:szCs w:val="21"/>
          <w:highlight w:val="none"/>
        </w:rPr>
      </w:pPr>
      <w:r>
        <w:rPr>
          <w:rFonts w:ascii="黑体" w:hAnsi="黑体" w:eastAsia="黑体" w:cs="黑体"/>
          <w:color w:val="auto"/>
          <w:spacing w:val="8"/>
          <w:sz w:val="21"/>
          <w:szCs w:val="21"/>
          <w:highlight w:val="none"/>
        </w:rPr>
        <w:t>表</w:t>
      </w:r>
      <w:r>
        <w:rPr>
          <w:rFonts w:ascii="黑体" w:hAnsi="黑体" w:eastAsia="黑体" w:cs="黑体"/>
          <w:color w:val="auto"/>
          <w:spacing w:val="-43"/>
          <w:sz w:val="21"/>
          <w:szCs w:val="21"/>
          <w:highlight w:val="none"/>
        </w:rPr>
        <w:t xml:space="preserve"> </w:t>
      </w:r>
      <w:r>
        <w:rPr>
          <w:rFonts w:ascii="Times New Roman" w:hAnsi="Times New Roman" w:eastAsia="Times New Roman" w:cs="Times New Roman"/>
          <w:color w:val="auto"/>
          <w:spacing w:val="8"/>
          <w:sz w:val="21"/>
          <w:szCs w:val="21"/>
          <w:highlight w:val="none"/>
        </w:rPr>
        <w:t>2.6-</w:t>
      </w:r>
      <w:r>
        <w:rPr>
          <w:rFonts w:hint="eastAsia" w:ascii="Times New Roman" w:hAnsi="Times New Roman" w:eastAsia="宋体" w:cs="Times New Roman"/>
          <w:color w:val="auto"/>
          <w:spacing w:val="8"/>
          <w:sz w:val="21"/>
          <w:szCs w:val="21"/>
          <w:highlight w:val="none"/>
          <w:lang w:val="en-US" w:eastAsia="zh-CN"/>
        </w:rPr>
        <w:t>11</w:t>
      </w:r>
      <w:r>
        <w:rPr>
          <w:rFonts w:ascii="黑体" w:hAnsi="黑体" w:eastAsia="黑体" w:cs="黑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黑体" w:hAnsi="黑体" w:eastAsia="黑体" w:cs="黑体"/>
          <w:color w:val="auto"/>
          <w:spacing w:val="8"/>
          <w:sz w:val="21"/>
          <w:szCs w:val="21"/>
          <w:highlight w:val="none"/>
        </w:rPr>
        <w:t xml:space="preserve">）    </w:t>
      </w:r>
      <w:r>
        <w:rPr>
          <w:rFonts w:hint="eastAsia" w:ascii="黑体" w:hAnsi="黑体" w:eastAsia="黑体" w:cs="黑体"/>
          <w:color w:val="auto"/>
          <w:spacing w:val="8"/>
          <w:sz w:val="21"/>
          <w:szCs w:val="21"/>
          <w:highlight w:val="none"/>
          <w:lang w:val="en-US" w:eastAsia="zh-CN"/>
        </w:rPr>
        <w:t>集油</w:t>
      </w:r>
      <w:r>
        <w:rPr>
          <w:rFonts w:ascii="黑体" w:hAnsi="黑体" w:eastAsia="黑体" w:cs="黑体"/>
          <w:color w:val="auto"/>
          <w:spacing w:val="8"/>
          <w:sz w:val="21"/>
          <w:szCs w:val="21"/>
          <w:highlight w:val="none"/>
        </w:rPr>
        <w:t>管线生态影响型土壤环境评价工作等级划分依据</w:t>
      </w:r>
    </w:p>
    <w:p w14:paraId="78B19E2C">
      <w:pPr>
        <w:spacing w:line="102" w:lineRule="exact"/>
        <w:rPr>
          <w:color w:val="auto"/>
          <w:sz w:val="21"/>
          <w:szCs w:val="21"/>
          <w:highlight w:val="none"/>
        </w:rPr>
      </w:pPr>
    </w:p>
    <w:tbl>
      <w:tblPr>
        <w:tblStyle w:val="60"/>
        <w:tblW w:w="8366"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6"/>
        <w:gridCol w:w="1606"/>
        <w:gridCol w:w="2087"/>
        <w:gridCol w:w="2097"/>
      </w:tblGrid>
      <w:tr w14:paraId="60396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576" w:type="dxa"/>
            <w:tcBorders>
              <w:top w:val="single" w:color="000000" w:sz="6" w:space="0"/>
              <w:left w:val="single" w:color="000000" w:sz="6" w:space="0"/>
              <w:tl2br w:val="single" w:color="000000" w:sz="4" w:space="0"/>
            </w:tcBorders>
            <w:vAlign w:val="top"/>
          </w:tcPr>
          <w:p w14:paraId="589E73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lang w:val="en-US" w:eastAsia="zh-CN"/>
              </w:rPr>
              <w:t xml:space="preserve">              </w:t>
            </w:r>
            <w:r>
              <w:rPr>
                <w:rFonts w:ascii="宋体" w:hAnsi="宋体" w:eastAsia="宋体" w:cs="宋体"/>
                <w:color w:val="auto"/>
                <w:spacing w:val="-6"/>
                <w:sz w:val="21"/>
                <w:szCs w:val="21"/>
                <w:highlight w:val="none"/>
              </w:rPr>
              <w:t>项目类别</w:t>
            </w:r>
          </w:p>
          <w:p w14:paraId="544FA406">
            <w:pPr>
              <w:keepNext w:val="0"/>
              <w:keepLines w:val="0"/>
              <w:pageBreakBefore w:val="0"/>
              <w:widowControl/>
              <w:kinsoku/>
              <w:wordWrap/>
              <w:overflowPunct/>
              <w:topLinePunct w:val="0"/>
              <w:autoSpaceDE/>
              <w:autoSpaceDN/>
              <w:bidi w:val="0"/>
              <w:adjustRightInd/>
              <w:snapToGrid/>
              <w:spacing w:line="240" w:lineRule="auto"/>
              <w:ind w:left="30"/>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环境敏感程度</w:t>
            </w:r>
          </w:p>
        </w:tc>
        <w:tc>
          <w:tcPr>
            <w:tcW w:w="1606" w:type="dxa"/>
            <w:tcBorders>
              <w:top w:val="single" w:color="000000" w:sz="6" w:space="0"/>
            </w:tcBorders>
            <w:vAlign w:val="top"/>
          </w:tcPr>
          <w:p w14:paraId="062CF2A1">
            <w:pPr>
              <w:pStyle w:val="42"/>
              <w:keepNext w:val="0"/>
              <w:keepLines w:val="0"/>
              <w:pageBreakBefore w:val="0"/>
              <w:widowControl/>
              <w:kinsoku/>
              <w:wordWrap/>
              <w:overflowPunct/>
              <w:topLinePunct w:val="0"/>
              <w:autoSpaceDE/>
              <w:autoSpaceDN/>
              <w:bidi w:val="0"/>
              <w:adjustRightInd/>
              <w:snapToGrid/>
              <w:spacing w:line="240" w:lineRule="auto"/>
              <w:ind w:left="488"/>
              <w:jc w:val="both"/>
              <w:textAlignment w:val="auto"/>
              <w:rPr>
                <w:rFonts w:ascii="宋体" w:hAnsi="宋体" w:eastAsia="宋体" w:cs="宋体"/>
                <w:color w:val="auto"/>
                <w:sz w:val="21"/>
                <w:szCs w:val="21"/>
                <w:highlight w:val="none"/>
              </w:rPr>
            </w:pPr>
            <w:r>
              <w:rPr>
                <w:color w:val="auto"/>
                <w:spacing w:val="-4"/>
                <w:sz w:val="21"/>
                <w:szCs w:val="21"/>
                <w:highlight w:val="none"/>
              </w:rPr>
              <w:t>Ⅰ</w:t>
            </w:r>
            <w:r>
              <w:rPr>
                <w:rFonts w:ascii="宋体" w:hAnsi="宋体" w:eastAsia="宋体" w:cs="宋体"/>
                <w:color w:val="auto"/>
                <w:spacing w:val="-4"/>
                <w:sz w:val="21"/>
                <w:szCs w:val="21"/>
                <w:highlight w:val="none"/>
              </w:rPr>
              <w:t>类项目</w:t>
            </w:r>
          </w:p>
        </w:tc>
        <w:tc>
          <w:tcPr>
            <w:tcW w:w="2087" w:type="dxa"/>
            <w:tcBorders>
              <w:top w:val="single" w:color="000000" w:sz="6" w:space="0"/>
            </w:tcBorders>
            <w:vAlign w:val="top"/>
          </w:tcPr>
          <w:p w14:paraId="45EF2AFE">
            <w:pPr>
              <w:pStyle w:val="42"/>
              <w:keepNext w:val="0"/>
              <w:keepLines w:val="0"/>
              <w:pageBreakBefore w:val="0"/>
              <w:widowControl/>
              <w:kinsoku/>
              <w:wordWrap/>
              <w:overflowPunct/>
              <w:topLinePunct w:val="0"/>
              <w:autoSpaceDE/>
              <w:autoSpaceDN/>
              <w:bidi w:val="0"/>
              <w:adjustRightInd/>
              <w:snapToGrid/>
              <w:spacing w:line="240" w:lineRule="auto"/>
              <w:ind w:left="698"/>
              <w:jc w:val="both"/>
              <w:textAlignment w:val="auto"/>
              <w:rPr>
                <w:rFonts w:ascii="宋体" w:hAnsi="宋体" w:eastAsia="宋体" w:cs="宋体"/>
                <w:color w:val="auto"/>
                <w:sz w:val="21"/>
                <w:szCs w:val="21"/>
                <w:highlight w:val="none"/>
              </w:rPr>
            </w:pPr>
            <w:r>
              <w:rPr>
                <w:color w:val="auto"/>
                <w:spacing w:val="-3"/>
                <w:sz w:val="21"/>
                <w:szCs w:val="21"/>
                <w:highlight w:val="none"/>
              </w:rPr>
              <w:t>Ⅱ</w:t>
            </w:r>
            <w:r>
              <w:rPr>
                <w:rFonts w:ascii="宋体" w:hAnsi="宋体" w:eastAsia="宋体" w:cs="宋体"/>
                <w:color w:val="auto"/>
                <w:spacing w:val="-3"/>
                <w:sz w:val="21"/>
                <w:szCs w:val="21"/>
                <w:highlight w:val="none"/>
              </w:rPr>
              <w:t>类项目</w:t>
            </w:r>
          </w:p>
        </w:tc>
        <w:tc>
          <w:tcPr>
            <w:tcW w:w="2097" w:type="dxa"/>
            <w:tcBorders>
              <w:top w:val="single" w:color="000000" w:sz="6" w:space="0"/>
              <w:right w:val="single" w:color="000000" w:sz="6" w:space="0"/>
            </w:tcBorders>
            <w:vAlign w:val="top"/>
          </w:tcPr>
          <w:p w14:paraId="2BDBDE64">
            <w:pPr>
              <w:pStyle w:val="42"/>
              <w:keepNext w:val="0"/>
              <w:keepLines w:val="0"/>
              <w:pageBreakBefore w:val="0"/>
              <w:widowControl/>
              <w:kinsoku/>
              <w:wordWrap/>
              <w:overflowPunct/>
              <w:topLinePunct w:val="0"/>
              <w:autoSpaceDE/>
              <w:autoSpaceDN/>
              <w:bidi w:val="0"/>
              <w:adjustRightInd/>
              <w:snapToGrid/>
              <w:spacing w:line="240" w:lineRule="auto"/>
              <w:ind w:firstLine="618" w:firstLineChars="300"/>
              <w:jc w:val="both"/>
              <w:textAlignment w:val="auto"/>
              <w:rPr>
                <w:rFonts w:ascii="宋体" w:hAnsi="宋体" w:eastAsia="宋体" w:cs="宋体"/>
                <w:color w:val="auto"/>
                <w:sz w:val="21"/>
                <w:szCs w:val="21"/>
                <w:highlight w:val="none"/>
              </w:rPr>
            </w:pPr>
            <w:r>
              <w:rPr>
                <w:color w:val="auto"/>
                <w:spacing w:val="-2"/>
                <w:sz w:val="21"/>
                <w:szCs w:val="21"/>
                <w:highlight w:val="none"/>
              </w:rPr>
              <w:t>Ⅲ</w:t>
            </w:r>
            <w:r>
              <w:rPr>
                <w:rFonts w:ascii="宋体" w:hAnsi="宋体" w:eastAsia="宋体" w:cs="宋体"/>
                <w:color w:val="auto"/>
                <w:spacing w:val="-2"/>
                <w:sz w:val="21"/>
                <w:szCs w:val="21"/>
                <w:highlight w:val="none"/>
              </w:rPr>
              <w:t>类项目</w:t>
            </w:r>
          </w:p>
        </w:tc>
      </w:tr>
      <w:tr w14:paraId="3F5DA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76" w:type="dxa"/>
            <w:tcBorders>
              <w:left w:val="single" w:color="000000" w:sz="6" w:space="0"/>
            </w:tcBorders>
            <w:vAlign w:val="top"/>
          </w:tcPr>
          <w:p w14:paraId="3D1619F7">
            <w:pPr>
              <w:keepNext w:val="0"/>
              <w:keepLines w:val="0"/>
              <w:pageBreakBefore w:val="0"/>
              <w:widowControl/>
              <w:kinsoku/>
              <w:wordWrap/>
              <w:overflowPunct/>
              <w:topLinePunct w:val="0"/>
              <w:autoSpaceDE/>
              <w:autoSpaceDN/>
              <w:bidi w:val="0"/>
              <w:adjustRightInd/>
              <w:snapToGrid/>
              <w:spacing w:line="240" w:lineRule="auto"/>
              <w:ind w:left="109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敏感</w:t>
            </w:r>
          </w:p>
        </w:tc>
        <w:tc>
          <w:tcPr>
            <w:tcW w:w="1606" w:type="dxa"/>
            <w:vAlign w:val="top"/>
          </w:tcPr>
          <w:p w14:paraId="3CDDAF55">
            <w:pPr>
              <w:keepNext w:val="0"/>
              <w:keepLines w:val="0"/>
              <w:pageBreakBefore w:val="0"/>
              <w:widowControl/>
              <w:kinsoku/>
              <w:wordWrap/>
              <w:overflowPunct/>
              <w:topLinePunct w:val="0"/>
              <w:autoSpaceDE/>
              <w:autoSpaceDN/>
              <w:bidi w:val="0"/>
              <w:adjustRightInd/>
              <w:snapToGrid/>
              <w:spacing w:line="240" w:lineRule="auto"/>
              <w:ind w:left="715"/>
              <w:textAlignment w:val="auto"/>
              <w:rPr>
                <w:rFonts w:ascii="宋体" w:hAnsi="宋体" w:eastAsia="宋体" w:cs="宋体"/>
                <w:color w:val="auto"/>
                <w:sz w:val="21"/>
                <w:szCs w:val="21"/>
                <w:highlight w:val="none"/>
              </w:rPr>
            </w:pPr>
            <w:r>
              <w:rPr>
                <w:rFonts w:ascii="宋体" w:hAnsi="宋体" w:eastAsia="宋体" w:cs="宋体"/>
                <w:color w:val="auto"/>
                <w:position w:val="-4"/>
                <w:sz w:val="21"/>
                <w:szCs w:val="21"/>
                <w:highlight w:val="none"/>
              </w:rPr>
              <w:t>一</w:t>
            </w:r>
          </w:p>
        </w:tc>
        <w:tc>
          <w:tcPr>
            <w:tcW w:w="2087" w:type="dxa"/>
            <w:shd w:val="clear" w:color="auto" w:fill="D7D7D7" w:themeFill="background1" w:themeFillShade="D8"/>
            <w:vAlign w:val="top"/>
          </w:tcPr>
          <w:p w14:paraId="4BBE585F">
            <w:pPr>
              <w:keepNext w:val="0"/>
              <w:keepLines w:val="0"/>
              <w:pageBreakBefore w:val="0"/>
              <w:widowControl/>
              <w:kinsoku/>
              <w:wordWrap/>
              <w:overflowPunct/>
              <w:topLinePunct w:val="0"/>
              <w:autoSpaceDE/>
              <w:autoSpaceDN/>
              <w:bidi w:val="0"/>
              <w:adjustRightInd/>
              <w:snapToGrid/>
              <w:spacing w:line="240" w:lineRule="auto"/>
              <w:ind w:left="95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97" w:type="dxa"/>
            <w:tcBorders>
              <w:right w:val="single" w:color="000000" w:sz="6" w:space="0"/>
            </w:tcBorders>
            <w:vAlign w:val="top"/>
          </w:tcPr>
          <w:p w14:paraId="2D71DE23">
            <w:pPr>
              <w:keepNext w:val="0"/>
              <w:keepLines w:val="0"/>
              <w:pageBreakBefore w:val="0"/>
              <w:widowControl/>
              <w:kinsoku/>
              <w:wordWrap/>
              <w:overflowPunct/>
              <w:topLinePunct w:val="0"/>
              <w:autoSpaceDE/>
              <w:autoSpaceDN/>
              <w:bidi w:val="0"/>
              <w:adjustRightInd/>
              <w:snapToGrid/>
              <w:spacing w:line="240" w:lineRule="auto"/>
              <w:ind w:left="95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三</w:t>
            </w:r>
          </w:p>
        </w:tc>
      </w:tr>
      <w:tr w14:paraId="47431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76" w:type="dxa"/>
            <w:tcBorders>
              <w:left w:val="single" w:color="000000" w:sz="6" w:space="0"/>
            </w:tcBorders>
            <w:vAlign w:val="top"/>
          </w:tcPr>
          <w:p w14:paraId="7BA9ED35">
            <w:pPr>
              <w:keepNext w:val="0"/>
              <w:keepLines w:val="0"/>
              <w:pageBreakBefore w:val="0"/>
              <w:widowControl/>
              <w:kinsoku/>
              <w:wordWrap/>
              <w:overflowPunct/>
              <w:topLinePunct w:val="0"/>
              <w:autoSpaceDE/>
              <w:autoSpaceDN/>
              <w:bidi w:val="0"/>
              <w:adjustRightInd/>
              <w:snapToGrid/>
              <w:spacing w:line="240" w:lineRule="auto"/>
              <w:ind w:left="1002"/>
              <w:textAlignment w:val="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较敏感</w:t>
            </w:r>
          </w:p>
        </w:tc>
        <w:tc>
          <w:tcPr>
            <w:tcW w:w="1606" w:type="dxa"/>
            <w:vAlign w:val="top"/>
          </w:tcPr>
          <w:p w14:paraId="3D4843B8">
            <w:pPr>
              <w:keepNext w:val="0"/>
              <w:keepLines w:val="0"/>
              <w:pageBreakBefore w:val="0"/>
              <w:widowControl/>
              <w:kinsoku/>
              <w:wordWrap/>
              <w:overflowPunct/>
              <w:topLinePunct w:val="0"/>
              <w:autoSpaceDE/>
              <w:autoSpaceDN/>
              <w:bidi w:val="0"/>
              <w:adjustRightInd/>
              <w:snapToGrid/>
              <w:spacing w:line="240" w:lineRule="auto"/>
              <w:ind w:left="715"/>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87" w:type="dxa"/>
            <w:vAlign w:val="top"/>
          </w:tcPr>
          <w:p w14:paraId="285C33CF">
            <w:pPr>
              <w:keepNext w:val="0"/>
              <w:keepLines w:val="0"/>
              <w:pageBreakBefore w:val="0"/>
              <w:widowControl/>
              <w:kinsoku/>
              <w:wordWrap/>
              <w:overflowPunct/>
              <w:topLinePunct w:val="0"/>
              <w:autoSpaceDE/>
              <w:autoSpaceDN/>
              <w:bidi w:val="0"/>
              <w:adjustRightInd/>
              <w:snapToGrid/>
              <w:spacing w:line="240" w:lineRule="auto"/>
              <w:ind w:left="95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97" w:type="dxa"/>
            <w:tcBorders>
              <w:right w:val="single" w:color="000000" w:sz="6" w:space="0"/>
            </w:tcBorders>
            <w:vAlign w:val="top"/>
          </w:tcPr>
          <w:p w14:paraId="3C95C03A">
            <w:pPr>
              <w:keepNext w:val="0"/>
              <w:keepLines w:val="0"/>
              <w:pageBreakBefore w:val="0"/>
              <w:widowControl/>
              <w:kinsoku/>
              <w:wordWrap/>
              <w:overflowPunct/>
              <w:topLinePunct w:val="0"/>
              <w:autoSpaceDE/>
              <w:autoSpaceDN/>
              <w:bidi w:val="0"/>
              <w:adjustRightInd/>
              <w:snapToGrid/>
              <w:spacing w:line="240" w:lineRule="auto"/>
              <w:ind w:left="959"/>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三</w:t>
            </w:r>
          </w:p>
        </w:tc>
      </w:tr>
      <w:tr w14:paraId="0407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76" w:type="dxa"/>
            <w:tcBorders>
              <w:left w:val="single" w:color="000000" w:sz="6" w:space="0"/>
              <w:bottom w:val="single" w:color="000000" w:sz="6" w:space="0"/>
            </w:tcBorders>
            <w:vAlign w:val="top"/>
          </w:tcPr>
          <w:p w14:paraId="658AFAC6">
            <w:pPr>
              <w:keepNext w:val="0"/>
              <w:keepLines w:val="0"/>
              <w:pageBreakBefore w:val="0"/>
              <w:widowControl/>
              <w:kinsoku/>
              <w:wordWrap/>
              <w:overflowPunct/>
              <w:topLinePunct w:val="0"/>
              <w:autoSpaceDE/>
              <w:autoSpaceDN/>
              <w:bidi w:val="0"/>
              <w:adjustRightInd/>
              <w:snapToGrid/>
              <w:spacing w:line="240" w:lineRule="auto"/>
              <w:ind w:left="1006"/>
              <w:textAlignment w:val="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不敏感</w:t>
            </w:r>
          </w:p>
        </w:tc>
        <w:tc>
          <w:tcPr>
            <w:tcW w:w="1606" w:type="dxa"/>
            <w:tcBorders>
              <w:bottom w:val="single" w:color="000000" w:sz="6" w:space="0"/>
            </w:tcBorders>
            <w:vAlign w:val="top"/>
          </w:tcPr>
          <w:p w14:paraId="5854EC17">
            <w:pPr>
              <w:keepNext w:val="0"/>
              <w:keepLines w:val="0"/>
              <w:pageBreakBefore w:val="0"/>
              <w:widowControl/>
              <w:kinsoku/>
              <w:wordWrap/>
              <w:overflowPunct/>
              <w:topLinePunct w:val="0"/>
              <w:autoSpaceDE/>
              <w:autoSpaceDN/>
              <w:bidi w:val="0"/>
              <w:adjustRightInd/>
              <w:snapToGrid/>
              <w:spacing w:line="240" w:lineRule="auto"/>
              <w:ind w:left="715"/>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二</w:t>
            </w:r>
          </w:p>
        </w:tc>
        <w:tc>
          <w:tcPr>
            <w:tcW w:w="2087" w:type="dxa"/>
            <w:tcBorders>
              <w:bottom w:val="single" w:color="000000" w:sz="6" w:space="0"/>
            </w:tcBorders>
            <w:shd w:val="clear" w:color="auto" w:fill="auto"/>
            <w:vAlign w:val="top"/>
          </w:tcPr>
          <w:p w14:paraId="40982E3B">
            <w:pPr>
              <w:keepNext w:val="0"/>
              <w:keepLines w:val="0"/>
              <w:pageBreakBefore w:val="0"/>
              <w:widowControl/>
              <w:kinsoku/>
              <w:wordWrap/>
              <w:overflowPunct/>
              <w:topLinePunct w:val="0"/>
              <w:autoSpaceDE/>
              <w:autoSpaceDN/>
              <w:bidi w:val="0"/>
              <w:adjustRightInd/>
              <w:snapToGrid/>
              <w:spacing w:line="240" w:lineRule="auto"/>
              <w:ind w:left="956"/>
              <w:textAlignment w:val="auto"/>
              <w:rPr>
                <w:rFonts w:ascii="宋体" w:hAnsi="宋体" w:eastAsia="宋体" w:cs="宋体"/>
                <w:color w:val="auto"/>
                <w:sz w:val="21"/>
                <w:szCs w:val="21"/>
                <w:highlight w:val="none"/>
              </w:rPr>
            </w:pPr>
            <w:r>
              <w:rPr>
                <w:rFonts w:ascii="宋体" w:hAnsi="宋体" w:eastAsia="宋体" w:cs="宋体"/>
                <w:color w:val="auto"/>
                <w:sz w:val="21"/>
                <w:szCs w:val="21"/>
                <w:highlight w:val="none"/>
              </w:rPr>
              <w:t>三</w:t>
            </w:r>
          </w:p>
        </w:tc>
        <w:tc>
          <w:tcPr>
            <w:tcW w:w="2097" w:type="dxa"/>
            <w:tcBorders>
              <w:bottom w:val="single" w:color="000000" w:sz="6" w:space="0"/>
              <w:right w:val="single" w:color="000000" w:sz="6" w:space="0"/>
            </w:tcBorders>
            <w:vAlign w:val="top"/>
          </w:tcPr>
          <w:p w14:paraId="6A22AB0B">
            <w:pPr>
              <w:pStyle w:val="42"/>
              <w:keepNext w:val="0"/>
              <w:keepLines w:val="0"/>
              <w:pageBreakBefore w:val="0"/>
              <w:widowControl/>
              <w:kinsoku/>
              <w:wordWrap/>
              <w:overflowPunct/>
              <w:topLinePunct w:val="0"/>
              <w:autoSpaceDE/>
              <w:autoSpaceDN/>
              <w:bidi w:val="0"/>
              <w:adjustRightInd/>
              <w:snapToGrid/>
              <w:spacing w:line="240" w:lineRule="auto"/>
              <w:ind w:left="1023"/>
              <w:jc w:val="both"/>
              <w:textAlignment w:val="auto"/>
              <w:rPr>
                <w:color w:val="auto"/>
                <w:sz w:val="21"/>
                <w:szCs w:val="21"/>
                <w:highlight w:val="none"/>
              </w:rPr>
            </w:pPr>
            <w:r>
              <w:rPr>
                <w:color w:val="auto"/>
                <w:spacing w:val="2"/>
                <w:sz w:val="21"/>
                <w:szCs w:val="21"/>
                <w:highlight w:val="none"/>
              </w:rPr>
              <w:t>/</w:t>
            </w:r>
          </w:p>
        </w:tc>
      </w:tr>
    </w:tbl>
    <w:p w14:paraId="4689E0F7">
      <w:pPr>
        <w:spacing w:before="141" w:line="229" w:lineRule="auto"/>
        <w:ind w:left="808"/>
        <w:rPr>
          <w:rFonts w:ascii="黑体" w:hAnsi="黑体" w:eastAsia="黑体" w:cs="黑体"/>
          <w:color w:val="auto"/>
          <w:sz w:val="21"/>
          <w:szCs w:val="21"/>
          <w:highlight w:val="none"/>
        </w:rPr>
      </w:pPr>
      <w:r>
        <w:rPr>
          <w:rFonts w:ascii="黑体" w:hAnsi="黑体" w:eastAsia="黑体" w:cs="黑体"/>
          <w:color w:val="auto"/>
          <w:spacing w:val="8"/>
          <w:sz w:val="21"/>
          <w:szCs w:val="21"/>
          <w:highlight w:val="none"/>
        </w:rPr>
        <w:t>表</w:t>
      </w:r>
      <w:r>
        <w:rPr>
          <w:rFonts w:ascii="黑体" w:hAnsi="黑体" w:eastAsia="黑体" w:cs="黑体"/>
          <w:color w:val="auto"/>
          <w:spacing w:val="-43"/>
          <w:sz w:val="21"/>
          <w:szCs w:val="21"/>
          <w:highlight w:val="none"/>
        </w:rPr>
        <w:t xml:space="preserve"> </w:t>
      </w:r>
      <w:r>
        <w:rPr>
          <w:rFonts w:ascii="Times New Roman" w:hAnsi="Times New Roman" w:eastAsia="Times New Roman" w:cs="Times New Roman"/>
          <w:color w:val="auto"/>
          <w:spacing w:val="8"/>
          <w:sz w:val="21"/>
          <w:szCs w:val="21"/>
          <w:highlight w:val="none"/>
        </w:rPr>
        <w:t>2.6-</w:t>
      </w:r>
      <w:r>
        <w:rPr>
          <w:rFonts w:hint="eastAsia" w:ascii="Times New Roman" w:hAnsi="Times New Roman" w:eastAsia="宋体" w:cs="Times New Roman"/>
          <w:color w:val="auto"/>
          <w:spacing w:val="8"/>
          <w:sz w:val="21"/>
          <w:szCs w:val="21"/>
          <w:highlight w:val="none"/>
          <w:lang w:val="en-US" w:eastAsia="zh-CN"/>
        </w:rPr>
        <w:t>12</w:t>
      </w:r>
      <w:r>
        <w:rPr>
          <w:rFonts w:ascii="黑体" w:hAnsi="黑体" w:eastAsia="黑体" w:cs="黑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黑体" w:hAnsi="黑体" w:eastAsia="黑体" w:cs="黑体"/>
          <w:color w:val="auto"/>
          <w:spacing w:val="8"/>
          <w:sz w:val="21"/>
          <w:szCs w:val="21"/>
          <w:highlight w:val="none"/>
        </w:rPr>
        <w:t xml:space="preserve">）     </w:t>
      </w:r>
      <w:r>
        <w:rPr>
          <w:rFonts w:hint="eastAsia" w:ascii="黑体" w:hAnsi="黑体" w:eastAsia="黑体" w:cs="黑体"/>
          <w:color w:val="auto"/>
          <w:spacing w:val="8"/>
          <w:sz w:val="21"/>
          <w:szCs w:val="21"/>
          <w:highlight w:val="none"/>
          <w:lang w:val="en-US" w:eastAsia="zh-CN"/>
        </w:rPr>
        <w:t>采油</w:t>
      </w:r>
      <w:r>
        <w:rPr>
          <w:rFonts w:ascii="黑体" w:hAnsi="黑体" w:eastAsia="黑体" w:cs="黑体"/>
          <w:color w:val="auto"/>
          <w:spacing w:val="8"/>
          <w:sz w:val="21"/>
          <w:szCs w:val="21"/>
          <w:highlight w:val="none"/>
        </w:rPr>
        <w:t>井场污染影响型土壤环境评价工作等级划分依据</w:t>
      </w:r>
    </w:p>
    <w:p w14:paraId="217DA403">
      <w:pPr>
        <w:spacing w:line="101" w:lineRule="exact"/>
        <w:rPr>
          <w:color w:val="auto"/>
          <w:sz w:val="21"/>
          <w:szCs w:val="21"/>
          <w:highlight w:val="none"/>
        </w:rPr>
      </w:pPr>
    </w:p>
    <w:tbl>
      <w:tblPr>
        <w:tblStyle w:val="60"/>
        <w:tblW w:w="836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0"/>
        <w:gridCol w:w="798"/>
        <w:gridCol w:w="628"/>
        <w:gridCol w:w="630"/>
        <w:gridCol w:w="628"/>
        <w:gridCol w:w="628"/>
        <w:gridCol w:w="630"/>
        <w:gridCol w:w="628"/>
        <w:gridCol w:w="628"/>
        <w:gridCol w:w="639"/>
      </w:tblGrid>
      <w:tr w14:paraId="415B1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3" w:hRule="atLeast"/>
        </w:trPr>
        <w:tc>
          <w:tcPr>
            <w:tcW w:w="2530" w:type="dxa"/>
            <w:vMerge w:val="restart"/>
            <w:tcBorders>
              <w:top w:val="single" w:color="000000" w:sz="6" w:space="0"/>
              <w:left w:val="single" w:color="000000" w:sz="6" w:space="0"/>
              <w:bottom w:val="nil"/>
              <w:tl2br w:val="single" w:color="000000" w:sz="4" w:space="0"/>
            </w:tcBorders>
            <w:vAlign w:val="top"/>
          </w:tcPr>
          <w:p w14:paraId="58030464">
            <w:pPr>
              <w:spacing w:before="69" w:line="228" w:lineRule="auto"/>
              <w:ind w:right="31"/>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占地规模</w:t>
            </w:r>
          </w:p>
          <w:p w14:paraId="12BB4344">
            <w:pPr>
              <w:spacing w:before="77" w:line="228" w:lineRule="auto"/>
              <w:ind w:left="3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敏感程度</w:t>
            </w:r>
          </w:p>
        </w:tc>
        <w:tc>
          <w:tcPr>
            <w:tcW w:w="2056" w:type="dxa"/>
            <w:gridSpan w:val="3"/>
            <w:tcBorders>
              <w:top w:val="single" w:color="000000" w:sz="6" w:space="0"/>
            </w:tcBorders>
            <w:vAlign w:val="top"/>
          </w:tcPr>
          <w:p w14:paraId="707251E9">
            <w:pPr>
              <w:pStyle w:val="42"/>
              <w:spacing w:before="61" w:line="228" w:lineRule="auto"/>
              <w:ind w:left="890"/>
              <w:rPr>
                <w:rFonts w:ascii="宋体" w:hAnsi="宋体" w:eastAsia="宋体" w:cs="宋体"/>
                <w:color w:val="auto"/>
                <w:sz w:val="21"/>
                <w:szCs w:val="21"/>
                <w:highlight w:val="none"/>
              </w:rPr>
            </w:pPr>
            <w:r>
              <w:rPr>
                <w:color w:val="auto"/>
                <w:spacing w:val="3"/>
                <w:sz w:val="21"/>
                <w:szCs w:val="21"/>
                <w:highlight w:val="none"/>
              </w:rPr>
              <w:t>Ⅰ</w:t>
            </w:r>
            <w:r>
              <w:rPr>
                <w:rFonts w:ascii="宋体" w:hAnsi="宋体" w:eastAsia="宋体" w:cs="宋体"/>
                <w:color w:val="auto"/>
                <w:spacing w:val="3"/>
                <w:sz w:val="21"/>
                <w:szCs w:val="21"/>
                <w:highlight w:val="none"/>
              </w:rPr>
              <w:t>类</w:t>
            </w:r>
          </w:p>
        </w:tc>
        <w:tc>
          <w:tcPr>
            <w:tcW w:w="1886" w:type="dxa"/>
            <w:gridSpan w:val="3"/>
            <w:tcBorders>
              <w:top w:val="single" w:color="000000" w:sz="6" w:space="0"/>
            </w:tcBorders>
            <w:vAlign w:val="top"/>
          </w:tcPr>
          <w:p w14:paraId="0BEE72A8">
            <w:pPr>
              <w:pStyle w:val="42"/>
              <w:spacing w:before="61" w:line="228" w:lineRule="auto"/>
              <w:ind w:left="775"/>
              <w:rPr>
                <w:rFonts w:ascii="宋体" w:hAnsi="宋体" w:eastAsia="宋体" w:cs="宋体"/>
                <w:color w:val="auto"/>
                <w:sz w:val="21"/>
                <w:szCs w:val="21"/>
                <w:highlight w:val="none"/>
              </w:rPr>
            </w:pPr>
            <w:r>
              <w:rPr>
                <w:color w:val="auto"/>
                <w:spacing w:val="4"/>
                <w:sz w:val="21"/>
                <w:szCs w:val="21"/>
                <w:highlight w:val="none"/>
              </w:rPr>
              <w:t>Ⅱ</w:t>
            </w:r>
            <w:r>
              <w:rPr>
                <w:rFonts w:ascii="宋体" w:hAnsi="宋体" w:eastAsia="宋体" w:cs="宋体"/>
                <w:color w:val="auto"/>
                <w:spacing w:val="4"/>
                <w:sz w:val="21"/>
                <w:szCs w:val="21"/>
                <w:highlight w:val="none"/>
              </w:rPr>
              <w:t>类</w:t>
            </w:r>
          </w:p>
        </w:tc>
        <w:tc>
          <w:tcPr>
            <w:tcW w:w="1895" w:type="dxa"/>
            <w:gridSpan w:val="3"/>
            <w:tcBorders>
              <w:top w:val="single" w:color="000000" w:sz="6" w:space="0"/>
              <w:right w:val="single" w:color="000000" w:sz="6" w:space="0"/>
            </w:tcBorders>
            <w:vAlign w:val="top"/>
          </w:tcPr>
          <w:p w14:paraId="10F5B5B4">
            <w:pPr>
              <w:pStyle w:val="42"/>
              <w:spacing w:before="61" w:line="228" w:lineRule="auto"/>
              <w:ind w:left="745"/>
              <w:rPr>
                <w:rFonts w:ascii="宋体" w:hAnsi="宋体" w:eastAsia="宋体" w:cs="宋体"/>
                <w:color w:val="auto"/>
                <w:sz w:val="21"/>
                <w:szCs w:val="21"/>
                <w:highlight w:val="none"/>
              </w:rPr>
            </w:pPr>
            <w:r>
              <w:rPr>
                <w:color w:val="auto"/>
                <w:spacing w:val="6"/>
                <w:sz w:val="21"/>
                <w:szCs w:val="21"/>
                <w:highlight w:val="none"/>
              </w:rPr>
              <w:t>Ⅲ</w:t>
            </w:r>
            <w:r>
              <w:rPr>
                <w:rFonts w:ascii="宋体" w:hAnsi="宋体" w:eastAsia="宋体" w:cs="宋体"/>
                <w:color w:val="auto"/>
                <w:spacing w:val="6"/>
                <w:sz w:val="21"/>
                <w:szCs w:val="21"/>
                <w:highlight w:val="none"/>
              </w:rPr>
              <w:t>类</w:t>
            </w:r>
          </w:p>
        </w:tc>
      </w:tr>
      <w:tr w14:paraId="5657D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30" w:type="dxa"/>
            <w:vMerge w:val="continue"/>
            <w:tcBorders>
              <w:top w:val="nil"/>
              <w:left w:val="single" w:color="000000" w:sz="6" w:space="0"/>
              <w:tl2br w:val="single" w:color="000000" w:sz="4" w:space="0"/>
            </w:tcBorders>
            <w:vAlign w:val="top"/>
          </w:tcPr>
          <w:p w14:paraId="128BBDE3">
            <w:pPr>
              <w:rPr>
                <w:rFonts w:ascii="Arial"/>
                <w:color w:val="auto"/>
                <w:sz w:val="21"/>
                <w:szCs w:val="21"/>
                <w:highlight w:val="none"/>
              </w:rPr>
            </w:pPr>
          </w:p>
        </w:tc>
        <w:tc>
          <w:tcPr>
            <w:tcW w:w="798" w:type="dxa"/>
            <w:vAlign w:val="top"/>
          </w:tcPr>
          <w:p w14:paraId="54AE7806">
            <w:pPr>
              <w:spacing w:before="60" w:line="228" w:lineRule="auto"/>
              <w:ind w:left="300"/>
              <w:rPr>
                <w:rFonts w:ascii="宋体" w:hAnsi="宋体" w:eastAsia="宋体" w:cs="宋体"/>
                <w:color w:val="auto"/>
                <w:sz w:val="21"/>
                <w:szCs w:val="21"/>
                <w:highlight w:val="none"/>
              </w:rPr>
            </w:pPr>
            <w:r>
              <w:rPr>
                <w:rFonts w:ascii="宋体" w:hAnsi="宋体" w:eastAsia="宋体" w:cs="宋体"/>
                <w:color w:val="auto"/>
                <w:sz w:val="21"/>
                <w:szCs w:val="21"/>
                <w:highlight w:val="none"/>
              </w:rPr>
              <w:t>大</w:t>
            </w:r>
          </w:p>
        </w:tc>
        <w:tc>
          <w:tcPr>
            <w:tcW w:w="628" w:type="dxa"/>
            <w:vAlign w:val="top"/>
          </w:tcPr>
          <w:p w14:paraId="79ED3D4F">
            <w:pPr>
              <w:spacing w:before="60" w:line="228" w:lineRule="auto"/>
              <w:ind w:left="232"/>
              <w:rPr>
                <w:rFonts w:ascii="宋体" w:hAnsi="宋体" w:eastAsia="宋体" w:cs="宋体"/>
                <w:color w:val="auto"/>
                <w:sz w:val="21"/>
                <w:szCs w:val="21"/>
                <w:highlight w:val="none"/>
              </w:rPr>
            </w:pPr>
            <w:r>
              <w:rPr>
                <w:rFonts w:ascii="宋体" w:hAnsi="宋体" w:eastAsia="宋体" w:cs="宋体"/>
                <w:color w:val="auto"/>
                <w:sz w:val="21"/>
                <w:szCs w:val="21"/>
                <w:highlight w:val="none"/>
              </w:rPr>
              <w:t>中</w:t>
            </w:r>
          </w:p>
        </w:tc>
        <w:tc>
          <w:tcPr>
            <w:tcW w:w="630" w:type="dxa"/>
            <w:vAlign w:val="top"/>
          </w:tcPr>
          <w:p w14:paraId="166F9983">
            <w:pPr>
              <w:spacing w:before="60" w:line="230" w:lineRule="auto"/>
              <w:ind w:left="221"/>
              <w:rPr>
                <w:rFonts w:ascii="宋体" w:hAnsi="宋体" w:eastAsia="宋体" w:cs="宋体"/>
                <w:color w:val="auto"/>
                <w:sz w:val="21"/>
                <w:szCs w:val="21"/>
                <w:highlight w:val="none"/>
              </w:rPr>
            </w:pPr>
            <w:r>
              <w:rPr>
                <w:rFonts w:ascii="宋体" w:hAnsi="宋体" w:eastAsia="宋体" w:cs="宋体"/>
                <w:color w:val="auto"/>
                <w:sz w:val="21"/>
                <w:szCs w:val="21"/>
                <w:highlight w:val="none"/>
              </w:rPr>
              <w:t>小</w:t>
            </w:r>
          </w:p>
        </w:tc>
        <w:tc>
          <w:tcPr>
            <w:tcW w:w="628" w:type="dxa"/>
            <w:vAlign w:val="top"/>
          </w:tcPr>
          <w:p w14:paraId="6DF8ADE4">
            <w:pPr>
              <w:spacing w:before="60" w:line="228" w:lineRule="auto"/>
              <w:ind w:left="217"/>
              <w:rPr>
                <w:rFonts w:ascii="宋体" w:hAnsi="宋体" w:eastAsia="宋体" w:cs="宋体"/>
                <w:color w:val="auto"/>
                <w:sz w:val="21"/>
                <w:szCs w:val="21"/>
                <w:highlight w:val="none"/>
              </w:rPr>
            </w:pPr>
            <w:r>
              <w:rPr>
                <w:rFonts w:ascii="宋体" w:hAnsi="宋体" w:eastAsia="宋体" w:cs="宋体"/>
                <w:color w:val="auto"/>
                <w:sz w:val="21"/>
                <w:szCs w:val="21"/>
                <w:highlight w:val="none"/>
              </w:rPr>
              <w:t>大</w:t>
            </w:r>
          </w:p>
        </w:tc>
        <w:tc>
          <w:tcPr>
            <w:tcW w:w="628" w:type="dxa"/>
            <w:vAlign w:val="top"/>
          </w:tcPr>
          <w:p w14:paraId="281B42FB">
            <w:pPr>
              <w:spacing w:before="60" w:line="228" w:lineRule="auto"/>
              <w:ind w:left="235"/>
              <w:rPr>
                <w:rFonts w:ascii="宋体" w:hAnsi="宋体" w:eastAsia="宋体" w:cs="宋体"/>
                <w:color w:val="auto"/>
                <w:sz w:val="21"/>
                <w:szCs w:val="21"/>
                <w:highlight w:val="none"/>
              </w:rPr>
            </w:pPr>
            <w:r>
              <w:rPr>
                <w:rFonts w:ascii="宋体" w:hAnsi="宋体" w:eastAsia="宋体" w:cs="宋体"/>
                <w:color w:val="auto"/>
                <w:sz w:val="21"/>
                <w:szCs w:val="21"/>
                <w:highlight w:val="none"/>
              </w:rPr>
              <w:t>中</w:t>
            </w:r>
          </w:p>
        </w:tc>
        <w:tc>
          <w:tcPr>
            <w:tcW w:w="630" w:type="dxa"/>
            <w:vAlign w:val="top"/>
          </w:tcPr>
          <w:p w14:paraId="542A3A60">
            <w:pPr>
              <w:spacing w:before="60" w:line="230" w:lineRule="auto"/>
              <w:ind w:left="224"/>
              <w:rPr>
                <w:rFonts w:ascii="宋体" w:hAnsi="宋体" w:eastAsia="宋体" w:cs="宋体"/>
                <w:color w:val="auto"/>
                <w:sz w:val="21"/>
                <w:szCs w:val="21"/>
                <w:highlight w:val="none"/>
              </w:rPr>
            </w:pPr>
            <w:r>
              <w:rPr>
                <w:rFonts w:ascii="宋体" w:hAnsi="宋体" w:eastAsia="宋体" w:cs="宋体"/>
                <w:color w:val="auto"/>
                <w:sz w:val="21"/>
                <w:szCs w:val="21"/>
                <w:highlight w:val="none"/>
              </w:rPr>
              <w:t>小</w:t>
            </w:r>
          </w:p>
        </w:tc>
        <w:tc>
          <w:tcPr>
            <w:tcW w:w="628" w:type="dxa"/>
            <w:vAlign w:val="top"/>
          </w:tcPr>
          <w:p w14:paraId="2238733D">
            <w:pPr>
              <w:spacing w:before="60" w:line="228" w:lineRule="auto"/>
              <w:ind w:left="220"/>
              <w:rPr>
                <w:rFonts w:ascii="宋体" w:hAnsi="宋体" w:eastAsia="宋体" w:cs="宋体"/>
                <w:color w:val="auto"/>
                <w:sz w:val="21"/>
                <w:szCs w:val="21"/>
                <w:highlight w:val="none"/>
              </w:rPr>
            </w:pPr>
            <w:r>
              <w:rPr>
                <w:rFonts w:ascii="宋体" w:hAnsi="宋体" w:eastAsia="宋体" w:cs="宋体"/>
                <w:color w:val="auto"/>
                <w:sz w:val="21"/>
                <w:szCs w:val="21"/>
                <w:highlight w:val="none"/>
              </w:rPr>
              <w:t>大</w:t>
            </w:r>
          </w:p>
        </w:tc>
        <w:tc>
          <w:tcPr>
            <w:tcW w:w="628" w:type="dxa"/>
            <w:vAlign w:val="top"/>
          </w:tcPr>
          <w:p w14:paraId="5D2E11DE">
            <w:pPr>
              <w:spacing w:before="60" w:line="228" w:lineRule="auto"/>
              <w:ind w:left="240"/>
              <w:rPr>
                <w:rFonts w:ascii="宋体" w:hAnsi="宋体" w:eastAsia="宋体" w:cs="宋体"/>
                <w:color w:val="auto"/>
                <w:sz w:val="21"/>
                <w:szCs w:val="21"/>
                <w:highlight w:val="none"/>
              </w:rPr>
            </w:pPr>
            <w:r>
              <w:rPr>
                <w:rFonts w:ascii="宋体" w:hAnsi="宋体" w:eastAsia="宋体" w:cs="宋体"/>
                <w:color w:val="auto"/>
                <w:sz w:val="21"/>
                <w:szCs w:val="21"/>
                <w:highlight w:val="none"/>
              </w:rPr>
              <w:t>中</w:t>
            </w:r>
          </w:p>
        </w:tc>
        <w:tc>
          <w:tcPr>
            <w:tcW w:w="639" w:type="dxa"/>
            <w:tcBorders>
              <w:right w:val="single" w:color="000000" w:sz="6" w:space="0"/>
            </w:tcBorders>
            <w:vAlign w:val="top"/>
          </w:tcPr>
          <w:p w14:paraId="749720B1">
            <w:pPr>
              <w:spacing w:before="60" w:line="230" w:lineRule="auto"/>
              <w:ind w:left="227"/>
              <w:rPr>
                <w:rFonts w:ascii="宋体" w:hAnsi="宋体" w:eastAsia="宋体" w:cs="宋体"/>
                <w:color w:val="auto"/>
                <w:sz w:val="21"/>
                <w:szCs w:val="21"/>
                <w:highlight w:val="none"/>
              </w:rPr>
            </w:pPr>
            <w:r>
              <w:rPr>
                <w:rFonts w:ascii="宋体" w:hAnsi="宋体" w:eastAsia="宋体" w:cs="宋体"/>
                <w:color w:val="auto"/>
                <w:sz w:val="21"/>
                <w:szCs w:val="21"/>
                <w:highlight w:val="none"/>
              </w:rPr>
              <w:t>小</w:t>
            </w:r>
          </w:p>
        </w:tc>
      </w:tr>
      <w:tr w14:paraId="5DAD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30" w:type="dxa"/>
            <w:tcBorders>
              <w:left w:val="single" w:color="000000" w:sz="6" w:space="0"/>
            </w:tcBorders>
            <w:vAlign w:val="top"/>
          </w:tcPr>
          <w:p w14:paraId="5EF486D9">
            <w:pPr>
              <w:spacing w:before="62" w:line="228" w:lineRule="auto"/>
              <w:ind w:left="10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敏感</w:t>
            </w:r>
          </w:p>
        </w:tc>
        <w:tc>
          <w:tcPr>
            <w:tcW w:w="798" w:type="dxa"/>
            <w:vAlign w:val="top"/>
          </w:tcPr>
          <w:p w14:paraId="2050C779">
            <w:pPr>
              <w:spacing w:before="63" w:line="230" w:lineRule="auto"/>
              <w:ind w:left="19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shd w:val="clear" w:color="auto" w:fill="auto"/>
            <w:vAlign w:val="top"/>
          </w:tcPr>
          <w:p w14:paraId="2551E586">
            <w:pPr>
              <w:spacing w:before="63" w:line="230" w:lineRule="auto"/>
              <w:ind w:left="11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30" w:type="dxa"/>
            <w:shd w:val="clear" w:color="auto" w:fill="D7D7D7" w:themeFill="background1" w:themeFillShade="D8"/>
            <w:vAlign w:val="top"/>
          </w:tcPr>
          <w:p w14:paraId="177AAE18">
            <w:pPr>
              <w:spacing w:before="63" w:line="230" w:lineRule="auto"/>
              <w:ind w:left="11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vAlign w:val="top"/>
          </w:tcPr>
          <w:p w14:paraId="696F51DD">
            <w:pPr>
              <w:spacing w:before="63" w:line="230" w:lineRule="auto"/>
              <w:ind w:left="11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vAlign w:val="top"/>
          </w:tcPr>
          <w:p w14:paraId="040BFC51">
            <w:pPr>
              <w:spacing w:before="63" w:line="230" w:lineRule="auto"/>
              <w:ind w:left="11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30" w:type="dxa"/>
            <w:vAlign w:val="top"/>
          </w:tcPr>
          <w:p w14:paraId="4F16CA08">
            <w:pPr>
              <w:spacing w:before="63" w:line="230" w:lineRule="auto"/>
              <w:ind w:left="11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vAlign w:val="top"/>
          </w:tcPr>
          <w:p w14:paraId="0060F7A8">
            <w:pPr>
              <w:spacing w:before="63" w:line="230" w:lineRule="auto"/>
              <w:ind w:left="11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vAlign w:val="top"/>
          </w:tcPr>
          <w:p w14:paraId="643B619F">
            <w:pPr>
              <w:spacing w:before="63" w:line="230" w:lineRule="auto"/>
              <w:ind w:left="11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39" w:type="dxa"/>
            <w:tcBorders>
              <w:right w:val="single" w:color="000000" w:sz="6" w:space="0"/>
            </w:tcBorders>
            <w:vAlign w:val="top"/>
          </w:tcPr>
          <w:p w14:paraId="41E01E41">
            <w:pPr>
              <w:spacing w:before="63" w:line="230" w:lineRule="auto"/>
              <w:ind w:left="11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r>
      <w:tr w14:paraId="0EDB2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30" w:type="dxa"/>
            <w:tcBorders>
              <w:left w:val="single" w:color="000000" w:sz="6" w:space="0"/>
            </w:tcBorders>
            <w:vAlign w:val="top"/>
          </w:tcPr>
          <w:p w14:paraId="10DA7B0E">
            <w:pPr>
              <w:spacing w:before="65" w:line="228" w:lineRule="auto"/>
              <w:ind w:left="94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较敏感</w:t>
            </w:r>
          </w:p>
        </w:tc>
        <w:tc>
          <w:tcPr>
            <w:tcW w:w="798" w:type="dxa"/>
            <w:vAlign w:val="top"/>
          </w:tcPr>
          <w:p w14:paraId="3414B67D">
            <w:pPr>
              <w:spacing w:before="66" w:line="230" w:lineRule="auto"/>
              <w:ind w:left="19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vAlign w:val="top"/>
          </w:tcPr>
          <w:p w14:paraId="42AD833F">
            <w:pPr>
              <w:spacing w:before="66" w:line="230" w:lineRule="auto"/>
              <w:ind w:left="11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30" w:type="dxa"/>
            <w:vAlign w:val="top"/>
          </w:tcPr>
          <w:p w14:paraId="3BD377AE">
            <w:pPr>
              <w:spacing w:before="66" w:line="230" w:lineRule="auto"/>
              <w:ind w:left="11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vAlign w:val="top"/>
          </w:tcPr>
          <w:p w14:paraId="5092EC7F">
            <w:pPr>
              <w:spacing w:before="66" w:line="230" w:lineRule="auto"/>
              <w:ind w:left="11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vAlign w:val="top"/>
          </w:tcPr>
          <w:p w14:paraId="564C292D">
            <w:pPr>
              <w:spacing w:before="66" w:line="230" w:lineRule="auto"/>
              <w:ind w:left="11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30" w:type="dxa"/>
            <w:vAlign w:val="top"/>
          </w:tcPr>
          <w:p w14:paraId="3D5165FF">
            <w:pPr>
              <w:spacing w:before="66" w:line="230" w:lineRule="auto"/>
              <w:ind w:left="11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vAlign w:val="top"/>
          </w:tcPr>
          <w:p w14:paraId="1B059E7B">
            <w:pPr>
              <w:spacing w:before="66" w:line="230" w:lineRule="auto"/>
              <w:ind w:left="11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vAlign w:val="top"/>
          </w:tcPr>
          <w:p w14:paraId="3A8D1EE7">
            <w:pPr>
              <w:spacing w:before="66" w:line="230" w:lineRule="auto"/>
              <w:ind w:left="11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39" w:type="dxa"/>
            <w:tcBorders>
              <w:right w:val="single" w:color="000000" w:sz="6" w:space="0"/>
            </w:tcBorders>
            <w:vAlign w:val="top"/>
          </w:tcPr>
          <w:p w14:paraId="527BE7DE">
            <w:pPr>
              <w:pStyle w:val="42"/>
              <w:spacing w:before="191" w:line="96" w:lineRule="exact"/>
              <w:ind w:left="211"/>
              <w:rPr>
                <w:color w:val="auto"/>
                <w:sz w:val="21"/>
                <w:szCs w:val="21"/>
                <w:highlight w:val="none"/>
              </w:rPr>
            </w:pPr>
            <w:r>
              <w:rPr>
                <w:color w:val="auto"/>
                <w:spacing w:val="12"/>
                <w:position w:val="-2"/>
                <w:sz w:val="21"/>
                <w:szCs w:val="21"/>
                <w:highlight w:val="none"/>
              </w:rPr>
              <w:t>—</w:t>
            </w:r>
          </w:p>
        </w:tc>
      </w:tr>
      <w:tr w14:paraId="7F7D6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30" w:type="dxa"/>
            <w:tcBorders>
              <w:left w:val="single" w:color="000000" w:sz="6" w:space="0"/>
              <w:bottom w:val="single" w:color="000000" w:sz="6" w:space="0"/>
            </w:tcBorders>
            <w:vAlign w:val="top"/>
          </w:tcPr>
          <w:p w14:paraId="4B213E4A">
            <w:pPr>
              <w:spacing w:before="68" w:line="228" w:lineRule="auto"/>
              <w:ind w:left="95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不敏感</w:t>
            </w:r>
          </w:p>
        </w:tc>
        <w:tc>
          <w:tcPr>
            <w:tcW w:w="798" w:type="dxa"/>
            <w:tcBorders>
              <w:bottom w:val="single" w:color="000000" w:sz="6" w:space="0"/>
            </w:tcBorders>
            <w:vAlign w:val="top"/>
          </w:tcPr>
          <w:p w14:paraId="3B1D3F02">
            <w:pPr>
              <w:spacing w:before="69" w:line="230" w:lineRule="auto"/>
              <w:ind w:left="19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tcBorders>
              <w:bottom w:val="single" w:color="000000" w:sz="6" w:space="0"/>
            </w:tcBorders>
            <w:vAlign w:val="top"/>
          </w:tcPr>
          <w:p w14:paraId="51B40006">
            <w:pPr>
              <w:spacing w:before="69" w:line="230" w:lineRule="auto"/>
              <w:ind w:left="1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30" w:type="dxa"/>
            <w:tcBorders>
              <w:bottom w:val="single" w:color="000000" w:sz="6" w:space="0"/>
            </w:tcBorders>
            <w:vAlign w:val="top"/>
          </w:tcPr>
          <w:p w14:paraId="74A63361">
            <w:pPr>
              <w:spacing w:before="69" w:line="230" w:lineRule="auto"/>
              <w:ind w:left="11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tcBorders>
              <w:bottom w:val="single" w:color="000000" w:sz="6" w:space="0"/>
            </w:tcBorders>
            <w:vAlign w:val="top"/>
          </w:tcPr>
          <w:p w14:paraId="03383C94">
            <w:pPr>
              <w:spacing w:before="69" w:line="230" w:lineRule="auto"/>
              <w:ind w:left="11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tcBorders>
              <w:bottom w:val="single" w:color="000000" w:sz="6" w:space="0"/>
            </w:tcBorders>
            <w:vAlign w:val="top"/>
          </w:tcPr>
          <w:p w14:paraId="040435A6">
            <w:pPr>
              <w:spacing w:before="69" w:line="230" w:lineRule="auto"/>
              <w:ind w:left="11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30" w:type="dxa"/>
            <w:tcBorders>
              <w:bottom w:val="single" w:color="000000" w:sz="6" w:space="0"/>
            </w:tcBorders>
            <w:vAlign w:val="top"/>
          </w:tcPr>
          <w:p w14:paraId="22200978">
            <w:pPr>
              <w:spacing w:before="69" w:line="230" w:lineRule="auto"/>
              <w:ind w:left="11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tcBorders>
              <w:bottom w:val="single" w:color="000000" w:sz="6" w:space="0"/>
            </w:tcBorders>
            <w:vAlign w:val="top"/>
          </w:tcPr>
          <w:p w14:paraId="4A10BDC4">
            <w:pPr>
              <w:spacing w:before="69" w:line="230" w:lineRule="auto"/>
              <w:ind w:left="11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tcBorders>
              <w:bottom w:val="single" w:color="000000" w:sz="6" w:space="0"/>
            </w:tcBorders>
            <w:vAlign w:val="top"/>
          </w:tcPr>
          <w:p w14:paraId="311DB893">
            <w:pPr>
              <w:pStyle w:val="42"/>
              <w:spacing w:before="194" w:line="96" w:lineRule="exact"/>
              <w:ind w:left="210"/>
              <w:rPr>
                <w:color w:val="auto"/>
                <w:sz w:val="21"/>
                <w:szCs w:val="21"/>
                <w:highlight w:val="none"/>
              </w:rPr>
            </w:pPr>
            <w:r>
              <w:rPr>
                <w:color w:val="auto"/>
                <w:spacing w:val="12"/>
                <w:position w:val="-2"/>
                <w:sz w:val="21"/>
                <w:szCs w:val="21"/>
                <w:highlight w:val="none"/>
              </w:rPr>
              <w:t>—</w:t>
            </w:r>
          </w:p>
        </w:tc>
        <w:tc>
          <w:tcPr>
            <w:tcW w:w="639" w:type="dxa"/>
            <w:tcBorders>
              <w:bottom w:val="single" w:color="000000" w:sz="6" w:space="0"/>
              <w:right w:val="single" w:color="000000" w:sz="6" w:space="0"/>
            </w:tcBorders>
            <w:vAlign w:val="top"/>
          </w:tcPr>
          <w:p w14:paraId="0824856B">
            <w:pPr>
              <w:pStyle w:val="42"/>
              <w:spacing w:before="194" w:line="96" w:lineRule="exact"/>
              <w:ind w:left="211"/>
              <w:rPr>
                <w:color w:val="auto"/>
                <w:sz w:val="21"/>
                <w:szCs w:val="21"/>
                <w:highlight w:val="none"/>
              </w:rPr>
            </w:pPr>
            <w:r>
              <w:rPr>
                <w:color w:val="auto"/>
                <w:spacing w:val="12"/>
                <w:position w:val="-2"/>
                <w:sz w:val="21"/>
                <w:szCs w:val="21"/>
                <w:highlight w:val="none"/>
              </w:rPr>
              <w:t>—</w:t>
            </w:r>
          </w:p>
        </w:tc>
      </w:tr>
    </w:tbl>
    <w:p w14:paraId="1ACF1BA7">
      <w:pPr>
        <w:keepNext w:val="0"/>
        <w:keepLines w:val="0"/>
        <w:pageBreakBefore w:val="0"/>
        <w:widowControl/>
        <w:kinsoku/>
        <w:wordWrap/>
        <w:overflowPunct/>
        <w:topLinePunct w:val="0"/>
        <w:autoSpaceDE/>
        <w:autoSpaceDN/>
        <w:bidi w:val="0"/>
        <w:adjustRightInd/>
        <w:snapToGrid/>
        <w:spacing w:line="240" w:lineRule="auto"/>
        <w:ind w:left="811"/>
        <w:textAlignment w:val="auto"/>
        <w:rPr>
          <w:rFonts w:ascii="黑体" w:hAnsi="黑体" w:eastAsia="黑体" w:cs="黑体"/>
          <w:color w:val="auto"/>
          <w:sz w:val="21"/>
          <w:szCs w:val="21"/>
          <w:highlight w:val="none"/>
        </w:rPr>
      </w:pPr>
      <w:r>
        <w:rPr>
          <w:rFonts w:ascii="黑体" w:hAnsi="黑体" w:eastAsia="黑体" w:cs="黑体"/>
          <w:color w:val="auto"/>
          <w:spacing w:val="8"/>
          <w:sz w:val="21"/>
          <w:szCs w:val="21"/>
          <w:highlight w:val="none"/>
        </w:rPr>
        <w:t>表</w:t>
      </w:r>
      <w:r>
        <w:rPr>
          <w:rFonts w:ascii="黑体" w:hAnsi="黑体" w:eastAsia="黑体" w:cs="黑体"/>
          <w:color w:val="auto"/>
          <w:spacing w:val="-43"/>
          <w:sz w:val="21"/>
          <w:szCs w:val="21"/>
          <w:highlight w:val="none"/>
        </w:rPr>
        <w:t xml:space="preserve"> </w:t>
      </w:r>
      <w:r>
        <w:rPr>
          <w:rFonts w:ascii="Times New Roman" w:hAnsi="Times New Roman" w:eastAsia="Times New Roman" w:cs="Times New Roman"/>
          <w:color w:val="auto"/>
          <w:spacing w:val="8"/>
          <w:sz w:val="21"/>
          <w:szCs w:val="21"/>
          <w:highlight w:val="none"/>
        </w:rPr>
        <w:t>2.6-9</w:t>
      </w:r>
      <w:r>
        <w:rPr>
          <w:rFonts w:ascii="黑体" w:hAnsi="黑体" w:eastAsia="黑体" w:cs="黑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黑体" w:hAnsi="黑体" w:eastAsia="黑体" w:cs="黑体"/>
          <w:color w:val="auto"/>
          <w:spacing w:val="8"/>
          <w:sz w:val="21"/>
          <w:szCs w:val="21"/>
          <w:highlight w:val="none"/>
        </w:rPr>
        <w:t xml:space="preserve">）     </w:t>
      </w:r>
      <w:r>
        <w:rPr>
          <w:rFonts w:hint="eastAsia" w:ascii="黑体" w:hAnsi="黑体" w:eastAsia="黑体" w:cs="黑体"/>
          <w:color w:val="auto"/>
          <w:spacing w:val="8"/>
          <w:sz w:val="21"/>
          <w:szCs w:val="21"/>
          <w:highlight w:val="none"/>
          <w:lang w:val="en-US" w:eastAsia="zh-CN"/>
        </w:rPr>
        <w:t>集油</w:t>
      </w:r>
      <w:r>
        <w:rPr>
          <w:rFonts w:ascii="黑体" w:hAnsi="黑体" w:eastAsia="黑体" w:cs="黑体"/>
          <w:color w:val="auto"/>
          <w:spacing w:val="8"/>
          <w:sz w:val="21"/>
          <w:szCs w:val="21"/>
          <w:highlight w:val="none"/>
        </w:rPr>
        <w:t>管线污染影响型土壤环境评价工作等级划分依据</w:t>
      </w:r>
    </w:p>
    <w:p w14:paraId="4E48CA36">
      <w:pPr>
        <w:spacing w:line="104" w:lineRule="exact"/>
        <w:rPr>
          <w:color w:val="auto"/>
          <w:sz w:val="21"/>
          <w:szCs w:val="21"/>
          <w:highlight w:val="none"/>
        </w:rPr>
      </w:pPr>
    </w:p>
    <w:tbl>
      <w:tblPr>
        <w:tblStyle w:val="60"/>
        <w:tblW w:w="836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0"/>
        <w:gridCol w:w="798"/>
        <w:gridCol w:w="628"/>
        <w:gridCol w:w="630"/>
        <w:gridCol w:w="628"/>
        <w:gridCol w:w="628"/>
        <w:gridCol w:w="630"/>
        <w:gridCol w:w="628"/>
        <w:gridCol w:w="628"/>
        <w:gridCol w:w="639"/>
      </w:tblGrid>
      <w:tr w14:paraId="473F9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530" w:type="dxa"/>
            <w:vMerge w:val="restart"/>
            <w:tcBorders>
              <w:top w:val="single" w:color="000000" w:sz="6" w:space="0"/>
              <w:left w:val="single" w:color="000000" w:sz="6" w:space="0"/>
              <w:bottom w:val="nil"/>
              <w:tl2br w:val="single" w:color="000000" w:sz="4" w:space="0"/>
            </w:tcBorders>
            <w:vAlign w:val="top"/>
          </w:tcPr>
          <w:p w14:paraId="3A16A04E">
            <w:pPr>
              <w:spacing w:before="68" w:line="228" w:lineRule="auto"/>
              <w:ind w:right="31"/>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占地规模</w:t>
            </w:r>
          </w:p>
          <w:p w14:paraId="24B37D69">
            <w:pPr>
              <w:spacing w:before="79" w:line="228" w:lineRule="auto"/>
              <w:ind w:left="3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敏感程度</w:t>
            </w:r>
          </w:p>
        </w:tc>
        <w:tc>
          <w:tcPr>
            <w:tcW w:w="2056" w:type="dxa"/>
            <w:gridSpan w:val="3"/>
            <w:tcBorders>
              <w:top w:val="single" w:color="000000" w:sz="6" w:space="0"/>
            </w:tcBorders>
            <w:vAlign w:val="top"/>
          </w:tcPr>
          <w:p w14:paraId="286D855B">
            <w:pPr>
              <w:pStyle w:val="42"/>
              <w:spacing w:before="63" w:line="228" w:lineRule="auto"/>
              <w:ind w:left="890"/>
              <w:rPr>
                <w:rFonts w:ascii="宋体" w:hAnsi="宋体" w:eastAsia="宋体" w:cs="宋体"/>
                <w:color w:val="auto"/>
                <w:sz w:val="21"/>
                <w:szCs w:val="21"/>
                <w:highlight w:val="none"/>
              </w:rPr>
            </w:pPr>
            <w:r>
              <w:rPr>
                <w:color w:val="auto"/>
                <w:spacing w:val="3"/>
                <w:sz w:val="21"/>
                <w:szCs w:val="21"/>
                <w:highlight w:val="none"/>
              </w:rPr>
              <w:t>Ⅰ</w:t>
            </w:r>
            <w:r>
              <w:rPr>
                <w:rFonts w:ascii="宋体" w:hAnsi="宋体" w:eastAsia="宋体" w:cs="宋体"/>
                <w:color w:val="auto"/>
                <w:spacing w:val="3"/>
                <w:sz w:val="21"/>
                <w:szCs w:val="21"/>
                <w:highlight w:val="none"/>
              </w:rPr>
              <w:t>类</w:t>
            </w:r>
          </w:p>
        </w:tc>
        <w:tc>
          <w:tcPr>
            <w:tcW w:w="1886" w:type="dxa"/>
            <w:gridSpan w:val="3"/>
            <w:tcBorders>
              <w:top w:val="single" w:color="000000" w:sz="6" w:space="0"/>
            </w:tcBorders>
            <w:vAlign w:val="top"/>
          </w:tcPr>
          <w:p w14:paraId="30A05643">
            <w:pPr>
              <w:pStyle w:val="42"/>
              <w:spacing w:before="63" w:line="228" w:lineRule="auto"/>
              <w:ind w:left="775"/>
              <w:rPr>
                <w:rFonts w:ascii="宋体" w:hAnsi="宋体" w:eastAsia="宋体" w:cs="宋体"/>
                <w:color w:val="auto"/>
                <w:sz w:val="21"/>
                <w:szCs w:val="21"/>
                <w:highlight w:val="none"/>
              </w:rPr>
            </w:pPr>
            <w:r>
              <w:rPr>
                <w:color w:val="auto"/>
                <w:spacing w:val="4"/>
                <w:sz w:val="21"/>
                <w:szCs w:val="21"/>
                <w:highlight w:val="none"/>
              </w:rPr>
              <w:t>Ⅱ</w:t>
            </w:r>
            <w:r>
              <w:rPr>
                <w:rFonts w:ascii="宋体" w:hAnsi="宋体" w:eastAsia="宋体" w:cs="宋体"/>
                <w:color w:val="auto"/>
                <w:spacing w:val="4"/>
                <w:sz w:val="21"/>
                <w:szCs w:val="21"/>
                <w:highlight w:val="none"/>
              </w:rPr>
              <w:t>类</w:t>
            </w:r>
          </w:p>
        </w:tc>
        <w:tc>
          <w:tcPr>
            <w:tcW w:w="1895" w:type="dxa"/>
            <w:gridSpan w:val="3"/>
            <w:tcBorders>
              <w:top w:val="single" w:color="000000" w:sz="6" w:space="0"/>
              <w:right w:val="single" w:color="000000" w:sz="6" w:space="0"/>
            </w:tcBorders>
            <w:vAlign w:val="top"/>
          </w:tcPr>
          <w:p w14:paraId="14C5D695">
            <w:pPr>
              <w:pStyle w:val="42"/>
              <w:spacing w:before="63" w:line="228" w:lineRule="auto"/>
              <w:ind w:left="745"/>
              <w:rPr>
                <w:rFonts w:ascii="宋体" w:hAnsi="宋体" w:eastAsia="宋体" w:cs="宋体"/>
                <w:color w:val="auto"/>
                <w:sz w:val="21"/>
                <w:szCs w:val="21"/>
                <w:highlight w:val="none"/>
              </w:rPr>
            </w:pPr>
            <w:r>
              <w:rPr>
                <w:color w:val="auto"/>
                <w:spacing w:val="6"/>
                <w:sz w:val="21"/>
                <w:szCs w:val="21"/>
                <w:highlight w:val="none"/>
              </w:rPr>
              <w:t>Ⅲ</w:t>
            </w:r>
            <w:r>
              <w:rPr>
                <w:rFonts w:ascii="宋体" w:hAnsi="宋体" w:eastAsia="宋体" w:cs="宋体"/>
                <w:color w:val="auto"/>
                <w:spacing w:val="6"/>
                <w:sz w:val="21"/>
                <w:szCs w:val="21"/>
                <w:highlight w:val="none"/>
              </w:rPr>
              <w:t>类</w:t>
            </w:r>
          </w:p>
        </w:tc>
      </w:tr>
      <w:tr w14:paraId="407B1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30" w:type="dxa"/>
            <w:vMerge w:val="continue"/>
            <w:tcBorders>
              <w:top w:val="nil"/>
              <w:left w:val="single" w:color="000000" w:sz="6" w:space="0"/>
              <w:tl2br w:val="single" w:color="000000" w:sz="4" w:space="0"/>
            </w:tcBorders>
            <w:vAlign w:val="top"/>
          </w:tcPr>
          <w:p w14:paraId="286A7BF6">
            <w:pPr>
              <w:rPr>
                <w:rFonts w:ascii="Arial"/>
                <w:color w:val="auto"/>
                <w:sz w:val="21"/>
                <w:szCs w:val="21"/>
                <w:highlight w:val="none"/>
              </w:rPr>
            </w:pPr>
          </w:p>
        </w:tc>
        <w:tc>
          <w:tcPr>
            <w:tcW w:w="798" w:type="dxa"/>
            <w:vAlign w:val="top"/>
          </w:tcPr>
          <w:p w14:paraId="6FE7B554">
            <w:pPr>
              <w:spacing w:before="62" w:line="228" w:lineRule="auto"/>
              <w:ind w:left="300"/>
              <w:rPr>
                <w:rFonts w:ascii="宋体" w:hAnsi="宋体" w:eastAsia="宋体" w:cs="宋体"/>
                <w:color w:val="auto"/>
                <w:sz w:val="21"/>
                <w:szCs w:val="21"/>
                <w:highlight w:val="none"/>
              </w:rPr>
            </w:pPr>
            <w:r>
              <w:rPr>
                <w:rFonts w:ascii="宋体" w:hAnsi="宋体" w:eastAsia="宋体" w:cs="宋体"/>
                <w:color w:val="auto"/>
                <w:sz w:val="21"/>
                <w:szCs w:val="21"/>
                <w:highlight w:val="none"/>
              </w:rPr>
              <w:t>大</w:t>
            </w:r>
          </w:p>
        </w:tc>
        <w:tc>
          <w:tcPr>
            <w:tcW w:w="628" w:type="dxa"/>
            <w:vAlign w:val="top"/>
          </w:tcPr>
          <w:p w14:paraId="1808909B">
            <w:pPr>
              <w:spacing w:before="62" w:line="228" w:lineRule="auto"/>
              <w:ind w:left="232"/>
              <w:rPr>
                <w:rFonts w:ascii="宋体" w:hAnsi="宋体" w:eastAsia="宋体" w:cs="宋体"/>
                <w:color w:val="auto"/>
                <w:sz w:val="21"/>
                <w:szCs w:val="21"/>
                <w:highlight w:val="none"/>
              </w:rPr>
            </w:pPr>
            <w:r>
              <w:rPr>
                <w:rFonts w:ascii="宋体" w:hAnsi="宋体" w:eastAsia="宋体" w:cs="宋体"/>
                <w:color w:val="auto"/>
                <w:sz w:val="21"/>
                <w:szCs w:val="21"/>
                <w:highlight w:val="none"/>
              </w:rPr>
              <w:t>中</w:t>
            </w:r>
          </w:p>
        </w:tc>
        <w:tc>
          <w:tcPr>
            <w:tcW w:w="630" w:type="dxa"/>
            <w:vAlign w:val="top"/>
          </w:tcPr>
          <w:p w14:paraId="66EA10CD">
            <w:pPr>
              <w:spacing w:before="61" w:line="230" w:lineRule="auto"/>
              <w:ind w:left="221"/>
              <w:rPr>
                <w:rFonts w:ascii="宋体" w:hAnsi="宋体" w:eastAsia="宋体" w:cs="宋体"/>
                <w:color w:val="auto"/>
                <w:sz w:val="21"/>
                <w:szCs w:val="21"/>
                <w:highlight w:val="none"/>
              </w:rPr>
            </w:pPr>
            <w:r>
              <w:rPr>
                <w:rFonts w:ascii="宋体" w:hAnsi="宋体" w:eastAsia="宋体" w:cs="宋体"/>
                <w:color w:val="auto"/>
                <w:sz w:val="21"/>
                <w:szCs w:val="21"/>
                <w:highlight w:val="none"/>
              </w:rPr>
              <w:t>小</w:t>
            </w:r>
          </w:p>
        </w:tc>
        <w:tc>
          <w:tcPr>
            <w:tcW w:w="628" w:type="dxa"/>
            <w:vAlign w:val="top"/>
          </w:tcPr>
          <w:p w14:paraId="52C646A2">
            <w:pPr>
              <w:spacing w:before="62" w:line="228" w:lineRule="auto"/>
              <w:ind w:left="217"/>
              <w:rPr>
                <w:rFonts w:ascii="宋体" w:hAnsi="宋体" w:eastAsia="宋体" w:cs="宋体"/>
                <w:color w:val="auto"/>
                <w:sz w:val="21"/>
                <w:szCs w:val="21"/>
                <w:highlight w:val="none"/>
              </w:rPr>
            </w:pPr>
            <w:r>
              <w:rPr>
                <w:rFonts w:ascii="宋体" w:hAnsi="宋体" w:eastAsia="宋体" w:cs="宋体"/>
                <w:color w:val="auto"/>
                <w:sz w:val="21"/>
                <w:szCs w:val="21"/>
                <w:highlight w:val="none"/>
              </w:rPr>
              <w:t>大</w:t>
            </w:r>
          </w:p>
        </w:tc>
        <w:tc>
          <w:tcPr>
            <w:tcW w:w="628" w:type="dxa"/>
            <w:vAlign w:val="top"/>
          </w:tcPr>
          <w:p w14:paraId="3E91BC90">
            <w:pPr>
              <w:spacing w:before="62" w:line="228" w:lineRule="auto"/>
              <w:ind w:left="235"/>
              <w:rPr>
                <w:rFonts w:ascii="宋体" w:hAnsi="宋体" w:eastAsia="宋体" w:cs="宋体"/>
                <w:color w:val="auto"/>
                <w:sz w:val="21"/>
                <w:szCs w:val="21"/>
                <w:highlight w:val="none"/>
              </w:rPr>
            </w:pPr>
            <w:r>
              <w:rPr>
                <w:rFonts w:ascii="宋体" w:hAnsi="宋体" w:eastAsia="宋体" w:cs="宋体"/>
                <w:color w:val="auto"/>
                <w:sz w:val="21"/>
                <w:szCs w:val="21"/>
                <w:highlight w:val="none"/>
              </w:rPr>
              <w:t>中</w:t>
            </w:r>
          </w:p>
        </w:tc>
        <w:tc>
          <w:tcPr>
            <w:tcW w:w="630" w:type="dxa"/>
            <w:vAlign w:val="top"/>
          </w:tcPr>
          <w:p w14:paraId="7AF608D1">
            <w:pPr>
              <w:spacing w:before="61" w:line="230" w:lineRule="auto"/>
              <w:ind w:left="224"/>
              <w:rPr>
                <w:rFonts w:ascii="宋体" w:hAnsi="宋体" w:eastAsia="宋体" w:cs="宋体"/>
                <w:color w:val="auto"/>
                <w:sz w:val="21"/>
                <w:szCs w:val="21"/>
                <w:highlight w:val="none"/>
              </w:rPr>
            </w:pPr>
            <w:r>
              <w:rPr>
                <w:rFonts w:ascii="宋体" w:hAnsi="宋体" w:eastAsia="宋体" w:cs="宋体"/>
                <w:color w:val="auto"/>
                <w:sz w:val="21"/>
                <w:szCs w:val="21"/>
                <w:highlight w:val="none"/>
              </w:rPr>
              <w:t>小</w:t>
            </w:r>
          </w:p>
        </w:tc>
        <w:tc>
          <w:tcPr>
            <w:tcW w:w="628" w:type="dxa"/>
            <w:vAlign w:val="top"/>
          </w:tcPr>
          <w:p w14:paraId="039E71F4">
            <w:pPr>
              <w:spacing w:before="62" w:line="228" w:lineRule="auto"/>
              <w:ind w:left="220"/>
              <w:rPr>
                <w:rFonts w:ascii="宋体" w:hAnsi="宋体" w:eastAsia="宋体" w:cs="宋体"/>
                <w:color w:val="auto"/>
                <w:sz w:val="21"/>
                <w:szCs w:val="21"/>
                <w:highlight w:val="none"/>
              </w:rPr>
            </w:pPr>
            <w:r>
              <w:rPr>
                <w:rFonts w:ascii="宋体" w:hAnsi="宋体" w:eastAsia="宋体" w:cs="宋体"/>
                <w:color w:val="auto"/>
                <w:sz w:val="21"/>
                <w:szCs w:val="21"/>
                <w:highlight w:val="none"/>
              </w:rPr>
              <w:t>大</w:t>
            </w:r>
          </w:p>
        </w:tc>
        <w:tc>
          <w:tcPr>
            <w:tcW w:w="628" w:type="dxa"/>
            <w:vAlign w:val="top"/>
          </w:tcPr>
          <w:p w14:paraId="60E7B4AE">
            <w:pPr>
              <w:spacing w:before="62" w:line="228" w:lineRule="auto"/>
              <w:ind w:left="240"/>
              <w:rPr>
                <w:rFonts w:ascii="宋体" w:hAnsi="宋体" w:eastAsia="宋体" w:cs="宋体"/>
                <w:color w:val="auto"/>
                <w:sz w:val="21"/>
                <w:szCs w:val="21"/>
                <w:highlight w:val="none"/>
              </w:rPr>
            </w:pPr>
            <w:r>
              <w:rPr>
                <w:rFonts w:ascii="宋体" w:hAnsi="宋体" w:eastAsia="宋体" w:cs="宋体"/>
                <w:color w:val="auto"/>
                <w:sz w:val="21"/>
                <w:szCs w:val="21"/>
                <w:highlight w:val="none"/>
              </w:rPr>
              <w:t>中</w:t>
            </w:r>
          </w:p>
        </w:tc>
        <w:tc>
          <w:tcPr>
            <w:tcW w:w="639" w:type="dxa"/>
            <w:tcBorders>
              <w:right w:val="single" w:color="000000" w:sz="6" w:space="0"/>
            </w:tcBorders>
            <w:vAlign w:val="top"/>
          </w:tcPr>
          <w:p w14:paraId="5E44A144">
            <w:pPr>
              <w:spacing w:before="61" w:line="230" w:lineRule="auto"/>
              <w:ind w:left="227"/>
              <w:rPr>
                <w:rFonts w:ascii="宋体" w:hAnsi="宋体" w:eastAsia="宋体" w:cs="宋体"/>
                <w:color w:val="auto"/>
                <w:sz w:val="21"/>
                <w:szCs w:val="21"/>
                <w:highlight w:val="none"/>
              </w:rPr>
            </w:pPr>
            <w:r>
              <w:rPr>
                <w:rFonts w:ascii="宋体" w:hAnsi="宋体" w:eastAsia="宋体" w:cs="宋体"/>
                <w:color w:val="auto"/>
                <w:sz w:val="21"/>
                <w:szCs w:val="21"/>
                <w:highlight w:val="none"/>
              </w:rPr>
              <w:t>小</w:t>
            </w:r>
          </w:p>
        </w:tc>
      </w:tr>
      <w:tr w14:paraId="0734C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30" w:type="dxa"/>
            <w:tcBorders>
              <w:left w:val="single" w:color="000000" w:sz="6" w:space="0"/>
            </w:tcBorders>
            <w:vAlign w:val="top"/>
          </w:tcPr>
          <w:p w14:paraId="5E095A03">
            <w:pPr>
              <w:spacing w:before="64" w:line="228" w:lineRule="auto"/>
              <w:ind w:left="10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敏感</w:t>
            </w:r>
          </w:p>
        </w:tc>
        <w:tc>
          <w:tcPr>
            <w:tcW w:w="798" w:type="dxa"/>
            <w:vAlign w:val="top"/>
          </w:tcPr>
          <w:p w14:paraId="17BF066D">
            <w:pPr>
              <w:spacing w:before="64" w:line="230" w:lineRule="auto"/>
              <w:ind w:left="19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vAlign w:val="top"/>
          </w:tcPr>
          <w:p w14:paraId="69D3A81F">
            <w:pPr>
              <w:spacing w:before="64" w:line="230" w:lineRule="auto"/>
              <w:ind w:left="11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30" w:type="dxa"/>
            <w:vAlign w:val="top"/>
          </w:tcPr>
          <w:p w14:paraId="2D13DAE1">
            <w:pPr>
              <w:spacing w:before="64" w:line="230" w:lineRule="auto"/>
              <w:ind w:left="11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vAlign w:val="top"/>
          </w:tcPr>
          <w:p w14:paraId="3845BFEF">
            <w:pPr>
              <w:spacing w:before="64" w:line="230" w:lineRule="auto"/>
              <w:ind w:left="11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shd w:val="clear" w:color="auto" w:fill="auto"/>
            <w:vAlign w:val="top"/>
          </w:tcPr>
          <w:p w14:paraId="29D5AAE8">
            <w:pPr>
              <w:spacing w:before="64" w:line="230" w:lineRule="auto"/>
              <w:ind w:left="11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30" w:type="dxa"/>
            <w:shd w:val="clear" w:color="auto" w:fill="D7D7D7" w:themeFill="background1" w:themeFillShade="D8"/>
            <w:vAlign w:val="top"/>
          </w:tcPr>
          <w:p w14:paraId="5A7224D8">
            <w:pPr>
              <w:spacing w:before="64" w:line="230" w:lineRule="auto"/>
              <w:ind w:left="11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vAlign w:val="top"/>
          </w:tcPr>
          <w:p w14:paraId="1E0653E6">
            <w:pPr>
              <w:spacing w:before="64" w:line="230" w:lineRule="auto"/>
              <w:ind w:left="11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vAlign w:val="top"/>
          </w:tcPr>
          <w:p w14:paraId="7A99E2FE">
            <w:pPr>
              <w:spacing w:before="64" w:line="230" w:lineRule="auto"/>
              <w:ind w:left="11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39" w:type="dxa"/>
            <w:tcBorders>
              <w:right w:val="single" w:color="000000" w:sz="6" w:space="0"/>
            </w:tcBorders>
            <w:vAlign w:val="top"/>
          </w:tcPr>
          <w:p w14:paraId="52CDF195">
            <w:pPr>
              <w:spacing w:before="64" w:line="230" w:lineRule="auto"/>
              <w:ind w:left="11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r>
      <w:tr w14:paraId="3C745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30" w:type="dxa"/>
            <w:tcBorders>
              <w:left w:val="single" w:color="000000" w:sz="6" w:space="0"/>
            </w:tcBorders>
            <w:vAlign w:val="top"/>
          </w:tcPr>
          <w:p w14:paraId="4C76EBBB">
            <w:pPr>
              <w:spacing w:before="67" w:line="228" w:lineRule="auto"/>
              <w:ind w:left="94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较敏感</w:t>
            </w:r>
          </w:p>
        </w:tc>
        <w:tc>
          <w:tcPr>
            <w:tcW w:w="798" w:type="dxa"/>
            <w:vAlign w:val="top"/>
          </w:tcPr>
          <w:p w14:paraId="2B7936F8">
            <w:pPr>
              <w:spacing w:before="67" w:line="230" w:lineRule="auto"/>
              <w:ind w:left="19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vAlign w:val="top"/>
          </w:tcPr>
          <w:p w14:paraId="11BAE0B2">
            <w:pPr>
              <w:spacing w:before="67" w:line="230" w:lineRule="auto"/>
              <w:ind w:left="11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30" w:type="dxa"/>
            <w:vAlign w:val="top"/>
          </w:tcPr>
          <w:p w14:paraId="6F3F80CD">
            <w:pPr>
              <w:spacing w:before="67" w:line="230" w:lineRule="auto"/>
              <w:ind w:left="11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vAlign w:val="top"/>
          </w:tcPr>
          <w:p w14:paraId="4872DFA3">
            <w:pPr>
              <w:spacing w:before="67" w:line="230" w:lineRule="auto"/>
              <w:ind w:left="11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vAlign w:val="top"/>
          </w:tcPr>
          <w:p w14:paraId="73424A1F">
            <w:pPr>
              <w:spacing w:before="67" w:line="230" w:lineRule="auto"/>
              <w:ind w:left="11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30" w:type="dxa"/>
            <w:vAlign w:val="top"/>
          </w:tcPr>
          <w:p w14:paraId="06ED0699">
            <w:pPr>
              <w:spacing w:before="67" w:line="230" w:lineRule="auto"/>
              <w:ind w:left="11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vAlign w:val="top"/>
          </w:tcPr>
          <w:p w14:paraId="0376554E">
            <w:pPr>
              <w:spacing w:before="67" w:line="230" w:lineRule="auto"/>
              <w:ind w:left="11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vAlign w:val="top"/>
          </w:tcPr>
          <w:p w14:paraId="3543D3E6">
            <w:pPr>
              <w:spacing w:before="67" w:line="230" w:lineRule="auto"/>
              <w:ind w:left="11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39" w:type="dxa"/>
            <w:tcBorders>
              <w:right w:val="single" w:color="000000" w:sz="6" w:space="0"/>
            </w:tcBorders>
            <w:vAlign w:val="top"/>
          </w:tcPr>
          <w:p w14:paraId="20883325">
            <w:pPr>
              <w:pStyle w:val="42"/>
              <w:spacing w:before="193" w:line="95" w:lineRule="exact"/>
              <w:ind w:left="211"/>
              <w:rPr>
                <w:color w:val="auto"/>
                <w:sz w:val="21"/>
                <w:szCs w:val="21"/>
                <w:highlight w:val="none"/>
              </w:rPr>
            </w:pPr>
            <w:r>
              <w:rPr>
                <w:color w:val="auto"/>
                <w:spacing w:val="12"/>
                <w:position w:val="-2"/>
                <w:sz w:val="21"/>
                <w:szCs w:val="21"/>
                <w:highlight w:val="none"/>
              </w:rPr>
              <w:t>—</w:t>
            </w:r>
          </w:p>
        </w:tc>
      </w:tr>
      <w:tr w14:paraId="6ED1F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30" w:type="dxa"/>
            <w:tcBorders>
              <w:left w:val="single" w:color="000000" w:sz="6" w:space="0"/>
              <w:bottom w:val="single" w:color="000000" w:sz="6" w:space="0"/>
            </w:tcBorders>
            <w:vAlign w:val="top"/>
          </w:tcPr>
          <w:p w14:paraId="4BFD1D67">
            <w:pPr>
              <w:spacing w:before="70" w:line="228" w:lineRule="auto"/>
              <w:ind w:left="95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不敏感</w:t>
            </w:r>
          </w:p>
        </w:tc>
        <w:tc>
          <w:tcPr>
            <w:tcW w:w="798" w:type="dxa"/>
            <w:tcBorders>
              <w:bottom w:val="single" w:color="000000" w:sz="6" w:space="0"/>
            </w:tcBorders>
            <w:vAlign w:val="top"/>
          </w:tcPr>
          <w:p w14:paraId="705518F2">
            <w:pPr>
              <w:spacing w:before="70" w:line="230" w:lineRule="auto"/>
              <w:ind w:left="19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一级</w:t>
            </w:r>
          </w:p>
        </w:tc>
        <w:tc>
          <w:tcPr>
            <w:tcW w:w="628" w:type="dxa"/>
            <w:tcBorders>
              <w:bottom w:val="single" w:color="000000" w:sz="6" w:space="0"/>
            </w:tcBorders>
            <w:vAlign w:val="top"/>
          </w:tcPr>
          <w:p w14:paraId="35898809">
            <w:pPr>
              <w:spacing w:before="70" w:line="230" w:lineRule="auto"/>
              <w:ind w:left="1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30" w:type="dxa"/>
            <w:tcBorders>
              <w:bottom w:val="single" w:color="000000" w:sz="6" w:space="0"/>
            </w:tcBorders>
            <w:vAlign w:val="top"/>
          </w:tcPr>
          <w:p w14:paraId="19E00EFA">
            <w:pPr>
              <w:spacing w:before="70" w:line="230" w:lineRule="auto"/>
              <w:ind w:left="11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tcBorders>
              <w:bottom w:val="single" w:color="000000" w:sz="6" w:space="0"/>
            </w:tcBorders>
            <w:vAlign w:val="top"/>
          </w:tcPr>
          <w:p w14:paraId="4A3A1C7B">
            <w:pPr>
              <w:spacing w:before="70" w:line="230" w:lineRule="auto"/>
              <w:ind w:left="11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二级</w:t>
            </w:r>
          </w:p>
        </w:tc>
        <w:tc>
          <w:tcPr>
            <w:tcW w:w="628" w:type="dxa"/>
            <w:tcBorders>
              <w:bottom w:val="single" w:color="000000" w:sz="6" w:space="0"/>
            </w:tcBorders>
            <w:vAlign w:val="top"/>
          </w:tcPr>
          <w:p w14:paraId="2FD24E28">
            <w:pPr>
              <w:spacing w:before="70" w:line="230" w:lineRule="auto"/>
              <w:ind w:left="11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30" w:type="dxa"/>
            <w:tcBorders>
              <w:bottom w:val="single" w:color="000000" w:sz="6" w:space="0"/>
            </w:tcBorders>
            <w:vAlign w:val="top"/>
          </w:tcPr>
          <w:p w14:paraId="71EDE0AC">
            <w:pPr>
              <w:spacing w:before="70" w:line="230" w:lineRule="auto"/>
              <w:ind w:left="11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tcBorders>
              <w:bottom w:val="single" w:color="000000" w:sz="6" w:space="0"/>
            </w:tcBorders>
            <w:vAlign w:val="top"/>
          </w:tcPr>
          <w:p w14:paraId="4284AFBE">
            <w:pPr>
              <w:spacing w:before="70" w:line="230" w:lineRule="auto"/>
              <w:ind w:left="11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三级</w:t>
            </w:r>
          </w:p>
        </w:tc>
        <w:tc>
          <w:tcPr>
            <w:tcW w:w="628" w:type="dxa"/>
            <w:tcBorders>
              <w:bottom w:val="single" w:color="000000" w:sz="6" w:space="0"/>
            </w:tcBorders>
            <w:vAlign w:val="top"/>
          </w:tcPr>
          <w:p w14:paraId="3961305C">
            <w:pPr>
              <w:pStyle w:val="42"/>
              <w:spacing w:before="196" w:line="95" w:lineRule="exact"/>
              <w:ind w:left="210"/>
              <w:rPr>
                <w:color w:val="auto"/>
                <w:sz w:val="21"/>
                <w:szCs w:val="21"/>
                <w:highlight w:val="none"/>
              </w:rPr>
            </w:pPr>
            <w:r>
              <w:rPr>
                <w:color w:val="auto"/>
                <w:spacing w:val="12"/>
                <w:position w:val="-2"/>
                <w:sz w:val="21"/>
                <w:szCs w:val="21"/>
                <w:highlight w:val="none"/>
              </w:rPr>
              <w:t>—</w:t>
            </w:r>
          </w:p>
        </w:tc>
        <w:tc>
          <w:tcPr>
            <w:tcW w:w="639" w:type="dxa"/>
            <w:tcBorders>
              <w:bottom w:val="single" w:color="000000" w:sz="6" w:space="0"/>
              <w:right w:val="single" w:color="000000" w:sz="6" w:space="0"/>
            </w:tcBorders>
            <w:vAlign w:val="top"/>
          </w:tcPr>
          <w:p w14:paraId="635AADEC">
            <w:pPr>
              <w:pStyle w:val="42"/>
              <w:spacing w:before="196" w:line="95" w:lineRule="exact"/>
              <w:ind w:left="211"/>
              <w:rPr>
                <w:color w:val="auto"/>
                <w:sz w:val="21"/>
                <w:szCs w:val="21"/>
                <w:highlight w:val="none"/>
              </w:rPr>
            </w:pPr>
            <w:r>
              <w:rPr>
                <w:color w:val="auto"/>
                <w:spacing w:val="12"/>
                <w:position w:val="-2"/>
                <w:sz w:val="21"/>
                <w:szCs w:val="21"/>
                <w:highlight w:val="none"/>
              </w:rPr>
              <w:t>—</w:t>
            </w:r>
          </w:p>
        </w:tc>
      </w:tr>
    </w:tbl>
    <w:p w14:paraId="5CBBA13A">
      <w:pPr>
        <w:keepNext w:val="0"/>
        <w:keepLines w:val="0"/>
        <w:pageBreakBefore w:val="0"/>
        <w:widowControl/>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caps w:val="0"/>
          <w:color w:val="auto"/>
          <w:kern w:val="2"/>
          <w:sz w:val="24"/>
          <w:szCs w:val="32"/>
          <w:highlight w:val="none"/>
          <w:lang w:val="en-US" w:eastAsia="zh-CN" w:bidi="ar"/>
        </w:rPr>
      </w:pPr>
      <w:r>
        <w:rPr>
          <w:rFonts w:hint="default" w:ascii="Times New Roman" w:hAnsi="Times New Roman" w:eastAsia="宋体" w:cs="Times New Roman"/>
          <w:caps w:val="0"/>
          <w:color w:val="auto"/>
          <w:kern w:val="2"/>
          <w:sz w:val="24"/>
          <w:szCs w:val="32"/>
          <w:highlight w:val="none"/>
          <w:lang w:val="en-US" w:eastAsia="zh-CN" w:bidi="ar"/>
        </w:rPr>
        <w:t>本项目土壤项目类别为Ⅰ类、Ⅱ类，生态影响型环境敏感程度为敏感；项目占地规模为</w:t>
      </w:r>
      <w:r>
        <w:rPr>
          <w:rFonts w:hint="eastAsia" w:ascii="Times New Roman" w:hAnsi="Times New Roman" w:eastAsia="宋体" w:cs="Times New Roman"/>
          <w:caps w:val="0"/>
          <w:color w:val="auto"/>
          <w:kern w:val="2"/>
          <w:sz w:val="24"/>
          <w:szCs w:val="32"/>
          <w:highlight w:val="none"/>
          <w:lang w:val="en-US" w:eastAsia="zh-CN" w:bidi="ar"/>
        </w:rPr>
        <w:t>小</w:t>
      </w:r>
      <w:r>
        <w:rPr>
          <w:rFonts w:hint="default" w:ascii="Times New Roman" w:hAnsi="Times New Roman" w:eastAsia="宋体" w:cs="Times New Roman"/>
          <w:caps w:val="0"/>
          <w:color w:val="auto"/>
          <w:kern w:val="2"/>
          <w:sz w:val="24"/>
          <w:szCs w:val="32"/>
          <w:highlight w:val="none"/>
          <w:lang w:val="en-US" w:eastAsia="zh-CN" w:bidi="ar"/>
        </w:rPr>
        <w:t>型、污染影响型环境敏感程度为“敏感”。</w:t>
      </w:r>
    </w:p>
    <w:p w14:paraId="2E742B13">
      <w:pPr>
        <w:keepNext w:val="0"/>
        <w:keepLines w:val="0"/>
        <w:pageBreakBefore w:val="0"/>
        <w:widowControl/>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caps w:val="0"/>
          <w:color w:val="auto"/>
          <w:kern w:val="2"/>
          <w:sz w:val="24"/>
          <w:szCs w:val="32"/>
          <w:highlight w:val="none"/>
          <w:lang w:val="en-US" w:eastAsia="zh-CN" w:bidi="ar"/>
        </w:rPr>
      </w:pPr>
      <w:r>
        <w:rPr>
          <w:rFonts w:hint="default" w:ascii="Times New Roman" w:hAnsi="Times New Roman" w:eastAsia="宋体" w:cs="Times New Roman"/>
          <w:caps w:val="0"/>
          <w:color w:val="auto"/>
          <w:kern w:val="2"/>
          <w:sz w:val="24"/>
          <w:szCs w:val="32"/>
          <w:highlight w:val="none"/>
          <w:lang w:val="en-US" w:eastAsia="zh-CN" w:bidi="ar"/>
        </w:rPr>
        <w:t>综上，本项目采油井场生态影响型土壤环境影响评价工作等级为</w:t>
      </w:r>
      <w:r>
        <w:rPr>
          <w:rFonts w:hint="eastAsia" w:ascii="Times New Roman" w:hAnsi="Times New Roman" w:eastAsia="宋体" w:cs="Times New Roman"/>
          <w:caps w:val="0"/>
          <w:color w:val="auto"/>
          <w:kern w:val="2"/>
          <w:sz w:val="24"/>
          <w:szCs w:val="32"/>
          <w:highlight w:val="none"/>
          <w:lang w:val="en-US" w:eastAsia="zh-CN" w:bidi="ar"/>
        </w:rPr>
        <w:t>一</w:t>
      </w:r>
      <w:r>
        <w:rPr>
          <w:rFonts w:hint="default" w:ascii="Times New Roman" w:hAnsi="Times New Roman" w:eastAsia="宋体" w:cs="Times New Roman"/>
          <w:caps w:val="0"/>
          <w:color w:val="auto"/>
          <w:kern w:val="2"/>
          <w:sz w:val="24"/>
          <w:szCs w:val="32"/>
          <w:highlight w:val="none"/>
          <w:lang w:val="en-US" w:eastAsia="zh-CN" w:bidi="ar"/>
        </w:rPr>
        <w:t>级、管线生态影响型土壤环境影响评价工作等级为</w:t>
      </w:r>
      <w:r>
        <w:rPr>
          <w:rFonts w:hint="eastAsia" w:ascii="Times New Roman" w:hAnsi="Times New Roman" w:eastAsia="宋体" w:cs="Times New Roman"/>
          <w:caps w:val="0"/>
          <w:color w:val="auto"/>
          <w:kern w:val="2"/>
          <w:sz w:val="24"/>
          <w:szCs w:val="32"/>
          <w:highlight w:val="none"/>
          <w:lang w:val="en-US" w:eastAsia="zh-CN" w:bidi="ar"/>
        </w:rPr>
        <w:t>二</w:t>
      </w:r>
      <w:r>
        <w:rPr>
          <w:rFonts w:hint="default" w:ascii="Times New Roman" w:hAnsi="Times New Roman" w:eastAsia="宋体" w:cs="Times New Roman"/>
          <w:caps w:val="0"/>
          <w:color w:val="auto"/>
          <w:kern w:val="2"/>
          <w:sz w:val="24"/>
          <w:szCs w:val="32"/>
          <w:highlight w:val="none"/>
          <w:lang w:val="en-US" w:eastAsia="zh-CN" w:bidi="ar"/>
        </w:rPr>
        <w:t>级；采油井场污染影响型土壤环境影响评价工作等级为一级、管线污染影响型土壤环境影响评价工作等级为二级。</w:t>
      </w:r>
    </w:p>
    <w:p w14:paraId="38D01ED5">
      <w:pPr>
        <w:keepNext w:val="0"/>
        <w:keepLines/>
        <w:pageBreakBefore w:val="0"/>
        <w:widowControl/>
        <w:suppressLineNumbers w:val="0"/>
        <w:kinsoku/>
        <w:wordWrap/>
        <w:overflowPunct/>
        <w:autoSpaceDN/>
        <w:bidi w:val="0"/>
        <w:adjustRightInd w:val="0"/>
        <w:snapToGrid w:val="0"/>
        <w:spacing w:before="0" w:beforeAutospacing="0" w:after="0" w:afterAutospacing="0" w:line="360" w:lineRule="auto"/>
        <w:ind w:left="0" w:right="0"/>
        <w:jc w:val="both"/>
        <w:textAlignment w:val="auto"/>
        <w:outlineLvl w:val="3"/>
        <w:rPr>
          <w:rFonts w:hint="default" w:ascii="Times New Roman" w:hAnsi="Times New Roman" w:eastAsia="宋体" w:cs="Times New Roman"/>
          <w:b/>
          <w:bCs w:val="0"/>
          <w:caps w:val="0"/>
          <w:color w:val="auto"/>
          <w:sz w:val="24"/>
          <w:szCs w:val="24"/>
          <w:highlight w:val="none"/>
          <w:lang w:val="en-US"/>
        </w:rPr>
      </w:pPr>
      <w:r>
        <w:rPr>
          <w:rFonts w:hint="default" w:ascii="Times New Roman" w:hAnsi="Times New Roman" w:eastAsia="宋体" w:cs="Times New Roman"/>
          <w:b/>
          <w:bCs w:val="0"/>
          <w:caps w:val="0"/>
          <w:color w:val="auto"/>
          <w:kern w:val="0"/>
          <w:sz w:val="24"/>
          <w:szCs w:val="24"/>
          <w:highlight w:val="none"/>
          <w:lang w:val="en-US" w:eastAsia="zh-CN" w:bidi="ar"/>
        </w:rPr>
        <w:t>2.6.</w:t>
      </w:r>
      <w:r>
        <w:rPr>
          <w:rFonts w:hint="default" w:ascii="Times New Roman" w:hAnsi="Times New Roman" w:cs="Times New Roman"/>
          <w:b/>
          <w:bCs w:val="0"/>
          <w:caps w:val="0"/>
          <w:color w:val="auto"/>
          <w:kern w:val="0"/>
          <w:sz w:val="24"/>
          <w:szCs w:val="24"/>
          <w:highlight w:val="none"/>
          <w:lang w:val="en-US" w:eastAsia="zh-CN" w:bidi="ar"/>
        </w:rPr>
        <w:t>6</w:t>
      </w:r>
      <w:r>
        <w:rPr>
          <w:rFonts w:hint="default" w:ascii="Times New Roman" w:hAnsi="Times New Roman" w:eastAsia="宋体" w:cs="Times New Roman"/>
          <w:b/>
          <w:bCs w:val="0"/>
          <w:caps w:val="0"/>
          <w:color w:val="auto"/>
          <w:kern w:val="0"/>
          <w:sz w:val="24"/>
          <w:szCs w:val="24"/>
          <w:highlight w:val="none"/>
          <w:lang w:val="en-US" w:eastAsia="zh-CN" w:bidi="ar"/>
        </w:rPr>
        <w:t>.2评价范围</w:t>
      </w:r>
    </w:p>
    <w:p w14:paraId="74885FBB">
      <w:pPr>
        <w:keepNext w:val="0"/>
        <w:pageBreakBefore w:val="0"/>
        <w:kinsoku/>
        <w:wordWrap/>
        <w:overflowPunct/>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aps w:val="0"/>
          <w:color w:val="auto"/>
          <w:spacing w:val="2"/>
          <w:kern w:val="0"/>
          <w:sz w:val="24"/>
          <w:szCs w:val="24"/>
          <w:highlight w:val="none"/>
          <w:lang w:val="en-US" w:eastAsia="zh-CN" w:bidi="ar"/>
        </w:rPr>
        <w:t>根据《环境影响评价技术导则土壤环境（试行）》（HJ964-2018）</w:t>
      </w:r>
      <w:r>
        <w:rPr>
          <w:rFonts w:hint="default" w:ascii="Times New Roman" w:hAnsi="Times New Roman" w:cs="Times New Roman"/>
          <w:caps w:val="0"/>
          <w:color w:val="auto"/>
          <w:spacing w:val="2"/>
          <w:kern w:val="0"/>
          <w:sz w:val="24"/>
          <w:szCs w:val="24"/>
          <w:highlight w:val="none"/>
          <w:lang w:val="en-US" w:eastAsia="zh-CN" w:bidi="ar"/>
        </w:rPr>
        <w:t>，并结合本项目特点，考虑油田整体开发对区域的影响，确定土壤评价范围为：（1）土壤污染影响型现状调查范围为</w:t>
      </w:r>
      <w:r>
        <w:rPr>
          <w:rFonts w:hint="default" w:ascii="Times New Roman" w:hAnsi="Times New Roman" w:eastAsia="宋体" w:cs="Times New Roman"/>
          <w:caps w:val="0"/>
          <w:color w:val="auto"/>
          <w:spacing w:val="2"/>
          <w:kern w:val="0"/>
          <w:sz w:val="24"/>
          <w:szCs w:val="24"/>
          <w:highlight w:val="none"/>
          <w:lang w:val="en-US" w:eastAsia="zh-CN" w:bidi="ar"/>
        </w:rPr>
        <w:t>各井场外扩1km</w:t>
      </w:r>
      <w:r>
        <w:rPr>
          <w:rFonts w:hint="default" w:ascii="Times New Roman" w:hAnsi="Times New Roman" w:cs="Times New Roman"/>
          <w:caps w:val="0"/>
          <w:color w:val="auto"/>
          <w:spacing w:val="2"/>
          <w:kern w:val="0"/>
          <w:sz w:val="24"/>
          <w:szCs w:val="24"/>
          <w:highlight w:val="none"/>
          <w:lang w:val="en-US" w:eastAsia="zh-CN" w:bidi="ar"/>
        </w:rPr>
        <w:t>，管线边界两侧外扩</w:t>
      </w:r>
      <w:r>
        <w:rPr>
          <w:rFonts w:hint="default" w:ascii="Times New Roman" w:hAnsi="Times New Roman" w:cs="Times New Roman"/>
          <w:color w:val="auto"/>
          <w:highlight w:val="none"/>
        </w:rPr>
        <w:t>200m</w:t>
      </w:r>
      <w:r>
        <w:rPr>
          <w:rFonts w:hint="default" w:ascii="Times New Roman" w:hAnsi="Times New Roman" w:cs="Times New Roman"/>
          <w:caps w:val="0"/>
          <w:color w:val="auto"/>
          <w:spacing w:val="2"/>
          <w:kern w:val="0"/>
          <w:sz w:val="24"/>
          <w:szCs w:val="24"/>
          <w:highlight w:val="none"/>
          <w:lang w:val="en-US" w:eastAsia="zh-CN" w:bidi="ar"/>
        </w:rPr>
        <w:t>范围；（2）土壤生态影响型现状调查范围为</w:t>
      </w:r>
      <w:r>
        <w:rPr>
          <w:rFonts w:hint="default" w:ascii="Times New Roman" w:hAnsi="Times New Roman" w:eastAsia="宋体" w:cs="Times New Roman"/>
          <w:caps w:val="0"/>
          <w:color w:val="auto"/>
          <w:spacing w:val="2"/>
          <w:kern w:val="0"/>
          <w:sz w:val="24"/>
          <w:szCs w:val="24"/>
          <w:highlight w:val="none"/>
          <w:lang w:val="en-US" w:eastAsia="zh-CN" w:bidi="ar"/>
        </w:rPr>
        <w:t>各井场外扩</w:t>
      </w:r>
      <w:r>
        <w:rPr>
          <w:rFonts w:hint="default" w:ascii="Times New Roman" w:hAnsi="Times New Roman" w:cs="Times New Roman"/>
          <w:caps w:val="0"/>
          <w:color w:val="auto"/>
          <w:spacing w:val="2"/>
          <w:kern w:val="0"/>
          <w:sz w:val="24"/>
          <w:szCs w:val="24"/>
          <w:highlight w:val="none"/>
          <w:lang w:val="en-US" w:eastAsia="zh-CN" w:bidi="ar"/>
        </w:rPr>
        <w:t>5</w:t>
      </w:r>
      <w:r>
        <w:rPr>
          <w:rFonts w:hint="default" w:ascii="Times New Roman" w:hAnsi="Times New Roman" w:eastAsia="宋体" w:cs="Times New Roman"/>
          <w:caps w:val="0"/>
          <w:color w:val="auto"/>
          <w:spacing w:val="2"/>
          <w:kern w:val="0"/>
          <w:sz w:val="24"/>
          <w:szCs w:val="24"/>
          <w:highlight w:val="none"/>
          <w:lang w:val="en-US" w:eastAsia="zh-CN" w:bidi="ar"/>
        </w:rPr>
        <w:t>km</w:t>
      </w:r>
      <w:r>
        <w:rPr>
          <w:rFonts w:hint="default" w:ascii="Times New Roman" w:hAnsi="Times New Roman" w:cs="Times New Roman"/>
          <w:caps w:val="0"/>
          <w:color w:val="auto"/>
          <w:spacing w:val="2"/>
          <w:kern w:val="0"/>
          <w:sz w:val="24"/>
          <w:szCs w:val="24"/>
          <w:highlight w:val="none"/>
          <w:lang w:val="en-US" w:eastAsia="zh-CN" w:bidi="ar"/>
        </w:rPr>
        <w:t>，管线边界两侧外扩</w:t>
      </w:r>
      <w:r>
        <w:rPr>
          <w:rFonts w:hint="default" w:ascii="Times New Roman" w:hAnsi="Times New Roman" w:cs="Times New Roman"/>
          <w:color w:val="auto"/>
          <w:highlight w:val="none"/>
        </w:rPr>
        <w:t>200m</w:t>
      </w:r>
      <w:r>
        <w:rPr>
          <w:rFonts w:hint="default" w:ascii="Times New Roman" w:hAnsi="Times New Roman" w:cs="Times New Roman"/>
          <w:caps w:val="0"/>
          <w:color w:val="auto"/>
          <w:spacing w:val="2"/>
          <w:kern w:val="0"/>
          <w:sz w:val="24"/>
          <w:szCs w:val="24"/>
          <w:highlight w:val="none"/>
          <w:lang w:val="en-US" w:eastAsia="zh-CN" w:bidi="ar"/>
        </w:rPr>
        <w:t>范围。</w:t>
      </w:r>
      <w:bookmarkEnd w:id="154"/>
      <w:r>
        <w:rPr>
          <w:rFonts w:hint="default" w:ascii="Times New Roman" w:hAnsi="Times New Roman" w:cs="Times New Roman"/>
          <w:color w:val="auto"/>
          <w:highlight w:val="none"/>
        </w:rPr>
        <w:t>评价范围见图2.6-1。</w:t>
      </w:r>
    </w:p>
    <w:p w14:paraId="792C782E">
      <w:pPr>
        <w:pStyle w:val="4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环境风险</w:t>
      </w:r>
    </w:p>
    <w:p w14:paraId="39C7278C">
      <w:pPr>
        <w:spacing w:line="360" w:lineRule="auto"/>
        <w:ind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根据《建设项目环境风险评价技术导则》（HJ169-2018）评价项目的物质危险性和功能单元重大危险源判定结果以及环境敏感程度等因素，将环境风险评价工作划分为一、二、三级，评价工作等级划分见表。见表2.6-</w:t>
      </w:r>
      <w:r>
        <w:rPr>
          <w:rFonts w:hint="default" w:ascii="Times New Roman" w:hAnsi="Times New Roman" w:eastAsia="宋体" w:cs="Times New Roman"/>
          <w:caps w:val="0"/>
          <w:color w:val="auto"/>
          <w:sz w:val="24"/>
          <w:szCs w:val="24"/>
          <w:highlight w:val="none"/>
          <w:lang w:val="en-US" w:eastAsia="zh-CN"/>
        </w:rPr>
        <w:t>12</w:t>
      </w:r>
      <w:r>
        <w:rPr>
          <w:rFonts w:hint="default" w:ascii="Times New Roman" w:hAnsi="Times New Roman" w:eastAsia="宋体" w:cs="Times New Roman"/>
          <w:caps w:val="0"/>
          <w:color w:val="auto"/>
          <w:sz w:val="24"/>
          <w:szCs w:val="24"/>
          <w:highlight w:val="none"/>
        </w:rPr>
        <w:t>。</w:t>
      </w:r>
    </w:p>
    <w:p w14:paraId="558CEE11">
      <w:pPr>
        <w:jc w:val="center"/>
        <w:rPr>
          <w:rFonts w:hint="default" w:ascii="Times New Roman" w:hAnsi="Times New Roman" w:eastAsia="黑体" w:cs="Times New Roman"/>
          <w:b w:val="0"/>
          <w:bCs w:val="0"/>
          <w:caps w:val="0"/>
          <w:color w:val="auto"/>
          <w:kern w:val="2"/>
          <w:sz w:val="21"/>
          <w:szCs w:val="21"/>
          <w:highlight w:val="none"/>
          <w:lang w:val="en-US" w:eastAsia="zh-CN"/>
        </w:rPr>
      </w:pPr>
      <w:r>
        <w:rPr>
          <w:rFonts w:hint="default" w:ascii="Times New Roman" w:hAnsi="Times New Roman" w:eastAsia="黑体" w:cs="Times New Roman"/>
          <w:b w:val="0"/>
          <w:bCs w:val="0"/>
          <w:caps w:val="0"/>
          <w:color w:val="auto"/>
          <w:kern w:val="2"/>
          <w:sz w:val="21"/>
          <w:szCs w:val="21"/>
          <w:highlight w:val="none"/>
          <w:lang w:val="en-US" w:eastAsia="zh-CN"/>
        </w:rPr>
        <w:t>表2.6-12</w:t>
      </w:r>
      <w:r>
        <w:rPr>
          <w:rFonts w:hint="eastAsia" w:eastAsia="黑体" w:cs="Times New Roman"/>
          <w:b w:val="0"/>
          <w:bCs w:val="0"/>
          <w:caps w:val="0"/>
          <w:color w:val="auto"/>
          <w:kern w:val="2"/>
          <w:sz w:val="21"/>
          <w:szCs w:val="21"/>
          <w:highlight w:val="none"/>
          <w:lang w:val="en-US" w:eastAsia="zh-CN"/>
        </w:rPr>
        <w:t xml:space="preserve">  </w:t>
      </w:r>
      <w:r>
        <w:rPr>
          <w:rFonts w:hint="default" w:ascii="Times New Roman" w:hAnsi="Times New Roman" w:eastAsia="黑体" w:cs="Times New Roman"/>
          <w:b w:val="0"/>
          <w:bCs w:val="0"/>
          <w:caps w:val="0"/>
          <w:color w:val="auto"/>
          <w:kern w:val="2"/>
          <w:sz w:val="21"/>
          <w:szCs w:val="21"/>
          <w:highlight w:val="none"/>
          <w:lang w:val="en-US" w:eastAsia="zh-CN"/>
        </w:rPr>
        <w:t>环境风险评价等级划分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5831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auto" w:sz="4" w:space="0"/>
              <w:left w:val="single" w:color="auto" w:sz="4" w:space="0"/>
              <w:bottom w:val="single" w:color="auto" w:sz="4" w:space="0"/>
              <w:right w:val="single" w:color="auto" w:sz="4" w:space="0"/>
            </w:tcBorders>
            <w:noWrap w:val="0"/>
            <w:vAlign w:val="top"/>
          </w:tcPr>
          <w:p w14:paraId="455DBAD2">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环境风险潜势</w:t>
            </w:r>
          </w:p>
        </w:tc>
        <w:tc>
          <w:tcPr>
            <w:tcW w:w="1704" w:type="dxa"/>
            <w:tcBorders>
              <w:top w:val="single" w:color="auto" w:sz="4" w:space="0"/>
              <w:left w:val="nil"/>
              <w:bottom w:val="single" w:color="auto" w:sz="4" w:space="0"/>
              <w:right w:val="single" w:color="auto" w:sz="4" w:space="0"/>
            </w:tcBorders>
            <w:noWrap w:val="0"/>
            <w:vAlign w:val="top"/>
          </w:tcPr>
          <w:p w14:paraId="63316629">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Ⅳ、Ⅳ</w:t>
            </w:r>
            <w:r>
              <w:rPr>
                <w:rFonts w:hint="default" w:ascii="Times New Roman" w:hAnsi="Times New Roman" w:eastAsia="宋体" w:cs="Times New Roman"/>
                <w:bCs/>
                <w:caps w:val="0"/>
                <w:color w:val="auto"/>
                <w:sz w:val="21"/>
                <w:szCs w:val="21"/>
                <w:highlight w:val="none"/>
                <w:vertAlign w:val="superscript"/>
              </w:rPr>
              <w:t>+</w:t>
            </w:r>
          </w:p>
        </w:tc>
        <w:tc>
          <w:tcPr>
            <w:tcW w:w="1704" w:type="dxa"/>
            <w:tcBorders>
              <w:top w:val="single" w:color="auto" w:sz="4" w:space="0"/>
              <w:left w:val="nil"/>
              <w:bottom w:val="single" w:color="auto" w:sz="4" w:space="0"/>
              <w:right w:val="single" w:color="auto" w:sz="4" w:space="0"/>
            </w:tcBorders>
            <w:noWrap w:val="0"/>
            <w:vAlign w:val="top"/>
          </w:tcPr>
          <w:p w14:paraId="298A1D20">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Ⅲ</w:t>
            </w:r>
          </w:p>
        </w:tc>
        <w:tc>
          <w:tcPr>
            <w:tcW w:w="1705" w:type="dxa"/>
            <w:tcBorders>
              <w:top w:val="single" w:color="auto" w:sz="4" w:space="0"/>
              <w:left w:val="nil"/>
              <w:bottom w:val="single" w:color="auto" w:sz="4" w:space="0"/>
              <w:right w:val="single" w:color="auto" w:sz="4" w:space="0"/>
            </w:tcBorders>
            <w:noWrap w:val="0"/>
            <w:vAlign w:val="top"/>
          </w:tcPr>
          <w:p w14:paraId="44B0D78A">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Ⅱ</w:t>
            </w:r>
          </w:p>
        </w:tc>
        <w:tc>
          <w:tcPr>
            <w:tcW w:w="1705" w:type="dxa"/>
            <w:tcBorders>
              <w:top w:val="single" w:color="auto" w:sz="4" w:space="0"/>
              <w:left w:val="nil"/>
              <w:bottom w:val="single" w:color="auto" w:sz="4" w:space="0"/>
              <w:right w:val="single" w:color="auto" w:sz="4" w:space="0"/>
            </w:tcBorders>
            <w:noWrap w:val="0"/>
            <w:vAlign w:val="top"/>
          </w:tcPr>
          <w:p w14:paraId="5D09823F">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Ⅰ</w:t>
            </w:r>
          </w:p>
        </w:tc>
      </w:tr>
      <w:tr w14:paraId="0D1C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auto" w:sz="4" w:space="0"/>
              <w:left w:val="single" w:color="auto" w:sz="4" w:space="0"/>
              <w:bottom w:val="single" w:color="auto" w:sz="4" w:space="0"/>
              <w:right w:val="single" w:color="auto" w:sz="4" w:space="0"/>
            </w:tcBorders>
            <w:noWrap w:val="0"/>
            <w:vAlign w:val="top"/>
          </w:tcPr>
          <w:p w14:paraId="05589660">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评价工作等级</w:t>
            </w:r>
          </w:p>
        </w:tc>
        <w:tc>
          <w:tcPr>
            <w:tcW w:w="1704" w:type="dxa"/>
            <w:tcBorders>
              <w:top w:val="single" w:color="auto" w:sz="4" w:space="0"/>
              <w:left w:val="nil"/>
              <w:bottom w:val="single" w:color="auto" w:sz="4" w:space="0"/>
              <w:right w:val="single" w:color="auto" w:sz="4" w:space="0"/>
            </w:tcBorders>
            <w:noWrap w:val="0"/>
            <w:vAlign w:val="top"/>
          </w:tcPr>
          <w:p w14:paraId="3A1E8A87">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一</w:t>
            </w:r>
          </w:p>
        </w:tc>
        <w:tc>
          <w:tcPr>
            <w:tcW w:w="1704" w:type="dxa"/>
            <w:tcBorders>
              <w:top w:val="single" w:color="auto" w:sz="4" w:space="0"/>
              <w:left w:val="nil"/>
              <w:bottom w:val="single" w:color="auto" w:sz="4" w:space="0"/>
              <w:right w:val="single" w:color="auto" w:sz="4" w:space="0"/>
            </w:tcBorders>
            <w:noWrap w:val="0"/>
            <w:vAlign w:val="top"/>
          </w:tcPr>
          <w:p w14:paraId="41C39156">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二</w:t>
            </w:r>
          </w:p>
        </w:tc>
        <w:tc>
          <w:tcPr>
            <w:tcW w:w="1705" w:type="dxa"/>
            <w:tcBorders>
              <w:top w:val="single" w:color="auto" w:sz="4" w:space="0"/>
              <w:left w:val="nil"/>
              <w:bottom w:val="single" w:color="auto" w:sz="4" w:space="0"/>
              <w:right w:val="single" w:color="auto" w:sz="4" w:space="0"/>
            </w:tcBorders>
            <w:noWrap w:val="0"/>
            <w:vAlign w:val="top"/>
          </w:tcPr>
          <w:p w14:paraId="34C9DF76">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三</w:t>
            </w:r>
          </w:p>
        </w:tc>
        <w:tc>
          <w:tcPr>
            <w:tcW w:w="1705" w:type="dxa"/>
            <w:tcBorders>
              <w:top w:val="single" w:color="auto" w:sz="4" w:space="0"/>
              <w:left w:val="nil"/>
              <w:bottom w:val="single" w:color="auto" w:sz="4" w:space="0"/>
              <w:right w:val="single" w:color="auto" w:sz="4" w:space="0"/>
            </w:tcBorders>
            <w:noWrap w:val="0"/>
            <w:vAlign w:val="top"/>
          </w:tcPr>
          <w:p w14:paraId="7346C1B3">
            <w:pPr>
              <w:widowControl w:val="0"/>
              <w:ind w:left="-120" w:leftChars="-50" w:right="-120" w:rightChars="-50"/>
              <w:jc w:val="center"/>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rPr>
              <w:t>简单分析</w:t>
            </w:r>
            <w:r>
              <w:rPr>
                <w:rFonts w:hint="default" w:ascii="Times New Roman" w:hAnsi="Times New Roman" w:eastAsia="宋体" w:cs="Times New Roman"/>
                <w:bCs/>
                <w:caps w:val="0"/>
                <w:color w:val="auto"/>
                <w:sz w:val="21"/>
                <w:szCs w:val="21"/>
                <w:highlight w:val="none"/>
                <w:vertAlign w:val="superscript"/>
              </w:rPr>
              <w:t>a</w:t>
            </w:r>
          </w:p>
        </w:tc>
      </w:tr>
      <w:tr w14:paraId="5B7B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top"/>
          </w:tcPr>
          <w:p w14:paraId="56F1699B">
            <w:pPr>
              <w:widowControl w:val="0"/>
              <w:ind w:left="-120" w:leftChars="-50" w:right="-120" w:rightChars="-50"/>
              <w:jc w:val="both"/>
              <w:rPr>
                <w:rFonts w:hint="default" w:ascii="Times New Roman" w:hAnsi="Times New Roman" w:eastAsia="宋体" w:cs="Times New Roman"/>
                <w:bCs/>
                <w:caps w:val="0"/>
                <w:color w:val="auto"/>
                <w:kern w:val="2"/>
                <w:sz w:val="21"/>
                <w:szCs w:val="21"/>
                <w:highlight w:val="none"/>
              </w:rPr>
            </w:pPr>
            <w:r>
              <w:rPr>
                <w:rFonts w:hint="default" w:ascii="Times New Roman" w:hAnsi="Times New Roman" w:eastAsia="宋体" w:cs="Times New Roman"/>
                <w:bCs/>
                <w:caps w:val="0"/>
                <w:color w:val="auto"/>
                <w:sz w:val="21"/>
                <w:szCs w:val="21"/>
                <w:highlight w:val="none"/>
                <w:lang w:val="en-US" w:eastAsia="zh-CN"/>
              </w:rPr>
              <w:t>a</w:t>
            </w:r>
            <w:r>
              <w:rPr>
                <w:rFonts w:hint="default" w:ascii="Times New Roman" w:hAnsi="Times New Roman" w:eastAsia="宋体" w:cs="Times New Roman"/>
                <w:bCs/>
                <w:caps w:val="0"/>
                <w:color w:val="auto"/>
                <w:sz w:val="21"/>
                <w:szCs w:val="21"/>
                <w:highlight w:val="none"/>
              </w:rPr>
              <w:t>是相对于详细评价工作内容而言，在描述危险物质、环境影响途径、环境危害后果、风险防范措施等方面给出定性的说明。见附录A。</w:t>
            </w:r>
          </w:p>
        </w:tc>
      </w:tr>
    </w:tbl>
    <w:p w14:paraId="6095C2CA">
      <w:pPr>
        <w:spacing w:line="360" w:lineRule="auto"/>
        <w:ind w:firstLine="480" w:firstLineChars="200"/>
        <w:rPr>
          <w:rFonts w:hint="default" w:ascii="Times New Roman" w:hAnsi="Times New Roman" w:eastAsia="宋体" w:cs="Times New Roman"/>
          <w:caps w:val="0"/>
          <w:color w:val="auto"/>
          <w:kern w:val="2"/>
          <w:sz w:val="24"/>
          <w:szCs w:val="24"/>
          <w:highlight w:val="none"/>
        </w:rPr>
      </w:pPr>
      <w:r>
        <w:rPr>
          <w:rFonts w:hint="default" w:ascii="Times New Roman" w:hAnsi="Times New Roman" w:cs="Times New Roman"/>
          <w:caps w:val="0"/>
          <w:color w:val="auto"/>
          <w:sz w:val="24"/>
          <w:szCs w:val="24"/>
          <w:highlight w:val="none"/>
          <w:lang w:val="en-US" w:eastAsia="zh-CN"/>
        </w:rPr>
        <w:t>本项目</w:t>
      </w:r>
      <w:r>
        <w:rPr>
          <w:rFonts w:hint="default" w:ascii="Times New Roman" w:hAnsi="Times New Roman" w:eastAsia="宋体" w:cs="Times New Roman"/>
          <w:caps w:val="0"/>
          <w:color w:val="auto"/>
          <w:sz w:val="24"/>
          <w:szCs w:val="24"/>
          <w:highlight w:val="none"/>
        </w:rPr>
        <w:t>运营期涉及的主要危险物质为原油、</w:t>
      </w:r>
      <w:r>
        <w:rPr>
          <w:rFonts w:hint="default" w:ascii="Times New Roman" w:hAnsi="Times New Roman" w:cs="Times New Roman"/>
          <w:color w:val="auto"/>
          <w:highlight w:val="none"/>
        </w:rPr>
        <w:t>伴生气</w:t>
      </w:r>
      <w:r>
        <w:rPr>
          <w:rFonts w:hint="default" w:ascii="Times New Roman" w:hAnsi="Times New Roman" w:eastAsia="宋体" w:cs="Times New Roman"/>
          <w:caps w:val="0"/>
          <w:color w:val="auto"/>
          <w:sz w:val="24"/>
          <w:szCs w:val="24"/>
          <w:highlight w:val="none"/>
        </w:rPr>
        <w:t>、硫化氢，涉及的风险为运行过程中集输管线破损造成的原油、</w:t>
      </w:r>
      <w:r>
        <w:rPr>
          <w:rFonts w:hint="default" w:ascii="Times New Roman" w:hAnsi="Times New Roman" w:cs="Times New Roman"/>
          <w:color w:val="auto"/>
          <w:highlight w:val="none"/>
        </w:rPr>
        <w:t>伴生气</w:t>
      </w:r>
      <w:r>
        <w:rPr>
          <w:rFonts w:hint="default" w:ascii="Times New Roman" w:hAnsi="Times New Roman" w:eastAsia="宋体" w:cs="Times New Roman"/>
          <w:caps w:val="0"/>
          <w:color w:val="auto"/>
          <w:sz w:val="24"/>
          <w:szCs w:val="24"/>
          <w:highlight w:val="none"/>
        </w:rPr>
        <w:t>、硫化氢的泄漏。</w:t>
      </w:r>
    </w:p>
    <w:p w14:paraId="360FA24E">
      <w:pPr>
        <w:spacing w:line="360" w:lineRule="auto"/>
        <w:ind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根据《建设项目环境风险评价技术导则》（HJ169-2018）</w:t>
      </w:r>
      <w:r>
        <w:rPr>
          <w:rFonts w:hint="eastAsia" w:cs="Times New Roman"/>
          <w:caps w:val="0"/>
          <w:color w:val="auto"/>
          <w:sz w:val="24"/>
          <w:szCs w:val="24"/>
          <w:highlight w:val="none"/>
          <w:lang w:eastAsia="zh-CN"/>
        </w:rPr>
        <w:t>，</w:t>
      </w:r>
      <w:r>
        <w:rPr>
          <w:rFonts w:hint="default" w:ascii="Times New Roman" w:hAnsi="Times New Roman" w:cs="Times New Roman"/>
          <w:caps w:val="0"/>
          <w:color w:val="auto"/>
          <w:sz w:val="24"/>
          <w:szCs w:val="24"/>
          <w:highlight w:val="none"/>
          <w:lang w:eastAsia="zh-CN"/>
        </w:rPr>
        <w:t>本项目</w:t>
      </w:r>
      <w:r>
        <w:rPr>
          <w:rFonts w:hint="default" w:ascii="Times New Roman" w:hAnsi="Times New Roman" w:eastAsia="宋体" w:cs="Times New Roman"/>
          <w:caps w:val="0"/>
          <w:color w:val="auto"/>
          <w:sz w:val="24"/>
          <w:szCs w:val="24"/>
          <w:highlight w:val="none"/>
        </w:rPr>
        <w:t>风险评价等级判定如下：</w:t>
      </w:r>
    </w:p>
    <w:p w14:paraId="1222EF14">
      <w:pPr>
        <w:spacing w:line="360" w:lineRule="auto"/>
        <w:ind w:firstLine="482" w:firstLineChars="200"/>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（1）环境风险潜势划分</w:t>
      </w:r>
    </w:p>
    <w:p w14:paraId="4F53CB2C">
      <w:pPr>
        <w:spacing w:line="360" w:lineRule="auto"/>
        <w:ind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建设项目环境风险潜势划分为Ⅰ、Ⅱ、Ⅲ、Ⅳ、Ⅳ</w:t>
      </w:r>
      <w:r>
        <w:rPr>
          <w:rFonts w:hint="default" w:ascii="Times New Roman" w:hAnsi="Times New Roman" w:eastAsia="宋体" w:cs="Times New Roman"/>
          <w:caps w:val="0"/>
          <w:color w:val="auto"/>
          <w:sz w:val="24"/>
          <w:szCs w:val="24"/>
          <w:highlight w:val="none"/>
          <w:vertAlign w:val="superscript"/>
        </w:rPr>
        <w:t>+</w:t>
      </w:r>
      <w:r>
        <w:rPr>
          <w:rFonts w:hint="default" w:ascii="Times New Roman" w:hAnsi="Times New Roman" w:eastAsia="宋体" w:cs="Times New Roman"/>
          <w:caps w:val="0"/>
          <w:color w:val="auto"/>
          <w:sz w:val="24"/>
          <w:szCs w:val="24"/>
          <w:highlight w:val="none"/>
        </w:rPr>
        <w:t>级。</w:t>
      </w:r>
    </w:p>
    <w:p w14:paraId="4A5DA024">
      <w:pPr>
        <w:spacing w:line="360" w:lineRule="auto"/>
        <w:ind w:firstLine="480" w:firstLineChars="200"/>
        <w:rPr>
          <w:rFonts w:hint="default" w:ascii="Times New Roman" w:hAnsi="Times New Roman" w:eastAsia="宋体" w:cs="Times New Roman"/>
          <w:caps w:val="0"/>
          <w:color w:val="auto"/>
          <w:szCs w:val="24"/>
          <w:highlight w:val="none"/>
        </w:rPr>
      </w:pPr>
      <w:r>
        <w:rPr>
          <w:rFonts w:hint="default" w:ascii="Times New Roman" w:hAnsi="Times New Roman" w:cs="Times New Roman"/>
          <w:color w:val="auto"/>
          <w:highlight w:val="none"/>
        </w:rPr>
        <w:t>根据建设项目涉及的物质和工艺系统的危险性及其所在地的环境敏感程度，结合事故情形下环境影响途径，对建设项目潜在环境危害程度进行概化分析，按照表</w:t>
      </w:r>
      <w:r>
        <w:rPr>
          <w:rFonts w:hint="default" w:ascii="Times New Roman" w:hAnsi="Times New Roman" w:eastAsia="宋体" w:cs="Times New Roman"/>
          <w:caps w:val="0"/>
          <w:color w:val="auto"/>
          <w:sz w:val="24"/>
          <w:szCs w:val="24"/>
          <w:highlight w:val="none"/>
        </w:rPr>
        <w:t>2.6-</w:t>
      </w:r>
      <w:r>
        <w:rPr>
          <w:rFonts w:hint="default" w:ascii="Times New Roman" w:hAnsi="Times New Roman" w:cs="Times New Roman"/>
          <w:caps w:val="0"/>
          <w:color w:val="auto"/>
          <w:sz w:val="24"/>
          <w:szCs w:val="24"/>
          <w:highlight w:val="none"/>
          <w:lang w:val="en-US" w:eastAsia="zh-CN"/>
        </w:rPr>
        <w:t>13</w:t>
      </w:r>
      <w:r>
        <w:rPr>
          <w:rFonts w:hint="default" w:ascii="Times New Roman" w:hAnsi="Times New Roman" w:eastAsia="宋体" w:cs="Times New Roman"/>
          <w:caps w:val="0"/>
          <w:color w:val="auto"/>
          <w:sz w:val="24"/>
          <w:szCs w:val="24"/>
          <w:highlight w:val="none"/>
        </w:rPr>
        <w:t>确定环境风险潜势。</w:t>
      </w:r>
    </w:p>
    <w:p w14:paraId="6EB296D1">
      <w:pPr>
        <w:jc w:val="center"/>
        <w:rPr>
          <w:rFonts w:hint="default" w:ascii="Times New Roman" w:hAnsi="Times New Roman" w:eastAsia="黑体" w:cs="Times New Roman"/>
          <w:b w:val="0"/>
          <w:bCs w:val="0"/>
          <w:caps w:val="0"/>
          <w:color w:val="auto"/>
          <w:kern w:val="2"/>
          <w:sz w:val="21"/>
          <w:szCs w:val="21"/>
          <w:highlight w:val="none"/>
          <w:lang w:val="en-US" w:eastAsia="zh-CN"/>
        </w:rPr>
      </w:pPr>
      <w:r>
        <w:rPr>
          <w:rFonts w:hint="default" w:ascii="Times New Roman" w:hAnsi="Times New Roman" w:eastAsia="黑体" w:cs="Times New Roman"/>
          <w:b w:val="0"/>
          <w:bCs w:val="0"/>
          <w:caps w:val="0"/>
          <w:color w:val="auto"/>
          <w:kern w:val="2"/>
          <w:sz w:val="21"/>
          <w:szCs w:val="21"/>
          <w:highlight w:val="none"/>
          <w:lang w:val="en-US" w:eastAsia="zh-CN"/>
        </w:rPr>
        <w:t>表2.6-13</w:t>
      </w:r>
      <w:r>
        <w:rPr>
          <w:rFonts w:hint="eastAsia" w:ascii="Times New Roman" w:hAnsi="Times New Roman" w:eastAsia="黑体" w:cs="Times New Roman"/>
          <w:b w:val="0"/>
          <w:bCs w:val="0"/>
          <w:caps w:val="0"/>
          <w:color w:val="auto"/>
          <w:kern w:val="2"/>
          <w:sz w:val="21"/>
          <w:szCs w:val="21"/>
          <w:highlight w:val="none"/>
          <w:lang w:val="en-US" w:eastAsia="zh-CN"/>
        </w:rPr>
        <w:t xml:space="preserve">  </w:t>
      </w:r>
      <w:r>
        <w:rPr>
          <w:rFonts w:hint="default" w:ascii="Times New Roman" w:hAnsi="Times New Roman" w:eastAsia="黑体" w:cs="Times New Roman"/>
          <w:b w:val="0"/>
          <w:bCs w:val="0"/>
          <w:caps w:val="0"/>
          <w:color w:val="auto"/>
          <w:kern w:val="2"/>
          <w:sz w:val="21"/>
          <w:szCs w:val="21"/>
          <w:highlight w:val="none"/>
          <w:lang w:val="en-US" w:eastAsia="zh-CN"/>
        </w:rPr>
        <w:t>建设项目环境风险潜势划分</w:t>
      </w:r>
    </w:p>
    <w:p w14:paraId="51D5B02E">
      <w:pPr>
        <w:keepNext w:val="0"/>
        <w:keepLines w:val="0"/>
        <w:pageBreakBefore w:val="0"/>
        <w:kinsoku/>
        <w:wordWrap/>
        <w:overflowPunct/>
        <w:topLinePunct w:val="0"/>
        <w:autoSpaceDE/>
        <w:autoSpaceDN/>
        <w:bidi w:val="0"/>
        <w:adjustRightInd w:val="0"/>
        <w:snapToGrid w:val="0"/>
        <w:spacing w:before="8" w:line="240" w:lineRule="auto"/>
        <w:textAlignment w:val="auto"/>
        <w:rPr>
          <w:rFonts w:hint="eastAsia" w:ascii="Times New Roman" w:hAnsi="Times New Roman" w:eastAsia="宋体" w:cs="Times New Roman"/>
          <w:caps w:val="0"/>
          <w:color w:val="auto"/>
          <w:sz w:val="7"/>
          <w:szCs w:val="7"/>
          <w:highlight w:val="none"/>
          <w:lang w:eastAsia="zh-CN"/>
        </w:rPr>
      </w:pPr>
    </w:p>
    <w:tbl>
      <w:tblPr>
        <w:tblStyle w:val="3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95"/>
        <w:gridCol w:w="1572"/>
        <w:gridCol w:w="1585"/>
        <w:gridCol w:w="1572"/>
        <w:gridCol w:w="1592"/>
      </w:tblGrid>
      <w:tr w14:paraId="4F4C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1200" w:type="pct"/>
            <w:vMerge w:val="restart"/>
            <w:tcBorders>
              <w:top w:val="single" w:color="000000" w:sz="4" w:space="0"/>
              <w:left w:val="single" w:color="000000" w:sz="4" w:space="0"/>
              <w:bottom w:val="single" w:color="000000" w:sz="4" w:space="0"/>
              <w:right w:val="single" w:color="000000" w:sz="4" w:space="0"/>
            </w:tcBorders>
            <w:noWrap w:val="0"/>
            <w:vAlign w:val="center"/>
          </w:tcPr>
          <w:p w14:paraId="21E613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环境敏感程度</w:t>
            </w:r>
          </w:p>
        </w:tc>
        <w:tc>
          <w:tcPr>
            <w:tcW w:w="3800" w:type="pct"/>
            <w:gridSpan w:val="4"/>
            <w:tcBorders>
              <w:top w:val="single" w:color="000000" w:sz="4" w:space="0"/>
              <w:left w:val="single" w:color="000000" w:sz="4" w:space="0"/>
              <w:bottom w:val="single" w:color="000000" w:sz="4" w:space="0"/>
              <w:right w:val="single" w:color="000000" w:sz="4" w:space="0"/>
            </w:tcBorders>
            <w:noWrap w:val="0"/>
            <w:vAlign w:val="center"/>
          </w:tcPr>
          <w:p w14:paraId="05C375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危险物质及工艺系统危险性（P）</w:t>
            </w:r>
          </w:p>
        </w:tc>
      </w:tr>
      <w:tr w14:paraId="7AD1C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C86B561">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auto"/>
                <w:kern w:val="2"/>
                <w:sz w:val="21"/>
                <w:szCs w:val="21"/>
                <w:highlight w:val="none"/>
              </w:rPr>
            </w:pP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5628CF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极高危害（P1）</w:t>
            </w:r>
          </w:p>
        </w:tc>
        <w:tc>
          <w:tcPr>
            <w:tcW w:w="953" w:type="pct"/>
            <w:tcBorders>
              <w:top w:val="single" w:color="000000" w:sz="4" w:space="0"/>
              <w:left w:val="single" w:color="000000" w:sz="4" w:space="0"/>
              <w:bottom w:val="single" w:color="000000" w:sz="4" w:space="0"/>
              <w:right w:val="single" w:color="000000" w:sz="4" w:space="0"/>
            </w:tcBorders>
            <w:noWrap w:val="0"/>
            <w:vAlign w:val="center"/>
          </w:tcPr>
          <w:p w14:paraId="61EC07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高度危害（P2）</w:t>
            </w: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7FA8E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中度危害（P3）</w:t>
            </w:r>
          </w:p>
        </w:tc>
        <w:tc>
          <w:tcPr>
            <w:tcW w:w="957" w:type="pct"/>
            <w:tcBorders>
              <w:top w:val="single" w:color="000000" w:sz="4" w:space="0"/>
              <w:left w:val="single" w:color="000000" w:sz="4" w:space="0"/>
              <w:bottom w:val="single" w:color="000000" w:sz="4" w:space="0"/>
              <w:right w:val="single" w:color="000000" w:sz="4" w:space="0"/>
            </w:tcBorders>
            <w:noWrap w:val="0"/>
            <w:vAlign w:val="center"/>
          </w:tcPr>
          <w:p w14:paraId="621287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轻度危害（P4）</w:t>
            </w:r>
          </w:p>
        </w:tc>
      </w:tr>
      <w:tr w14:paraId="5707D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200" w:type="pct"/>
            <w:tcBorders>
              <w:top w:val="single" w:color="000000" w:sz="4" w:space="0"/>
              <w:left w:val="single" w:color="000000" w:sz="4" w:space="0"/>
              <w:bottom w:val="single" w:color="000000" w:sz="4" w:space="0"/>
              <w:right w:val="single" w:color="000000" w:sz="4" w:space="0"/>
            </w:tcBorders>
            <w:noWrap w:val="0"/>
            <w:vAlign w:val="center"/>
          </w:tcPr>
          <w:p w14:paraId="788E4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环境高度敏感区（E1）</w:t>
            </w: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66CB36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Ⅳ+</w:t>
            </w:r>
          </w:p>
        </w:tc>
        <w:tc>
          <w:tcPr>
            <w:tcW w:w="953" w:type="pct"/>
            <w:tcBorders>
              <w:top w:val="single" w:color="000000" w:sz="4" w:space="0"/>
              <w:left w:val="single" w:color="000000" w:sz="4" w:space="0"/>
              <w:bottom w:val="single" w:color="000000" w:sz="4" w:space="0"/>
              <w:right w:val="single" w:color="000000" w:sz="4" w:space="0"/>
            </w:tcBorders>
            <w:noWrap w:val="0"/>
            <w:vAlign w:val="center"/>
          </w:tcPr>
          <w:p w14:paraId="3BF7B0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Ⅳ</w:t>
            </w: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067D9A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Ⅲ</w:t>
            </w:r>
          </w:p>
        </w:tc>
        <w:tc>
          <w:tcPr>
            <w:tcW w:w="957" w:type="pct"/>
            <w:tcBorders>
              <w:top w:val="single" w:color="000000" w:sz="4" w:space="0"/>
              <w:left w:val="single" w:color="000000" w:sz="4" w:space="0"/>
              <w:bottom w:val="single" w:color="000000" w:sz="4" w:space="0"/>
              <w:right w:val="single" w:color="000000" w:sz="4" w:space="0"/>
            </w:tcBorders>
            <w:noWrap w:val="0"/>
            <w:vAlign w:val="center"/>
          </w:tcPr>
          <w:p w14:paraId="3191C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Ⅲ</w:t>
            </w:r>
          </w:p>
        </w:tc>
      </w:tr>
      <w:tr w14:paraId="5EE01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200" w:type="pct"/>
            <w:tcBorders>
              <w:top w:val="single" w:color="000000" w:sz="4" w:space="0"/>
              <w:left w:val="single" w:color="000000" w:sz="4" w:space="0"/>
              <w:bottom w:val="single" w:color="000000" w:sz="4" w:space="0"/>
              <w:right w:val="single" w:color="000000" w:sz="4" w:space="0"/>
            </w:tcBorders>
            <w:noWrap w:val="0"/>
            <w:vAlign w:val="center"/>
          </w:tcPr>
          <w:p w14:paraId="40061C9F">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环境中度敏感区（E2）</w:t>
            </w: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5CB38076">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Ⅳ</w:t>
            </w:r>
          </w:p>
        </w:tc>
        <w:tc>
          <w:tcPr>
            <w:tcW w:w="953" w:type="pct"/>
            <w:tcBorders>
              <w:top w:val="single" w:color="000000" w:sz="4" w:space="0"/>
              <w:left w:val="single" w:color="000000" w:sz="4" w:space="0"/>
              <w:bottom w:val="single" w:color="000000" w:sz="4" w:space="0"/>
              <w:right w:val="single" w:color="000000" w:sz="4" w:space="0"/>
            </w:tcBorders>
            <w:noWrap w:val="0"/>
            <w:vAlign w:val="center"/>
          </w:tcPr>
          <w:p w14:paraId="13357DFC">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Ⅲ</w:t>
            </w: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48D401BB">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Ⅲ</w:t>
            </w:r>
          </w:p>
        </w:tc>
        <w:tc>
          <w:tcPr>
            <w:tcW w:w="957" w:type="pct"/>
            <w:tcBorders>
              <w:top w:val="single" w:color="000000" w:sz="4" w:space="0"/>
              <w:left w:val="single" w:color="000000" w:sz="4" w:space="0"/>
              <w:bottom w:val="single" w:color="000000" w:sz="4" w:space="0"/>
              <w:right w:val="single" w:color="000000" w:sz="4" w:space="0"/>
            </w:tcBorders>
            <w:noWrap w:val="0"/>
            <w:vAlign w:val="center"/>
          </w:tcPr>
          <w:p w14:paraId="0ED3EAD0">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Ⅱ</w:t>
            </w:r>
          </w:p>
        </w:tc>
      </w:tr>
      <w:tr w14:paraId="1C90B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200" w:type="pct"/>
            <w:tcBorders>
              <w:top w:val="single" w:color="000000" w:sz="4" w:space="0"/>
              <w:left w:val="single" w:color="000000" w:sz="4" w:space="0"/>
              <w:bottom w:val="single" w:color="000000" w:sz="4" w:space="0"/>
              <w:right w:val="single" w:color="000000" w:sz="4" w:space="0"/>
            </w:tcBorders>
            <w:noWrap w:val="0"/>
            <w:vAlign w:val="center"/>
          </w:tcPr>
          <w:p w14:paraId="4F29ACDF">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环境轻度敏感区（E3）</w:t>
            </w: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4B58614B">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Ⅲ</w:t>
            </w:r>
          </w:p>
        </w:tc>
        <w:tc>
          <w:tcPr>
            <w:tcW w:w="953" w:type="pct"/>
            <w:tcBorders>
              <w:top w:val="single" w:color="000000" w:sz="4" w:space="0"/>
              <w:left w:val="single" w:color="000000" w:sz="4" w:space="0"/>
              <w:bottom w:val="single" w:color="000000" w:sz="4" w:space="0"/>
              <w:right w:val="single" w:color="000000" w:sz="4" w:space="0"/>
            </w:tcBorders>
            <w:noWrap w:val="0"/>
            <w:vAlign w:val="center"/>
          </w:tcPr>
          <w:p w14:paraId="4B223BE8">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Ⅲ</w:t>
            </w:r>
          </w:p>
        </w:tc>
        <w:tc>
          <w:tcPr>
            <w:tcW w:w="945" w:type="pct"/>
            <w:tcBorders>
              <w:top w:val="single" w:color="000000" w:sz="4" w:space="0"/>
              <w:left w:val="single" w:color="000000" w:sz="4" w:space="0"/>
              <w:bottom w:val="single" w:color="000000" w:sz="4" w:space="0"/>
              <w:right w:val="single" w:color="000000" w:sz="4" w:space="0"/>
            </w:tcBorders>
            <w:noWrap w:val="0"/>
            <w:vAlign w:val="center"/>
          </w:tcPr>
          <w:p w14:paraId="6314510B">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Ⅱ</w:t>
            </w:r>
          </w:p>
        </w:tc>
        <w:tc>
          <w:tcPr>
            <w:tcW w:w="957" w:type="pct"/>
            <w:tcBorders>
              <w:top w:val="single" w:color="000000" w:sz="4" w:space="0"/>
              <w:left w:val="single" w:color="000000" w:sz="4" w:space="0"/>
              <w:bottom w:val="single" w:color="000000" w:sz="4" w:space="0"/>
              <w:right w:val="single" w:color="000000" w:sz="4" w:space="0"/>
            </w:tcBorders>
            <w:noWrap w:val="0"/>
            <w:vAlign w:val="center"/>
          </w:tcPr>
          <w:p w14:paraId="5E6E7FCE">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Ⅰ</w:t>
            </w:r>
          </w:p>
        </w:tc>
      </w:tr>
      <w:tr w14:paraId="5C91B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57423AC2">
            <w:pPr>
              <w:widowControl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注：Ⅳ+为极高环境风险</w:t>
            </w:r>
          </w:p>
        </w:tc>
      </w:tr>
    </w:tbl>
    <w:p w14:paraId="00BE22E6">
      <w:pPr>
        <w:spacing w:line="360" w:lineRule="auto"/>
        <w:ind w:firstLine="482" w:firstLineChars="200"/>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（2）</w:t>
      </w:r>
      <w:r>
        <w:rPr>
          <w:rFonts w:hint="default" w:ascii="Times New Roman" w:hAnsi="Times New Roman" w:cs="Times New Roman"/>
          <w:b/>
          <w:bCs/>
          <w:color w:val="auto"/>
          <w:highlight w:val="none"/>
        </w:rPr>
        <w:t>Q</w:t>
      </w:r>
      <w:r>
        <w:rPr>
          <w:rFonts w:hint="eastAsia" w:ascii="Times New Roman" w:hAnsi="Times New Roman" w:cs="Times New Roman"/>
          <w:b/>
          <w:bCs/>
          <w:color w:val="auto"/>
          <w:highlight w:val="none"/>
          <w:lang w:val="en-US" w:eastAsia="zh-CN"/>
        </w:rPr>
        <w:t>值</w:t>
      </w:r>
      <w:r>
        <w:rPr>
          <w:rFonts w:hint="default" w:ascii="Times New Roman" w:hAnsi="Times New Roman" w:eastAsia="宋体" w:cs="Times New Roman"/>
          <w:b/>
          <w:bCs/>
          <w:caps w:val="0"/>
          <w:color w:val="auto"/>
          <w:sz w:val="24"/>
          <w:szCs w:val="24"/>
          <w:highlight w:val="none"/>
        </w:rPr>
        <w:t>确定</w:t>
      </w:r>
    </w:p>
    <w:p w14:paraId="371CAD09">
      <w:pPr>
        <w:spacing w:line="360" w:lineRule="auto"/>
        <w:ind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根据《建设项目环境风险评价技术导则》（HJ169-2018），定量分析危险物质数量与临界量的比值（Q），见表2.6-</w:t>
      </w:r>
      <w:r>
        <w:rPr>
          <w:rFonts w:hint="default" w:ascii="Times New Roman" w:hAnsi="Times New Roman" w:eastAsia="宋体" w:cs="Times New Roman"/>
          <w:caps w:val="0"/>
          <w:color w:val="auto"/>
          <w:sz w:val="24"/>
          <w:szCs w:val="24"/>
          <w:highlight w:val="none"/>
          <w:lang w:val="en-US" w:eastAsia="zh-CN"/>
        </w:rPr>
        <w:t>1</w:t>
      </w:r>
      <w:r>
        <w:rPr>
          <w:rFonts w:hint="default" w:ascii="Times New Roman" w:hAnsi="Times New Roman" w:cs="Times New Roman"/>
          <w:caps w:val="0"/>
          <w:color w:val="auto"/>
          <w:sz w:val="24"/>
          <w:szCs w:val="24"/>
          <w:highlight w:val="none"/>
          <w:lang w:val="en-US" w:eastAsia="zh-CN"/>
        </w:rPr>
        <w:t>4</w:t>
      </w:r>
      <w:r>
        <w:rPr>
          <w:rFonts w:hint="default" w:ascii="Times New Roman" w:hAnsi="Times New Roman" w:eastAsia="宋体" w:cs="Times New Roman"/>
          <w:caps w:val="0"/>
          <w:color w:val="auto"/>
          <w:sz w:val="24"/>
          <w:szCs w:val="24"/>
          <w:highlight w:val="none"/>
        </w:rPr>
        <w:t>。</w:t>
      </w:r>
    </w:p>
    <w:p w14:paraId="0BE9DE93">
      <w:pPr>
        <w:jc w:val="center"/>
        <w:rPr>
          <w:rFonts w:hint="default" w:ascii="Times New Roman" w:hAnsi="Times New Roman" w:eastAsia="宋体" w:cs="Times New Roman"/>
          <w:b/>
          <w:bCs/>
          <w:caps w:val="0"/>
          <w:color w:val="auto"/>
          <w:spacing w:val="4"/>
          <w:sz w:val="21"/>
          <w:szCs w:val="21"/>
          <w:highlight w:val="none"/>
        </w:rPr>
      </w:pPr>
      <w:r>
        <w:rPr>
          <w:rFonts w:hint="default" w:ascii="Times New Roman" w:hAnsi="Times New Roman" w:eastAsia="黑体" w:cs="Times New Roman"/>
          <w:b w:val="0"/>
          <w:bCs w:val="0"/>
          <w:caps w:val="0"/>
          <w:color w:val="auto"/>
          <w:kern w:val="2"/>
          <w:sz w:val="21"/>
          <w:szCs w:val="21"/>
          <w:highlight w:val="none"/>
          <w:lang w:val="en-US" w:eastAsia="zh-CN"/>
        </w:rPr>
        <w:t>表2.6-14</w:t>
      </w:r>
      <w:r>
        <w:rPr>
          <w:rFonts w:hint="eastAsia" w:eastAsia="黑体" w:cs="Times New Roman"/>
          <w:b w:val="0"/>
          <w:bCs w:val="0"/>
          <w:caps w:val="0"/>
          <w:color w:val="auto"/>
          <w:kern w:val="2"/>
          <w:sz w:val="21"/>
          <w:szCs w:val="21"/>
          <w:highlight w:val="none"/>
          <w:lang w:val="en-US" w:eastAsia="zh-CN"/>
        </w:rPr>
        <w:t xml:space="preserve">  </w:t>
      </w:r>
      <w:r>
        <w:rPr>
          <w:rFonts w:hint="default" w:ascii="Times New Roman" w:hAnsi="Times New Roman" w:eastAsia="黑体" w:cs="Times New Roman"/>
          <w:b w:val="0"/>
          <w:bCs w:val="0"/>
          <w:caps w:val="0"/>
          <w:color w:val="auto"/>
          <w:kern w:val="2"/>
          <w:sz w:val="21"/>
          <w:szCs w:val="21"/>
          <w:highlight w:val="none"/>
          <w:lang w:val="en-US" w:eastAsia="zh-CN"/>
        </w:rPr>
        <w:t>本项目重大危险源辨识一览表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4793"/>
        <w:gridCol w:w="1535"/>
        <w:gridCol w:w="1516"/>
      </w:tblGrid>
      <w:tr w14:paraId="46CF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14:paraId="0CD013D9">
            <w:pPr>
              <w:widowControl w:val="0"/>
              <w:adjustRightInd w:val="0"/>
              <w:snapToGrid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序号</w:t>
            </w:r>
          </w:p>
        </w:tc>
        <w:tc>
          <w:tcPr>
            <w:tcW w:w="2811" w:type="pct"/>
            <w:tcBorders>
              <w:top w:val="single" w:color="auto" w:sz="4" w:space="0"/>
              <w:left w:val="single" w:color="auto" w:sz="4" w:space="0"/>
              <w:bottom w:val="single" w:color="auto" w:sz="4" w:space="0"/>
              <w:right w:val="single" w:color="auto" w:sz="4" w:space="0"/>
            </w:tcBorders>
            <w:noWrap w:val="0"/>
            <w:vAlign w:val="center"/>
          </w:tcPr>
          <w:p w14:paraId="4DE937CC">
            <w:pPr>
              <w:widowControl w:val="0"/>
              <w:adjustRightInd w:val="0"/>
              <w:snapToGrid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物质名称</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1568F58A">
            <w:pPr>
              <w:widowControl w:val="0"/>
              <w:adjustRightInd w:val="0"/>
              <w:snapToGrid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CAS号</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384894C">
            <w:pPr>
              <w:widowControl w:val="0"/>
              <w:adjustRightInd w:val="0"/>
              <w:snapToGrid w:val="0"/>
              <w:jc w:val="center"/>
              <w:rPr>
                <w:rFonts w:hint="default" w:ascii="Times New Roman" w:hAnsi="Times New Roman" w:eastAsia="宋体" w:cs="Times New Roman"/>
                <w:caps w:val="0"/>
                <w:color w:val="auto"/>
                <w:kern w:val="2"/>
                <w:sz w:val="21"/>
                <w:szCs w:val="21"/>
                <w:highlight w:val="none"/>
              </w:rPr>
            </w:pPr>
            <w:r>
              <w:rPr>
                <w:rFonts w:hint="default" w:ascii="Times New Roman" w:hAnsi="Times New Roman" w:eastAsia="宋体" w:cs="Times New Roman"/>
                <w:caps w:val="0"/>
                <w:color w:val="auto"/>
                <w:sz w:val="21"/>
                <w:szCs w:val="21"/>
                <w:highlight w:val="none"/>
              </w:rPr>
              <w:t>临界量/t</w:t>
            </w:r>
          </w:p>
        </w:tc>
      </w:tr>
      <w:tr w14:paraId="1345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14:paraId="124176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cs="Times New Roman"/>
                <w:color w:val="auto"/>
                <w:sz w:val="21"/>
                <w:szCs w:val="21"/>
                <w:highlight w:val="none"/>
              </w:rPr>
              <w:t>1</w:t>
            </w:r>
          </w:p>
        </w:tc>
        <w:tc>
          <w:tcPr>
            <w:tcW w:w="2811" w:type="pct"/>
            <w:tcBorders>
              <w:top w:val="single" w:color="auto" w:sz="4" w:space="0"/>
              <w:left w:val="single" w:color="auto" w:sz="4" w:space="0"/>
              <w:bottom w:val="single" w:color="auto" w:sz="4" w:space="0"/>
              <w:right w:val="single" w:color="auto" w:sz="4" w:space="0"/>
            </w:tcBorders>
            <w:noWrap w:val="0"/>
            <w:vAlign w:val="center"/>
          </w:tcPr>
          <w:p w14:paraId="4E6E8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cs="Times New Roman"/>
                <w:color w:val="auto"/>
                <w:sz w:val="21"/>
                <w:szCs w:val="21"/>
                <w:highlight w:val="none"/>
                <w:lang w:val="en-US" w:eastAsia="zh-CN"/>
              </w:rPr>
              <w:t>伴生气</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497FE4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cs="Times New Roman"/>
                <w:color w:val="auto"/>
                <w:sz w:val="21"/>
                <w:szCs w:val="21"/>
                <w:highlight w:val="none"/>
              </w:rPr>
              <w:t>68476-85-7</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74A98B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kern w:val="2"/>
                <w:sz w:val="21"/>
                <w:szCs w:val="21"/>
                <w:highlight w:val="none"/>
              </w:rPr>
            </w:pPr>
            <w:r>
              <w:rPr>
                <w:rFonts w:hint="default" w:ascii="Times New Roman" w:hAnsi="Times New Roman" w:cs="Times New Roman"/>
                <w:color w:val="auto"/>
                <w:sz w:val="21"/>
                <w:szCs w:val="21"/>
                <w:highlight w:val="none"/>
              </w:rPr>
              <w:t>10</w:t>
            </w:r>
          </w:p>
        </w:tc>
      </w:tr>
      <w:tr w14:paraId="0A6A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14:paraId="70172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color w:val="auto"/>
                <w:sz w:val="21"/>
                <w:szCs w:val="21"/>
                <w:highlight w:val="none"/>
              </w:rPr>
              <w:t>2</w:t>
            </w:r>
          </w:p>
        </w:tc>
        <w:tc>
          <w:tcPr>
            <w:tcW w:w="2811" w:type="pct"/>
            <w:tcBorders>
              <w:top w:val="single" w:color="auto" w:sz="4" w:space="0"/>
              <w:left w:val="single" w:color="auto" w:sz="4" w:space="0"/>
              <w:bottom w:val="single" w:color="auto" w:sz="4" w:space="0"/>
              <w:right w:val="single" w:color="auto" w:sz="4" w:space="0"/>
            </w:tcBorders>
            <w:noWrap w:val="0"/>
            <w:vAlign w:val="center"/>
          </w:tcPr>
          <w:p w14:paraId="790517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color w:val="auto"/>
                <w:sz w:val="21"/>
                <w:szCs w:val="21"/>
                <w:highlight w:val="none"/>
              </w:rPr>
              <w:t>油类物质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矿物油类，如石油、汽油等</w:t>
            </w:r>
            <w:r>
              <w:rPr>
                <w:rFonts w:hint="default" w:ascii="Times New Roman" w:hAnsi="Times New Roman" w:cs="Times New Roman"/>
                <w:color w:val="auto"/>
                <w:sz w:val="21"/>
                <w:szCs w:val="21"/>
                <w:highlight w:val="none"/>
                <w:lang w:eastAsia="zh-CN"/>
              </w:rPr>
              <w:t>）</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6BA4E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color w:val="auto"/>
                <w:sz w:val="21"/>
                <w:szCs w:val="21"/>
                <w:highlight w:val="none"/>
              </w:rPr>
              <w:t>/</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3BF610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color w:val="auto"/>
                <w:sz w:val="21"/>
                <w:szCs w:val="21"/>
                <w:highlight w:val="none"/>
              </w:rPr>
              <w:t>2500</w:t>
            </w:r>
          </w:p>
        </w:tc>
      </w:tr>
      <w:tr w14:paraId="46DD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14:paraId="59BF57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color w:val="auto"/>
                <w:sz w:val="21"/>
                <w:szCs w:val="21"/>
                <w:highlight w:val="none"/>
                <w:lang w:val="en-US" w:eastAsia="zh-CN"/>
              </w:rPr>
              <w:t>3</w:t>
            </w:r>
          </w:p>
        </w:tc>
        <w:tc>
          <w:tcPr>
            <w:tcW w:w="2811" w:type="pct"/>
            <w:tcBorders>
              <w:top w:val="single" w:color="auto" w:sz="4" w:space="0"/>
              <w:left w:val="single" w:color="auto" w:sz="4" w:space="0"/>
              <w:bottom w:val="single" w:color="auto" w:sz="4" w:space="0"/>
              <w:right w:val="single" w:color="auto" w:sz="4" w:space="0"/>
            </w:tcBorders>
            <w:noWrap w:val="0"/>
            <w:vAlign w:val="center"/>
          </w:tcPr>
          <w:p w14:paraId="6AF23A0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硫化氢</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1601EDA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66D697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2.5</w:t>
            </w:r>
          </w:p>
        </w:tc>
      </w:tr>
    </w:tbl>
    <w:p w14:paraId="08270EB0">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根据《建设项目环境风险评价技术导则》（HJ169-2018）中的判定方法，当存在多种危险物质时，按照下式计算物质总量与其临界量比值（Q）：</w:t>
      </w:r>
    </w:p>
    <w:p w14:paraId="0B7DD5A6">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drawing>
          <wp:anchor distT="0" distB="0" distL="114300" distR="114300" simplePos="0" relativeHeight="251687936" behindDoc="0" locked="0" layoutInCell="1" allowOverlap="1">
            <wp:simplePos x="0" y="0"/>
            <wp:positionH relativeFrom="column">
              <wp:posOffset>960755</wp:posOffset>
            </wp:positionH>
            <wp:positionV relativeFrom="paragraph">
              <wp:posOffset>51435</wp:posOffset>
            </wp:positionV>
            <wp:extent cx="3321050" cy="493395"/>
            <wp:effectExtent l="0" t="0" r="12700" b="1905"/>
            <wp:wrapTopAndBottom/>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31"/>
                    <a:stretch>
                      <a:fillRect/>
                    </a:stretch>
                  </pic:blipFill>
                  <pic:spPr>
                    <a:xfrm>
                      <a:off x="0" y="0"/>
                      <a:ext cx="3321050" cy="493395"/>
                    </a:xfrm>
                    <a:prstGeom prst="rect">
                      <a:avLst/>
                    </a:prstGeom>
                    <a:noFill/>
                    <a:ln>
                      <a:noFill/>
                    </a:ln>
                  </pic:spPr>
                </pic:pic>
              </a:graphicData>
            </a:graphic>
          </wp:anchor>
        </w:drawing>
      </w:r>
    </w:p>
    <w:p w14:paraId="2B36A3C2">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式中：q1，q2，···，qn--每种危险物质的最大存在总量，t；</w:t>
      </w:r>
    </w:p>
    <w:p w14:paraId="2B67E416">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Q1，Q2，···，Qn--每种危险物质的临界量，t；</w:t>
      </w:r>
    </w:p>
    <w:p w14:paraId="0436D3C3">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当Q&lt;1时，该项目环境风险潜势为I；当Q≥1时，将Q值划分为：（1）1≤Q&lt;10；（2）10≤Q&lt;100；（3）Q≥100。</w:t>
      </w:r>
    </w:p>
    <w:p w14:paraId="7892BE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cs="Times New Roman"/>
          <w:caps w:val="0"/>
          <w:color w:val="auto"/>
          <w:sz w:val="24"/>
          <w:szCs w:val="24"/>
          <w:highlight w:val="none"/>
          <w:lang w:val="en-US" w:eastAsia="zh-CN"/>
        </w:rPr>
        <w:t>本项目</w:t>
      </w:r>
      <w:r>
        <w:rPr>
          <w:rFonts w:hint="default" w:ascii="Times New Roman" w:hAnsi="Times New Roman" w:cs="Times New Roman"/>
          <w:color w:val="auto"/>
          <w:highlight w:val="none"/>
          <w:lang w:eastAsia="zh-CN"/>
        </w:rPr>
        <w:t>新建</w:t>
      </w:r>
      <w:r>
        <w:rPr>
          <w:rFonts w:hint="eastAsia"/>
          <w:color w:val="auto"/>
          <w:highlight w:val="none"/>
        </w:rPr>
        <w:t>TH102117X井</w:t>
      </w:r>
      <w:r>
        <w:rPr>
          <w:rFonts w:hint="eastAsia"/>
          <w:color w:val="auto"/>
          <w:highlight w:val="none"/>
          <w:lang w:val="en-US" w:eastAsia="zh-CN"/>
        </w:rPr>
        <w:t>采油管线601</w:t>
      </w:r>
      <w:r>
        <w:rPr>
          <w:rFonts w:hint="eastAsia"/>
          <w:color w:val="auto"/>
          <w:highlight w:val="none"/>
        </w:rPr>
        <w:t>m</w:t>
      </w:r>
      <w:r>
        <w:rPr>
          <w:rFonts w:hint="eastAsia"/>
          <w:color w:val="auto"/>
          <w:highlight w:val="none"/>
          <w:lang w:eastAsia="zh-CN"/>
        </w:rPr>
        <w:t>、</w:t>
      </w:r>
      <w:r>
        <w:rPr>
          <w:rFonts w:hint="eastAsia"/>
          <w:color w:val="auto"/>
          <w:highlight w:val="none"/>
          <w:lang w:val="en-US" w:eastAsia="zh-CN"/>
        </w:rPr>
        <w:t>掺稀管线601m、燃料气管线601m</w:t>
      </w:r>
      <w:r>
        <w:rPr>
          <w:rFonts w:hint="eastAsia" w:cs="Times New Roman"/>
          <w:caps w:val="0"/>
          <w:color w:val="auto"/>
          <w:sz w:val="24"/>
          <w:szCs w:val="24"/>
          <w:highlight w:val="none"/>
          <w:lang w:eastAsia="zh-CN"/>
        </w:rPr>
        <w:t>；</w:t>
      </w:r>
      <w:r>
        <w:rPr>
          <w:rFonts w:hint="default" w:ascii="Times New Roman" w:hAnsi="Times New Roman" w:cs="Times New Roman"/>
          <w:color w:val="auto"/>
          <w:highlight w:val="none"/>
          <w:lang w:val="en-US" w:eastAsia="zh-CN"/>
        </w:rPr>
        <w:t>其余4口侧钻井均为</w:t>
      </w:r>
      <w:r>
        <w:rPr>
          <w:rFonts w:hint="default" w:ascii="Times New Roman" w:hAnsi="Times New Roman" w:cs="Times New Roman"/>
          <w:color w:val="auto"/>
          <w:highlight w:val="none"/>
        </w:rPr>
        <w:t>利旧管线</w:t>
      </w:r>
      <w:r>
        <w:rPr>
          <w:rFonts w:hint="eastAsia" w:cs="Times New Roman"/>
          <w:color w:val="auto"/>
          <w:highlight w:val="none"/>
          <w:lang w:eastAsia="zh-CN"/>
        </w:rPr>
        <w:t>，</w:t>
      </w:r>
      <w:r>
        <w:rPr>
          <w:rFonts w:hint="eastAsia" w:cs="Times New Roman"/>
          <w:color w:val="auto"/>
          <w:highlight w:val="none"/>
          <w:lang w:val="en-US" w:eastAsia="zh-CN"/>
        </w:rPr>
        <w:t>总长度为10.95km</w:t>
      </w:r>
      <w:r>
        <w:rPr>
          <w:rFonts w:hint="default" w:ascii="Times New Roman" w:hAnsi="Times New Roman" w:cs="Times New Roman"/>
          <w:color w:val="auto"/>
          <w:highlight w:val="none"/>
          <w:lang w:val="en-US" w:eastAsia="zh-CN"/>
        </w:rPr>
        <w:t>。井场</w:t>
      </w:r>
      <w:r>
        <w:rPr>
          <w:rFonts w:hint="default" w:ascii="Times New Roman" w:hAnsi="Times New Roman" w:cs="Times New Roman"/>
          <w:color w:val="auto"/>
          <w:highlight w:val="none"/>
        </w:rPr>
        <w:t>有控制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截断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阀，发生</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时，可通过控制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截断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阀进行紧急切断。</w:t>
      </w:r>
    </w:p>
    <w:p w14:paraId="4EC91F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原油密度取0.</w:t>
      </w:r>
      <w:r>
        <w:rPr>
          <w:rFonts w:hint="eastAsia" w:cs="Times New Roman"/>
          <w:color w:val="auto"/>
          <w:highlight w:val="none"/>
          <w:lang w:val="en-US" w:eastAsia="zh-CN"/>
        </w:rPr>
        <w:t>924</w:t>
      </w:r>
      <w:r>
        <w:rPr>
          <w:rFonts w:hint="default" w:ascii="Times New Roman" w:hAnsi="Times New Roman" w:eastAsia="宋体" w:cs="Times New Roman"/>
          <w:color w:val="auto"/>
          <w:highlight w:val="none"/>
        </w:rPr>
        <w:t>g/</w:t>
      </w: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伴生气平均相对密度</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829</w:t>
      </w:r>
      <w:r>
        <w:rPr>
          <w:rFonts w:hint="default" w:ascii="Times New Roman" w:hAnsi="Times New Roman" w:cs="Times New Roman"/>
          <w:color w:val="auto"/>
          <w:highlight w:val="none"/>
        </w:rPr>
        <w:t>，</w:t>
      </w:r>
      <w:r>
        <w:rPr>
          <w:rFonts w:hint="default" w:ascii="Times New Roman" w:hAnsi="Times New Roman" w:eastAsia="宋体" w:cs="Times New Roman"/>
          <w:color w:val="auto"/>
          <w:kern w:val="2"/>
          <w:sz w:val="24"/>
          <w:szCs w:val="24"/>
          <w:highlight w:val="none"/>
          <w:lang w:val="en-US" w:eastAsia="zh-CN" w:bidi="ar"/>
        </w:rPr>
        <w:t>伴生气中硫化氢含量</w:t>
      </w:r>
      <w:r>
        <w:rPr>
          <w:rFonts w:hint="eastAsia" w:cs="Times New Roman"/>
          <w:color w:val="auto"/>
          <w:kern w:val="2"/>
          <w:sz w:val="24"/>
          <w:szCs w:val="24"/>
          <w:highlight w:val="none"/>
          <w:lang w:val="en-US" w:eastAsia="zh-CN" w:bidi="ar"/>
        </w:rPr>
        <w:t>5600</w:t>
      </w:r>
      <w:r>
        <w:rPr>
          <w:rFonts w:hint="default" w:ascii="Times New Roman" w:hAnsi="Times New Roman" w:eastAsia="宋体" w:cs="Times New Roman"/>
          <w:color w:val="auto"/>
          <w:kern w:val="2"/>
          <w:sz w:val="24"/>
          <w:szCs w:val="24"/>
          <w:highlight w:val="none"/>
          <w:lang w:val="en-US" w:eastAsia="zh-CN" w:bidi="ar"/>
        </w:rPr>
        <w:t>mg/m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hint="default" w:ascii="Times New Roman" w:hAnsi="Times New Roman" w:eastAsia="宋体" w:cs="Times New Roman"/>
          <w:color w:val="auto"/>
          <w:highlight w:val="none"/>
        </w:rPr>
        <w:t>。</w:t>
      </w:r>
    </w:p>
    <w:p w14:paraId="18A0D7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根据克拉伯龙方程，计算管道带压运行状态下的气体质量：</w:t>
      </w:r>
    </w:p>
    <w:p w14:paraId="723D7F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pV=nRT</w:t>
      </w:r>
    </w:p>
    <w:p w14:paraId="35711C3C">
      <w:pPr>
        <w:keepNext w:val="0"/>
        <w:keepLines w:val="0"/>
        <w:pageBreakBefore w:val="0"/>
        <w:widowControl w:val="0"/>
        <w:kinsoku/>
        <w:wordWrap/>
        <w:overflowPunct/>
        <w:topLinePunct w:val="0"/>
        <w:autoSpaceDE/>
        <w:autoSpaceDN/>
        <w:bidi w:val="0"/>
        <w:adjustRightInd w:val="0"/>
        <w:snapToGrid w:val="0"/>
        <w:spacing w:line="360" w:lineRule="auto"/>
        <w:ind w:left="1094" w:leftChars="456"/>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p：气体压强，标况压强0.101325Mpa；</w:t>
      </w:r>
    </w:p>
    <w:p w14:paraId="34AAE7DE">
      <w:pPr>
        <w:keepNext w:val="0"/>
        <w:keepLines w:val="0"/>
        <w:pageBreakBefore w:val="0"/>
        <w:widowControl w:val="0"/>
        <w:kinsoku/>
        <w:wordWrap/>
        <w:overflowPunct/>
        <w:topLinePunct w:val="0"/>
        <w:autoSpaceDE/>
        <w:autoSpaceDN/>
        <w:bidi w:val="0"/>
        <w:adjustRightInd w:val="0"/>
        <w:snapToGrid w:val="0"/>
        <w:spacing w:line="360" w:lineRule="auto"/>
        <w:ind w:left="1094" w:leftChars="456"/>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V：气体体积，管道体积；</w:t>
      </w:r>
    </w:p>
    <w:p w14:paraId="006F8687">
      <w:pPr>
        <w:keepNext w:val="0"/>
        <w:keepLines w:val="0"/>
        <w:pageBreakBefore w:val="0"/>
        <w:widowControl w:val="0"/>
        <w:kinsoku/>
        <w:wordWrap/>
        <w:overflowPunct/>
        <w:topLinePunct w:val="0"/>
        <w:autoSpaceDE/>
        <w:autoSpaceDN/>
        <w:bidi w:val="0"/>
        <w:adjustRightInd w:val="0"/>
        <w:snapToGrid w:val="0"/>
        <w:spacing w:line="360" w:lineRule="auto"/>
        <w:ind w:left="1094" w:leftChars="456"/>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n：气体的物质的量，单位mol；</w:t>
      </w:r>
    </w:p>
    <w:p w14:paraId="5B315334">
      <w:pPr>
        <w:keepNext w:val="0"/>
        <w:keepLines w:val="0"/>
        <w:pageBreakBefore w:val="0"/>
        <w:widowControl w:val="0"/>
        <w:kinsoku/>
        <w:wordWrap/>
        <w:overflowPunct/>
        <w:topLinePunct w:val="0"/>
        <w:autoSpaceDE/>
        <w:autoSpaceDN/>
        <w:bidi w:val="0"/>
        <w:adjustRightInd w:val="0"/>
        <w:snapToGrid w:val="0"/>
        <w:spacing w:line="360" w:lineRule="auto"/>
        <w:ind w:left="1094" w:leftChars="456"/>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T：绝对温度，293.15K；</w:t>
      </w:r>
    </w:p>
    <w:p w14:paraId="05FB6729">
      <w:pPr>
        <w:keepNext w:val="0"/>
        <w:keepLines w:val="0"/>
        <w:pageBreakBefore w:val="0"/>
        <w:widowControl w:val="0"/>
        <w:kinsoku/>
        <w:wordWrap/>
        <w:overflowPunct/>
        <w:topLinePunct w:val="0"/>
        <w:autoSpaceDE/>
        <w:autoSpaceDN/>
        <w:bidi w:val="0"/>
        <w:adjustRightInd w:val="0"/>
        <w:snapToGrid w:val="0"/>
        <w:spacing w:line="360" w:lineRule="auto"/>
        <w:ind w:left="1094" w:leftChars="456"/>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R：气体常数。</w:t>
      </w:r>
    </w:p>
    <w:p w14:paraId="132559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kern w:val="0"/>
          <w:sz w:val="24"/>
          <w:szCs w:val="24"/>
          <w:highlight w:val="none"/>
        </w:rPr>
        <w:t>Q值计算结果见表</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6-1</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418D84D7">
      <w:pPr>
        <w:pStyle w:val="54"/>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表2.6-</w:t>
      </w:r>
      <w:r>
        <w:rPr>
          <w:rFonts w:hint="default" w:ascii="Times New Roman" w:hAnsi="Times New Roman" w:cs="Times New Roman"/>
          <w:b w:val="0"/>
          <w:bCs/>
          <w:color w:val="auto"/>
          <w:sz w:val="21"/>
          <w:szCs w:val="21"/>
          <w:highlight w:val="none"/>
          <w:lang w:val="en-US" w:eastAsia="zh-CN"/>
        </w:rPr>
        <w:t>15</w:t>
      </w:r>
      <w:r>
        <w:rPr>
          <w:rFonts w:hint="eastAsia" w:cs="Times New Roman"/>
          <w:b w:val="0"/>
          <w:bCs/>
          <w:color w:val="auto"/>
          <w:sz w:val="21"/>
          <w:szCs w:val="21"/>
          <w:highlight w:val="none"/>
          <w:lang w:val="en-US" w:eastAsia="zh-CN"/>
        </w:rPr>
        <w:t xml:space="preserve"> </w:t>
      </w:r>
      <w:r>
        <w:rPr>
          <w:rFonts w:hint="eastAsia" w:ascii="Times New Roman" w:hAnsi="Times New Roman" w:cs="Times New Roman"/>
          <w:b w:val="0"/>
          <w:bCs/>
          <w:color w:val="auto"/>
          <w:highlight w:val="none"/>
          <w:lang w:val="en-US" w:eastAsia="zh-CN"/>
        </w:rPr>
        <w:t>项目</w:t>
      </w:r>
      <w:r>
        <w:rPr>
          <w:rFonts w:hint="default" w:ascii="Times New Roman" w:hAnsi="Times New Roman" w:eastAsia="黑体" w:cs="Times New Roman"/>
          <w:b w:val="0"/>
          <w:bCs/>
          <w:color w:val="auto"/>
          <w:highlight w:val="none"/>
        </w:rPr>
        <w:t>危险单元Q值计算结果一览表</w:t>
      </w:r>
    </w:p>
    <w:tbl>
      <w:tblPr>
        <w:tblStyle w:val="35"/>
        <w:tblW w:w="50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3"/>
        <w:gridCol w:w="1620"/>
        <w:gridCol w:w="888"/>
        <w:gridCol w:w="911"/>
        <w:gridCol w:w="904"/>
        <w:gridCol w:w="1183"/>
        <w:gridCol w:w="1343"/>
        <w:gridCol w:w="739"/>
      </w:tblGrid>
      <w:tr w14:paraId="3D81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3" w:hRule="atLeast"/>
        </w:trPr>
        <w:tc>
          <w:tcPr>
            <w:tcW w:w="451" w:type="pct"/>
            <w:tcBorders>
              <w:bottom w:val="single" w:color="auto" w:sz="4" w:space="0"/>
              <w:right w:val="single" w:color="auto" w:sz="4" w:space="0"/>
            </w:tcBorders>
            <w:noWrap w:val="0"/>
            <w:vAlign w:val="center"/>
          </w:tcPr>
          <w:p w14:paraId="6F0A2B2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风险</w:t>
            </w:r>
          </w:p>
          <w:p w14:paraId="4E8FA97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单元</w:t>
            </w:r>
          </w:p>
        </w:tc>
        <w:tc>
          <w:tcPr>
            <w:tcW w:w="971" w:type="pct"/>
            <w:tcBorders>
              <w:left w:val="single" w:color="auto" w:sz="4" w:space="0"/>
              <w:right w:val="single" w:color="auto" w:sz="4" w:space="0"/>
            </w:tcBorders>
            <w:noWrap w:val="0"/>
            <w:vAlign w:val="center"/>
          </w:tcPr>
          <w:p w14:paraId="65C03DB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rPr>
              <w:t>管线分段</w:t>
            </w:r>
          </w:p>
        </w:tc>
        <w:tc>
          <w:tcPr>
            <w:tcW w:w="532" w:type="pct"/>
            <w:tcBorders>
              <w:left w:val="single" w:color="auto" w:sz="4" w:space="0"/>
              <w:bottom w:val="single" w:color="auto" w:sz="4" w:space="0"/>
              <w:right w:val="single" w:color="auto" w:sz="4" w:space="0"/>
            </w:tcBorders>
            <w:noWrap w:val="0"/>
            <w:vAlign w:val="center"/>
          </w:tcPr>
          <w:p w14:paraId="0AB66D5D">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管道</w:t>
            </w:r>
          </w:p>
          <w:p w14:paraId="2FD1C74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长度km</w:t>
            </w:r>
          </w:p>
        </w:tc>
        <w:tc>
          <w:tcPr>
            <w:tcW w:w="546" w:type="pct"/>
            <w:tcBorders>
              <w:left w:val="single" w:color="auto" w:sz="4" w:space="0"/>
              <w:right w:val="single" w:color="auto" w:sz="4" w:space="0"/>
            </w:tcBorders>
            <w:noWrap w:val="0"/>
            <w:vAlign w:val="center"/>
          </w:tcPr>
          <w:p w14:paraId="47CCEE24">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管径</w:t>
            </w:r>
          </w:p>
          <w:p w14:paraId="58A81E02">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rPr>
              <w:t>mm</w:t>
            </w:r>
          </w:p>
        </w:tc>
        <w:tc>
          <w:tcPr>
            <w:tcW w:w="542" w:type="pct"/>
            <w:tcBorders>
              <w:left w:val="single" w:color="auto" w:sz="4" w:space="0"/>
              <w:bottom w:val="single" w:color="auto" w:sz="4" w:space="0"/>
              <w:right w:val="single" w:color="auto" w:sz="4" w:space="0"/>
            </w:tcBorders>
            <w:noWrap w:val="0"/>
            <w:vAlign w:val="center"/>
          </w:tcPr>
          <w:p w14:paraId="1E6B0EE4">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危险</w:t>
            </w:r>
          </w:p>
          <w:p w14:paraId="2141E69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物质</w:t>
            </w:r>
          </w:p>
        </w:tc>
        <w:tc>
          <w:tcPr>
            <w:tcW w:w="709" w:type="pct"/>
            <w:tcBorders>
              <w:left w:val="single" w:color="auto" w:sz="4" w:space="0"/>
              <w:bottom w:val="single" w:color="auto" w:sz="4" w:space="0"/>
              <w:right w:val="single" w:color="auto" w:sz="4" w:space="0"/>
            </w:tcBorders>
            <w:noWrap w:val="0"/>
            <w:vAlign w:val="center"/>
          </w:tcPr>
          <w:p w14:paraId="595F9466">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最大存在量（t）</w:t>
            </w:r>
          </w:p>
        </w:tc>
        <w:tc>
          <w:tcPr>
            <w:tcW w:w="801" w:type="pct"/>
            <w:tcBorders>
              <w:left w:val="single" w:color="auto" w:sz="4" w:space="0"/>
              <w:bottom w:val="single" w:color="auto" w:sz="4" w:space="0"/>
              <w:right w:val="single" w:color="auto" w:sz="4" w:space="0"/>
            </w:tcBorders>
            <w:noWrap w:val="0"/>
            <w:vAlign w:val="center"/>
          </w:tcPr>
          <w:p w14:paraId="24B0FB76">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危险物质临界量（t）</w:t>
            </w:r>
          </w:p>
        </w:tc>
        <w:tc>
          <w:tcPr>
            <w:tcW w:w="443" w:type="pct"/>
            <w:tcBorders>
              <w:left w:val="single" w:color="auto" w:sz="4" w:space="0"/>
              <w:bottom w:val="single" w:color="auto" w:sz="4" w:space="0"/>
            </w:tcBorders>
            <w:noWrap w:val="0"/>
            <w:vAlign w:val="center"/>
          </w:tcPr>
          <w:p w14:paraId="557474F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Q值</w:t>
            </w:r>
          </w:p>
        </w:tc>
      </w:tr>
      <w:tr w14:paraId="2D63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451" w:type="pct"/>
            <w:vMerge w:val="restart"/>
            <w:tcBorders>
              <w:top w:val="single" w:color="auto" w:sz="4" w:space="0"/>
              <w:right w:val="single" w:color="auto" w:sz="4" w:space="0"/>
            </w:tcBorders>
            <w:noWrap w:val="0"/>
            <w:vAlign w:val="center"/>
          </w:tcPr>
          <w:p w14:paraId="12FF005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集油</w:t>
            </w:r>
          </w:p>
          <w:p w14:paraId="436296BD">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管线</w:t>
            </w:r>
          </w:p>
          <w:p w14:paraId="4649D5B2">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highlight w:val="none"/>
                <w:lang w:val="en-US" w:eastAsia="zh-CN"/>
              </w:rPr>
            </w:pPr>
          </w:p>
        </w:tc>
        <w:tc>
          <w:tcPr>
            <w:tcW w:w="971" w:type="pct"/>
            <w:vMerge w:val="restart"/>
            <w:tcBorders>
              <w:top w:val="single" w:color="auto" w:sz="4" w:space="0"/>
              <w:left w:val="single" w:color="auto" w:sz="4" w:space="0"/>
              <w:right w:val="single" w:color="auto" w:sz="4" w:space="0"/>
            </w:tcBorders>
            <w:noWrap w:val="0"/>
            <w:vAlign w:val="center"/>
          </w:tcPr>
          <w:p w14:paraId="591FBE02">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cs="Times New Roman"/>
                <w:color w:val="auto"/>
                <w:highlight w:val="none"/>
                <w:lang w:val="en-US"/>
              </w:rPr>
            </w:pPr>
            <w:r>
              <w:rPr>
                <w:rFonts w:hint="eastAsia" w:ascii="Times New Roman" w:hAnsi="Times New Roman" w:eastAsia="宋体" w:cs="Times New Roman"/>
                <w:bCs/>
                <w:color w:val="auto"/>
                <w:sz w:val="21"/>
                <w:szCs w:val="21"/>
                <w:highlight w:val="none"/>
              </w:rPr>
              <w:t>TH10250CH</w:t>
            </w:r>
          </w:p>
        </w:tc>
        <w:tc>
          <w:tcPr>
            <w:tcW w:w="532" w:type="pct"/>
            <w:vMerge w:val="restart"/>
            <w:tcBorders>
              <w:top w:val="single" w:color="auto" w:sz="4" w:space="0"/>
              <w:left w:val="single" w:color="auto" w:sz="4" w:space="0"/>
              <w:right w:val="single" w:color="auto" w:sz="4" w:space="0"/>
            </w:tcBorders>
            <w:noWrap w:val="0"/>
            <w:vAlign w:val="center"/>
          </w:tcPr>
          <w:p w14:paraId="5D3339DE">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3.2</w:t>
            </w:r>
          </w:p>
        </w:tc>
        <w:tc>
          <w:tcPr>
            <w:tcW w:w="546" w:type="pct"/>
            <w:vMerge w:val="restart"/>
            <w:tcBorders>
              <w:top w:val="single" w:color="auto" w:sz="4" w:space="0"/>
              <w:left w:val="single" w:color="auto" w:sz="4" w:space="0"/>
              <w:right w:val="single" w:color="auto" w:sz="4" w:space="0"/>
            </w:tcBorders>
            <w:noWrap w:val="0"/>
            <w:vAlign w:val="center"/>
          </w:tcPr>
          <w:p w14:paraId="5F5A1326">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DN100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54192C3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原油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623E44CA">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cs="Times New Roman"/>
                <w:color w:val="auto"/>
                <w:highlight w:val="none"/>
                <w:lang w:val="en-US" w:eastAsia="zh-CN"/>
              </w:rPr>
              <w:t>93</w:t>
            </w:r>
            <w:r>
              <w:rPr>
                <w:rFonts w:hint="default" w:ascii="Times New Roman" w:hAnsi="Times New Roman" w:cs="Times New Roman"/>
                <w:color w:val="auto"/>
                <w:highlight w:val="none"/>
              </w:rPr>
              <w:t xml:space="preserve"> </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4E0A383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default" w:ascii="Times New Roman" w:hAnsi="Times New Roman" w:cs="Times New Roman"/>
                <w:color w:val="auto"/>
                <w:highlight w:val="none"/>
              </w:rPr>
              <w:t>2500</w:t>
            </w:r>
          </w:p>
        </w:tc>
        <w:tc>
          <w:tcPr>
            <w:tcW w:w="443" w:type="pct"/>
            <w:tcBorders>
              <w:top w:val="single" w:color="auto" w:sz="4" w:space="0"/>
              <w:left w:val="single" w:color="auto" w:sz="4" w:space="0"/>
              <w:bottom w:val="single" w:color="auto" w:sz="4" w:space="0"/>
            </w:tcBorders>
            <w:noWrap w:val="0"/>
            <w:vAlign w:val="bottom"/>
          </w:tcPr>
          <w:p w14:paraId="3ABF3A6F">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0.0372</w:t>
            </w:r>
          </w:p>
        </w:tc>
      </w:tr>
      <w:tr w14:paraId="57D2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451" w:type="pct"/>
            <w:vMerge w:val="continue"/>
            <w:tcBorders>
              <w:right w:val="single" w:color="auto" w:sz="4" w:space="0"/>
            </w:tcBorders>
            <w:noWrap w:val="0"/>
            <w:vAlign w:val="center"/>
          </w:tcPr>
          <w:p w14:paraId="0B26EA2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cs="Times New Roman"/>
                <w:color w:val="auto"/>
                <w:highlight w:val="none"/>
                <w:lang w:val="en-US" w:eastAsia="zh-CN"/>
              </w:rPr>
            </w:pPr>
          </w:p>
        </w:tc>
        <w:tc>
          <w:tcPr>
            <w:tcW w:w="971" w:type="pct"/>
            <w:vMerge w:val="continue"/>
            <w:tcBorders>
              <w:left w:val="single" w:color="auto" w:sz="4" w:space="0"/>
              <w:right w:val="single" w:color="auto" w:sz="4" w:space="0"/>
            </w:tcBorders>
            <w:noWrap w:val="0"/>
            <w:vAlign w:val="center"/>
          </w:tcPr>
          <w:p w14:paraId="273A7855">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3872BBAC">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675134A0">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noWrap w:val="0"/>
            <w:vAlign w:val="center"/>
          </w:tcPr>
          <w:p w14:paraId="19F72DB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A56E390">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0.13</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71AB9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10</w:t>
            </w:r>
          </w:p>
        </w:tc>
        <w:tc>
          <w:tcPr>
            <w:tcW w:w="443" w:type="pct"/>
            <w:tcBorders>
              <w:top w:val="single" w:color="auto" w:sz="4" w:space="0"/>
              <w:left w:val="single" w:color="auto" w:sz="4" w:space="0"/>
              <w:bottom w:val="single" w:color="auto" w:sz="4" w:space="0"/>
            </w:tcBorders>
            <w:noWrap w:val="0"/>
            <w:vAlign w:val="bottom"/>
          </w:tcPr>
          <w:p w14:paraId="47AA37F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0.013</w:t>
            </w:r>
          </w:p>
        </w:tc>
      </w:tr>
      <w:tr w14:paraId="1E47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451" w:type="pct"/>
            <w:vMerge w:val="continue"/>
            <w:tcBorders>
              <w:right w:val="single" w:color="auto" w:sz="4" w:space="0"/>
            </w:tcBorders>
            <w:noWrap w:val="0"/>
            <w:vAlign w:val="center"/>
          </w:tcPr>
          <w:p w14:paraId="43140C6A">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cs="Times New Roman"/>
                <w:color w:val="auto"/>
                <w:highlight w:val="none"/>
                <w:lang w:val="en-US" w:eastAsia="zh-CN"/>
              </w:rPr>
            </w:pPr>
          </w:p>
        </w:tc>
        <w:tc>
          <w:tcPr>
            <w:tcW w:w="971" w:type="pct"/>
            <w:vMerge w:val="continue"/>
            <w:tcBorders>
              <w:left w:val="single" w:color="auto" w:sz="4" w:space="0"/>
              <w:right w:val="single" w:color="auto" w:sz="4" w:space="0"/>
            </w:tcBorders>
            <w:noWrap w:val="0"/>
            <w:vAlign w:val="center"/>
          </w:tcPr>
          <w:p w14:paraId="0CEC0AA9">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6152D1D2">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1803D075">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noWrap w:val="0"/>
            <w:vAlign w:val="center"/>
          </w:tcPr>
          <w:p w14:paraId="3BFDCB46">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硫化氢</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57B2EEF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0.0007</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61F07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2.5</w:t>
            </w:r>
          </w:p>
        </w:tc>
        <w:tc>
          <w:tcPr>
            <w:tcW w:w="443" w:type="pct"/>
            <w:tcBorders>
              <w:top w:val="single" w:color="auto" w:sz="4" w:space="0"/>
              <w:left w:val="single" w:color="auto" w:sz="4" w:space="0"/>
              <w:bottom w:val="single" w:color="auto" w:sz="4" w:space="0"/>
            </w:tcBorders>
            <w:noWrap w:val="0"/>
            <w:vAlign w:val="bottom"/>
          </w:tcPr>
          <w:p w14:paraId="77836C3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0.00028</w:t>
            </w:r>
          </w:p>
        </w:tc>
      </w:tr>
      <w:tr w14:paraId="524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51" w:type="pct"/>
            <w:vMerge w:val="continue"/>
            <w:tcBorders>
              <w:right w:val="single" w:color="auto" w:sz="4" w:space="0"/>
            </w:tcBorders>
            <w:noWrap w:val="0"/>
            <w:vAlign w:val="center"/>
          </w:tcPr>
          <w:p w14:paraId="738948A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restart"/>
            <w:tcBorders>
              <w:top w:val="single" w:color="auto" w:sz="4" w:space="0"/>
              <w:left w:val="single" w:color="auto" w:sz="4" w:space="0"/>
              <w:right w:val="single" w:color="auto" w:sz="4" w:space="0"/>
            </w:tcBorders>
            <w:noWrap w:val="0"/>
            <w:vAlign w:val="center"/>
          </w:tcPr>
          <w:p w14:paraId="4381BFE0">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cs="Times New Roman"/>
                <w:color w:val="auto"/>
                <w:highlight w:val="none"/>
                <w:lang w:val="en-US"/>
              </w:rPr>
            </w:pPr>
            <w:r>
              <w:rPr>
                <w:rFonts w:hint="eastAsia" w:ascii="Times New Roman" w:hAnsi="Times New Roman" w:eastAsia="宋体" w:cs="Times New Roman"/>
                <w:bCs/>
                <w:color w:val="auto"/>
                <w:sz w:val="21"/>
                <w:szCs w:val="21"/>
                <w:highlight w:val="none"/>
              </w:rPr>
              <w:t>TH10294CH</w:t>
            </w:r>
          </w:p>
        </w:tc>
        <w:tc>
          <w:tcPr>
            <w:tcW w:w="532" w:type="pct"/>
            <w:vMerge w:val="restart"/>
            <w:tcBorders>
              <w:top w:val="single" w:color="auto" w:sz="4" w:space="0"/>
              <w:left w:val="single" w:color="auto" w:sz="4" w:space="0"/>
              <w:right w:val="single" w:color="auto" w:sz="4" w:space="0"/>
            </w:tcBorders>
            <w:noWrap w:val="0"/>
            <w:vAlign w:val="center"/>
          </w:tcPr>
          <w:p w14:paraId="0C51145B">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2.91</w:t>
            </w:r>
          </w:p>
        </w:tc>
        <w:tc>
          <w:tcPr>
            <w:tcW w:w="546" w:type="pct"/>
            <w:vMerge w:val="restart"/>
            <w:tcBorders>
              <w:top w:val="single" w:color="auto" w:sz="4" w:space="0"/>
              <w:left w:val="single" w:color="auto" w:sz="4" w:space="0"/>
              <w:right w:val="single" w:color="auto" w:sz="4" w:space="0"/>
            </w:tcBorders>
            <w:noWrap w:val="0"/>
            <w:vAlign w:val="center"/>
          </w:tcPr>
          <w:p w14:paraId="7FD75760">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DN100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7584968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cs="Times New Roman"/>
                <w:color w:val="auto"/>
                <w:highlight w:val="none"/>
                <w:lang w:val="en-US" w:eastAsia="zh-CN"/>
              </w:rPr>
              <w:t>原</w:t>
            </w:r>
            <w:r>
              <w:rPr>
                <w:rFonts w:hint="eastAsia" w:ascii="Times New Roman" w:hAnsi="Times New Roman" w:cs="Times New Roman"/>
                <w:color w:val="auto"/>
                <w:highlight w:val="none"/>
              </w:rPr>
              <w:t>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AE8F6C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84</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525CA6A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default" w:ascii="Times New Roman" w:hAnsi="Times New Roman" w:cs="Times New Roman"/>
                <w:color w:val="auto"/>
                <w:highlight w:val="none"/>
              </w:rPr>
              <w:t>2500</w:t>
            </w:r>
          </w:p>
        </w:tc>
        <w:tc>
          <w:tcPr>
            <w:tcW w:w="443" w:type="pct"/>
            <w:tcBorders>
              <w:top w:val="single" w:color="auto" w:sz="4" w:space="0"/>
              <w:left w:val="single" w:color="auto" w:sz="4" w:space="0"/>
              <w:bottom w:val="single" w:color="auto" w:sz="4" w:space="0"/>
            </w:tcBorders>
            <w:noWrap w:val="0"/>
            <w:vAlign w:val="bottom"/>
          </w:tcPr>
          <w:p w14:paraId="5FC09A9F">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0.0336</w:t>
            </w:r>
          </w:p>
        </w:tc>
      </w:tr>
      <w:tr w14:paraId="4695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trPr>
        <w:tc>
          <w:tcPr>
            <w:tcW w:w="451" w:type="pct"/>
            <w:vMerge w:val="continue"/>
            <w:tcBorders>
              <w:right w:val="single" w:color="auto" w:sz="4" w:space="0"/>
            </w:tcBorders>
            <w:noWrap w:val="0"/>
            <w:vAlign w:val="center"/>
          </w:tcPr>
          <w:p w14:paraId="5D61DC2D">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continue"/>
            <w:tcBorders>
              <w:left w:val="single" w:color="auto" w:sz="4" w:space="0"/>
              <w:right w:val="single" w:color="auto" w:sz="4" w:space="0"/>
            </w:tcBorders>
            <w:noWrap w:val="0"/>
            <w:vAlign w:val="center"/>
          </w:tcPr>
          <w:p w14:paraId="012517EB">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28F65598">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38A21EC4">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noWrap w:val="0"/>
            <w:vAlign w:val="center"/>
          </w:tcPr>
          <w:p w14:paraId="48971541">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947979F">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0.12</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75C7612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10</w:t>
            </w:r>
          </w:p>
        </w:tc>
        <w:tc>
          <w:tcPr>
            <w:tcW w:w="443" w:type="pct"/>
            <w:tcBorders>
              <w:top w:val="single" w:color="auto" w:sz="4" w:space="0"/>
              <w:left w:val="single" w:color="auto" w:sz="4" w:space="0"/>
              <w:bottom w:val="single" w:color="auto" w:sz="4" w:space="0"/>
            </w:tcBorders>
            <w:noWrap w:val="0"/>
            <w:vAlign w:val="bottom"/>
          </w:tcPr>
          <w:p w14:paraId="78AEDAB8">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0.012</w:t>
            </w:r>
          </w:p>
        </w:tc>
      </w:tr>
      <w:tr w14:paraId="5777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51" w:type="pct"/>
            <w:vMerge w:val="continue"/>
            <w:tcBorders>
              <w:right w:val="single" w:color="auto" w:sz="4" w:space="0"/>
            </w:tcBorders>
            <w:noWrap w:val="0"/>
            <w:vAlign w:val="center"/>
          </w:tcPr>
          <w:p w14:paraId="2DD3E821">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continue"/>
            <w:tcBorders>
              <w:left w:val="single" w:color="auto" w:sz="4" w:space="0"/>
              <w:right w:val="single" w:color="auto" w:sz="4" w:space="0"/>
            </w:tcBorders>
            <w:noWrap w:val="0"/>
            <w:vAlign w:val="center"/>
          </w:tcPr>
          <w:p w14:paraId="07D209BB">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36913827">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39138D9C">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noWrap w:val="0"/>
            <w:vAlign w:val="center"/>
          </w:tcPr>
          <w:p w14:paraId="1176496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硫化氢</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2FAB68F2">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0.0006</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34D37B0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2.5</w:t>
            </w:r>
          </w:p>
        </w:tc>
        <w:tc>
          <w:tcPr>
            <w:tcW w:w="443" w:type="pct"/>
            <w:tcBorders>
              <w:top w:val="single" w:color="auto" w:sz="4" w:space="0"/>
              <w:left w:val="single" w:color="auto" w:sz="4" w:space="0"/>
              <w:bottom w:val="single" w:color="auto" w:sz="4" w:space="0"/>
            </w:tcBorders>
            <w:noWrap w:val="0"/>
            <w:vAlign w:val="bottom"/>
          </w:tcPr>
          <w:p w14:paraId="4C058F8E">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0.00024</w:t>
            </w:r>
          </w:p>
        </w:tc>
      </w:tr>
      <w:tr w14:paraId="24C9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451" w:type="pct"/>
            <w:vMerge w:val="continue"/>
            <w:tcBorders>
              <w:right w:val="single" w:color="auto" w:sz="4" w:space="0"/>
            </w:tcBorders>
            <w:noWrap w:val="0"/>
            <w:vAlign w:val="center"/>
          </w:tcPr>
          <w:p w14:paraId="5992253F">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restart"/>
            <w:tcBorders>
              <w:top w:val="single" w:color="auto" w:sz="4" w:space="0"/>
              <w:left w:val="single" w:color="auto" w:sz="4" w:space="0"/>
              <w:right w:val="single" w:color="auto" w:sz="4" w:space="0"/>
            </w:tcBorders>
            <w:noWrap w:val="0"/>
            <w:vAlign w:val="center"/>
          </w:tcPr>
          <w:p w14:paraId="43BA9FB7">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rPr>
              <w:t>TH10298CH</w:t>
            </w:r>
          </w:p>
        </w:tc>
        <w:tc>
          <w:tcPr>
            <w:tcW w:w="532" w:type="pct"/>
            <w:vMerge w:val="restart"/>
            <w:tcBorders>
              <w:top w:val="single" w:color="auto" w:sz="4" w:space="0"/>
              <w:left w:val="single" w:color="auto" w:sz="4" w:space="0"/>
              <w:right w:val="single" w:color="auto" w:sz="4" w:space="0"/>
            </w:tcBorders>
            <w:noWrap w:val="0"/>
            <w:vAlign w:val="center"/>
          </w:tcPr>
          <w:p w14:paraId="40A2C68D">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6.12</w:t>
            </w:r>
          </w:p>
        </w:tc>
        <w:tc>
          <w:tcPr>
            <w:tcW w:w="546" w:type="pct"/>
            <w:vMerge w:val="restart"/>
            <w:tcBorders>
              <w:top w:val="single" w:color="auto" w:sz="4" w:space="0"/>
              <w:left w:val="single" w:color="auto" w:sz="4" w:space="0"/>
              <w:right w:val="single" w:color="auto" w:sz="4" w:space="0"/>
            </w:tcBorders>
            <w:noWrap w:val="0"/>
            <w:vAlign w:val="center"/>
          </w:tcPr>
          <w:p w14:paraId="111B20F9">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DN125</w:t>
            </w: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81127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sz w:val="21"/>
                <w:szCs w:val="18"/>
                <w:highlight w:val="none"/>
                <w:lang w:val="en-US" w:eastAsia="zh-CN" w:bidi="ar-SA"/>
              </w:rPr>
            </w:pPr>
            <w:r>
              <w:rPr>
                <w:rFonts w:hint="eastAsia" w:cs="Times New Roman"/>
                <w:color w:val="auto"/>
                <w:highlight w:val="none"/>
                <w:lang w:val="en-US" w:eastAsia="zh-CN"/>
              </w:rPr>
              <w:t>原油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6D785401">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277</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AA666E">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cs="Times New Roman"/>
                <w:color w:val="auto"/>
                <w:highlight w:val="none"/>
              </w:rPr>
              <w:t>2500</w:t>
            </w:r>
          </w:p>
        </w:tc>
        <w:tc>
          <w:tcPr>
            <w:tcW w:w="443" w:type="pct"/>
            <w:tcBorders>
              <w:top w:val="single" w:color="auto" w:sz="4" w:space="0"/>
              <w:left w:val="single" w:color="auto" w:sz="4" w:space="0"/>
              <w:bottom w:val="single" w:color="auto" w:sz="4" w:space="0"/>
            </w:tcBorders>
            <w:noWrap w:val="0"/>
            <w:vAlign w:val="bottom"/>
          </w:tcPr>
          <w:p w14:paraId="32BC4C64">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0.1108</w:t>
            </w:r>
          </w:p>
        </w:tc>
      </w:tr>
      <w:tr w14:paraId="4064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trPr>
        <w:tc>
          <w:tcPr>
            <w:tcW w:w="451" w:type="pct"/>
            <w:vMerge w:val="continue"/>
            <w:tcBorders>
              <w:right w:val="single" w:color="auto" w:sz="4" w:space="0"/>
            </w:tcBorders>
            <w:noWrap w:val="0"/>
            <w:vAlign w:val="center"/>
          </w:tcPr>
          <w:p w14:paraId="745BB18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continue"/>
            <w:tcBorders>
              <w:left w:val="single" w:color="auto" w:sz="4" w:space="0"/>
              <w:right w:val="single" w:color="auto" w:sz="4" w:space="0"/>
            </w:tcBorders>
            <w:noWrap w:val="0"/>
            <w:vAlign w:val="center"/>
          </w:tcPr>
          <w:p w14:paraId="4C2632C7">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10225445">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2756E93B">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0967EB">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06FB770E">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0.4</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4DF7B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10</w:t>
            </w:r>
          </w:p>
        </w:tc>
        <w:tc>
          <w:tcPr>
            <w:tcW w:w="443" w:type="pct"/>
            <w:tcBorders>
              <w:top w:val="single" w:color="auto" w:sz="4" w:space="0"/>
              <w:left w:val="single" w:color="auto" w:sz="4" w:space="0"/>
              <w:bottom w:val="single" w:color="auto" w:sz="4" w:space="0"/>
            </w:tcBorders>
            <w:noWrap w:val="0"/>
            <w:vAlign w:val="bottom"/>
          </w:tcPr>
          <w:p w14:paraId="1E298652">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0.04</w:t>
            </w:r>
          </w:p>
        </w:tc>
      </w:tr>
      <w:tr w14:paraId="2C11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trPr>
        <w:tc>
          <w:tcPr>
            <w:tcW w:w="451" w:type="pct"/>
            <w:vMerge w:val="continue"/>
            <w:tcBorders>
              <w:right w:val="single" w:color="auto" w:sz="4" w:space="0"/>
            </w:tcBorders>
            <w:noWrap w:val="0"/>
            <w:vAlign w:val="center"/>
          </w:tcPr>
          <w:p w14:paraId="3355702F">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highlight w:val="none"/>
                <w:lang w:val="en-US" w:eastAsia="zh-CN"/>
              </w:rPr>
            </w:pPr>
          </w:p>
        </w:tc>
        <w:tc>
          <w:tcPr>
            <w:tcW w:w="971" w:type="pct"/>
            <w:vMerge w:val="continue"/>
            <w:tcBorders>
              <w:left w:val="single" w:color="auto" w:sz="4" w:space="0"/>
              <w:right w:val="single" w:color="auto" w:sz="4" w:space="0"/>
            </w:tcBorders>
            <w:noWrap w:val="0"/>
            <w:vAlign w:val="center"/>
          </w:tcPr>
          <w:p w14:paraId="1D9B8712">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1E7B9C19">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55314443">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D4DB72">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硫化氢</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1B684CD">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0.0021</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BA9E25">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2.5</w:t>
            </w:r>
          </w:p>
        </w:tc>
        <w:tc>
          <w:tcPr>
            <w:tcW w:w="443" w:type="pct"/>
            <w:tcBorders>
              <w:top w:val="single" w:color="auto" w:sz="4" w:space="0"/>
              <w:left w:val="single" w:color="auto" w:sz="4" w:space="0"/>
              <w:bottom w:val="single" w:color="auto" w:sz="4" w:space="0"/>
            </w:tcBorders>
            <w:noWrap w:val="0"/>
            <w:vAlign w:val="bottom"/>
          </w:tcPr>
          <w:p w14:paraId="0F1A3C2C">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0.00084</w:t>
            </w:r>
          </w:p>
        </w:tc>
      </w:tr>
      <w:tr w14:paraId="520D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51" w:type="pct"/>
            <w:vMerge w:val="continue"/>
            <w:tcBorders>
              <w:right w:val="single" w:color="auto" w:sz="4" w:space="0"/>
            </w:tcBorders>
            <w:noWrap w:val="0"/>
            <w:vAlign w:val="center"/>
          </w:tcPr>
          <w:p w14:paraId="4CDA7C5B">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restart"/>
            <w:tcBorders>
              <w:top w:val="single" w:color="auto" w:sz="4" w:space="0"/>
              <w:left w:val="single" w:color="auto" w:sz="4" w:space="0"/>
              <w:right w:val="single" w:color="auto" w:sz="4" w:space="0"/>
            </w:tcBorders>
            <w:noWrap w:val="0"/>
            <w:vAlign w:val="center"/>
          </w:tcPr>
          <w:p w14:paraId="595B9866">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rPr>
              <w:t>TK872CH</w:t>
            </w:r>
          </w:p>
        </w:tc>
        <w:tc>
          <w:tcPr>
            <w:tcW w:w="532" w:type="pct"/>
            <w:vMerge w:val="restart"/>
            <w:tcBorders>
              <w:top w:val="single" w:color="auto" w:sz="4" w:space="0"/>
              <w:left w:val="single" w:color="auto" w:sz="4" w:space="0"/>
              <w:right w:val="single" w:color="auto" w:sz="4" w:space="0"/>
            </w:tcBorders>
            <w:noWrap w:val="0"/>
            <w:vAlign w:val="center"/>
          </w:tcPr>
          <w:p w14:paraId="58F5C2C1">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0.72</w:t>
            </w:r>
          </w:p>
        </w:tc>
        <w:tc>
          <w:tcPr>
            <w:tcW w:w="546" w:type="pct"/>
            <w:vMerge w:val="restart"/>
            <w:tcBorders>
              <w:top w:val="single" w:color="auto" w:sz="4" w:space="0"/>
              <w:left w:val="single" w:color="auto" w:sz="4" w:space="0"/>
              <w:right w:val="single" w:color="auto" w:sz="4" w:space="0"/>
            </w:tcBorders>
            <w:noWrap w:val="0"/>
            <w:vAlign w:val="center"/>
          </w:tcPr>
          <w:p w14:paraId="5DD55111">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DN80</w:t>
            </w: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C3D1D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sz w:val="21"/>
                <w:szCs w:val="18"/>
                <w:highlight w:val="none"/>
                <w:lang w:val="en-US" w:eastAsia="zh-CN" w:bidi="ar-SA"/>
              </w:rPr>
            </w:pPr>
            <w:r>
              <w:rPr>
                <w:rFonts w:hint="eastAsia" w:cs="Times New Roman"/>
                <w:color w:val="auto"/>
                <w:highlight w:val="none"/>
                <w:lang w:val="en-US" w:eastAsia="zh-CN"/>
              </w:rPr>
              <w:t>原</w:t>
            </w:r>
            <w:r>
              <w:rPr>
                <w:rFonts w:hint="eastAsia" w:ascii="Times New Roman" w:hAnsi="Times New Roman" w:cs="Times New Roman"/>
                <w:color w:val="auto"/>
                <w:highlight w:val="none"/>
              </w:rPr>
              <w:t>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2753BD0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AD721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cs="Times New Roman"/>
                <w:color w:val="auto"/>
                <w:highlight w:val="none"/>
              </w:rPr>
              <w:t>2500</w:t>
            </w:r>
          </w:p>
        </w:tc>
        <w:tc>
          <w:tcPr>
            <w:tcW w:w="443" w:type="pct"/>
            <w:tcBorders>
              <w:top w:val="single" w:color="auto" w:sz="4" w:space="0"/>
              <w:left w:val="single" w:color="auto" w:sz="4" w:space="0"/>
              <w:bottom w:val="single" w:color="auto" w:sz="4" w:space="0"/>
            </w:tcBorders>
            <w:noWrap w:val="0"/>
            <w:vAlign w:val="bottom"/>
          </w:tcPr>
          <w:p w14:paraId="1CF57ED1">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0.0052</w:t>
            </w:r>
          </w:p>
        </w:tc>
      </w:tr>
      <w:tr w14:paraId="58FF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51" w:type="pct"/>
            <w:vMerge w:val="continue"/>
            <w:tcBorders>
              <w:right w:val="single" w:color="auto" w:sz="4" w:space="0"/>
            </w:tcBorders>
            <w:noWrap w:val="0"/>
            <w:vAlign w:val="center"/>
          </w:tcPr>
          <w:p w14:paraId="5D1C09E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continue"/>
            <w:tcBorders>
              <w:left w:val="single" w:color="auto" w:sz="4" w:space="0"/>
              <w:right w:val="single" w:color="auto" w:sz="4" w:space="0"/>
            </w:tcBorders>
            <w:noWrap w:val="0"/>
            <w:vAlign w:val="center"/>
          </w:tcPr>
          <w:p w14:paraId="3B729731">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1835F61B">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7B6339B3">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CFB40F">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7F59502">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0.019</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2387F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10</w:t>
            </w:r>
          </w:p>
        </w:tc>
        <w:tc>
          <w:tcPr>
            <w:tcW w:w="443" w:type="pct"/>
            <w:tcBorders>
              <w:top w:val="single" w:color="auto" w:sz="4" w:space="0"/>
              <w:left w:val="single" w:color="auto" w:sz="4" w:space="0"/>
              <w:bottom w:val="single" w:color="auto" w:sz="4" w:space="0"/>
            </w:tcBorders>
            <w:noWrap w:val="0"/>
            <w:vAlign w:val="bottom"/>
          </w:tcPr>
          <w:p w14:paraId="58234D97">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0.0019</w:t>
            </w:r>
          </w:p>
        </w:tc>
      </w:tr>
      <w:tr w14:paraId="4472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451" w:type="pct"/>
            <w:vMerge w:val="continue"/>
            <w:tcBorders>
              <w:right w:val="single" w:color="auto" w:sz="4" w:space="0"/>
            </w:tcBorders>
            <w:noWrap w:val="0"/>
            <w:vAlign w:val="center"/>
          </w:tcPr>
          <w:p w14:paraId="69E8BA28">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continue"/>
            <w:tcBorders>
              <w:left w:val="single" w:color="auto" w:sz="4" w:space="0"/>
              <w:right w:val="single" w:color="auto" w:sz="4" w:space="0"/>
            </w:tcBorders>
            <w:noWrap w:val="0"/>
            <w:vAlign w:val="center"/>
          </w:tcPr>
          <w:p w14:paraId="3989EA22">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34A3F773">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6" w:type="pct"/>
            <w:vMerge w:val="continue"/>
            <w:tcBorders>
              <w:left w:val="single" w:color="auto" w:sz="4" w:space="0"/>
              <w:right w:val="single" w:color="auto" w:sz="4" w:space="0"/>
            </w:tcBorders>
            <w:noWrap w:val="0"/>
            <w:vAlign w:val="center"/>
          </w:tcPr>
          <w:p w14:paraId="44F9EB1B">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816DBB">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硫化氢</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73D77DE">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0.0001</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E8BCE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2.5</w:t>
            </w:r>
          </w:p>
        </w:tc>
        <w:tc>
          <w:tcPr>
            <w:tcW w:w="443" w:type="pct"/>
            <w:tcBorders>
              <w:top w:val="single" w:color="auto" w:sz="4" w:space="0"/>
              <w:left w:val="single" w:color="auto" w:sz="4" w:space="0"/>
              <w:bottom w:val="single" w:color="auto" w:sz="4" w:space="0"/>
            </w:tcBorders>
            <w:noWrap w:val="0"/>
            <w:vAlign w:val="bottom"/>
          </w:tcPr>
          <w:p w14:paraId="2C5BA677">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0.00004</w:t>
            </w:r>
          </w:p>
        </w:tc>
      </w:tr>
      <w:tr w14:paraId="0CA0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trPr>
        <w:tc>
          <w:tcPr>
            <w:tcW w:w="451" w:type="pct"/>
            <w:vMerge w:val="continue"/>
            <w:tcBorders>
              <w:right w:val="single" w:color="auto" w:sz="4" w:space="0"/>
            </w:tcBorders>
            <w:noWrap w:val="0"/>
            <w:vAlign w:val="center"/>
          </w:tcPr>
          <w:p w14:paraId="12A3AD81">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restart"/>
            <w:tcBorders>
              <w:top w:val="single" w:color="auto" w:sz="4" w:space="0"/>
              <w:left w:val="single" w:color="auto" w:sz="4" w:space="0"/>
              <w:right w:val="single" w:color="auto" w:sz="4" w:space="0"/>
            </w:tcBorders>
            <w:noWrap w:val="0"/>
            <w:vAlign w:val="center"/>
          </w:tcPr>
          <w:p w14:paraId="04EDAC8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rPr>
              <w:t>TH102117X</w:t>
            </w:r>
          </w:p>
        </w:tc>
        <w:tc>
          <w:tcPr>
            <w:tcW w:w="532" w:type="pct"/>
            <w:vMerge w:val="restart"/>
            <w:tcBorders>
              <w:top w:val="single" w:color="auto" w:sz="4" w:space="0"/>
              <w:left w:val="single" w:color="auto" w:sz="4" w:space="0"/>
              <w:right w:val="single" w:color="auto" w:sz="4" w:space="0"/>
            </w:tcBorders>
            <w:noWrap w:val="0"/>
            <w:vAlign w:val="center"/>
          </w:tcPr>
          <w:p w14:paraId="15506A9F">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bCs/>
                <w:color w:val="auto"/>
                <w:sz w:val="21"/>
                <w:szCs w:val="21"/>
                <w:highlight w:val="none"/>
                <w:lang w:val="en-US" w:eastAsia="zh-CN"/>
              </w:rPr>
              <w:t>0.601</w:t>
            </w:r>
          </w:p>
        </w:tc>
        <w:tc>
          <w:tcPr>
            <w:tcW w:w="546" w:type="pct"/>
            <w:vMerge w:val="restart"/>
            <w:tcBorders>
              <w:top w:val="single" w:color="auto" w:sz="4" w:space="0"/>
              <w:left w:val="single" w:color="auto" w:sz="4" w:space="0"/>
              <w:right w:val="single" w:color="auto" w:sz="4" w:space="0"/>
            </w:tcBorders>
            <w:noWrap w:val="0"/>
            <w:vAlign w:val="center"/>
          </w:tcPr>
          <w:p w14:paraId="0EE15F45">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80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63B111C4">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原油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5467678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7865B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cs="Times New Roman"/>
                <w:color w:val="auto"/>
                <w:highlight w:val="none"/>
              </w:rPr>
              <w:t>2500</w:t>
            </w:r>
          </w:p>
        </w:tc>
        <w:tc>
          <w:tcPr>
            <w:tcW w:w="443" w:type="pct"/>
            <w:tcBorders>
              <w:top w:val="single" w:color="auto" w:sz="4" w:space="0"/>
              <w:left w:val="single" w:color="auto" w:sz="4" w:space="0"/>
              <w:bottom w:val="single" w:color="auto" w:sz="4" w:space="0"/>
            </w:tcBorders>
            <w:noWrap w:val="0"/>
            <w:vAlign w:val="bottom"/>
          </w:tcPr>
          <w:p w14:paraId="77CD5DC8">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0.0044</w:t>
            </w:r>
          </w:p>
        </w:tc>
      </w:tr>
      <w:tr w14:paraId="60E5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51" w:type="pct"/>
            <w:vMerge w:val="continue"/>
            <w:tcBorders>
              <w:right w:val="single" w:color="auto" w:sz="4" w:space="0"/>
            </w:tcBorders>
            <w:noWrap w:val="0"/>
            <w:vAlign w:val="center"/>
          </w:tcPr>
          <w:p w14:paraId="2E7785B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vMerge w:val="continue"/>
            <w:tcBorders>
              <w:left w:val="single" w:color="auto" w:sz="4" w:space="0"/>
              <w:right w:val="single" w:color="auto" w:sz="4" w:space="0"/>
            </w:tcBorders>
            <w:noWrap w:val="0"/>
            <w:vAlign w:val="center"/>
          </w:tcPr>
          <w:p w14:paraId="6DED5E6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1AE6CFBF">
            <w:pPr>
              <w:keepNext w:val="0"/>
              <w:keepLines w:val="0"/>
              <w:pageBreakBefore w:val="0"/>
              <w:kinsoku/>
              <w:wordWrap/>
              <w:overflowPunct/>
              <w:topLinePunct w:val="0"/>
              <w:autoSpaceDE/>
              <w:autoSpaceDN/>
              <w:bidi w:val="0"/>
              <w:spacing w:line="260" w:lineRule="exact"/>
              <w:jc w:val="center"/>
              <w:textAlignment w:val="auto"/>
              <w:rPr>
                <w:rFonts w:hint="eastAsia" w:cs="Times New Roman"/>
                <w:bCs/>
                <w:color w:val="auto"/>
                <w:sz w:val="21"/>
                <w:szCs w:val="21"/>
                <w:highlight w:val="none"/>
                <w:lang w:val="en-US" w:eastAsia="zh-CN"/>
              </w:rPr>
            </w:pPr>
          </w:p>
        </w:tc>
        <w:tc>
          <w:tcPr>
            <w:tcW w:w="546" w:type="pct"/>
            <w:vMerge w:val="continue"/>
            <w:tcBorders>
              <w:left w:val="single" w:color="auto" w:sz="4" w:space="0"/>
              <w:right w:val="single" w:color="auto" w:sz="4" w:space="0"/>
            </w:tcBorders>
            <w:noWrap w:val="0"/>
            <w:vAlign w:val="center"/>
          </w:tcPr>
          <w:p w14:paraId="4F44E9D8">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noWrap w:val="0"/>
            <w:vAlign w:val="center"/>
          </w:tcPr>
          <w:p w14:paraId="27690C0B">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601EC4E">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0.016</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A5C59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10</w:t>
            </w:r>
          </w:p>
        </w:tc>
        <w:tc>
          <w:tcPr>
            <w:tcW w:w="443" w:type="pct"/>
            <w:tcBorders>
              <w:top w:val="single" w:color="auto" w:sz="4" w:space="0"/>
              <w:left w:val="single" w:color="auto" w:sz="4" w:space="0"/>
              <w:bottom w:val="single" w:color="auto" w:sz="4" w:space="0"/>
            </w:tcBorders>
            <w:noWrap w:val="0"/>
            <w:vAlign w:val="bottom"/>
          </w:tcPr>
          <w:p w14:paraId="0F32933A">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0.0016</w:t>
            </w:r>
          </w:p>
        </w:tc>
      </w:tr>
      <w:tr w14:paraId="2456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451" w:type="pct"/>
            <w:vMerge w:val="continue"/>
            <w:tcBorders>
              <w:bottom w:val="single" w:color="auto" w:sz="4" w:space="0"/>
              <w:right w:val="single" w:color="auto" w:sz="4" w:space="0"/>
            </w:tcBorders>
            <w:noWrap w:val="0"/>
            <w:vAlign w:val="center"/>
          </w:tcPr>
          <w:p w14:paraId="2C7F1D1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p>
        </w:tc>
        <w:tc>
          <w:tcPr>
            <w:tcW w:w="971" w:type="pct"/>
            <w:vMerge w:val="continue"/>
            <w:tcBorders>
              <w:left w:val="single" w:color="auto" w:sz="4" w:space="0"/>
              <w:right w:val="single" w:color="auto" w:sz="4" w:space="0"/>
            </w:tcBorders>
            <w:noWrap w:val="0"/>
            <w:vAlign w:val="center"/>
          </w:tcPr>
          <w:p w14:paraId="2F76922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olor w:val="auto"/>
                <w:sz w:val="21"/>
                <w:szCs w:val="21"/>
                <w:highlight w:val="none"/>
              </w:rPr>
            </w:pPr>
          </w:p>
        </w:tc>
        <w:tc>
          <w:tcPr>
            <w:tcW w:w="532" w:type="pct"/>
            <w:vMerge w:val="continue"/>
            <w:tcBorders>
              <w:left w:val="single" w:color="auto" w:sz="4" w:space="0"/>
              <w:right w:val="single" w:color="auto" w:sz="4" w:space="0"/>
            </w:tcBorders>
            <w:noWrap w:val="0"/>
            <w:vAlign w:val="center"/>
          </w:tcPr>
          <w:p w14:paraId="2FEF8E8C">
            <w:pPr>
              <w:keepNext w:val="0"/>
              <w:keepLines w:val="0"/>
              <w:pageBreakBefore w:val="0"/>
              <w:kinsoku/>
              <w:wordWrap/>
              <w:overflowPunct/>
              <w:topLinePunct w:val="0"/>
              <w:autoSpaceDE/>
              <w:autoSpaceDN/>
              <w:bidi w:val="0"/>
              <w:spacing w:line="260" w:lineRule="exact"/>
              <w:jc w:val="center"/>
              <w:textAlignment w:val="auto"/>
              <w:rPr>
                <w:rFonts w:hint="eastAsia" w:cs="Times New Roman"/>
                <w:bCs/>
                <w:color w:val="auto"/>
                <w:sz w:val="21"/>
                <w:szCs w:val="21"/>
                <w:highlight w:val="none"/>
                <w:lang w:val="en-US" w:eastAsia="zh-CN"/>
              </w:rPr>
            </w:pPr>
          </w:p>
        </w:tc>
        <w:tc>
          <w:tcPr>
            <w:tcW w:w="546" w:type="pct"/>
            <w:vMerge w:val="continue"/>
            <w:tcBorders>
              <w:left w:val="single" w:color="auto" w:sz="4" w:space="0"/>
              <w:right w:val="single" w:color="auto" w:sz="4" w:space="0"/>
            </w:tcBorders>
            <w:noWrap w:val="0"/>
            <w:vAlign w:val="center"/>
          </w:tcPr>
          <w:p w14:paraId="43B68EBA">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p>
        </w:tc>
        <w:tc>
          <w:tcPr>
            <w:tcW w:w="542" w:type="pct"/>
            <w:tcBorders>
              <w:top w:val="single" w:color="auto" w:sz="4" w:space="0"/>
              <w:left w:val="single" w:color="auto" w:sz="4" w:space="0"/>
              <w:bottom w:val="single" w:color="auto" w:sz="4" w:space="0"/>
              <w:right w:val="single" w:color="auto" w:sz="4" w:space="0"/>
            </w:tcBorders>
            <w:noWrap w:val="0"/>
            <w:vAlign w:val="center"/>
          </w:tcPr>
          <w:p w14:paraId="69DA0D0F">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硫化氢</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22DA531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0.0001</w:t>
            </w:r>
          </w:p>
        </w:tc>
        <w:tc>
          <w:tcPr>
            <w:tcW w:w="8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9AF7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2.5</w:t>
            </w:r>
          </w:p>
        </w:tc>
        <w:tc>
          <w:tcPr>
            <w:tcW w:w="443" w:type="pct"/>
            <w:tcBorders>
              <w:top w:val="single" w:color="auto" w:sz="4" w:space="0"/>
              <w:left w:val="single" w:color="auto" w:sz="4" w:space="0"/>
              <w:bottom w:val="single" w:color="auto" w:sz="4" w:space="0"/>
            </w:tcBorders>
            <w:noWrap w:val="0"/>
            <w:vAlign w:val="bottom"/>
          </w:tcPr>
          <w:p w14:paraId="4FE1F21A">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0.00004</w:t>
            </w:r>
          </w:p>
        </w:tc>
      </w:tr>
      <w:tr w14:paraId="787B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restart"/>
            <w:tcBorders>
              <w:top w:val="single" w:color="auto" w:sz="4" w:space="0"/>
              <w:right w:val="single" w:color="auto" w:sz="4" w:space="0"/>
            </w:tcBorders>
            <w:noWrap w:val="0"/>
            <w:vAlign w:val="center"/>
          </w:tcPr>
          <w:p w14:paraId="48264028">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燃料气管线</w:t>
            </w:r>
          </w:p>
        </w:tc>
        <w:tc>
          <w:tcPr>
            <w:tcW w:w="971" w:type="pct"/>
            <w:tcBorders>
              <w:top w:val="single" w:color="auto" w:sz="4" w:space="0"/>
              <w:left w:val="single" w:color="auto" w:sz="4" w:space="0"/>
              <w:right w:val="single" w:color="auto" w:sz="4" w:space="0"/>
            </w:tcBorders>
            <w:noWrap w:val="0"/>
            <w:vAlign w:val="center"/>
          </w:tcPr>
          <w:p w14:paraId="2F79BB07">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TH10250CH</w:t>
            </w:r>
          </w:p>
        </w:tc>
        <w:tc>
          <w:tcPr>
            <w:tcW w:w="532" w:type="pct"/>
            <w:tcBorders>
              <w:top w:val="single" w:color="auto" w:sz="4" w:space="0"/>
              <w:left w:val="single" w:color="auto" w:sz="4" w:space="0"/>
              <w:right w:val="single" w:color="auto" w:sz="4" w:space="0"/>
            </w:tcBorders>
            <w:noWrap w:val="0"/>
            <w:vAlign w:val="center"/>
          </w:tcPr>
          <w:p w14:paraId="09556985">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3.2</w:t>
            </w:r>
          </w:p>
        </w:tc>
        <w:tc>
          <w:tcPr>
            <w:tcW w:w="546" w:type="pct"/>
            <w:tcBorders>
              <w:top w:val="single" w:color="auto" w:sz="4" w:space="0"/>
              <w:left w:val="single" w:color="auto" w:sz="4" w:space="0"/>
              <w:right w:val="single" w:color="auto" w:sz="4" w:space="0"/>
            </w:tcBorders>
            <w:noWrap w:val="0"/>
            <w:vAlign w:val="center"/>
          </w:tcPr>
          <w:p w14:paraId="3B2C8F41">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40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7FE7311D">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230210B0">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0.021</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16AE66E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443" w:type="pct"/>
            <w:tcBorders>
              <w:top w:val="single" w:color="auto" w:sz="4" w:space="0"/>
              <w:left w:val="single" w:color="auto" w:sz="4" w:space="0"/>
              <w:bottom w:val="single" w:color="auto" w:sz="4" w:space="0"/>
            </w:tcBorders>
            <w:noWrap w:val="0"/>
            <w:vAlign w:val="bottom"/>
          </w:tcPr>
          <w:p w14:paraId="1B3B2091">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0.0021</w:t>
            </w:r>
          </w:p>
        </w:tc>
      </w:tr>
      <w:tr w14:paraId="7676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continue"/>
            <w:tcBorders>
              <w:right w:val="single" w:color="auto" w:sz="4" w:space="0"/>
            </w:tcBorders>
            <w:noWrap w:val="0"/>
            <w:vAlign w:val="center"/>
          </w:tcPr>
          <w:p w14:paraId="7B993484">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tcBorders>
              <w:left w:val="single" w:color="auto" w:sz="4" w:space="0"/>
              <w:right w:val="single" w:color="auto" w:sz="4" w:space="0"/>
            </w:tcBorders>
            <w:noWrap w:val="0"/>
            <w:vAlign w:val="center"/>
          </w:tcPr>
          <w:p w14:paraId="6273D4CE">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TH10294CH</w:t>
            </w:r>
          </w:p>
        </w:tc>
        <w:tc>
          <w:tcPr>
            <w:tcW w:w="532" w:type="pct"/>
            <w:tcBorders>
              <w:left w:val="single" w:color="auto" w:sz="4" w:space="0"/>
              <w:right w:val="single" w:color="auto" w:sz="4" w:space="0"/>
            </w:tcBorders>
            <w:noWrap w:val="0"/>
            <w:vAlign w:val="center"/>
          </w:tcPr>
          <w:p w14:paraId="6A11A9E3">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2.91</w:t>
            </w:r>
          </w:p>
        </w:tc>
        <w:tc>
          <w:tcPr>
            <w:tcW w:w="546" w:type="pct"/>
            <w:tcBorders>
              <w:left w:val="single" w:color="auto" w:sz="4" w:space="0"/>
              <w:right w:val="single" w:color="auto" w:sz="4" w:space="0"/>
            </w:tcBorders>
            <w:noWrap w:val="0"/>
            <w:vAlign w:val="center"/>
          </w:tcPr>
          <w:p w14:paraId="18739A23">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40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0BCA2850">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42253F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0.019</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3C9A7F3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default" w:ascii="Times New Roman" w:hAnsi="Times New Roman" w:cs="Times New Roman"/>
                <w:color w:val="auto"/>
                <w:highlight w:val="none"/>
              </w:rPr>
              <w:t>10</w:t>
            </w:r>
          </w:p>
        </w:tc>
        <w:tc>
          <w:tcPr>
            <w:tcW w:w="443" w:type="pct"/>
            <w:tcBorders>
              <w:top w:val="single" w:color="auto" w:sz="4" w:space="0"/>
              <w:left w:val="single" w:color="auto" w:sz="4" w:space="0"/>
              <w:bottom w:val="single" w:color="auto" w:sz="4" w:space="0"/>
            </w:tcBorders>
            <w:noWrap w:val="0"/>
            <w:vAlign w:val="bottom"/>
          </w:tcPr>
          <w:p w14:paraId="595104DB">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0.0019</w:t>
            </w:r>
          </w:p>
        </w:tc>
      </w:tr>
      <w:tr w14:paraId="1E7C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continue"/>
            <w:tcBorders>
              <w:right w:val="single" w:color="auto" w:sz="4" w:space="0"/>
            </w:tcBorders>
            <w:noWrap w:val="0"/>
            <w:vAlign w:val="center"/>
          </w:tcPr>
          <w:p w14:paraId="78CBD518">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tcBorders>
              <w:left w:val="single" w:color="auto" w:sz="4" w:space="0"/>
              <w:right w:val="single" w:color="auto" w:sz="4" w:space="0"/>
            </w:tcBorders>
            <w:noWrap w:val="0"/>
            <w:vAlign w:val="center"/>
          </w:tcPr>
          <w:p w14:paraId="78D68F03">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TH10298CH</w:t>
            </w:r>
          </w:p>
        </w:tc>
        <w:tc>
          <w:tcPr>
            <w:tcW w:w="532" w:type="pct"/>
            <w:tcBorders>
              <w:left w:val="single" w:color="auto" w:sz="4" w:space="0"/>
              <w:right w:val="single" w:color="auto" w:sz="4" w:space="0"/>
            </w:tcBorders>
            <w:noWrap w:val="0"/>
            <w:vAlign w:val="center"/>
          </w:tcPr>
          <w:p w14:paraId="4DB32410">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6.12</w:t>
            </w:r>
          </w:p>
        </w:tc>
        <w:tc>
          <w:tcPr>
            <w:tcW w:w="546" w:type="pct"/>
            <w:tcBorders>
              <w:left w:val="single" w:color="auto" w:sz="4" w:space="0"/>
              <w:right w:val="single" w:color="auto" w:sz="4" w:space="0"/>
            </w:tcBorders>
            <w:shd w:val="clear" w:color="auto" w:fill="auto"/>
            <w:noWrap w:val="0"/>
            <w:vAlign w:val="center"/>
          </w:tcPr>
          <w:p w14:paraId="3E1D04B9">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40</w:t>
            </w: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5FAC28">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sz w:val="21"/>
                <w:szCs w:val="18"/>
                <w:highlight w:val="none"/>
                <w:lang w:val="en-US" w:eastAsia="zh-CN" w:bidi="ar-SA"/>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5C61DC7">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0.041</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0B779D28">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443" w:type="pct"/>
            <w:tcBorders>
              <w:top w:val="single" w:color="auto" w:sz="4" w:space="0"/>
              <w:left w:val="single" w:color="auto" w:sz="4" w:space="0"/>
              <w:bottom w:val="single" w:color="auto" w:sz="4" w:space="0"/>
            </w:tcBorders>
            <w:noWrap w:val="0"/>
            <w:vAlign w:val="bottom"/>
          </w:tcPr>
          <w:p w14:paraId="47D54507">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0.0041</w:t>
            </w:r>
          </w:p>
        </w:tc>
      </w:tr>
      <w:tr w14:paraId="2B81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continue"/>
            <w:tcBorders>
              <w:right w:val="single" w:color="auto" w:sz="4" w:space="0"/>
            </w:tcBorders>
            <w:noWrap w:val="0"/>
            <w:vAlign w:val="center"/>
          </w:tcPr>
          <w:p w14:paraId="0381505C">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tcBorders>
              <w:left w:val="single" w:color="auto" w:sz="4" w:space="0"/>
              <w:right w:val="single" w:color="auto" w:sz="4" w:space="0"/>
            </w:tcBorders>
            <w:noWrap w:val="0"/>
            <w:vAlign w:val="center"/>
          </w:tcPr>
          <w:p w14:paraId="2C4655FF">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cs="Times New Roman"/>
                <w:color w:val="auto"/>
                <w:highlight w:val="none"/>
              </w:rPr>
            </w:pPr>
            <w:r>
              <w:rPr>
                <w:rFonts w:hint="eastAsia" w:ascii="Times New Roman" w:hAnsi="Times New Roman" w:eastAsia="宋体" w:cs="Times New Roman"/>
                <w:bCs/>
                <w:color w:val="auto"/>
                <w:sz w:val="21"/>
                <w:szCs w:val="21"/>
                <w:highlight w:val="none"/>
              </w:rPr>
              <w:t>TK872CH</w:t>
            </w:r>
          </w:p>
        </w:tc>
        <w:tc>
          <w:tcPr>
            <w:tcW w:w="532" w:type="pct"/>
            <w:tcBorders>
              <w:left w:val="single" w:color="auto" w:sz="4" w:space="0"/>
              <w:right w:val="single" w:color="auto" w:sz="4" w:space="0"/>
            </w:tcBorders>
            <w:noWrap w:val="0"/>
            <w:vAlign w:val="center"/>
          </w:tcPr>
          <w:p w14:paraId="25807724">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0.72</w:t>
            </w:r>
          </w:p>
        </w:tc>
        <w:tc>
          <w:tcPr>
            <w:tcW w:w="546" w:type="pct"/>
            <w:tcBorders>
              <w:left w:val="single" w:color="auto" w:sz="4" w:space="0"/>
              <w:right w:val="single" w:color="auto" w:sz="4" w:space="0"/>
            </w:tcBorders>
            <w:shd w:val="clear" w:color="auto" w:fill="auto"/>
            <w:noWrap w:val="0"/>
            <w:vAlign w:val="center"/>
          </w:tcPr>
          <w:p w14:paraId="063A4C01">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40</w:t>
            </w:r>
          </w:p>
        </w:tc>
        <w:tc>
          <w:tcPr>
            <w:tcW w:w="54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FA0C6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sz w:val="21"/>
                <w:szCs w:val="18"/>
                <w:highlight w:val="none"/>
                <w:lang w:val="en-US" w:eastAsia="zh-CN" w:bidi="ar-SA"/>
              </w:rPr>
            </w:pPr>
            <w:r>
              <w:rPr>
                <w:rFonts w:hint="eastAsia" w:ascii="Times New Roman" w:hAnsi="Times New Roman" w:cs="Times New Roman"/>
                <w:color w:val="auto"/>
                <w:highlight w:val="none"/>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F42C7D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0.004</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29271781">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443" w:type="pct"/>
            <w:tcBorders>
              <w:top w:val="single" w:color="auto" w:sz="4" w:space="0"/>
              <w:left w:val="single" w:color="auto" w:sz="4" w:space="0"/>
              <w:bottom w:val="single" w:color="auto" w:sz="4" w:space="0"/>
            </w:tcBorders>
            <w:noWrap w:val="0"/>
            <w:vAlign w:val="bottom"/>
          </w:tcPr>
          <w:p w14:paraId="2480398F">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0.0004</w:t>
            </w:r>
          </w:p>
        </w:tc>
      </w:tr>
      <w:tr w14:paraId="686B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continue"/>
            <w:tcBorders>
              <w:bottom w:val="single" w:color="auto" w:sz="4" w:space="0"/>
              <w:right w:val="single" w:color="auto" w:sz="4" w:space="0"/>
            </w:tcBorders>
            <w:noWrap w:val="0"/>
            <w:vAlign w:val="center"/>
          </w:tcPr>
          <w:p w14:paraId="21F53A98">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tcBorders>
              <w:left w:val="single" w:color="auto" w:sz="4" w:space="0"/>
              <w:right w:val="single" w:color="auto" w:sz="4" w:space="0"/>
            </w:tcBorders>
            <w:noWrap w:val="0"/>
            <w:vAlign w:val="center"/>
          </w:tcPr>
          <w:p w14:paraId="4C4C9F0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cs="Times New Roman"/>
                <w:color w:val="auto"/>
                <w:highlight w:val="none"/>
              </w:rPr>
            </w:pPr>
            <w:r>
              <w:rPr>
                <w:rFonts w:hint="eastAsia"/>
                <w:color w:val="auto"/>
                <w:sz w:val="21"/>
                <w:szCs w:val="21"/>
                <w:highlight w:val="none"/>
              </w:rPr>
              <w:t>TH102117X</w:t>
            </w:r>
          </w:p>
        </w:tc>
        <w:tc>
          <w:tcPr>
            <w:tcW w:w="532" w:type="pct"/>
            <w:tcBorders>
              <w:left w:val="single" w:color="auto" w:sz="4" w:space="0"/>
              <w:right w:val="single" w:color="auto" w:sz="4" w:space="0"/>
            </w:tcBorders>
            <w:noWrap w:val="0"/>
            <w:vAlign w:val="center"/>
          </w:tcPr>
          <w:p w14:paraId="3BB28788">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601</w:t>
            </w:r>
          </w:p>
        </w:tc>
        <w:tc>
          <w:tcPr>
            <w:tcW w:w="546" w:type="pct"/>
            <w:tcBorders>
              <w:left w:val="single" w:color="auto" w:sz="4" w:space="0"/>
              <w:right w:val="single" w:color="auto" w:sz="4" w:space="0"/>
            </w:tcBorders>
            <w:noWrap w:val="0"/>
            <w:vAlign w:val="center"/>
          </w:tcPr>
          <w:p w14:paraId="52BEE235">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40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2B0B1591">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天然气</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0D53D1A9">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0.004</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7B49EFF6">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443" w:type="pct"/>
            <w:tcBorders>
              <w:top w:val="single" w:color="auto" w:sz="4" w:space="0"/>
              <w:left w:val="single" w:color="auto" w:sz="4" w:space="0"/>
              <w:bottom w:val="single" w:color="auto" w:sz="4" w:space="0"/>
            </w:tcBorders>
            <w:noWrap w:val="0"/>
            <w:vAlign w:val="bottom"/>
          </w:tcPr>
          <w:p w14:paraId="2120D462">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0.0004</w:t>
            </w:r>
          </w:p>
        </w:tc>
      </w:tr>
      <w:tr w14:paraId="3290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restart"/>
            <w:tcBorders>
              <w:top w:val="single" w:color="auto" w:sz="4" w:space="0"/>
              <w:bottom w:val="single" w:color="auto" w:sz="4" w:space="0"/>
              <w:right w:val="single" w:color="auto" w:sz="4" w:space="0"/>
            </w:tcBorders>
            <w:noWrap w:val="0"/>
            <w:vAlign w:val="center"/>
          </w:tcPr>
          <w:p w14:paraId="535853D6">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掺稀</w:t>
            </w:r>
          </w:p>
          <w:p w14:paraId="75E36867">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管线</w:t>
            </w:r>
          </w:p>
        </w:tc>
        <w:tc>
          <w:tcPr>
            <w:tcW w:w="971" w:type="pct"/>
            <w:tcBorders>
              <w:left w:val="single" w:color="auto" w:sz="4" w:space="0"/>
              <w:right w:val="single" w:color="auto" w:sz="4" w:space="0"/>
            </w:tcBorders>
            <w:shd w:val="clear" w:color="auto" w:fill="auto"/>
            <w:noWrap w:val="0"/>
            <w:vAlign w:val="center"/>
          </w:tcPr>
          <w:p w14:paraId="619F7000">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bCs/>
                <w:color w:val="auto"/>
                <w:sz w:val="21"/>
                <w:szCs w:val="21"/>
                <w:highlight w:val="none"/>
              </w:rPr>
              <w:t>TH10250CH</w:t>
            </w:r>
          </w:p>
        </w:tc>
        <w:tc>
          <w:tcPr>
            <w:tcW w:w="532" w:type="pct"/>
            <w:tcBorders>
              <w:left w:val="single" w:color="auto" w:sz="4" w:space="0"/>
              <w:right w:val="single" w:color="auto" w:sz="4" w:space="0"/>
            </w:tcBorders>
            <w:shd w:val="clear" w:color="auto" w:fill="auto"/>
            <w:noWrap w:val="0"/>
            <w:vAlign w:val="center"/>
          </w:tcPr>
          <w:p w14:paraId="6A3854F8">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bCs/>
                <w:color w:val="auto"/>
                <w:sz w:val="21"/>
                <w:szCs w:val="21"/>
                <w:highlight w:val="none"/>
              </w:rPr>
              <w:t>3.2</w:t>
            </w:r>
          </w:p>
        </w:tc>
        <w:tc>
          <w:tcPr>
            <w:tcW w:w="546" w:type="pct"/>
            <w:tcBorders>
              <w:left w:val="single" w:color="auto" w:sz="4" w:space="0"/>
              <w:right w:val="single" w:color="auto" w:sz="4" w:space="0"/>
            </w:tcBorders>
            <w:noWrap w:val="0"/>
            <w:vAlign w:val="center"/>
          </w:tcPr>
          <w:p w14:paraId="240E3A04">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50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5701613D">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稀油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32B0F9B0">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23</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23DD6C88">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2500</w:t>
            </w:r>
          </w:p>
        </w:tc>
        <w:tc>
          <w:tcPr>
            <w:tcW w:w="443" w:type="pct"/>
            <w:tcBorders>
              <w:top w:val="single" w:color="auto" w:sz="4" w:space="0"/>
              <w:left w:val="single" w:color="auto" w:sz="4" w:space="0"/>
              <w:bottom w:val="single" w:color="auto" w:sz="4" w:space="0"/>
            </w:tcBorders>
            <w:noWrap w:val="0"/>
            <w:vAlign w:val="bottom"/>
          </w:tcPr>
          <w:p w14:paraId="369DFDE1">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0.0092</w:t>
            </w:r>
          </w:p>
        </w:tc>
      </w:tr>
      <w:tr w14:paraId="170D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continue"/>
            <w:tcBorders>
              <w:top w:val="single" w:color="auto" w:sz="4" w:space="0"/>
              <w:bottom w:val="single" w:color="auto" w:sz="4" w:space="0"/>
              <w:right w:val="single" w:color="auto" w:sz="4" w:space="0"/>
            </w:tcBorders>
            <w:noWrap w:val="0"/>
            <w:vAlign w:val="center"/>
          </w:tcPr>
          <w:p w14:paraId="4A381D81">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tcBorders>
              <w:left w:val="single" w:color="auto" w:sz="4" w:space="0"/>
              <w:right w:val="single" w:color="auto" w:sz="4" w:space="0"/>
            </w:tcBorders>
            <w:shd w:val="clear" w:color="auto" w:fill="auto"/>
            <w:noWrap w:val="0"/>
            <w:vAlign w:val="center"/>
          </w:tcPr>
          <w:p w14:paraId="65AD6E37">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bCs/>
                <w:color w:val="auto"/>
                <w:sz w:val="21"/>
                <w:szCs w:val="21"/>
                <w:highlight w:val="none"/>
              </w:rPr>
              <w:t>TH10294CH</w:t>
            </w:r>
          </w:p>
        </w:tc>
        <w:tc>
          <w:tcPr>
            <w:tcW w:w="532" w:type="pct"/>
            <w:tcBorders>
              <w:left w:val="single" w:color="auto" w:sz="4" w:space="0"/>
              <w:right w:val="single" w:color="auto" w:sz="4" w:space="0"/>
            </w:tcBorders>
            <w:shd w:val="clear" w:color="auto" w:fill="auto"/>
            <w:noWrap w:val="0"/>
            <w:vAlign w:val="center"/>
          </w:tcPr>
          <w:p w14:paraId="67342C3C">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bCs/>
                <w:color w:val="auto"/>
                <w:sz w:val="21"/>
                <w:szCs w:val="21"/>
                <w:highlight w:val="none"/>
              </w:rPr>
              <w:t>2.91</w:t>
            </w:r>
          </w:p>
        </w:tc>
        <w:tc>
          <w:tcPr>
            <w:tcW w:w="546" w:type="pct"/>
            <w:tcBorders>
              <w:left w:val="single" w:color="auto" w:sz="4" w:space="0"/>
              <w:right w:val="single" w:color="auto" w:sz="4" w:space="0"/>
            </w:tcBorders>
            <w:noWrap w:val="0"/>
            <w:vAlign w:val="center"/>
          </w:tcPr>
          <w:p w14:paraId="5D8F0A97">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50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2BA44C0D">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cs="Times New Roman"/>
                <w:color w:val="auto"/>
                <w:highlight w:val="none"/>
                <w:lang w:val="en-US" w:eastAsia="zh-CN"/>
              </w:rPr>
              <w:t>稀油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0377A2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033CC31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2500</w:t>
            </w:r>
          </w:p>
        </w:tc>
        <w:tc>
          <w:tcPr>
            <w:tcW w:w="443" w:type="pct"/>
            <w:tcBorders>
              <w:top w:val="single" w:color="auto" w:sz="4" w:space="0"/>
              <w:left w:val="single" w:color="auto" w:sz="4" w:space="0"/>
              <w:bottom w:val="single" w:color="auto" w:sz="4" w:space="0"/>
            </w:tcBorders>
            <w:noWrap w:val="0"/>
            <w:vAlign w:val="bottom"/>
          </w:tcPr>
          <w:p w14:paraId="634233C4">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0.0084</w:t>
            </w:r>
          </w:p>
        </w:tc>
      </w:tr>
      <w:tr w14:paraId="75F4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continue"/>
            <w:tcBorders>
              <w:top w:val="single" w:color="auto" w:sz="4" w:space="0"/>
              <w:bottom w:val="single" w:color="auto" w:sz="4" w:space="0"/>
              <w:right w:val="single" w:color="auto" w:sz="4" w:space="0"/>
            </w:tcBorders>
            <w:noWrap w:val="0"/>
            <w:vAlign w:val="center"/>
          </w:tcPr>
          <w:p w14:paraId="0210449A">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tcBorders>
              <w:left w:val="single" w:color="auto" w:sz="4" w:space="0"/>
              <w:right w:val="single" w:color="auto" w:sz="4" w:space="0"/>
            </w:tcBorders>
            <w:shd w:val="clear" w:color="auto" w:fill="auto"/>
            <w:noWrap w:val="0"/>
            <w:vAlign w:val="center"/>
          </w:tcPr>
          <w:p w14:paraId="61C47AD7">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bCs/>
                <w:color w:val="auto"/>
                <w:sz w:val="21"/>
                <w:szCs w:val="21"/>
                <w:highlight w:val="none"/>
              </w:rPr>
              <w:t>TH10298CH</w:t>
            </w:r>
          </w:p>
        </w:tc>
        <w:tc>
          <w:tcPr>
            <w:tcW w:w="532" w:type="pct"/>
            <w:tcBorders>
              <w:left w:val="single" w:color="auto" w:sz="4" w:space="0"/>
              <w:right w:val="single" w:color="auto" w:sz="4" w:space="0"/>
            </w:tcBorders>
            <w:shd w:val="clear" w:color="auto" w:fill="auto"/>
            <w:noWrap w:val="0"/>
            <w:vAlign w:val="center"/>
          </w:tcPr>
          <w:p w14:paraId="1F8E3DEF">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rPr>
              <w:t>6.12</w:t>
            </w:r>
          </w:p>
        </w:tc>
        <w:tc>
          <w:tcPr>
            <w:tcW w:w="546" w:type="pct"/>
            <w:tcBorders>
              <w:left w:val="single" w:color="auto" w:sz="4" w:space="0"/>
              <w:right w:val="single" w:color="auto" w:sz="4" w:space="0"/>
            </w:tcBorders>
            <w:noWrap w:val="0"/>
            <w:vAlign w:val="center"/>
          </w:tcPr>
          <w:p w14:paraId="502141AB">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50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700C12FA">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cs="Times New Roman"/>
                <w:color w:val="auto"/>
                <w:highlight w:val="none"/>
                <w:lang w:val="en-US" w:eastAsia="zh-CN"/>
              </w:rPr>
              <w:t>稀油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73E3FAA3">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44</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01AB3825">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2500</w:t>
            </w:r>
          </w:p>
        </w:tc>
        <w:tc>
          <w:tcPr>
            <w:tcW w:w="443" w:type="pct"/>
            <w:tcBorders>
              <w:top w:val="single" w:color="auto" w:sz="4" w:space="0"/>
              <w:left w:val="single" w:color="auto" w:sz="4" w:space="0"/>
              <w:bottom w:val="single" w:color="auto" w:sz="4" w:space="0"/>
            </w:tcBorders>
            <w:noWrap w:val="0"/>
            <w:vAlign w:val="bottom"/>
          </w:tcPr>
          <w:p w14:paraId="6EA83E4E">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0.0176</w:t>
            </w:r>
          </w:p>
        </w:tc>
      </w:tr>
      <w:tr w14:paraId="43A8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1" w:type="pct"/>
            <w:vMerge w:val="continue"/>
            <w:tcBorders>
              <w:top w:val="single" w:color="auto" w:sz="4" w:space="0"/>
              <w:bottom w:val="single" w:color="auto" w:sz="4" w:space="0"/>
              <w:right w:val="single" w:color="auto" w:sz="4" w:space="0"/>
            </w:tcBorders>
            <w:noWrap w:val="0"/>
            <w:vAlign w:val="center"/>
          </w:tcPr>
          <w:p w14:paraId="06A5A6BB">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p>
        </w:tc>
        <w:tc>
          <w:tcPr>
            <w:tcW w:w="971" w:type="pct"/>
            <w:tcBorders>
              <w:left w:val="single" w:color="auto" w:sz="4" w:space="0"/>
              <w:right w:val="single" w:color="auto" w:sz="4" w:space="0"/>
            </w:tcBorders>
            <w:shd w:val="clear" w:color="auto" w:fill="auto"/>
            <w:noWrap w:val="0"/>
            <w:vAlign w:val="center"/>
          </w:tcPr>
          <w:p w14:paraId="5A968C83">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auto"/>
                <w:sz w:val="24"/>
                <w:szCs w:val="24"/>
                <w:highlight w:val="none"/>
                <w:lang w:val="en-US" w:eastAsia="zh-CN" w:bidi="ar-SA"/>
              </w:rPr>
            </w:pPr>
            <w:r>
              <w:rPr>
                <w:rFonts w:hint="eastAsia"/>
                <w:color w:val="auto"/>
                <w:sz w:val="21"/>
                <w:szCs w:val="21"/>
                <w:highlight w:val="none"/>
              </w:rPr>
              <w:t>TH102117X</w:t>
            </w:r>
          </w:p>
        </w:tc>
        <w:tc>
          <w:tcPr>
            <w:tcW w:w="532" w:type="pct"/>
            <w:tcBorders>
              <w:left w:val="single" w:color="auto" w:sz="4" w:space="0"/>
              <w:right w:val="single" w:color="auto" w:sz="4" w:space="0"/>
            </w:tcBorders>
            <w:shd w:val="clear" w:color="auto" w:fill="auto"/>
            <w:noWrap w:val="0"/>
            <w:vAlign w:val="center"/>
          </w:tcPr>
          <w:p w14:paraId="4C28D8BA">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Cs/>
                <w:color w:val="auto"/>
                <w:sz w:val="21"/>
                <w:szCs w:val="21"/>
                <w:highlight w:val="none"/>
                <w:lang w:val="en-US" w:eastAsia="zh-CN" w:bidi="ar-SA"/>
              </w:rPr>
            </w:pPr>
            <w:r>
              <w:rPr>
                <w:rFonts w:hint="eastAsia" w:cs="Times New Roman"/>
                <w:bCs/>
                <w:color w:val="auto"/>
                <w:sz w:val="21"/>
                <w:szCs w:val="21"/>
                <w:highlight w:val="none"/>
                <w:lang w:val="en-US" w:eastAsia="zh-CN"/>
              </w:rPr>
              <w:t>601</w:t>
            </w:r>
          </w:p>
        </w:tc>
        <w:tc>
          <w:tcPr>
            <w:tcW w:w="546" w:type="pct"/>
            <w:tcBorders>
              <w:left w:val="single" w:color="auto" w:sz="4" w:space="0"/>
              <w:right w:val="single" w:color="auto" w:sz="4" w:space="0"/>
            </w:tcBorders>
            <w:noWrap w:val="0"/>
            <w:vAlign w:val="center"/>
          </w:tcPr>
          <w:p w14:paraId="68E02C33">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w:t>
            </w:r>
            <w:r>
              <w:rPr>
                <w:rFonts w:hint="eastAsia" w:cs="Times New Roman"/>
                <w:bCs/>
                <w:color w:val="auto"/>
                <w:sz w:val="21"/>
                <w:szCs w:val="21"/>
                <w:highlight w:val="none"/>
                <w:lang w:val="en-US" w:eastAsia="zh-CN"/>
              </w:rPr>
              <w:t>50</w:t>
            </w:r>
          </w:p>
        </w:tc>
        <w:tc>
          <w:tcPr>
            <w:tcW w:w="542" w:type="pct"/>
            <w:tcBorders>
              <w:top w:val="single" w:color="auto" w:sz="4" w:space="0"/>
              <w:left w:val="single" w:color="auto" w:sz="4" w:space="0"/>
              <w:bottom w:val="single" w:color="auto" w:sz="4" w:space="0"/>
              <w:right w:val="single" w:color="auto" w:sz="4" w:space="0"/>
            </w:tcBorders>
            <w:noWrap w:val="0"/>
            <w:vAlign w:val="center"/>
          </w:tcPr>
          <w:p w14:paraId="4DE947A0">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cs="Times New Roman"/>
                <w:color w:val="auto"/>
                <w:highlight w:val="none"/>
              </w:rPr>
            </w:pPr>
            <w:r>
              <w:rPr>
                <w:rFonts w:hint="eastAsia" w:cs="Times New Roman"/>
                <w:color w:val="auto"/>
                <w:highlight w:val="none"/>
                <w:lang w:val="en-US" w:eastAsia="zh-CN"/>
              </w:rPr>
              <w:t>稀油</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DA0338E">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58B93E2F">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2500</w:t>
            </w:r>
          </w:p>
        </w:tc>
        <w:tc>
          <w:tcPr>
            <w:tcW w:w="443" w:type="pct"/>
            <w:tcBorders>
              <w:top w:val="single" w:color="auto" w:sz="4" w:space="0"/>
              <w:left w:val="single" w:color="auto" w:sz="4" w:space="0"/>
              <w:bottom w:val="single" w:color="auto" w:sz="4" w:space="0"/>
            </w:tcBorders>
            <w:noWrap w:val="0"/>
            <w:vAlign w:val="bottom"/>
          </w:tcPr>
          <w:p w14:paraId="0DC0C3C5">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0.0016</w:t>
            </w:r>
          </w:p>
        </w:tc>
      </w:tr>
      <w:tr w14:paraId="343A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556" w:type="pct"/>
            <w:gridSpan w:val="7"/>
            <w:tcBorders>
              <w:top w:val="single" w:color="auto" w:sz="4" w:space="0"/>
              <w:right w:val="single" w:color="auto" w:sz="4" w:space="0"/>
            </w:tcBorders>
            <w:noWrap w:val="0"/>
            <w:vAlign w:val="center"/>
          </w:tcPr>
          <w:p w14:paraId="4BC5C606">
            <w:pPr>
              <w:pStyle w:val="52"/>
              <w:keepNext w:val="0"/>
              <w:keepLines w:val="0"/>
              <w:pageBreakBefore w:val="0"/>
              <w:kinsoku/>
              <w:wordWrap/>
              <w:overflowPunct/>
              <w:topLinePunct w:val="0"/>
              <w:autoSpaceDE/>
              <w:autoSpaceDN/>
              <w:bidi w:val="0"/>
              <w:spacing w:line="260" w:lineRule="exact"/>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合计</w:t>
            </w:r>
          </w:p>
        </w:tc>
        <w:tc>
          <w:tcPr>
            <w:tcW w:w="443" w:type="pct"/>
            <w:tcBorders>
              <w:top w:val="single" w:color="auto" w:sz="4" w:space="0"/>
              <w:left w:val="single" w:color="auto" w:sz="4" w:space="0"/>
            </w:tcBorders>
            <w:noWrap w:val="0"/>
            <w:vAlign w:val="bottom"/>
          </w:tcPr>
          <w:p w14:paraId="15F936D4">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highlight w:val="none"/>
                <w:u w:val="none"/>
                <w:lang w:val="en-US" w:eastAsia="zh-CN" w:bidi="ar"/>
              </w:rPr>
            </w:pPr>
            <w:r>
              <w:rPr>
                <w:rFonts w:hint="eastAsia" w:ascii="Times New Roman" w:hAnsi="Times New Roman" w:eastAsia="等线" w:cs="Times New Roman"/>
                <w:i w:val="0"/>
                <w:iCs w:val="0"/>
                <w:color w:val="auto"/>
                <w:kern w:val="0"/>
                <w:sz w:val="21"/>
                <w:szCs w:val="21"/>
                <w:highlight w:val="none"/>
                <w:u w:val="none"/>
                <w:lang w:val="en-US" w:eastAsia="zh-CN" w:bidi="ar"/>
              </w:rPr>
              <w:t>0.3068</w:t>
            </w:r>
          </w:p>
        </w:tc>
      </w:tr>
    </w:tbl>
    <w:p w14:paraId="5E565B58">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18"/>
          <w:szCs w:val="18"/>
          <w:highlight w:val="none"/>
          <w:lang w:val="en-US" w:eastAsia="zh-CN" w:bidi="ar"/>
        </w:rPr>
      </w:pPr>
      <w:r>
        <w:rPr>
          <w:rFonts w:hint="eastAsia" w:ascii="Times New Roman" w:hAnsi="Times New Roman" w:eastAsia="宋体" w:cs="Times New Roman"/>
          <w:b w:val="0"/>
          <w:bCs w:val="0"/>
          <w:color w:val="auto"/>
          <w:kern w:val="2"/>
          <w:sz w:val="18"/>
          <w:szCs w:val="18"/>
          <w:highlight w:val="none"/>
          <w:lang w:val="en-US" w:eastAsia="zh-CN" w:bidi="ar"/>
        </w:rPr>
        <w:t>注：集油管线运行压力按照3.5/3.0MPa，燃料气管线运行压力按照1.5/1.0MPa，掺稀管线运行压力按照12.0/10.0MPa核算。</w:t>
      </w:r>
    </w:p>
    <w:p w14:paraId="39197E1A">
      <w:pPr>
        <w:pStyle w:val="9"/>
        <w:keepNext w:val="0"/>
        <w:keepLines w:val="0"/>
        <w:pageBreakBefore w:val="0"/>
        <w:widowControl/>
        <w:kinsoku/>
        <w:wordWrap/>
        <w:overflowPunct/>
        <w:topLinePunct w:val="0"/>
        <w:autoSpaceDE/>
        <w:autoSpaceDN/>
        <w:bidi w:val="0"/>
        <w:adjustRightInd w:val="0"/>
        <w:snapToGrid w:val="0"/>
        <w:spacing w:before="157" w:beforeLines="50" w:line="360" w:lineRule="auto"/>
        <w:ind w:firstLine="420"/>
        <w:textAlignment w:val="auto"/>
        <w:rPr>
          <w:rFonts w:hint="default" w:ascii="Times New Roman" w:hAnsi="Times New Roman" w:cs="Times New Roman"/>
          <w:color w:val="auto"/>
          <w:highlight w:val="none"/>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8"/>
          <w:cols w:space="425" w:num="1"/>
          <w:docGrid w:type="lines" w:linePitch="312" w:charSpace="0"/>
        </w:sectPr>
      </w:pPr>
      <w:r>
        <w:rPr>
          <w:rFonts w:hint="default" w:ascii="Times New Roman" w:hAnsi="Times New Roman" w:eastAsia="宋体" w:cs="Times New Roman"/>
          <w:caps w:val="0"/>
          <w:color w:val="auto"/>
          <w:sz w:val="24"/>
          <w:szCs w:val="24"/>
          <w:highlight w:val="none"/>
          <w:lang w:val="en-US" w:eastAsia="zh-CN" w:bidi="ar-SA"/>
        </w:rPr>
        <w:t>根据上表计算结果，本项目Q=0.</w:t>
      </w:r>
      <w:r>
        <w:rPr>
          <w:rFonts w:hint="eastAsia" w:ascii="Times New Roman" w:hAnsi="Times New Roman" w:eastAsia="宋体" w:cs="Times New Roman"/>
          <w:caps w:val="0"/>
          <w:color w:val="auto"/>
          <w:sz w:val="24"/>
          <w:szCs w:val="24"/>
          <w:highlight w:val="none"/>
          <w:lang w:val="en-US" w:eastAsia="zh-CN" w:bidi="ar-SA"/>
        </w:rPr>
        <w:t>3068</w:t>
      </w:r>
      <w:r>
        <w:rPr>
          <w:rFonts w:hint="default" w:ascii="Times New Roman" w:hAnsi="Times New Roman" w:eastAsia="宋体" w:cs="Times New Roman"/>
          <w:caps w:val="0"/>
          <w:color w:val="auto"/>
          <w:sz w:val="24"/>
          <w:szCs w:val="24"/>
          <w:highlight w:val="none"/>
          <w:lang w:val="en-US" w:eastAsia="zh-CN" w:bidi="ar-SA"/>
        </w:rPr>
        <w:t>，Q＜1，判断项目风险潜势为Ⅰ，根据《建设项目环境风险评价技术导则》（HJ169-2018）相关要求，本次评价仅对项目可能存在的环境风险进行简单分析。不设置环境风险评价范围</w:t>
      </w:r>
      <w:r>
        <w:rPr>
          <w:rFonts w:hint="default" w:ascii="Times New Roman" w:hAnsi="Times New Roman" w:cs="Times New Roman"/>
          <w:color w:val="auto"/>
          <w:highlight w:val="none"/>
        </w:rPr>
        <w:t>。</w:t>
      </w:r>
    </w:p>
    <w:p w14:paraId="21491984">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155" w:name="_Toc353966733"/>
      <w:bookmarkStart w:id="156" w:name="_Toc280954906"/>
      <w:bookmarkStart w:id="157" w:name="_Toc227650572"/>
      <w:bookmarkStart w:id="158" w:name="_Toc361761825"/>
      <w:bookmarkStart w:id="159" w:name="_Toc42981099"/>
      <w:bookmarkStart w:id="160" w:name="_Toc75438882"/>
      <w:bookmarkStart w:id="161" w:name="_Toc374724174"/>
      <w:bookmarkStart w:id="162" w:name="_Toc146540982"/>
      <w:bookmarkStart w:id="163" w:name="_Toc420492360"/>
      <w:bookmarkStart w:id="164" w:name="_Toc161551981"/>
      <w:bookmarkStart w:id="165" w:name="_Toc20938"/>
      <w:bookmarkStart w:id="166" w:name="_Toc508291876"/>
      <w:bookmarkStart w:id="167" w:name="_Toc22630"/>
      <w:bookmarkStart w:id="168" w:name="_Toc280954983"/>
      <w:bookmarkStart w:id="169" w:name="_Toc297590775"/>
      <w:bookmarkStart w:id="170" w:name="_Toc149456025"/>
      <w:bookmarkStart w:id="171" w:name="_Toc255293766"/>
      <w:bookmarkStart w:id="172" w:name="_Toc297590928"/>
      <w:bookmarkStart w:id="173" w:name="_Toc1162"/>
      <w:bookmarkStart w:id="174" w:name="_Toc255293767"/>
      <w:r>
        <w:rPr>
          <w:rFonts w:hint="default" w:ascii="Times New Roman" w:hAnsi="Times New Roman" w:cs="Times New Roman"/>
          <w:color w:val="auto"/>
          <w:highlight w:val="none"/>
        </w:rPr>
        <w:t>2.7评价时段与评价重点</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DF9D78">
      <w:pPr>
        <w:pStyle w:val="5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评价时段包括施工期、运营期、退役期三个时段，其中以施工期和运营期为主。经对项目区域自然地理、环境现状和社会经济的调查研究及工程排污特点的分析，确定评价工作的重点如下：</w:t>
      </w:r>
    </w:p>
    <w:p w14:paraId="455E796A">
      <w:pPr>
        <w:pStyle w:val="59"/>
        <w:keepNext w:val="0"/>
        <w:keepLines w:val="0"/>
        <w:pageBreakBefore w:val="0"/>
        <w:kinsoku/>
        <w:wordWrap/>
        <w:overflowPunct/>
        <w:topLinePunct w:val="0"/>
        <w:autoSpaceDE/>
        <w:autoSpaceDN/>
        <w:bidi w:val="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（1）工程分析；</w:t>
      </w:r>
    </w:p>
    <w:p w14:paraId="3EC340B9">
      <w:pPr>
        <w:pStyle w:val="59"/>
        <w:keepNext w:val="0"/>
        <w:keepLines w:val="0"/>
        <w:pageBreakBefore w:val="0"/>
        <w:kinsoku/>
        <w:wordWrap/>
        <w:overflowPunct/>
        <w:topLinePunct w:val="0"/>
        <w:autoSpaceDE/>
        <w:autoSpaceDN/>
        <w:bidi w:val="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（2）生态环境影响评价；</w:t>
      </w:r>
    </w:p>
    <w:p w14:paraId="076C5C4C">
      <w:pPr>
        <w:pStyle w:val="59"/>
        <w:keepNext w:val="0"/>
        <w:keepLines w:val="0"/>
        <w:pageBreakBefore w:val="0"/>
        <w:kinsoku/>
        <w:wordWrap/>
        <w:overflowPunct/>
        <w:topLinePunct w:val="0"/>
        <w:autoSpaceDE/>
        <w:autoSpaceDN/>
        <w:bidi w:val="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（3）地下水环境影响评价；</w:t>
      </w:r>
    </w:p>
    <w:p w14:paraId="426ACBB7">
      <w:pPr>
        <w:pStyle w:val="59"/>
        <w:keepNext w:val="0"/>
        <w:keepLines w:val="0"/>
        <w:pageBreakBefore w:val="0"/>
        <w:kinsoku/>
        <w:wordWrap/>
        <w:overflowPunct/>
        <w:topLinePunct w:val="0"/>
        <w:autoSpaceDE/>
        <w:autoSpaceDN/>
        <w:bidi w:val="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（4）固体废物影响评价；</w:t>
      </w:r>
    </w:p>
    <w:p w14:paraId="0DDDEADF">
      <w:pPr>
        <w:pStyle w:val="59"/>
        <w:keepNext w:val="0"/>
        <w:keepLines w:val="0"/>
        <w:pageBreakBefore w:val="0"/>
        <w:kinsoku/>
        <w:wordWrap/>
        <w:overflowPunct/>
        <w:topLinePunct w:val="0"/>
        <w:autoSpaceDE/>
        <w:autoSpaceDN/>
        <w:bidi w:val="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（5）环境风险影响评价及风险管理；</w:t>
      </w:r>
    </w:p>
    <w:p w14:paraId="699BDC68">
      <w:pPr>
        <w:pStyle w:val="5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（6）环境保护措施技术经济及可行性论证。</w:t>
      </w:r>
      <w:bookmarkEnd w:id="174"/>
    </w:p>
    <w:p w14:paraId="1A3616C8">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175" w:name="_Toc361761824"/>
      <w:bookmarkStart w:id="176" w:name="_Toc353966732"/>
      <w:bookmarkStart w:id="177" w:name="_Toc161551980"/>
      <w:bookmarkStart w:id="178" w:name="_Toc297590774"/>
      <w:bookmarkStart w:id="179" w:name="_Toc297590927"/>
      <w:bookmarkStart w:id="180" w:name="_Toc508291877"/>
      <w:bookmarkStart w:id="181" w:name="_Toc280954905"/>
      <w:bookmarkStart w:id="182" w:name="_Toc146540981"/>
      <w:bookmarkStart w:id="183" w:name="_Toc227650571"/>
      <w:bookmarkStart w:id="184" w:name="_Toc149456024"/>
      <w:bookmarkStart w:id="185" w:name="_Toc8064"/>
      <w:bookmarkStart w:id="186" w:name="_Toc255293765"/>
      <w:bookmarkStart w:id="187" w:name="_Toc9893"/>
      <w:bookmarkStart w:id="188" w:name="_Toc75438883"/>
      <w:bookmarkStart w:id="189" w:name="_Toc374724175"/>
      <w:bookmarkStart w:id="190" w:name="_Toc280954982"/>
      <w:bookmarkStart w:id="191" w:name="_Toc42981100"/>
      <w:bookmarkStart w:id="192" w:name="_Toc1075"/>
      <w:r>
        <w:rPr>
          <w:rFonts w:hint="default" w:ascii="Times New Roman" w:hAnsi="Times New Roman" w:cs="Times New Roman"/>
          <w:color w:val="auto"/>
          <w:highlight w:val="none"/>
        </w:rPr>
        <w:t>2.8控制污染与环境保护目标</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559261C">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193" w:name="_Toc12800"/>
      <w:bookmarkStart w:id="194" w:name="_Toc15552"/>
      <w:bookmarkStart w:id="195" w:name="_Toc693"/>
      <w:r>
        <w:rPr>
          <w:rFonts w:hint="default" w:ascii="Times New Roman" w:hAnsi="Times New Roman" w:cs="Times New Roman"/>
          <w:color w:val="auto"/>
          <w:highlight w:val="none"/>
        </w:rPr>
        <w:t>2.8.1污染控制目标</w:t>
      </w:r>
      <w:bookmarkEnd w:id="193"/>
      <w:bookmarkEnd w:id="194"/>
      <w:bookmarkEnd w:id="195"/>
    </w:p>
    <w:p w14:paraId="2953C0A8">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szCs w:val="24"/>
          <w:highlight w:val="none"/>
          <w:u w:val="none"/>
        </w:rPr>
      </w:pPr>
      <w:bookmarkStart w:id="196" w:name="_Hlk48603676"/>
      <w:r>
        <w:rPr>
          <w:rFonts w:hint="default" w:ascii="Times New Roman" w:hAnsi="Times New Roman" w:cs="Times New Roman"/>
          <w:color w:val="auto"/>
          <w:szCs w:val="24"/>
          <w:highlight w:val="none"/>
          <w:u w:val="none"/>
        </w:rPr>
        <w:t>根据项目建设和运营中对环境可能造成的污染与生态破坏，确定污染控制目标如下：</w:t>
      </w:r>
    </w:p>
    <w:p w14:paraId="02679BF1">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eastAsia="宋体" w:cs="Times New Roman"/>
          <w:color w:val="auto"/>
          <w:szCs w:val="24"/>
          <w:highlight w:val="none"/>
          <w:u w:val="none"/>
          <w:lang w:eastAsia="zh-CN"/>
        </w:rPr>
      </w:pP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1</w:t>
      </w: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项目区属于塔里木河流域重点治理区。因此要控制建设项目在建设过程中的各种施工活动，尽量减少对地表的扰动，做好植被恢复与水土保持工作，防止土壤沙化。</w:t>
      </w:r>
    </w:p>
    <w:p w14:paraId="261B3AF1">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eastAsia="宋体" w:cs="Times New Roman"/>
          <w:color w:val="auto"/>
          <w:szCs w:val="24"/>
          <w:highlight w:val="none"/>
          <w:u w:val="none"/>
          <w:lang w:eastAsia="zh-CN"/>
        </w:rPr>
      </w:pP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2</w:t>
      </w: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保证项目建成后，废气达标排放，固体废物得到妥善处置，主要污染物总量符合国家和地方控制要求。</w:t>
      </w:r>
    </w:p>
    <w:p w14:paraId="47730361">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3</w:t>
      </w: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保证评价区域空气质量、地下水质量基本维持现有水平</w:t>
      </w: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将项目对生态环境的不利影响降低到</w:t>
      </w:r>
      <w:r>
        <w:rPr>
          <w:rFonts w:hint="eastAsia" w:cs="Times New Roman"/>
          <w:color w:val="auto"/>
          <w:szCs w:val="24"/>
          <w:highlight w:val="none"/>
          <w:u w:val="none"/>
          <w:lang w:eastAsia="zh-CN"/>
        </w:rPr>
        <w:t>最低程度</w:t>
      </w:r>
      <w:r>
        <w:rPr>
          <w:rFonts w:hint="default" w:ascii="Times New Roman" w:hAnsi="Times New Roman" w:cs="Times New Roman"/>
          <w:color w:val="auto"/>
          <w:szCs w:val="24"/>
          <w:highlight w:val="none"/>
          <w:u w:val="none"/>
        </w:rPr>
        <w:t>，使受影响区域的整体生态环境无明显破坏。</w:t>
      </w:r>
    </w:p>
    <w:p w14:paraId="56870DD1">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197" w:name="_Toc3694"/>
      <w:bookmarkStart w:id="198" w:name="_Toc7354"/>
      <w:bookmarkStart w:id="199" w:name="_Toc20437"/>
      <w:r>
        <w:rPr>
          <w:rFonts w:hint="default" w:ascii="Times New Roman" w:hAnsi="Times New Roman" w:cs="Times New Roman"/>
          <w:color w:val="auto"/>
          <w:highlight w:val="none"/>
        </w:rPr>
        <w:t>2.8.2环境保护目标</w:t>
      </w:r>
      <w:bookmarkEnd w:id="197"/>
      <w:bookmarkEnd w:id="198"/>
      <w:bookmarkEnd w:id="199"/>
    </w:p>
    <w:p w14:paraId="4A93450D">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szCs w:val="24"/>
          <w:highlight w:val="none"/>
          <w:u w:val="none"/>
          <w:lang w:eastAsia="zh-CN"/>
        </w:rPr>
      </w:pPr>
      <w:r>
        <w:rPr>
          <w:rFonts w:hint="default" w:ascii="Times New Roman" w:hAnsi="Times New Roman" w:cs="Times New Roman"/>
          <w:color w:val="auto"/>
          <w:szCs w:val="24"/>
          <w:highlight w:val="none"/>
          <w:u w:val="none"/>
          <w:lang w:val="en-US" w:eastAsia="zh-CN"/>
        </w:rPr>
        <w:t>根据</w:t>
      </w:r>
      <w:r>
        <w:rPr>
          <w:rFonts w:hint="default" w:ascii="Times New Roman" w:hAnsi="Times New Roman" w:cs="Times New Roman"/>
          <w:color w:val="auto"/>
          <w:szCs w:val="24"/>
          <w:highlight w:val="none"/>
          <w:u w:val="none"/>
        </w:rPr>
        <w:t>现场踏勘结果，</w:t>
      </w:r>
      <w:r>
        <w:rPr>
          <w:rFonts w:hint="default" w:ascii="Times New Roman" w:hAnsi="Times New Roman" w:cs="Times New Roman"/>
          <w:color w:val="auto"/>
          <w:szCs w:val="24"/>
          <w:highlight w:val="none"/>
          <w:u w:val="none"/>
          <w:lang w:val="en-US" w:eastAsia="zh-CN"/>
        </w:rPr>
        <w:t>本项目</w:t>
      </w:r>
      <w:r>
        <w:rPr>
          <w:rFonts w:hint="default" w:ascii="Times New Roman" w:hAnsi="Times New Roman" w:cs="Times New Roman"/>
          <w:color w:val="auto"/>
          <w:szCs w:val="24"/>
          <w:highlight w:val="none"/>
          <w:u w:val="none"/>
        </w:rPr>
        <w:t>不涉及各类自然保护地和生态保护红线</w:t>
      </w: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确定</w:t>
      </w:r>
      <w:r>
        <w:rPr>
          <w:rFonts w:hint="default" w:ascii="Times New Roman" w:hAnsi="Times New Roman" w:cs="Times New Roman"/>
          <w:color w:val="auto"/>
          <w:szCs w:val="24"/>
          <w:highlight w:val="none"/>
          <w:u w:val="none"/>
          <w:lang w:val="en-US" w:eastAsia="zh-CN"/>
        </w:rPr>
        <w:t>本项目</w:t>
      </w:r>
      <w:r>
        <w:rPr>
          <w:rFonts w:hint="default" w:ascii="Times New Roman" w:hAnsi="Times New Roman" w:cs="Times New Roman"/>
          <w:color w:val="auto"/>
          <w:szCs w:val="24"/>
          <w:highlight w:val="none"/>
          <w:u w:val="none"/>
        </w:rPr>
        <w:t>评价范围内主要环境保护敏感目标见表2.8-1</w:t>
      </w:r>
      <w:r>
        <w:rPr>
          <w:rFonts w:hint="default" w:ascii="Times New Roman" w:hAnsi="Times New Roman" w:cs="Times New Roman"/>
          <w:color w:val="auto"/>
          <w:szCs w:val="24"/>
          <w:highlight w:val="none"/>
          <w:u w:val="none"/>
          <w:lang w:eastAsia="zh-CN"/>
        </w:rPr>
        <w:t>。</w:t>
      </w:r>
    </w:p>
    <w:p w14:paraId="0D786A76">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本</w:t>
      </w:r>
      <w:r>
        <w:rPr>
          <w:rFonts w:hint="eastAsia" w:ascii="Times New Roman" w:hAnsi="Times New Roman" w:cs="Times New Roman"/>
          <w:color w:val="auto"/>
          <w:szCs w:val="24"/>
          <w:highlight w:val="none"/>
          <w:u w:val="none"/>
          <w:lang w:val="en-US" w:eastAsia="zh-CN"/>
        </w:rPr>
        <w:t>项目</w:t>
      </w:r>
      <w:r>
        <w:rPr>
          <w:rFonts w:hint="default" w:ascii="Times New Roman" w:hAnsi="Times New Roman" w:cs="Times New Roman"/>
          <w:color w:val="auto"/>
          <w:szCs w:val="24"/>
          <w:highlight w:val="none"/>
          <w:u w:val="none"/>
          <w:lang w:val="en-US" w:eastAsia="zh-CN"/>
        </w:rPr>
        <w:t>位于阿克苏地区</w:t>
      </w:r>
      <w:r>
        <w:rPr>
          <w:rFonts w:hint="eastAsia" w:ascii="Times New Roman" w:hAnsi="Times New Roman" w:cs="Times New Roman"/>
          <w:color w:val="auto"/>
          <w:szCs w:val="24"/>
          <w:highlight w:val="none"/>
          <w:u w:val="none"/>
          <w:lang w:val="en-US" w:eastAsia="zh-CN"/>
        </w:rPr>
        <w:t>库车市</w:t>
      </w:r>
      <w:r>
        <w:rPr>
          <w:rFonts w:hint="default" w:ascii="Times New Roman" w:hAnsi="Times New Roman" w:cs="Times New Roman"/>
          <w:color w:val="auto"/>
          <w:szCs w:val="24"/>
          <w:highlight w:val="none"/>
          <w:u w:val="none"/>
          <w:lang w:val="en-US" w:eastAsia="zh-CN"/>
        </w:rPr>
        <w:t>境内。根据资料收集和现场调查，本工程不涉及依法划定的国家公园、自然保护区、世界自然遗产、重要生境、自然公园、生态保护红线等生态保护区</w:t>
      </w:r>
      <w:r>
        <w:rPr>
          <w:rFonts w:hint="eastAsia" w:ascii="Times New Roman" w:hAnsi="Times New Roman" w:cs="Times New Roman"/>
          <w:color w:val="auto"/>
          <w:szCs w:val="24"/>
          <w:highlight w:val="none"/>
          <w:u w:val="none"/>
          <w:lang w:val="en-US" w:eastAsia="zh-CN"/>
        </w:rPr>
        <w:t>。本项目TH10298CH井南距塔里木河流域土地沙化防控与生物多样性维护生态保护红线区（新疆库车龟兹国家沙漠公园）</w:t>
      </w:r>
      <w:r>
        <w:rPr>
          <w:rFonts w:hint="eastAsia" w:cs="Times New Roman"/>
          <w:color w:val="auto"/>
          <w:szCs w:val="24"/>
          <w:highlight w:val="none"/>
          <w:u w:val="none"/>
          <w:lang w:val="en-US" w:eastAsia="zh-CN"/>
        </w:rPr>
        <w:t>最近距离为</w:t>
      </w:r>
      <w:r>
        <w:rPr>
          <w:rFonts w:hint="eastAsia" w:ascii="Times New Roman" w:hAnsi="Times New Roman" w:cs="Times New Roman"/>
          <w:color w:val="auto"/>
          <w:szCs w:val="24"/>
          <w:highlight w:val="none"/>
          <w:u w:val="none"/>
          <w:lang w:val="en-US" w:eastAsia="zh-CN"/>
        </w:rPr>
        <w:t>600m、TK872CH井西北距生态保护红线</w:t>
      </w:r>
      <w:r>
        <w:rPr>
          <w:rFonts w:hint="eastAsia" w:cs="Times New Roman"/>
          <w:color w:val="auto"/>
          <w:szCs w:val="24"/>
          <w:highlight w:val="none"/>
          <w:u w:val="none"/>
          <w:lang w:val="en-US" w:eastAsia="zh-CN"/>
        </w:rPr>
        <w:t>最近距离</w:t>
      </w:r>
      <w:r>
        <w:rPr>
          <w:rFonts w:hint="eastAsia" w:ascii="Times New Roman" w:hAnsi="Times New Roman" w:cs="Times New Roman"/>
          <w:color w:val="auto"/>
          <w:szCs w:val="24"/>
          <w:highlight w:val="none"/>
          <w:u w:val="none"/>
          <w:lang w:val="en-US" w:eastAsia="zh-CN"/>
        </w:rPr>
        <w:t>约1.9km，详见图3.9-1；本项目</w:t>
      </w:r>
      <w:r>
        <w:rPr>
          <w:rFonts w:hint="eastAsia" w:ascii="Times New Roman" w:hAnsi="Times New Roman" w:cs="Times New Roman"/>
          <w:color w:val="auto"/>
          <w:szCs w:val="24"/>
          <w:highlight w:val="none"/>
          <w:u w:val="none"/>
        </w:rPr>
        <w:t>TH102117X井</w:t>
      </w:r>
      <w:r>
        <w:rPr>
          <w:rFonts w:hint="default" w:ascii="Times New Roman" w:hAnsi="Times New Roman" w:cs="Times New Roman"/>
          <w:color w:val="auto"/>
          <w:szCs w:val="24"/>
          <w:highlight w:val="none"/>
          <w:u w:val="none"/>
          <w:lang w:val="en-US" w:eastAsia="zh-CN"/>
        </w:rPr>
        <w:t>管线</w:t>
      </w:r>
      <w:r>
        <w:rPr>
          <w:rFonts w:hint="eastAsia" w:ascii="Times New Roman" w:hAnsi="Times New Roman" w:cs="Times New Roman"/>
          <w:color w:val="auto"/>
          <w:szCs w:val="24"/>
          <w:highlight w:val="none"/>
          <w:u w:val="none"/>
          <w:lang w:val="en-US" w:eastAsia="zh-CN"/>
        </w:rPr>
        <w:t>、TK872CH侧钻井临时占用</w:t>
      </w:r>
      <w:r>
        <w:rPr>
          <w:rFonts w:hint="eastAsia" w:cs="Times New Roman"/>
          <w:color w:val="auto"/>
          <w:szCs w:val="24"/>
          <w:highlight w:val="none"/>
          <w:u w:val="none"/>
          <w:lang w:val="en-US" w:eastAsia="zh-CN"/>
        </w:rPr>
        <w:t>国家二级公益林（</w:t>
      </w:r>
      <w:r>
        <w:rPr>
          <w:rFonts w:hint="eastAsia" w:ascii="Times New Roman" w:hAnsi="Times New Roman" w:cs="Times New Roman"/>
          <w:color w:val="auto"/>
          <w:szCs w:val="24"/>
          <w:highlight w:val="none"/>
          <w:u w:val="none"/>
          <w:lang w:val="en-US" w:eastAsia="zh-CN"/>
        </w:rPr>
        <w:t>天然林</w:t>
      </w:r>
      <w:r>
        <w:rPr>
          <w:rFonts w:hint="eastAsia" w:cs="Times New Roman"/>
          <w:color w:val="auto"/>
          <w:szCs w:val="24"/>
          <w:highlight w:val="none"/>
          <w:u w:val="none"/>
          <w:lang w:val="en-US" w:eastAsia="zh-CN"/>
        </w:rPr>
        <w:t>）</w:t>
      </w:r>
      <w:r>
        <w:rPr>
          <w:rFonts w:hint="eastAsia" w:ascii="Times New Roman" w:hAnsi="Times New Roman" w:cs="Times New Roman"/>
          <w:color w:val="auto"/>
          <w:szCs w:val="24"/>
          <w:highlight w:val="none"/>
          <w:u w:val="none"/>
          <w:lang w:val="en-US" w:eastAsia="zh-CN"/>
        </w:rPr>
        <w:t>，与天然林位置关系见图2.8-1；本项目TK872CH井场边界西北侧距离基本农田最近距离为45m，本项目与基本农田位置关系见图2.8-2。</w:t>
      </w:r>
    </w:p>
    <w:p w14:paraId="6DB286F8">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szCs w:val="24"/>
          <w:highlight w:val="none"/>
          <w:u w:val="none"/>
          <w:lang w:val="en-US" w:eastAsia="zh-CN"/>
        </w:rPr>
      </w:pPr>
      <w:r>
        <w:rPr>
          <w:rFonts w:hint="eastAsia" w:ascii="Times New Roman" w:hAnsi="Times New Roman" w:cs="Times New Roman"/>
          <w:color w:val="auto"/>
          <w:szCs w:val="24"/>
          <w:highlight w:val="none"/>
          <w:u w:val="none"/>
          <w:lang w:val="en-US" w:eastAsia="zh-CN"/>
        </w:rPr>
        <w:t>项目区域</w:t>
      </w:r>
      <w:r>
        <w:rPr>
          <w:rFonts w:hint="default" w:ascii="Times New Roman" w:hAnsi="Times New Roman" w:cs="Times New Roman"/>
          <w:color w:val="auto"/>
          <w:szCs w:val="24"/>
          <w:highlight w:val="none"/>
          <w:u w:val="none"/>
          <w:lang w:val="en-US" w:eastAsia="zh-CN"/>
        </w:rPr>
        <w:t>除油区工作人员外，工程区无人居住。评价范围内主要保护目标为</w:t>
      </w:r>
      <w:r>
        <w:rPr>
          <w:rFonts w:hint="eastAsia" w:ascii="Times New Roman" w:hAnsi="Times New Roman" w:cs="Times New Roman"/>
          <w:color w:val="auto"/>
          <w:szCs w:val="24"/>
          <w:highlight w:val="none"/>
          <w:u w:val="none"/>
          <w:lang w:val="en-US" w:eastAsia="zh-CN"/>
        </w:rPr>
        <w:t>天然林、基本农田和</w:t>
      </w:r>
      <w:r>
        <w:rPr>
          <w:rFonts w:hint="default" w:ascii="Times New Roman" w:hAnsi="Times New Roman" w:cs="Times New Roman"/>
          <w:color w:val="auto"/>
          <w:szCs w:val="24"/>
          <w:highlight w:val="none"/>
          <w:u w:val="none"/>
          <w:lang w:val="en-US" w:eastAsia="zh-CN"/>
        </w:rPr>
        <w:t>塔里木河流域水土流失重点治理区。</w:t>
      </w:r>
    </w:p>
    <w:p w14:paraId="4E9C8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表2.8-1</w:t>
      </w:r>
      <w:r>
        <w:rPr>
          <w:rFonts w:hint="eastAsia" w:eastAsia="黑体"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环境保护目标</w:t>
      </w:r>
    </w:p>
    <w:tbl>
      <w:tblPr>
        <w:tblStyle w:val="35"/>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882"/>
        <w:gridCol w:w="1665"/>
        <w:gridCol w:w="1605"/>
        <w:gridCol w:w="390"/>
        <w:gridCol w:w="810"/>
        <w:gridCol w:w="2918"/>
      </w:tblGrid>
      <w:tr w14:paraId="6FD4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blHeader/>
          <w:jc w:val="center"/>
        </w:trPr>
        <w:tc>
          <w:tcPr>
            <w:tcW w:w="359" w:type="dxa"/>
            <w:noWrap w:val="0"/>
            <w:vAlign w:val="center"/>
          </w:tcPr>
          <w:p w14:paraId="67C0A111">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序</w:t>
            </w:r>
          </w:p>
          <w:p w14:paraId="567EFA43">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号</w:t>
            </w:r>
          </w:p>
        </w:tc>
        <w:tc>
          <w:tcPr>
            <w:tcW w:w="882" w:type="dxa"/>
            <w:noWrap w:val="0"/>
            <w:vAlign w:val="center"/>
          </w:tcPr>
          <w:p w14:paraId="5F591A17">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w:t>
            </w:r>
          </w:p>
          <w:p w14:paraId="14CAF05E">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要素</w:t>
            </w:r>
          </w:p>
        </w:tc>
        <w:tc>
          <w:tcPr>
            <w:tcW w:w="1665" w:type="dxa"/>
            <w:noWrap w:val="0"/>
            <w:vAlign w:val="center"/>
          </w:tcPr>
          <w:p w14:paraId="657B8912">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环境保护目标</w:t>
            </w:r>
          </w:p>
        </w:tc>
        <w:tc>
          <w:tcPr>
            <w:tcW w:w="2805" w:type="dxa"/>
            <w:gridSpan w:val="3"/>
            <w:noWrap w:val="0"/>
            <w:vAlign w:val="center"/>
          </w:tcPr>
          <w:p w14:paraId="1D3189A9">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相对位置/</w:t>
            </w:r>
          </w:p>
          <w:p w14:paraId="4A0CE344">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环保目标特征</w:t>
            </w:r>
          </w:p>
        </w:tc>
        <w:tc>
          <w:tcPr>
            <w:tcW w:w="2918" w:type="dxa"/>
            <w:noWrap w:val="0"/>
            <w:vAlign w:val="center"/>
          </w:tcPr>
          <w:p w14:paraId="35A9803C">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环境保护要求</w:t>
            </w:r>
          </w:p>
        </w:tc>
      </w:tr>
      <w:tr w14:paraId="4995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59" w:type="dxa"/>
            <w:vMerge w:val="restart"/>
            <w:noWrap w:val="0"/>
            <w:vAlign w:val="center"/>
          </w:tcPr>
          <w:p w14:paraId="199EEC0D">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882" w:type="dxa"/>
            <w:vMerge w:val="restart"/>
            <w:noWrap w:val="0"/>
            <w:vAlign w:val="center"/>
          </w:tcPr>
          <w:p w14:paraId="4842977B">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生态</w:t>
            </w:r>
          </w:p>
          <w:p w14:paraId="12B68F39">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u w:val="none"/>
              </w:rPr>
              <w:t>环境</w:t>
            </w:r>
          </w:p>
        </w:tc>
        <w:tc>
          <w:tcPr>
            <w:tcW w:w="1665" w:type="dxa"/>
            <w:noWrap w:val="0"/>
            <w:vAlign w:val="center"/>
          </w:tcPr>
          <w:p w14:paraId="4FD02059">
            <w:pPr>
              <w:pStyle w:val="67"/>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塔里木河流域水土流失重点治理区</w:t>
            </w:r>
          </w:p>
        </w:tc>
        <w:tc>
          <w:tcPr>
            <w:tcW w:w="2805" w:type="dxa"/>
            <w:gridSpan w:val="3"/>
            <w:noWrap w:val="0"/>
            <w:vAlign w:val="center"/>
          </w:tcPr>
          <w:p w14:paraId="0759BB3C">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rPr>
              <w:t>评价范围内</w:t>
            </w:r>
          </w:p>
        </w:tc>
        <w:tc>
          <w:tcPr>
            <w:tcW w:w="2918" w:type="dxa"/>
            <w:noWrap w:val="0"/>
            <w:vAlign w:val="center"/>
          </w:tcPr>
          <w:p w14:paraId="70A4D23C">
            <w:pPr>
              <w:pStyle w:val="67"/>
              <w:keepNext w:val="0"/>
              <w:keepLines w:val="0"/>
              <w:pageBreakBefore w:val="0"/>
              <w:widowControl w:val="0"/>
              <w:kinsoku/>
              <w:wordWrap/>
              <w:overflowPunct/>
              <w:topLinePunct w:val="0"/>
              <w:autoSpaceDE/>
              <w:autoSpaceDN/>
              <w:bidi w:val="0"/>
              <w:snapToGrid/>
              <w:spacing w:line="240" w:lineRule="exact"/>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不改变生态功能，防止水土流失现象的发生。</w:t>
            </w:r>
          </w:p>
        </w:tc>
      </w:tr>
      <w:tr w14:paraId="4B5E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59" w:type="dxa"/>
            <w:vMerge w:val="continue"/>
            <w:noWrap w:val="0"/>
            <w:vAlign w:val="center"/>
          </w:tcPr>
          <w:p w14:paraId="125A7438">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882" w:type="dxa"/>
            <w:vMerge w:val="continue"/>
            <w:noWrap w:val="0"/>
            <w:vAlign w:val="center"/>
          </w:tcPr>
          <w:p w14:paraId="14CA9452">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u w:val="none"/>
              </w:rPr>
            </w:pPr>
          </w:p>
        </w:tc>
        <w:tc>
          <w:tcPr>
            <w:tcW w:w="1665" w:type="dxa"/>
            <w:noWrap w:val="0"/>
            <w:vAlign w:val="center"/>
          </w:tcPr>
          <w:p w14:paraId="3F645F13">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kern w:val="2"/>
                <w:sz w:val="21"/>
                <w:szCs w:val="21"/>
                <w:highlight w:val="none"/>
                <w:lang w:val="en-US" w:eastAsia="zh-CN"/>
              </w:rPr>
              <w:t>天然林（国家二级公益林）</w:t>
            </w:r>
          </w:p>
        </w:tc>
        <w:tc>
          <w:tcPr>
            <w:tcW w:w="2805" w:type="dxa"/>
            <w:gridSpan w:val="3"/>
            <w:noWrap w:val="0"/>
            <w:vAlign w:val="center"/>
          </w:tcPr>
          <w:p w14:paraId="31F772A6">
            <w:pPr>
              <w:pStyle w:val="67"/>
              <w:keepNext w:val="0"/>
              <w:keepLines w:val="0"/>
              <w:pageBreakBefore w:val="0"/>
              <w:widowControl w:val="0"/>
              <w:kinsoku/>
              <w:wordWrap/>
              <w:overflowPunct/>
              <w:topLinePunct w:val="0"/>
              <w:autoSpaceDE/>
              <w:autoSpaceDN/>
              <w:bidi w:val="0"/>
              <w:snapToGrid/>
              <w:spacing w:line="240" w:lineRule="exact"/>
              <w:ind w:firstLine="0" w:firstLineChars="0"/>
              <w:jc w:val="center"/>
              <w:textAlignment w:val="auto"/>
              <w:rPr>
                <w:rFonts w:hint="default"/>
                <w:color w:val="auto"/>
                <w:highlight w:val="none"/>
                <w:lang w:val="en-US" w:eastAsia="zh-CN"/>
              </w:rPr>
            </w:pPr>
            <w:r>
              <w:rPr>
                <w:rFonts w:hint="eastAsia"/>
                <w:color w:val="auto"/>
                <w:highlight w:val="none"/>
              </w:rPr>
              <w:t>TH102117</w:t>
            </w:r>
            <w:r>
              <w:rPr>
                <w:rFonts w:hint="eastAsia"/>
                <w:color w:val="auto"/>
                <w:highlight w:val="none"/>
                <w:lang w:val="en-US" w:eastAsia="zh-CN"/>
              </w:rPr>
              <w:t>X</w:t>
            </w:r>
            <w:r>
              <w:rPr>
                <w:rFonts w:hint="eastAsia"/>
                <w:color w:val="auto"/>
                <w:highlight w:val="none"/>
              </w:rPr>
              <w:t>井</w:t>
            </w:r>
            <w:r>
              <w:rPr>
                <w:rFonts w:hint="default" w:ascii="Times New Roman" w:hAnsi="Times New Roman" w:eastAsia="宋体" w:cs="Times New Roman"/>
                <w:color w:val="auto"/>
                <w:sz w:val="21"/>
                <w:szCs w:val="21"/>
                <w:highlight w:val="none"/>
                <w:u w:val="none"/>
                <w:lang w:val="en-US" w:eastAsia="zh-CN"/>
              </w:rPr>
              <w:t>管线</w:t>
            </w:r>
            <w:r>
              <w:rPr>
                <w:rFonts w:hint="eastAsia" w:cs="Times New Roman"/>
                <w:color w:val="auto"/>
                <w:sz w:val="21"/>
                <w:szCs w:val="21"/>
                <w:highlight w:val="none"/>
                <w:u w:val="none"/>
                <w:lang w:val="en-US" w:eastAsia="zh-CN"/>
              </w:rPr>
              <w:t>、</w:t>
            </w:r>
            <w:r>
              <w:rPr>
                <w:rFonts w:hint="eastAsia"/>
                <w:color w:val="auto"/>
                <w:highlight w:val="none"/>
                <w:lang w:val="en-US" w:eastAsia="zh-CN"/>
              </w:rPr>
              <w:t>TK872CH侧钻井</w:t>
            </w:r>
          </w:p>
          <w:p w14:paraId="0E73D611">
            <w:pPr>
              <w:pStyle w:val="67"/>
              <w:keepNext w:val="0"/>
              <w:keepLines w:val="0"/>
              <w:pageBreakBefore w:val="0"/>
              <w:widowControl w:val="0"/>
              <w:kinsoku/>
              <w:wordWrap/>
              <w:overflowPunct/>
              <w:topLinePunct w:val="0"/>
              <w:autoSpaceDE/>
              <w:autoSpaceDN/>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u w:val="none"/>
                <w:lang w:val="en-US"/>
              </w:rPr>
            </w:pPr>
            <w:r>
              <w:rPr>
                <w:rFonts w:hint="eastAsia" w:cs="Times New Roman"/>
                <w:color w:val="auto"/>
                <w:sz w:val="21"/>
                <w:szCs w:val="21"/>
                <w:highlight w:val="none"/>
                <w:u w:val="none"/>
                <w:lang w:val="en-US" w:eastAsia="zh-CN"/>
              </w:rPr>
              <w:t>（临时占用1.5177hm</w:t>
            </w:r>
            <w:r>
              <w:rPr>
                <w:rFonts w:hint="eastAsia" w:cs="Times New Roman"/>
                <w:color w:val="auto"/>
                <w:sz w:val="21"/>
                <w:szCs w:val="21"/>
                <w:highlight w:val="none"/>
                <w:u w:val="none"/>
                <w:vertAlign w:val="superscript"/>
                <w:lang w:val="en-US" w:eastAsia="zh-CN"/>
              </w:rPr>
              <w:t>2</w:t>
            </w:r>
            <w:r>
              <w:rPr>
                <w:rFonts w:hint="eastAsia" w:cs="Times New Roman"/>
                <w:color w:val="auto"/>
                <w:sz w:val="21"/>
                <w:szCs w:val="21"/>
                <w:highlight w:val="none"/>
                <w:u w:val="none"/>
                <w:lang w:val="en-US" w:eastAsia="zh-CN"/>
              </w:rPr>
              <w:t>）</w:t>
            </w:r>
          </w:p>
        </w:tc>
        <w:tc>
          <w:tcPr>
            <w:tcW w:w="2918" w:type="dxa"/>
            <w:noWrap w:val="0"/>
            <w:vAlign w:val="center"/>
          </w:tcPr>
          <w:p w14:paraId="400E2CA5">
            <w:pPr>
              <w:pStyle w:val="67"/>
              <w:keepNext w:val="0"/>
              <w:keepLines w:val="0"/>
              <w:pageBreakBefore w:val="0"/>
              <w:widowControl w:val="0"/>
              <w:kinsoku/>
              <w:wordWrap/>
              <w:overflowPunct/>
              <w:topLinePunct w:val="0"/>
              <w:autoSpaceDE/>
              <w:autoSpaceDN/>
              <w:bidi w:val="0"/>
              <w:snapToGrid/>
              <w:spacing w:line="240" w:lineRule="exact"/>
              <w:ind w:firstLine="0" w:firstLineChars="0"/>
              <w:jc w:val="both"/>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z w:val="21"/>
                <w:szCs w:val="21"/>
                <w:highlight w:val="none"/>
                <w:u w:val="none"/>
                <w:lang w:val="en-US" w:eastAsia="zh-CN"/>
              </w:rPr>
              <w:t>避免占用林地茂密区，按有关规定进行征占和补偿；施工区设置明显的作业区域标志，加强管理，把施工作业严格控制在作业区内</w:t>
            </w:r>
            <w:r>
              <w:rPr>
                <w:rFonts w:hint="default" w:ascii="Times New Roman" w:hAnsi="Times New Roman" w:cs="Times New Roman"/>
                <w:color w:val="auto"/>
                <w:sz w:val="21"/>
                <w:szCs w:val="21"/>
                <w:highlight w:val="none"/>
                <w:u w:val="none"/>
                <w:lang w:val="en-US" w:eastAsia="zh-CN"/>
              </w:rPr>
              <w:t>。</w:t>
            </w:r>
          </w:p>
        </w:tc>
      </w:tr>
      <w:tr w14:paraId="043B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59" w:type="dxa"/>
            <w:vMerge w:val="continue"/>
            <w:noWrap w:val="0"/>
            <w:vAlign w:val="center"/>
          </w:tcPr>
          <w:p w14:paraId="1A2F0178">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882" w:type="dxa"/>
            <w:vMerge w:val="continue"/>
            <w:noWrap w:val="0"/>
            <w:vAlign w:val="center"/>
          </w:tcPr>
          <w:p w14:paraId="081BDCF7">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u w:val="none"/>
              </w:rPr>
            </w:pPr>
          </w:p>
        </w:tc>
        <w:tc>
          <w:tcPr>
            <w:tcW w:w="1665" w:type="dxa"/>
            <w:noWrap w:val="0"/>
            <w:vAlign w:val="center"/>
          </w:tcPr>
          <w:p w14:paraId="63628B9E">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野生动物</w:t>
            </w:r>
          </w:p>
        </w:tc>
        <w:tc>
          <w:tcPr>
            <w:tcW w:w="2805" w:type="dxa"/>
            <w:gridSpan w:val="3"/>
            <w:noWrap w:val="0"/>
            <w:vAlign w:val="center"/>
          </w:tcPr>
          <w:p w14:paraId="314384D6">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评价范围内</w:t>
            </w:r>
          </w:p>
        </w:tc>
        <w:tc>
          <w:tcPr>
            <w:tcW w:w="2918" w:type="dxa"/>
            <w:noWrap w:val="0"/>
            <w:vAlign w:val="center"/>
          </w:tcPr>
          <w:p w14:paraId="4B8BD38D">
            <w:pPr>
              <w:pStyle w:val="67"/>
              <w:keepNext w:val="0"/>
              <w:keepLines w:val="0"/>
              <w:pageBreakBefore w:val="0"/>
              <w:widowControl w:val="0"/>
              <w:kinsoku/>
              <w:wordWrap/>
              <w:overflowPunct/>
              <w:topLinePunct w:val="0"/>
              <w:autoSpaceDE/>
              <w:autoSpaceDN/>
              <w:bidi w:val="0"/>
              <w:snapToGrid/>
              <w:spacing w:line="240" w:lineRule="exact"/>
              <w:ind w:firstLine="0" w:firstLineChars="0"/>
              <w:jc w:val="both"/>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cs="Times New Roman"/>
                <w:color w:val="auto"/>
                <w:spacing w:val="0"/>
                <w:sz w:val="21"/>
                <w:szCs w:val="21"/>
                <w:highlight w:val="none"/>
                <w:lang w:val="en-US" w:eastAsia="zh-CN"/>
              </w:rPr>
              <w:t>禁止破坏保护动物的生境和捕杀保护动物。</w:t>
            </w:r>
          </w:p>
        </w:tc>
      </w:tr>
      <w:tr w14:paraId="7E40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59" w:type="dxa"/>
            <w:vMerge w:val="continue"/>
            <w:noWrap w:val="0"/>
            <w:vAlign w:val="center"/>
          </w:tcPr>
          <w:p w14:paraId="7FBF110D">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882" w:type="dxa"/>
            <w:vMerge w:val="continue"/>
            <w:noWrap w:val="0"/>
            <w:vAlign w:val="center"/>
          </w:tcPr>
          <w:p w14:paraId="3D41DAD4">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u w:val="none"/>
              </w:rPr>
            </w:pPr>
          </w:p>
        </w:tc>
        <w:tc>
          <w:tcPr>
            <w:tcW w:w="1665" w:type="dxa"/>
            <w:noWrap w:val="0"/>
            <w:vAlign w:val="center"/>
          </w:tcPr>
          <w:p w14:paraId="22656EFA">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1"/>
                <w:szCs w:val="21"/>
                <w:highlight w:val="none"/>
              </w:rPr>
              <w:t>荒漠植被</w:t>
            </w:r>
          </w:p>
        </w:tc>
        <w:tc>
          <w:tcPr>
            <w:tcW w:w="2805" w:type="dxa"/>
            <w:gridSpan w:val="3"/>
            <w:noWrap w:val="0"/>
            <w:vAlign w:val="center"/>
          </w:tcPr>
          <w:p w14:paraId="2E06F56B">
            <w:pPr>
              <w:pStyle w:val="67"/>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评价范围内</w:t>
            </w:r>
          </w:p>
        </w:tc>
        <w:tc>
          <w:tcPr>
            <w:tcW w:w="2918" w:type="dxa"/>
            <w:noWrap w:val="0"/>
            <w:vAlign w:val="center"/>
          </w:tcPr>
          <w:p w14:paraId="2DE31207">
            <w:pPr>
              <w:pStyle w:val="6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spacing w:val="0"/>
                <w:sz w:val="21"/>
                <w:szCs w:val="21"/>
                <w:highlight w:val="none"/>
                <w:lang w:val="en-US" w:eastAsia="zh-CN"/>
              </w:rPr>
              <w:t>避免占用林地茂密区，按有关规定进行征占和补偿；施工区设置明显的作业区域标志，加强管理，把施工作业严格控制在作业区内。</w:t>
            </w:r>
          </w:p>
        </w:tc>
      </w:tr>
      <w:tr w14:paraId="388D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359" w:type="dxa"/>
            <w:vMerge w:val="restart"/>
            <w:noWrap w:val="0"/>
            <w:vAlign w:val="center"/>
          </w:tcPr>
          <w:p w14:paraId="6103BB24">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p>
        </w:tc>
        <w:tc>
          <w:tcPr>
            <w:tcW w:w="882" w:type="dxa"/>
            <w:vMerge w:val="restart"/>
            <w:noWrap w:val="0"/>
            <w:vAlign w:val="center"/>
          </w:tcPr>
          <w:p w14:paraId="5364C37E">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大气</w:t>
            </w:r>
          </w:p>
          <w:p w14:paraId="20D7EEE6">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w:t>
            </w:r>
          </w:p>
        </w:tc>
        <w:tc>
          <w:tcPr>
            <w:tcW w:w="1665" w:type="dxa"/>
            <w:shd w:val="clear" w:color="auto" w:fill="auto"/>
            <w:noWrap w:val="0"/>
            <w:vAlign w:val="center"/>
          </w:tcPr>
          <w:p w14:paraId="07B02B2B">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sz w:val="21"/>
                <w:szCs w:val="21"/>
                <w:highlight w:val="none"/>
                <w:lang w:val="en-US" w:eastAsia="zh-CN"/>
              </w:rPr>
              <w:t>朗喀村</w:t>
            </w:r>
          </w:p>
        </w:tc>
        <w:tc>
          <w:tcPr>
            <w:tcW w:w="1605" w:type="dxa"/>
            <w:shd w:val="clear" w:color="auto" w:fill="auto"/>
            <w:noWrap w:val="0"/>
            <w:vAlign w:val="center"/>
          </w:tcPr>
          <w:p w14:paraId="1073BB75">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sz w:val="21"/>
                <w:szCs w:val="21"/>
                <w:highlight w:val="none"/>
                <w:lang w:val="en-US" w:eastAsia="zh-CN"/>
              </w:rPr>
              <w:t>TK872CH井场北侧1.1km</w:t>
            </w:r>
          </w:p>
        </w:tc>
        <w:tc>
          <w:tcPr>
            <w:tcW w:w="390" w:type="dxa"/>
            <w:vMerge w:val="restart"/>
            <w:noWrap w:val="0"/>
            <w:vAlign w:val="center"/>
          </w:tcPr>
          <w:p w14:paraId="1C4DA927">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居民区</w:t>
            </w:r>
          </w:p>
        </w:tc>
        <w:tc>
          <w:tcPr>
            <w:tcW w:w="810" w:type="dxa"/>
            <w:noWrap w:val="0"/>
            <w:vAlign w:val="center"/>
          </w:tcPr>
          <w:p w14:paraId="43B30CD1">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约320人</w:t>
            </w:r>
          </w:p>
        </w:tc>
        <w:tc>
          <w:tcPr>
            <w:tcW w:w="2918" w:type="dxa"/>
            <w:vMerge w:val="restart"/>
            <w:noWrap w:val="0"/>
            <w:vAlign w:val="center"/>
          </w:tcPr>
          <w:p w14:paraId="11229654">
            <w:pPr>
              <w:pStyle w:val="29"/>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z w:val="21"/>
                <w:szCs w:val="21"/>
                <w:highlight w:val="none"/>
              </w:rPr>
              <w:t>满足《环境空气质量标准》（GB3095-2012）二级标准</w:t>
            </w:r>
          </w:p>
        </w:tc>
      </w:tr>
      <w:tr w14:paraId="47E4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359" w:type="dxa"/>
            <w:vMerge w:val="continue"/>
            <w:noWrap w:val="0"/>
            <w:vAlign w:val="center"/>
          </w:tcPr>
          <w:p w14:paraId="2665F8BA">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p>
        </w:tc>
        <w:tc>
          <w:tcPr>
            <w:tcW w:w="882" w:type="dxa"/>
            <w:vMerge w:val="continue"/>
            <w:noWrap w:val="0"/>
            <w:vAlign w:val="center"/>
          </w:tcPr>
          <w:p w14:paraId="50F9D048">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p>
        </w:tc>
        <w:tc>
          <w:tcPr>
            <w:tcW w:w="1665" w:type="dxa"/>
            <w:shd w:val="clear" w:color="auto" w:fill="auto"/>
            <w:noWrap w:val="0"/>
            <w:vAlign w:val="center"/>
          </w:tcPr>
          <w:p w14:paraId="2F5E1D14">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sz w:val="21"/>
                <w:szCs w:val="21"/>
                <w:highlight w:val="none"/>
                <w:lang w:val="en-US" w:eastAsia="zh-CN"/>
              </w:rPr>
              <w:t>草湖一村</w:t>
            </w:r>
          </w:p>
        </w:tc>
        <w:tc>
          <w:tcPr>
            <w:tcW w:w="1605" w:type="dxa"/>
            <w:shd w:val="clear" w:color="auto" w:fill="auto"/>
            <w:noWrap w:val="0"/>
            <w:vAlign w:val="center"/>
          </w:tcPr>
          <w:p w14:paraId="2E317164">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sz w:val="21"/>
                <w:szCs w:val="21"/>
                <w:highlight w:val="none"/>
                <w:lang w:val="en-US" w:eastAsia="zh-CN"/>
              </w:rPr>
              <w:t>TK872CH井场东北侧1.9km</w:t>
            </w:r>
          </w:p>
        </w:tc>
        <w:tc>
          <w:tcPr>
            <w:tcW w:w="390" w:type="dxa"/>
            <w:vMerge w:val="continue"/>
            <w:noWrap w:val="0"/>
            <w:vAlign w:val="center"/>
          </w:tcPr>
          <w:p w14:paraId="10824A45">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sz w:val="21"/>
                <w:szCs w:val="21"/>
                <w:highlight w:val="none"/>
                <w:u w:val="none"/>
                <w:lang w:val="en-US" w:eastAsia="zh-CN"/>
              </w:rPr>
            </w:pPr>
          </w:p>
        </w:tc>
        <w:tc>
          <w:tcPr>
            <w:tcW w:w="810" w:type="dxa"/>
            <w:noWrap w:val="0"/>
            <w:vAlign w:val="center"/>
          </w:tcPr>
          <w:p w14:paraId="4DA92775">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约130人</w:t>
            </w:r>
          </w:p>
        </w:tc>
        <w:tc>
          <w:tcPr>
            <w:tcW w:w="2918" w:type="dxa"/>
            <w:vMerge w:val="continue"/>
            <w:noWrap w:val="0"/>
            <w:vAlign w:val="center"/>
          </w:tcPr>
          <w:p w14:paraId="78A238B2">
            <w:pPr>
              <w:pStyle w:val="29"/>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color w:val="auto"/>
                <w:sz w:val="21"/>
                <w:szCs w:val="21"/>
                <w:highlight w:val="none"/>
              </w:rPr>
            </w:pPr>
          </w:p>
        </w:tc>
      </w:tr>
      <w:tr w14:paraId="3492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359" w:type="dxa"/>
            <w:vMerge w:val="continue"/>
            <w:noWrap w:val="0"/>
            <w:vAlign w:val="center"/>
          </w:tcPr>
          <w:p w14:paraId="32F4FA1E">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p>
        </w:tc>
        <w:tc>
          <w:tcPr>
            <w:tcW w:w="882" w:type="dxa"/>
            <w:vMerge w:val="continue"/>
            <w:noWrap w:val="0"/>
            <w:vAlign w:val="center"/>
          </w:tcPr>
          <w:p w14:paraId="71F0AB19">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p>
        </w:tc>
        <w:tc>
          <w:tcPr>
            <w:tcW w:w="1665" w:type="dxa"/>
            <w:shd w:val="clear" w:color="auto" w:fill="auto"/>
            <w:noWrap w:val="0"/>
            <w:vAlign w:val="center"/>
          </w:tcPr>
          <w:p w14:paraId="02059B36">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sz w:val="21"/>
                <w:szCs w:val="21"/>
                <w:highlight w:val="none"/>
                <w:lang w:val="en-US" w:eastAsia="zh-CN"/>
              </w:rPr>
              <w:t>塔胡西村</w:t>
            </w:r>
          </w:p>
        </w:tc>
        <w:tc>
          <w:tcPr>
            <w:tcW w:w="1605" w:type="dxa"/>
            <w:shd w:val="clear" w:color="auto" w:fill="auto"/>
            <w:noWrap w:val="0"/>
            <w:vAlign w:val="center"/>
          </w:tcPr>
          <w:p w14:paraId="7C113E53">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sz w:val="21"/>
                <w:szCs w:val="21"/>
                <w:highlight w:val="none"/>
                <w:lang w:val="en-US" w:eastAsia="zh-CN"/>
              </w:rPr>
              <w:t>TK872CH井场东北侧2.3km</w:t>
            </w:r>
          </w:p>
        </w:tc>
        <w:tc>
          <w:tcPr>
            <w:tcW w:w="390" w:type="dxa"/>
            <w:vMerge w:val="continue"/>
            <w:noWrap w:val="0"/>
            <w:vAlign w:val="center"/>
          </w:tcPr>
          <w:p w14:paraId="60E672F2">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sz w:val="21"/>
                <w:szCs w:val="21"/>
                <w:highlight w:val="none"/>
                <w:u w:val="none"/>
                <w:lang w:val="en-US" w:eastAsia="zh-CN"/>
              </w:rPr>
            </w:pPr>
          </w:p>
        </w:tc>
        <w:tc>
          <w:tcPr>
            <w:tcW w:w="810" w:type="dxa"/>
            <w:noWrap w:val="0"/>
            <w:vAlign w:val="center"/>
          </w:tcPr>
          <w:p w14:paraId="201998C1">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约280人</w:t>
            </w:r>
          </w:p>
        </w:tc>
        <w:tc>
          <w:tcPr>
            <w:tcW w:w="2918" w:type="dxa"/>
            <w:vMerge w:val="continue"/>
            <w:noWrap w:val="0"/>
            <w:vAlign w:val="center"/>
          </w:tcPr>
          <w:p w14:paraId="42CB0AB5">
            <w:pPr>
              <w:pStyle w:val="29"/>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color w:val="auto"/>
                <w:sz w:val="21"/>
                <w:szCs w:val="21"/>
                <w:highlight w:val="none"/>
              </w:rPr>
            </w:pPr>
          </w:p>
        </w:tc>
      </w:tr>
      <w:tr w14:paraId="2E18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359" w:type="dxa"/>
            <w:noWrap w:val="0"/>
            <w:vAlign w:val="center"/>
          </w:tcPr>
          <w:p w14:paraId="33A35EF4">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w:t>
            </w:r>
          </w:p>
        </w:tc>
        <w:tc>
          <w:tcPr>
            <w:tcW w:w="882" w:type="dxa"/>
            <w:noWrap w:val="0"/>
            <w:vAlign w:val="center"/>
          </w:tcPr>
          <w:p w14:paraId="4A203E21">
            <w:pPr>
              <w:pStyle w:val="67"/>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u w:val="none"/>
              </w:rPr>
              <w:t>声环境</w:t>
            </w:r>
          </w:p>
        </w:tc>
        <w:tc>
          <w:tcPr>
            <w:tcW w:w="1665" w:type="dxa"/>
            <w:noWrap w:val="0"/>
            <w:vAlign w:val="center"/>
          </w:tcPr>
          <w:p w14:paraId="06521853">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eastAsia" w:ascii="Times New Roman" w:hAnsi="Times New Roman" w:eastAsia="宋体" w:cs="Times New Roman"/>
                <w:color w:val="auto"/>
                <w:spacing w:val="0"/>
                <w:sz w:val="21"/>
                <w:szCs w:val="21"/>
                <w:highlight w:val="none"/>
                <w:lang w:eastAsia="zh-CN"/>
              </w:rPr>
            </w:pPr>
            <w:r>
              <w:rPr>
                <w:rFonts w:hint="eastAsia" w:cs="Times New Roman"/>
                <w:color w:val="auto"/>
                <w:sz w:val="21"/>
                <w:szCs w:val="21"/>
                <w:highlight w:val="none"/>
                <w:lang w:val="en-US" w:eastAsia="zh-CN"/>
              </w:rPr>
              <w:t>-</w:t>
            </w:r>
          </w:p>
        </w:tc>
        <w:tc>
          <w:tcPr>
            <w:tcW w:w="2805" w:type="dxa"/>
            <w:gridSpan w:val="3"/>
            <w:noWrap w:val="0"/>
            <w:vAlign w:val="center"/>
          </w:tcPr>
          <w:p w14:paraId="310F2774">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u w:val="none"/>
              </w:rPr>
              <w:t>评价范围内</w:t>
            </w:r>
          </w:p>
        </w:tc>
        <w:tc>
          <w:tcPr>
            <w:tcW w:w="2918" w:type="dxa"/>
            <w:noWrap w:val="0"/>
            <w:vAlign w:val="center"/>
          </w:tcPr>
          <w:p w14:paraId="13BD38A4">
            <w:pPr>
              <w:pStyle w:val="67"/>
              <w:keepNext w:val="0"/>
              <w:keepLines w:val="0"/>
              <w:pageBreakBefore w:val="0"/>
              <w:widowControl w:val="0"/>
              <w:kinsoku/>
              <w:wordWrap/>
              <w:overflowPunct/>
              <w:topLinePunct w:val="0"/>
              <w:autoSpaceDE/>
              <w:autoSpaceDN/>
              <w:bidi w:val="0"/>
              <w:snapToGrid/>
              <w:spacing w:line="240" w:lineRule="exact"/>
              <w:ind w:firstLine="0" w:firstLineChars="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z w:val="21"/>
                <w:szCs w:val="21"/>
                <w:highlight w:val="none"/>
                <w:u w:val="none"/>
              </w:rPr>
              <w:t>满足</w:t>
            </w:r>
            <w:r>
              <w:rPr>
                <w:rFonts w:hint="default" w:ascii="Times New Roman" w:hAnsi="Times New Roman"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声环境质量标准</w:t>
            </w:r>
            <w:r>
              <w:rPr>
                <w:rFonts w:hint="default" w:ascii="Times New Roman" w:hAnsi="Times New Roman"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GB3096-2008</w:t>
            </w:r>
            <w:r>
              <w:rPr>
                <w:rFonts w:hint="default" w:ascii="Times New Roman" w:hAnsi="Times New Roman"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中的2类标准</w:t>
            </w:r>
            <w:r>
              <w:rPr>
                <w:rFonts w:hint="default" w:ascii="Times New Roman" w:hAnsi="Times New Roman" w:cs="Times New Roman"/>
                <w:color w:val="auto"/>
                <w:sz w:val="21"/>
                <w:szCs w:val="21"/>
                <w:highlight w:val="none"/>
                <w:u w:val="none"/>
                <w:lang w:eastAsia="zh-CN"/>
              </w:rPr>
              <w:t>。</w:t>
            </w:r>
          </w:p>
        </w:tc>
      </w:tr>
      <w:tr w14:paraId="60FA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9" w:type="dxa"/>
            <w:noWrap w:val="0"/>
            <w:vAlign w:val="center"/>
          </w:tcPr>
          <w:p w14:paraId="42B834FF">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w:t>
            </w:r>
          </w:p>
        </w:tc>
        <w:tc>
          <w:tcPr>
            <w:tcW w:w="882" w:type="dxa"/>
            <w:noWrap w:val="0"/>
            <w:vAlign w:val="center"/>
          </w:tcPr>
          <w:p w14:paraId="23EBA4F0">
            <w:pPr>
              <w:pStyle w:val="6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地下水</w:t>
            </w:r>
          </w:p>
          <w:p w14:paraId="1613BFE0">
            <w:pPr>
              <w:pStyle w:val="6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u w:val="none"/>
              </w:rPr>
              <w:t>环境</w:t>
            </w:r>
          </w:p>
        </w:tc>
        <w:tc>
          <w:tcPr>
            <w:tcW w:w="1665" w:type="dxa"/>
            <w:noWrap w:val="0"/>
            <w:vAlign w:val="center"/>
          </w:tcPr>
          <w:p w14:paraId="1B692677">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color w:val="auto"/>
                <w:spacing w:val="0"/>
                <w:sz w:val="21"/>
                <w:szCs w:val="21"/>
                <w:highlight w:val="none"/>
                <w:lang w:val="en-US" w:eastAsia="zh-CN"/>
              </w:rPr>
            </w:pPr>
            <w:r>
              <w:rPr>
                <w:rFonts w:hint="default" w:cs="Times New Roman"/>
                <w:color w:val="auto"/>
                <w:spacing w:val="0"/>
                <w:sz w:val="21"/>
                <w:szCs w:val="21"/>
                <w:highlight w:val="none"/>
                <w:lang w:val="en-US" w:eastAsia="zh-CN"/>
              </w:rPr>
              <w:t>评价范围内</w:t>
            </w:r>
          </w:p>
          <w:p w14:paraId="4CD4011B">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cs="Times New Roman"/>
                <w:color w:val="auto"/>
                <w:spacing w:val="0"/>
                <w:sz w:val="21"/>
                <w:szCs w:val="21"/>
                <w:highlight w:val="none"/>
                <w:lang w:val="en-US" w:eastAsia="zh-CN"/>
              </w:rPr>
              <w:t>潜水含水</w:t>
            </w:r>
            <w:r>
              <w:rPr>
                <w:rFonts w:hint="default" w:ascii="Times New Roman" w:hAnsi="Times New Roman" w:eastAsia="宋体" w:cs="Times New Roman"/>
                <w:color w:val="auto"/>
                <w:spacing w:val="-10"/>
                <w:sz w:val="21"/>
                <w:szCs w:val="21"/>
                <w:highlight w:val="none"/>
              </w:rPr>
              <w:t>层</w:t>
            </w:r>
          </w:p>
        </w:tc>
        <w:tc>
          <w:tcPr>
            <w:tcW w:w="2805" w:type="dxa"/>
            <w:gridSpan w:val="3"/>
            <w:noWrap w:val="0"/>
            <w:vAlign w:val="center"/>
          </w:tcPr>
          <w:p w14:paraId="0489029D">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u w:val="none"/>
              </w:rPr>
              <w:t>评价范围内</w:t>
            </w:r>
          </w:p>
        </w:tc>
        <w:tc>
          <w:tcPr>
            <w:tcW w:w="2918" w:type="dxa"/>
            <w:noWrap w:val="0"/>
            <w:vAlign w:val="center"/>
          </w:tcPr>
          <w:p w14:paraId="011EB7B5">
            <w:pPr>
              <w:pStyle w:val="29"/>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z w:val="21"/>
                <w:szCs w:val="21"/>
                <w:highlight w:val="none"/>
              </w:rPr>
              <w:t>满足《地下水质量标准》（GB/T14848-2017）中Ⅲ类标准</w:t>
            </w:r>
          </w:p>
        </w:tc>
      </w:tr>
      <w:tr w14:paraId="5C78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9" w:type="dxa"/>
            <w:noWrap w:val="0"/>
            <w:vAlign w:val="center"/>
          </w:tcPr>
          <w:p w14:paraId="4631CC80">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882" w:type="dxa"/>
            <w:noWrap w:val="0"/>
            <w:vAlign w:val="center"/>
          </w:tcPr>
          <w:p w14:paraId="2B0D516D">
            <w:pPr>
              <w:pStyle w:val="6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地表水</w:t>
            </w:r>
          </w:p>
          <w:p w14:paraId="1FA403CE">
            <w:pPr>
              <w:pStyle w:val="6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环境</w:t>
            </w:r>
          </w:p>
        </w:tc>
        <w:tc>
          <w:tcPr>
            <w:tcW w:w="1665" w:type="dxa"/>
            <w:noWrap w:val="0"/>
            <w:vAlign w:val="center"/>
          </w:tcPr>
          <w:p w14:paraId="781FC8A1">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pacing w:val="-10"/>
                <w:sz w:val="21"/>
                <w:szCs w:val="21"/>
                <w:highlight w:val="none"/>
              </w:rPr>
            </w:pPr>
            <w:r>
              <w:rPr>
                <w:rFonts w:hint="eastAsia" w:ascii="Times New Roman" w:hAnsi="Times New Roman" w:cs="Times New Roman"/>
                <w:color w:val="auto"/>
                <w:sz w:val="21"/>
                <w:szCs w:val="21"/>
                <w:highlight w:val="none"/>
                <w:lang w:val="en-US" w:eastAsia="zh-CN"/>
              </w:rPr>
              <w:t>木日达里亚河</w:t>
            </w:r>
          </w:p>
        </w:tc>
        <w:tc>
          <w:tcPr>
            <w:tcW w:w="2805" w:type="dxa"/>
            <w:gridSpan w:val="3"/>
            <w:noWrap w:val="0"/>
            <w:vAlign w:val="center"/>
          </w:tcPr>
          <w:p w14:paraId="370B2F93">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u w:val="none"/>
                <w:lang w:val="en-US"/>
              </w:rPr>
            </w:pPr>
            <w:r>
              <w:rPr>
                <w:rFonts w:hint="eastAsia" w:ascii="Times New Roman" w:hAnsi="Times New Roman" w:cs="Times New Roman"/>
                <w:color w:val="auto"/>
                <w:sz w:val="21"/>
                <w:szCs w:val="21"/>
                <w:highlight w:val="none"/>
                <w:lang w:val="en-US" w:eastAsia="zh-CN"/>
              </w:rPr>
              <w:t>TK872</w:t>
            </w:r>
            <w:r>
              <w:rPr>
                <w:rFonts w:hint="eastAsia" w:cs="Times New Roman"/>
                <w:color w:val="auto"/>
                <w:sz w:val="21"/>
                <w:szCs w:val="21"/>
                <w:highlight w:val="none"/>
                <w:lang w:val="en-US" w:eastAsia="zh-CN"/>
              </w:rPr>
              <w:t>CH</w:t>
            </w:r>
            <w:r>
              <w:rPr>
                <w:rFonts w:hint="eastAsia" w:ascii="Times New Roman" w:hAnsi="Times New Roman" w:cs="Times New Roman"/>
                <w:color w:val="auto"/>
                <w:sz w:val="21"/>
                <w:szCs w:val="21"/>
                <w:highlight w:val="none"/>
                <w:lang w:val="en-US" w:eastAsia="zh-CN"/>
              </w:rPr>
              <w:t>井</w:t>
            </w:r>
            <w:r>
              <w:rPr>
                <w:rFonts w:hint="eastAsia" w:cs="Times New Roman"/>
                <w:color w:val="auto"/>
                <w:sz w:val="21"/>
                <w:szCs w:val="21"/>
                <w:highlight w:val="none"/>
                <w:lang w:val="en-US" w:eastAsia="zh-CN"/>
              </w:rPr>
              <w:t>东侧17</w:t>
            </w:r>
            <w:r>
              <w:rPr>
                <w:rFonts w:hint="eastAsia" w:ascii="Times New Roman" w:hAnsi="Times New Roman" w:cs="Times New Roman"/>
                <w:color w:val="auto"/>
                <w:sz w:val="21"/>
                <w:szCs w:val="21"/>
                <w:highlight w:val="none"/>
                <w:lang w:val="en-US" w:eastAsia="zh-CN"/>
              </w:rPr>
              <w:t>0m</w:t>
            </w:r>
          </w:p>
        </w:tc>
        <w:tc>
          <w:tcPr>
            <w:tcW w:w="2918" w:type="dxa"/>
            <w:noWrap w:val="0"/>
            <w:vAlign w:val="center"/>
          </w:tcPr>
          <w:p w14:paraId="107EDD3A">
            <w:pPr>
              <w:keepNext w:val="0"/>
              <w:keepLines w:val="0"/>
              <w:pageBreakBefore w:val="0"/>
              <w:kinsoku/>
              <w:wordWrap/>
              <w:overflowPunct/>
              <w:topLinePunct w:val="0"/>
              <w:autoSpaceDE/>
              <w:autoSpaceDN/>
              <w:bidi w:val="0"/>
              <w:spacing w:line="240" w:lineRule="exact"/>
              <w:jc w:val="both"/>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水体功能为农业用</w:t>
            </w:r>
            <w:r>
              <w:rPr>
                <w:rFonts w:hint="eastAsia" w:ascii="Times New Roman" w:hAnsi="Times New Roman" w:eastAsia="宋体" w:cs="Times New Roman"/>
                <w:color w:val="auto"/>
                <w:sz w:val="21"/>
                <w:szCs w:val="21"/>
                <w:highlight w:val="none"/>
                <w:lang w:val="en-US" w:eastAsia="zh-CN"/>
              </w:rPr>
              <w:t>水，</w:t>
            </w:r>
            <w:r>
              <w:rPr>
                <w:rFonts w:hint="default" w:ascii="Times New Roman" w:hAnsi="Times New Roman" w:eastAsia="宋体" w:cs="Times New Roman"/>
                <w:color w:val="auto"/>
                <w:sz w:val="21"/>
                <w:szCs w:val="21"/>
                <w:highlight w:val="none"/>
                <w:lang w:val="en-US" w:eastAsia="zh-CN"/>
              </w:rPr>
              <w:t>《地表水环境质量标准》（GB3838-2002）中的</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ROMAN \* MERGEFORMAT </w:instrText>
            </w:r>
            <w:r>
              <w:rPr>
                <w:rFonts w:hint="default" w:ascii="Times New Roman" w:hAnsi="Times New Roman" w:eastAsia="宋体" w:cs="Times New Roman"/>
                <w:color w:val="auto"/>
                <w:sz w:val="21"/>
                <w:szCs w:val="21"/>
                <w:highlight w:val="none"/>
                <w:lang w:val="en-US" w:eastAsia="zh-CN"/>
              </w:rPr>
              <w:fldChar w:fldCharType="separate"/>
            </w:r>
            <w:r>
              <w:rPr>
                <w:color w:val="auto"/>
                <w:highlight w:val="none"/>
              </w:rPr>
              <w:t>IV</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类标准</w:t>
            </w:r>
          </w:p>
        </w:tc>
      </w:tr>
      <w:tr w14:paraId="6C8F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2" w:hRule="atLeast"/>
          <w:jc w:val="center"/>
        </w:trPr>
        <w:tc>
          <w:tcPr>
            <w:tcW w:w="359" w:type="dxa"/>
            <w:vMerge w:val="restart"/>
            <w:noWrap w:val="0"/>
            <w:vAlign w:val="center"/>
          </w:tcPr>
          <w:p w14:paraId="0A7DE82D">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6</w:t>
            </w:r>
          </w:p>
        </w:tc>
        <w:tc>
          <w:tcPr>
            <w:tcW w:w="882" w:type="dxa"/>
            <w:vMerge w:val="restart"/>
            <w:noWrap w:val="0"/>
            <w:vAlign w:val="center"/>
          </w:tcPr>
          <w:p w14:paraId="2C25ECAE">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土壤</w:t>
            </w:r>
          </w:p>
          <w:p w14:paraId="36F60830">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w:t>
            </w:r>
          </w:p>
        </w:tc>
        <w:tc>
          <w:tcPr>
            <w:tcW w:w="1665" w:type="dxa"/>
            <w:noWrap w:val="0"/>
            <w:vAlign w:val="center"/>
          </w:tcPr>
          <w:p w14:paraId="6C0E76CF">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基本农田</w:t>
            </w:r>
          </w:p>
        </w:tc>
        <w:tc>
          <w:tcPr>
            <w:tcW w:w="2805" w:type="dxa"/>
            <w:gridSpan w:val="3"/>
            <w:noWrap w:val="0"/>
            <w:vAlign w:val="center"/>
          </w:tcPr>
          <w:p w14:paraId="45DF59FD">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pacing w:val="0"/>
                <w:sz w:val="21"/>
                <w:szCs w:val="21"/>
                <w:highlight w:val="none"/>
              </w:rPr>
            </w:pPr>
            <w:r>
              <w:rPr>
                <w:rFonts w:hint="eastAsia" w:cs="Times New Roman"/>
                <w:color w:val="auto"/>
                <w:sz w:val="21"/>
                <w:szCs w:val="21"/>
                <w:highlight w:val="none"/>
                <w:u w:val="none"/>
                <w:lang w:val="en-US" w:eastAsia="zh-CN"/>
              </w:rPr>
              <w:t>TK872CH井场边界外45m</w:t>
            </w:r>
          </w:p>
        </w:tc>
        <w:tc>
          <w:tcPr>
            <w:tcW w:w="2918" w:type="dxa"/>
            <w:vMerge w:val="restart"/>
            <w:noWrap w:val="0"/>
            <w:vAlign w:val="center"/>
          </w:tcPr>
          <w:p w14:paraId="0AC1BEB8">
            <w:pPr>
              <w:pStyle w:val="67"/>
              <w:keepNext w:val="0"/>
              <w:keepLines w:val="0"/>
              <w:pageBreakBefore w:val="0"/>
              <w:widowControl w:val="0"/>
              <w:kinsoku/>
              <w:wordWrap/>
              <w:overflowPunct/>
              <w:topLinePunct w:val="0"/>
              <w:autoSpaceDE/>
              <w:autoSpaceDN/>
              <w:bidi w:val="0"/>
              <w:snapToGrid/>
              <w:spacing w:line="240" w:lineRule="exact"/>
              <w:ind w:firstLine="0" w:firstLineChars="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z w:val="21"/>
                <w:szCs w:val="21"/>
                <w:highlight w:val="none"/>
                <w:u w:val="none"/>
                <w:lang w:eastAsia="zh-CN"/>
              </w:rPr>
              <w:t>占地范围内执行《土壤环境质量建设用地土壤污染风险管控标准（试行）》（GB36600-2018）第二类用地风险筛选值；占地范围外执行《土壤环境质量农用地土壤污染风险管控标准（试行）》（GB15618-2018）。</w:t>
            </w:r>
          </w:p>
        </w:tc>
      </w:tr>
      <w:tr w14:paraId="713B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9" w:type="dxa"/>
            <w:vMerge w:val="continue"/>
            <w:noWrap w:val="0"/>
            <w:vAlign w:val="center"/>
          </w:tcPr>
          <w:p w14:paraId="0D5C874E">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spacing w:val="0"/>
                <w:sz w:val="21"/>
                <w:szCs w:val="21"/>
                <w:highlight w:val="none"/>
                <w:lang w:val="en-US" w:eastAsia="zh-CN"/>
              </w:rPr>
            </w:pPr>
          </w:p>
        </w:tc>
        <w:tc>
          <w:tcPr>
            <w:tcW w:w="882" w:type="dxa"/>
            <w:vMerge w:val="continue"/>
            <w:noWrap w:val="0"/>
            <w:vAlign w:val="center"/>
          </w:tcPr>
          <w:p w14:paraId="0C8735BE">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p>
        </w:tc>
        <w:tc>
          <w:tcPr>
            <w:tcW w:w="1665" w:type="dxa"/>
            <w:noWrap w:val="0"/>
            <w:vAlign w:val="center"/>
          </w:tcPr>
          <w:p w14:paraId="748A1ED5">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牧草地</w:t>
            </w:r>
          </w:p>
        </w:tc>
        <w:tc>
          <w:tcPr>
            <w:tcW w:w="2805" w:type="dxa"/>
            <w:gridSpan w:val="3"/>
            <w:noWrap w:val="0"/>
            <w:vAlign w:val="center"/>
          </w:tcPr>
          <w:p w14:paraId="56F045B7">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井场及管线周边</w:t>
            </w:r>
          </w:p>
        </w:tc>
        <w:tc>
          <w:tcPr>
            <w:tcW w:w="2918" w:type="dxa"/>
            <w:vMerge w:val="continue"/>
            <w:noWrap w:val="0"/>
            <w:vAlign w:val="center"/>
          </w:tcPr>
          <w:p w14:paraId="109468A0">
            <w:pPr>
              <w:pStyle w:val="67"/>
              <w:keepNext w:val="0"/>
              <w:keepLines w:val="0"/>
              <w:pageBreakBefore w:val="0"/>
              <w:widowControl w:val="0"/>
              <w:kinsoku/>
              <w:wordWrap/>
              <w:overflowPunct/>
              <w:topLinePunct w:val="0"/>
              <w:autoSpaceDE/>
              <w:autoSpaceDN/>
              <w:bidi w:val="0"/>
              <w:snapToGrid/>
              <w:spacing w:line="240" w:lineRule="exact"/>
              <w:ind w:firstLine="0" w:firstLineChars="0"/>
              <w:jc w:val="both"/>
              <w:textAlignment w:val="auto"/>
              <w:rPr>
                <w:rFonts w:hint="default" w:ascii="Times New Roman" w:hAnsi="Times New Roman" w:cs="Times New Roman"/>
                <w:color w:val="auto"/>
                <w:sz w:val="21"/>
                <w:szCs w:val="21"/>
                <w:highlight w:val="none"/>
                <w:u w:val="none"/>
                <w:lang w:eastAsia="zh-CN"/>
              </w:rPr>
            </w:pPr>
          </w:p>
        </w:tc>
      </w:tr>
      <w:tr w14:paraId="79BB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9" w:type="dxa"/>
            <w:noWrap w:val="0"/>
            <w:vAlign w:val="center"/>
          </w:tcPr>
          <w:p w14:paraId="49E36C6A">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7</w:t>
            </w:r>
          </w:p>
        </w:tc>
        <w:tc>
          <w:tcPr>
            <w:tcW w:w="882" w:type="dxa"/>
            <w:noWrap w:val="0"/>
            <w:vAlign w:val="center"/>
          </w:tcPr>
          <w:p w14:paraId="6AE7AF0E">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w:t>
            </w:r>
          </w:p>
          <w:p w14:paraId="12840E14">
            <w:pPr>
              <w:pStyle w:val="2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风险</w:t>
            </w:r>
          </w:p>
        </w:tc>
        <w:tc>
          <w:tcPr>
            <w:tcW w:w="1665" w:type="dxa"/>
            <w:noWrap w:val="0"/>
            <w:vAlign w:val="center"/>
          </w:tcPr>
          <w:p w14:paraId="7A5C4981">
            <w:pPr>
              <w:keepNext w:val="0"/>
              <w:keepLines w:val="0"/>
              <w:pageBreakBefore w:val="0"/>
              <w:widowControl w:val="0"/>
              <w:kinsoku/>
              <w:wordWrap/>
              <w:overflowPunct/>
              <w:topLinePunct w:val="0"/>
              <w:autoSpaceDE/>
              <w:autoSpaceDN/>
              <w:bidi w:val="0"/>
              <w:adjustRightInd w:val="0"/>
              <w:snapToGrid/>
              <w:spacing w:line="240" w:lineRule="exact"/>
              <w:ind w:left="-120" w:leftChars="-50" w:right="-120" w:rightChars="-50"/>
              <w:jc w:val="center"/>
              <w:textAlignment w:val="auto"/>
              <w:rPr>
                <w:rFonts w:hint="default" w:ascii="Times New Roman" w:hAnsi="Times New Roman" w:eastAsia="宋体" w:cs="Times New Roman"/>
                <w:color w:val="auto"/>
                <w:spacing w:val="0"/>
                <w:sz w:val="21"/>
                <w:szCs w:val="21"/>
                <w:highlight w:val="none"/>
                <w:lang w:eastAsia="zh-CN"/>
              </w:rPr>
            </w:pP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区</w:t>
            </w:r>
            <w:r>
              <w:rPr>
                <w:rFonts w:hint="default" w:ascii="Times New Roman" w:hAnsi="Times New Roman" w:eastAsia="宋体" w:cs="Times New Roman"/>
                <w:color w:val="auto"/>
                <w:sz w:val="21"/>
                <w:szCs w:val="21"/>
                <w:highlight w:val="none"/>
                <w:lang w:val="en-US" w:eastAsia="zh-CN"/>
              </w:rPr>
              <w:t>大气、</w:t>
            </w:r>
            <w:r>
              <w:rPr>
                <w:rFonts w:hint="default" w:ascii="Times New Roman" w:hAnsi="Times New Roman" w:eastAsia="宋体" w:cs="Times New Roman"/>
                <w:color w:val="auto"/>
                <w:sz w:val="21"/>
                <w:szCs w:val="21"/>
                <w:highlight w:val="none"/>
              </w:rPr>
              <w:t>土壤、地下水、</w:t>
            </w:r>
            <w:r>
              <w:rPr>
                <w:rFonts w:hint="eastAsia" w:cs="Times New Roman"/>
                <w:color w:val="auto"/>
                <w:sz w:val="21"/>
                <w:szCs w:val="21"/>
                <w:highlight w:val="none"/>
                <w:lang w:val="en-US" w:eastAsia="zh-CN"/>
              </w:rPr>
              <w:t>公益林</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基本农田</w:t>
            </w:r>
            <w:r>
              <w:rPr>
                <w:rFonts w:hint="default" w:ascii="Times New Roman" w:hAnsi="Times New Roman" w:eastAsia="宋体" w:cs="Times New Roman"/>
                <w:color w:val="auto"/>
                <w:sz w:val="21"/>
                <w:szCs w:val="21"/>
                <w:highlight w:val="none"/>
              </w:rPr>
              <w:t>等</w:t>
            </w:r>
          </w:p>
        </w:tc>
        <w:tc>
          <w:tcPr>
            <w:tcW w:w="2805" w:type="dxa"/>
            <w:gridSpan w:val="3"/>
            <w:noWrap w:val="0"/>
            <w:vAlign w:val="center"/>
          </w:tcPr>
          <w:p w14:paraId="1392DECF">
            <w:pPr>
              <w:pStyle w:val="67"/>
              <w:keepNext w:val="0"/>
              <w:keepLines w:val="0"/>
              <w:pageBreakBefore w:val="0"/>
              <w:widowControl w:val="0"/>
              <w:kinsoku/>
              <w:wordWrap/>
              <w:overflowPunct/>
              <w:topLinePunct w:val="0"/>
              <w:autoSpaceDE/>
              <w:autoSpaceDN/>
              <w:bidi w:val="0"/>
              <w:snapToGrid/>
              <w:spacing w:line="240" w:lineRule="exact"/>
              <w:ind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z w:val="21"/>
                <w:szCs w:val="21"/>
                <w:highlight w:val="none"/>
                <w:u w:val="none"/>
                <w:lang w:val="en-US" w:eastAsia="zh-CN"/>
              </w:rPr>
              <w:t>井场及管线周边</w:t>
            </w:r>
          </w:p>
        </w:tc>
        <w:tc>
          <w:tcPr>
            <w:tcW w:w="2918" w:type="dxa"/>
            <w:noWrap w:val="0"/>
            <w:vAlign w:val="center"/>
          </w:tcPr>
          <w:p w14:paraId="45E646F2">
            <w:pPr>
              <w:pStyle w:val="67"/>
              <w:keepNext w:val="0"/>
              <w:keepLines w:val="0"/>
              <w:pageBreakBefore w:val="0"/>
              <w:widowControl w:val="0"/>
              <w:kinsoku/>
              <w:wordWrap/>
              <w:overflowPunct/>
              <w:topLinePunct w:val="0"/>
              <w:autoSpaceDE/>
              <w:autoSpaceDN/>
              <w:bidi w:val="0"/>
              <w:snapToGrid/>
              <w:spacing w:line="24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rPr>
              <w:t>发生风险事故时，可快速采取环境风险防范措施，确保风险事故对土壤、地下水等环境的影响程度可控</w:t>
            </w:r>
            <w:r>
              <w:rPr>
                <w:rFonts w:hint="default" w:ascii="Times New Roman" w:hAnsi="Times New Roman" w:cs="Times New Roman"/>
                <w:color w:val="auto"/>
                <w:sz w:val="21"/>
                <w:szCs w:val="21"/>
                <w:highlight w:val="none"/>
                <w:lang w:eastAsia="zh-CN"/>
              </w:rPr>
              <w:t>。</w:t>
            </w:r>
          </w:p>
        </w:tc>
      </w:tr>
      <w:bookmarkEnd w:id="196"/>
    </w:tbl>
    <w:p w14:paraId="05063598">
      <w:pPr>
        <w:rPr>
          <w:rFonts w:hint="default" w:ascii="Times New Roman" w:hAnsi="Times New Roman"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2EAEDD8">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0"/>
        <w:rPr>
          <w:rFonts w:hint="default" w:ascii="Times New Roman" w:hAnsi="Times New Roman" w:cs="Times New Roman"/>
          <w:color w:val="auto"/>
          <w:sz w:val="36"/>
          <w:szCs w:val="36"/>
          <w:highlight w:val="none"/>
        </w:rPr>
      </w:pPr>
      <w:bookmarkStart w:id="200" w:name="_Toc21960"/>
      <w:bookmarkStart w:id="201" w:name="_Toc22992"/>
      <w:bookmarkStart w:id="202" w:name="_Toc16715"/>
      <w:r>
        <w:rPr>
          <w:rFonts w:hint="default" w:ascii="Times New Roman" w:hAnsi="Times New Roman" w:cs="Times New Roman"/>
          <w:color w:val="auto"/>
          <w:sz w:val="36"/>
          <w:szCs w:val="36"/>
          <w:highlight w:val="none"/>
        </w:rPr>
        <w:t>3.工程概况与工程分析</w:t>
      </w:r>
      <w:bookmarkEnd w:id="200"/>
      <w:bookmarkEnd w:id="201"/>
      <w:bookmarkEnd w:id="202"/>
    </w:p>
    <w:p w14:paraId="4DC7BC3C">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outlineLvl w:val="1"/>
        <w:rPr>
          <w:rFonts w:hint="default" w:ascii="Times New Roman" w:hAnsi="Times New Roman" w:cs="Times New Roman"/>
          <w:color w:val="auto"/>
          <w:highlight w:val="none"/>
        </w:rPr>
      </w:pPr>
      <w:bookmarkStart w:id="203" w:name="_Toc134"/>
      <w:bookmarkStart w:id="204" w:name="_Toc6323"/>
      <w:bookmarkStart w:id="205" w:name="_Toc28350"/>
      <w:r>
        <w:rPr>
          <w:rFonts w:hint="default" w:ascii="Times New Roman" w:hAnsi="Times New Roman" w:cs="Times New Roman"/>
          <w:color w:val="auto"/>
          <w:highlight w:val="none"/>
        </w:rPr>
        <w:t>3.1工程开发现状及环境影响回顾</w:t>
      </w:r>
      <w:bookmarkEnd w:id="203"/>
      <w:bookmarkEnd w:id="204"/>
      <w:bookmarkEnd w:id="205"/>
    </w:p>
    <w:p w14:paraId="363163F2">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60" w:firstLineChars="200"/>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spacing w:val="-5"/>
          <w:sz w:val="24"/>
          <w:szCs w:val="24"/>
          <w:highlight w:val="none"/>
          <w:lang w:eastAsia="zh-CN"/>
        </w:rPr>
        <w:t>本项目主要涉及塔河油田</w:t>
      </w:r>
      <w:r>
        <w:rPr>
          <w:rFonts w:hint="eastAsia" w:cs="Times New Roman"/>
          <w:color w:val="auto"/>
          <w:spacing w:val="-5"/>
          <w:sz w:val="24"/>
          <w:szCs w:val="24"/>
          <w:highlight w:val="none"/>
          <w:lang w:val="en-US" w:eastAsia="zh-CN"/>
        </w:rPr>
        <w:t>10</w:t>
      </w:r>
      <w:r>
        <w:rPr>
          <w:rFonts w:hint="default" w:ascii="Times New Roman" w:hAnsi="Times New Roman" w:cs="Times New Roman"/>
          <w:color w:val="auto"/>
          <w:spacing w:val="-5"/>
          <w:sz w:val="24"/>
          <w:szCs w:val="24"/>
          <w:highlight w:val="none"/>
          <w:lang w:eastAsia="zh-CN"/>
        </w:rPr>
        <w:t>区、</w:t>
      </w:r>
      <w:r>
        <w:rPr>
          <w:rFonts w:hint="eastAsia" w:cs="Times New Roman"/>
          <w:color w:val="auto"/>
          <w:spacing w:val="-5"/>
          <w:sz w:val="24"/>
          <w:szCs w:val="24"/>
          <w:highlight w:val="none"/>
          <w:lang w:val="en-US" w:eastAsia="zh-CN"/>
        </w:rPr>
        <w:t>8</w:t>
      </w:r>
      <w:r>
        <w:rPr>
          <w:rFonts w:hint="default" w:ascii="Times New Roman" w:hAnsi="Times New Roman" w:cs="Times New Roman"/>
          <w:color w:val="auto"/>
          <w:spacing w:val="-5"/>
          <w:sz w:val="24"/>
          <w:szCs w:val="24"/>
          <w:highlight w:val="none"/>
          <w:lang w:eastAsia="zh-CN"/>
        </w:rPr>
        <w:t>区，</w:t>
      </w:r>
      <w:r>
        <w:rPr>
          <w:rFonts w:hint="eastAsia" w:cs="Times New Roman"/>
          <w:color w:val="auto"/>
          <w:spacing w:val="-5"/>
          <w:sz w:val="24"/>
          <w:szCs w:val="24"/>
          <w:highlight w:val="none"/>
          <w:lang w:val="en-US" w:eastAsia="zh-CN"/>
        </w:rPr>
        <w:t>区块已分别开展环境影响后评价，详见附件2、附件3；</w:t>
      </w:r>
      <w:r>
        <w:rPr>
          <w:rFonts w:hint="default" w:ascii="Times New Roman" w:hAnsi="Times New Roman" w:cs="Times New Roman"/>
          <w:color w:val="auto"/>
          <w:spacing w:val="-5"/>
          <w:sz w:val="24"/>
          <w:szCs w:val="24"/>
          <w:highlight w:val="none"/>
          <w:lang w:eastAsia="zh-CN"/>
        </w:rPr>
        <w:t>区块开发现状及回顾主要针对上述区块内容。塔河油田开发现状图</w:t>
      </w:r>
      <w:r>
        <w:rPr>
          <w:rFonts w:hint="default" w:ascii="Times New Roman" w:hAnsi="Times New Roman" w:cs="Times New Roman"/>
          <w:color w:val="auto"/>
          <w:spacing w:val="-5"/>
          <w:sz w:val="24"/>
          <w:szCs w:val="24"/>
          <w:highlight w:val="none"/>
          <w:lang w:val="en-US" w:eastAsia="zh-CN"/>
        </w:rPr>
        <w:t>见图3.1-1</w:t>
      </w:r>
      <w:r>
        <w:rPr>
          <w:rFonts w:hint="eastAsia" w:cs="Times New Roman"/>
          <w:color w:val="auto"/>
          <w:spacing w:val="-5"/>
          <w:sz w:val="24"/>
          <w:szCs w:val="24"/>
          <w:highlight w:val="none"/>
          <w:lang w:val="en-US" w:eastAsia="zh-CN"/>
        </w:rPr>
        <w:t>、3.1-2</w:t>
      </w:r>
      <w:r>
        <w:rPr>
          <w:rFonts w:hint="default" w:ascii="Times New Roman" w:hAnsi="Times New Roman" w:cs="Times New Roman"/>
          <w:color w:val="auto"/>
          <w:spacing w:val="-5"/>
          <w:sz w:val="24"/>
          <w:szCs w:val="24"/>
          <w:highlight w:val="none"/>
          <w:lang w:val="en-US" w:eastAsia="zh-CN"/>
        </w:rPr>
        <w:t>。</w:t>
      </w:r>
    </w:p>
    <w:p w14:paraId="2F702F2E">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Cs w:val="24"/>
          <w:highlight w:val="none"/>
        </w:rPr>
      </w:pPr>
      <w:r>
        <w:rPr>
          <w:rFonts w:hint="default" w:ascii="Times New Roman" w:hAnsi="Times New Roman" w:eastAsia="宋体" w:cs="Times New Roman"/>
          <w:b/>
          <w:snapToGrid w:val="0"/>
          <w:color w:val="auto"/>
          <w:kern w:val="0"/>
          <w:sz w:val="28"/>
          <w:szCs w:val="21"/>
          <w:highlight w:val="none"/>
          <w:lang w:val="en-US" w:eastAsia="en-US" w:bidi="ar-SA"/>
        </w:rPr>
        <w:fldChar w:fldCharType="begin"/>
      </w:r>
      <w:r>
        <w:rPr>
          <w:rFonts w:hint="default" w:ascii="Times New Roman" w:hAnsi="Times New Roman" w:eastAsia="宋体" w:cs="Times New Roman"/>
          <w:b/>
          <w:snapToGrid w:val="0"/>
          <w:color w:val="auto"/>
          <w:kern w:val="0"/>
          <w:sz w:val="28"/>
          <w:szCs w:val="21"/>
          <w:highlight w:val="none"/>
          <w:lang w:val="en-US" w:eastAsia="en-US" w:bidi="ar-SA"/>
        </w:rPr>
        <w:instrText xml:space="preserve"> HYPERLINK "3.1.1.1" </w:instrText>
      </w:r>
      <w:r>
        <w:rPr>
          <w:rFonts w:hint="default" w:ascii="Times New Roman" w:hAnsi="Times New Roman" w:eastAsia="宋体" w:cs="Times New Roman"/>
          <w:b/>
          <w:snapToGrid w:val="0"/>
          <w:color w:val="auto"/>
          <w:kern w:val="0"/>
          <w:sz w:val="28"/>
          <w:szCs w:val="21"/>
          <w:highlight w:val="none"/>
          <w:lang w:val="en-US" w:eastAsia="en-US" w:bidi="ar-SA"/>
        </w:rPr>
        <w:fldChar w:fldCharType="separate"/>
      </w:r>
      <w:r>
        <w:rPr>
          <w:rFonts w:hint="default" w:ascii="Times New Roman" w:hAnsi="Times New Roman" w:eastAsia="宋体" w:cs="Times New Roman"/>
          <w:b/>
          <w:snapToGrid w:val="0"/>
          <w:color w:val="auto"/>
          <w:kern w:val="0"/>
          <w:sz w:val="28"/>
          <w:szCs w:val="21"/>
          <w:highlight w:val="none"/>
          <w:lang w:val="en-US" w:eastAsia="en-US" w:bidi="ar-SA"/>
        </w:rPr>
        <w:t>3.1.1</w:t>
      </w:r>
      <w:r>
        <w:rPr>
          <w:rFonts w:hint="default" w:ascii="Times New Roman" w:hAnsi="Times New Roman" w:eastAsia="宋体" w:cs="Times New Roman"/>
          <w:b/>
          <w:snapToGrid w:val="0"/>
          <w:color w:val="auto"/>
          <w:kern w:val="0"/>
          <w:sz w:val="28"/>
          <w:szCs w:val="21"/>
          <w:highlight w:val="none"/>
          <w:lang w:val="en-US" w:eastAsia="en-US" w:bidi="ar-SA"/>
        </w:rPr>
        <w:fldChar w:fldCharType="end"/>
      </w:r>
      <w:r>
        <w:rPr>
          <w:rFonts w:hint="default" w:ascii="Times New Roman" w:hAnsi="Times New Roman" w:eastAsia="宋体" w:cs="Times New Roman"/>
          <w:b/>
          <w:snapToGrid w:val="0"/>
          <w:color w:val="auto"/>
          <w:kern w:val="0"/>
          <w:sz w:val="28"/>
          <w:szCs w:val="21"/>
          <w:highlight w:val="none"/>
          <w:lang w:val="en-US" w:eastAsia="en-US" w:bidi="ar-SA"/>
        </w:rPr>
        <w:t>区块开发现状</w:t>
      </w:r>
    </w:p>
    <w:p w14:paraId="5E2FCDFF">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840" w:leftChars="200" w:hanging="360" w:firstLineChars="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eastAsia="宋体" w:cs="Times New Roman"/>
          <w:color w:val="auto"/>
          <w:spacing w:val="-5"/>
          <w:sz w:val="24"/>
          <w:szCs w:val="24"/>
          <w:highlight w:val="none"/>
          <w:lang w:val="en-US" w:eastAsia="zh-CN" w:bidi="ar-SA"/>
        </w:rPr>
        <w:t>（1）</w:t>
      </w:r>
      <w:r>
        <w:rPr>
          <w:rFonts w:hint="default" w:ascii="Times New Roman" w:hAnsi="Times New Roman" w:cs="Times New Roman"/>
          <w:color w:val="auto"/>
          <w:spacing w:val="-5"/>
          <w:sz w:val="24"/>
          <w:szCs w:val="24"/>
          <w:highlight w:val="none"/>
          <w:lang w:eastAsia="zh-CN"/>
        </w:rPr>
        <w:t>塔河油田</w:t>
      </w:r>
      <w:r>
        <w:rPr>
          <w:rFonts w:hint="eastAsia" w:cs="Times New Roman"/>
          <w:color w:val="auto"/>
          <w:spacing w:val="-5"/>
          <w:sz w:val="24"/>
          <w:szCs w:val="24"/>
          <w:highlight w:val="none"/>
          <w:lang w:val="en-US" w:eastAsia="zh-CN"/>
        </w:rPr>
        <w:t>8区、10区</w:t>
      </w:r>
      <w:r>
        <w:rPr>
          <w:rFonts w:hint="default" w:ascii="Times New Roman" w:hAnsi="Times New Roman" w:cs="Times New Roman"/>
          <w:color w:val="auto"/>
          <w:spacing w:val="-5"/>
          <w:sz w:val="24"/>
          <w:szCs w:val="24"/>
          <w:highlight w:val="none"/>
          <w:lang w:eastAsia="zh-CN"/>
        </w:rPr>
        <w:t>块主体工程建设情况</w:t>
      </w:r>
    </w:p>
    <w:p w14:paraId="60825B4E">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cs="Times New Roman"/>
          <w:color w:val="auto"/>
          <w:spacing w:val="-5"/>
          <w:sz w:val="24"/>
          <w:szCs w:val="24"/>
          <w:highlight w:val="none"/>
          <w:lang w:eastAsia="zh-CN"/>
        </w:rPr>
        <w:t>塔河油田各区块主要地面设施情况统计见表3.1-1。</w:t>
      </w:r>
    </w:p>
    <w:p w14:paraId="712A3C21">
      <w:pPr>
        <w:spacing w:before="78" w:line="229" w:lineRule="auto"/>
        <w:ind w:left="573"/>
        <w:jc w:val="center"/>
        <w:rPr>
          <w:rFonts w:hint="default" w:ascii="Times New Roman" w:hAnsi="Times New Roman" w:eastAsia="黑体" w:cs="Times New Roman"/>
          <w:color w:val="auto"/>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bidi="ar-SA"/>
        </w:rPr>
        <w:t>表3.1-1塔河油田</w:t>
      </w:r>
      <w:r>
        <w:rPr>
          <w:rFonts w:hint="eastAsia" w:eastAsia="黑体" w:cs="Times New Roman"/>
          <w:color w:val="auto"/>
          <w:sz w:val="21"/>
          <w:szCs w:val="21"/>
          <w:highlight w:val="none"/>
          <w:lang w:val="en-US" w:eastAsia="zh-CN" w:bidi="ar-SA"/>
        </w:rPr>
        <w:t>8区、10区</w:t>
      </w:r>
      <w:r>
        <w:rPr>
          <w:rFonts w:hint="default" w:ascii="Times New Roman" w:hAnsi="Times New Roman" w:eastAsia="黑体" w:cs="Times New Roman"/>
          <w:color w:val="auto"/>
          <w:sz w:val="21"/>
          <w:szCs w:val="21"/>
          <w:highlight w:val="none"/>
          <w:lang w:val="en-US" w:eastAsia="zh-CN" w:bidi="ar-SA"/>
        </w:rPr>
        <w:t>块主要地面设施情况一览表</w:t>
      </w:r>
    </w:p>
    <w:tbl>
      <w:tblPr>
        <w:tblStyle w:val="60"/>
        <w:tblW w:w="50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0"/>
        <w:gridCol w:w="821"/>
        <w:gridCol w:w="969"/>
        <w:gridCol w:w="2916"/>
        <w:gridCol w:w="962"/>
        <w:gridCol w:w="1049"/>
        <w:gridCol w:w="1458"/>
      </w:tblGrid>
      <w:tr w14:paraId="04030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88" w:type="pct"/>
            <w:tcBorders>
              <w:top w:val="single" w:color="000000" w:sz="6" w:space="0"/>
              <w:left w:val="single" w:color="000000" w:sz="6" w:space="0"/>
            </w:tcBorders>
            <w:vAlign w:val="center"/>
          </w:tcPr>
          <w:p w14:paraId="1DBE5473">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序号</w:t>
            </w:r>
          </w:p>
        </w:tc>
        <w:tc>
          <w:tcPr>
            <w:tcW w:w="483" w:type="pct"/>
            <w:tcBorders>
              <w:top w:val="single" w:color="000000" w:sz="6" w:space="0"/>
            </w:tcBorders>
            <w:vAlign w:val="center"/>
          </w:tcPr>
          <w:p w14:paraId="02D1DC6B">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区块</w:t>
            </w:r>
          </w:p>
          <w:p w14:paraId="4AF9C853">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名称</w:t>
            </w:r>
          </w:p>
        </w:tc>
        <w:tc>
          <w:tcPr>
            <w:tcW w:w="570" w:type="pct"/>
            <w:tcBorders>
              <w:top w:val="single" w:color="000000" w:sz="6" w:space="0"/>
            </w:tcBorders>
            <w:vAlign w:val="center"/>
          </w:tcPr>
          <w:p w14:paraId="2919A899">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井数</w:t>
            </w:r>
          </w:p>
        </w:tc>
        <w:tc>
          <w:tcPr>
            <w:tcW w:w="1715" w:type="pct"/>
            <w:tcBorders>
              <w:top w:val="single" w:color="000000" w:sz="6" w:space="0"/>
            </w:tcBorders>
            <w:vAlign w:val="center"/>
          </w:tcPr>
          <w:p w14:paraId="2FA1E8C3">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计转站/阀组站名称</w:t>
            </w:r>
          </w:p>
        </w:tc>
        <w:tc>
          <w:tcPr>
            <w:tcW w:w="566" w:type="pct"/>
            <w:tcBorders>
              <w:top w:val="single" w:color="000000" w:sz="6" w:space="0"/>
            </w:tcBorders>
            <w:vAlign w:val="center"/>
          </w:tcPr>
          <w:p w14:paraId="236C42D4">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计转站/阀组站总数</w:t>
            </w:r>
          </w:p>
        </w:tc>
        <w:tc>
          <w:tcPr>
            <w:tcW w:w="617" w:type="pct"/>
            <w:tcBorders>
              <w:top w:val="single" w:color="000000" w:sz="6" w:space="0"/>
            </w:tcBorders>
            <w:vAlign w:val="center"/>
          </w:tcPr>
          <w:p w14:paraId="3CD2104C">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联合站</w:t>
            </w:r>
          </w:p>
        </w:tc>
        <w:tc>
          <w:tcPr>
            <w:tcW w:w="857" w:type="pct"/>
            <w:tcBorders>
              <w:top w:val="single" w:color="000000" w:sz="6" w:space="0"/>
              <w:right w:val="single" w:color="000000" w:sz="6" w:space="0"/>
            </w:tcBorders>
            <w:vAlign w:val="center"/>
          </w:tcPr>
          <w:p w14:paraId="0121BC92">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eastAsia="zh-CN"/>
              </w:rPr>
              <w:t>其他</w:t>
            </w:r>
          </w:p>
        </w:tc>
      </w:tr>
      <w:tr w14:paraId="53A33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88" w:type="pct"/>
            <w:tcBorders>
              <w:top w:val="single" w:color="000000" w:sz="6" w:space="0"/>
              <w:left w:val="single" w:color="000000" w:sz="6" w:space="0"/>
            </w:tcBorders>
            <w:vAlign w:val="center"/>
          </w:tcPr>
          <w:p w14:paraId="2CE2E5D2">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1</w:t>
            </w:r>
          </w:p>
        </w:tc>
        <w:tc>
          <w:tcPr>
            <w:tcW w:w="483" w:type="pct"/>
            <w:tcBorders>
              <w:top w:val="single" w:color="000000" w:sz="6" w:space="0"/>
            </w:tcBorders>
            <w:vAlign w:val="center"/>
          </w:tcPr>
          <w:p w14:paraId="0FC2B141">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塔河油田</w:t>
            </w:r>
            <w:r>
              <w:rPr>
                <w:rFonts w:hint="default" w:ascii="Times New Roman" w:hAnsi="Times New Roman" w:eastAsia="宋体" w:cs="Times New Roman"/>
                <w:color w:val="auto"/>
                <w:spacing w:val="0"/>
                <w:sz w:val="21"/>
                <w:szCs w:val="21"/>
                <w:highlight w:val="none"/>
                <w:lang w:val="en-US" w:eastAsia="zh-CN"/>
              </w:rPr>
              <w:t>8</w:t>
            </w:r>
            <w:r>
              <w:rPr>
                <w:rFonts w:hint="default" w:ascii="Times New Roman" w:hAnsi="Times New Roman" w:eastAsia="宋体" w:cs="Times New Roman"/>
                <w:color w:val="auto"/>
                <w:spacing w:val="0"/>
                <w:sz w:val="21"/>
                <w:szCs w:val="21"/>
                <w:highlight w:val="none"/>
              </w:rPr>
              <w:t>区</w:t>
            </w:r>
          </w:p>
        </w:tc>
        <w:tc>
          <w:tcPr>
            <w:tcW w:w="570" w:type="pct"/>
            <w:tcBorders>
              <w:top w:val="single" w:color="000000" w:sz="6" w:space="0"/>
            </w:tcBorders>
            <w:vAlign w:val="center"/>
          </w:tcPr>
          <w:p w14:paraId="7E005A1F">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116口</w:t>
            </w:r>
          </w:p>
        </w:tc>
        <w:tc>
          <w:tcPr>
            <w:tcW w:w="1715" w:type="pct"/>
            <w:tcBorders>
              <w:top w:val="single" w:color="000000" w:sz="6" w:space="0"/>
            </w:tcBorders>
            <w:vAlign w:val="center"/>
          </w:tcPr>
          <w:p w14:paraId="705983E2">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8-1计转站、8-2计转站、8-3计转（掺稀）站、8-4计转站、8-5计量站、S86卸油站</w:t>
            </w:r>
          </w:p>
        </w:tc>
        <w:tc>
          <w:tcPr>
            <w:tcW w:w="566" w:type="pct"/>
            <w:tcBorders>
              <w:top w:val="single" w:color="000000" w:sz="6" w:space="0"/>
            </w:tcBorders>
            <w:vAlign w:val="center"/>
          </w:tcPr>
          <w:p w14:paraId="59C3146B">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w:t>
            </w:r>
          </w:p>
        </w:tc>
        <w:tc>
          <w:tcPr>
            <w:tcW w:w="617" w:type="pct"/>
            <w:tcBorders>
              <w:top w:val="single" w:color="000000" w:sz="6" w:space="0"/>
            </w:tcBorders>
            <w:vAlign w:val="center"/>
          </w:tcPr>
          <w:p w14:paraId="65EEC11D">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塔河油田三号联合站</w:t>
            </w:r>
          </w:p>
        </w:tc>
        <w:tc>
          <w:tcPr>
            <w:tcW w:w="857" w:type="pct"/>
            <w:tcBorders>
              <w:top w:val="single" w:color="000000" w:sz="6" w:space="0"/>
              <w:right w:val="single" w:color="000000" w:sz="6" w:space="0"/>
            </w:tcBorders>
            <w:vAlign w:val="center"/>
          </w:tcPr>
          <w:p w14:paraId="2BFA3F9C">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各计转站采出液汇入塔河油田三号联合站处理</w:t>
            </w:r>
          </w:p>
        </w:tc>
      </w:tr>
      <w:tr w14:paraId="5EEBD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jc w:val="center"/>
        </w:trPr>
        <w:tc>
          <w:tcPr>
            <w:tcW w:w="188" w:type="pct"/>
            <w:tcBorders>
              <w:left w:val="single" w:color="000000" w:sz="6" w:space="0"/>
            </w:tcBorders>
            <w:vAlign w:val="center"/>
          </w:tcPr>
          <w:p w14:paraId="15AB8B5F">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p>
        </w:tc>
        <w:tc>
          <w:tcPr>
            <w:tcW w:w="483" w:type="pct"/>
            <w:vAlign w:val="center"/>
          </w:tcPr>
          <w:p w14:paraId="290E5D33">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塔河油田10区</w:t>
            </w:r>
          </w:p>
        </w:tc>
        <w:tc>
          <w:tcPr>
            <w:tcW w:w="570" w:type="pct"/>
            <w:vAlign w:val="center"/>
          </w:tcPr>
          <w:p w14:paraId="41E1253B">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316口</w:t>
            </w:r>
          </w:p>
        </w:tc>
        <w:tc>
          <w:tcPr>
            <w:tcW w:w="1715" w:type="pct"/>
            <w:vAlign w:val="center"/>
          </w:tcPr>
          <w:p w14:paraId="5A85D125">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10-1至10-9计转站、10321计量混输泵站、TH10434混输泵站、S99卸油站、TK1023配液站</w:t>
            </w:r>
          </w:p>
        </w:tc>
        <w:tc>
          <w:tcPr>
            <w:tcW w:w="566" w:type="pct"/>
            <w:vAlign w:val="center"/>
          </w:tcPr>
          <w:p w14:paraId="157500DB">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13</w:t>
            </w:r>
          </w:p>
        </w:tc>
        <w:tc>
          <w:tcPr>
            <w:tcW w:w="617" w:type="pct"/>
            <w:vAlign w:val="center"/>
          </w:tcPr>
          <w:p w14:paraId="0DE55B08">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c>
          <w:tcPr>
            <w:tcW w:w="857" w:type="pct"/>
            <w:tcBorders>
              <w:right w:val="single" w:color="000000" w:sz="6" w:space="0"/>
            </w:tcBorders>
            <w:vAlign w:val="center"/>
          </w:tcPr>
          <w:p w14:paraId="22240144">
            <w:pPr>
              <w:pStyle w:val="2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各计转站采出液依托塔河油田</w:t>
            </w:r>
            <w:r>
              <w:rPr>
                <w:rFonts w:hint="eastAsia" w:cs="Times New Roman"/>
                <w:color w:val="auto"/>
                <w:spacing w:val="0"/>
                <w:sz w:val="21"/>
                <w:szCs w:val="21"/>
                <w:highlight w:val="none"/>
                <w:lang w:val="en-US" w:eastAsia="zh-CN"/>
              </w:rPr>
              <w:t>三</w:t>
            </w:r>
            <w:r>
              <w:rPr>
                <w:rFonts w:hint="default" w:ascii="Times New Roman" w:hAnsi="Times New Roman" w:eastAsia="宋体" w:cs="Times New Roman"/>
                <w:color w:val="auto"/>
                <w:spacing w:val="0"/>
                <w:sz w:val="21"/>
                <w:szCs w:val="21"/>
                <w:highlight w:val="none"/>
              </w:rPr>
              <w:t>号联合站、四号联合站进行处理</w:t>
            </w:r>
          </w:p>
        </w:tc>
      </w:tr>
    </w:tbl>
    <w:p w14:paraId="7427892B">
      <w:pPr>
        <w:keepNext/>
        <w:keepLines/>
        <w:spacing w:before="120" w:after="120"/>
        <w:outlineLvl w:val="2"/>
        <w:rPr>
          <w:rFonts w:hint="default" w:ascii="Times New Roman" w:hAnsi="Times New Roman" w:eastAsia="宋体" w:cs="Times New Roman"/>
          <w:b/>
          <w:color w:val="auto"/>
          <w:sz w:val="28"/>
          <w:szCs w:val="22"/>
          <w:highlight w:val="none"/>
        </w:rPr>
      </w:pPr>
      <w:bookmarkStart w:id="206" w:name="_Toc13073"/>
      <w:bookmarkStart w:id="207" w:name="_Toc27138"/>
      <w:r>
        <w:rPr>
          <w:rFonts w:hint="default" w:ascii="Times New Roman" w:hAnsi="Times New Roman" w:eastAsia="宋体" w:cs="Times New Roman"/>
          <w:b/>
          <w:color w:val="auto"/>
          <w:sz w:val="28"/>
          <w:szCs w:val="22"/>
          <w:highlight w:val="none"/>
        </w:rPr>
        <w:t>3.1.2“三同时”执行情况</w:t>
      </w:r>
    </w:p>
    <w:p w14:paraId="4174A4C3">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cs="Times New Roman"/>
          <w:color w:val="auto"/>
          <w:highlight w:val="none"/>
          <w:lang w:val="en-US" w:eastAsia="zh-CN"/>
        </w:rPr>
        <w:t>根据近年来的环评及验收文件，</w:t>
      </w:r>
      <w:r>
        <w:rPr>
          <w:rFonts w:hint="default" w:ascii="Times New Roman" w:hAnsi="Times New Roman" w:cs="Times New Roman"/>
          <w:color w:val="auto"/>
          <w:highlight w:val="none"/>
        </w:rPr>
        <w:t>经备案后的</w:t>
      </w:r>
      <w:r>
        <w:rPr>
          <w:rFonts w:hint="default" w:ascii="Times New Roman" w:hAnsi="Times New Roman" w:cs="Times New Roman"/>
          <w:color w:val="auto"/>
          <w:highlight w:val="none"/>
          <w:lang w:val="en-US" w:eastAsia="zh-CN"/>
        </w:rPr>
        <w:t>环评</w:t>
      </w:r>
      <w:r>
        <w:rPr>
          <w:rFonts w:hint="default" w:ascii="Times New Roman" w:hAnsi="Times New Roman" w:cs="Times New Roman"/>
          <w:color w:val="auto"/>
          <w:highlight w:val="none"/>
        </w:rPr>
        <w:t>文件作为生态环境主管部门环境管理的依据，为油田日常环保监督管理和排污许可提供技术支撑。塔河油田</w:t>
      </w:r>
      <w:r>
        <w:rPr>
          <w:rFonts w:hint="default" w:ascii="Times New Roman" w:hAnsi="Times New Roman" w:cs="Times New Roman"/>
          <w:color w:val="auto"/>
          <w:highlight w:val="none"/>
          <w:lang w:val="en-US" w:eastAsia="zh-CN"/>
        </w:rPr>
        <w:t>各区</w:t>
      </w:r>
      <w:r>
        <w:rPr>
          <w:rFonts w:hint="default" w:ascii="Times New Roman" w:hAnsi="Times New Roman" w:cs="Times New Roman"/>
          <w:color w:val="auto"/>
          <w:highlight w:val="none"/>
        </w:rPr>
        <w:t>基本按照开发时序履行了环境影响评价和竣工环境保护验收等工作，</w:t>
      </w:r>
      <w:r>
        <w:rPr>
          <w:rFonts w:hint="default" w:ascii="Times New Roman" w:hAnsi="Times New Roman" w:eastAsia="宋体" w:cs="Times New Roman"/>
          <w:color w:val="auto"/>
          <w:highlight w:val="none"/>
        </w:rPr>
        <w:t>塔河油田</w:t>
      </w:r>
      <w:r>
        <w:rPr>
          <w:rFonts w:hint="default" w:ascii="Times New Roman" w:hAnsi="Times New Roman" w:eastAsia="宋体" w:cs="Times New Roman"/>
          <w:color w:val="auto"/>
          <w:highlight w:val="none"/>
          <w:lang w:val="en-US" w:eastAsia="zh-CN"/>
        </w:rPr>
        <w:t>8区、10区</w:t>
      </w:r>
      <w:r>
        <w:rPr>
          <w:rFonts w:hint="default" w:ascii="Times New Roman" w:hAnsi="Times New Roman" w:eastAsia="宋体" w:cs="Times New Roman"/>
          <w:color w:val="auto"/>
          <w:highlight w:val="none"/>
        </w:rPr>
        <w:t>已开展的主要工程环保手续履行情况如表3.1-2所示</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与</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相关的主要工程“三同时”执行情况表</w:t>
      </w:r>
      <w:r>
        <w:rPr>
          <w:rFonts w:hint="default" w:ascii="Times New Roman" w:hAnsi="Times New Roman" w:cs="Times New Roman"/>
          <w:color w:val="auto"/>
          <w:highlight w:val="none"/>
          <w:lang w:val="en-US" w:eastAsia="zh-CN"/>
        </w:rPr>
        <w:t>见表</w:t>
      </w:r>
      <w:r>
        <w:rPr>
          <w:rFonts w:hint="default" w:ascii="Times New Roman" w:hAnsi="Times New Roman" w:cs="Times New Roman"/>
          <w:color w:val="auto"/>
          <w:spacing w:val="-5"/>
          <w:sz w:val="24"/>
          <w:szCs w:val="24"/>
          <w:highlight w:val="none"/>
          <w:lang w:eastAsia="zh-CN"/>
        </w:rPr>
        <w:t>3.1-</w:t>
      </w:r>
      <w:r>
        <w:rPr>
          <w:rFonts w:hint="default" w:ascii="Times New Roman" w:hAnsi="Times New Roman" w:cs="Times New Roman"/>
          <w:color w:val="auto"/>
          <w:spacing w:val="-5"/>
          <w:sz w:val="24"/>
          <w:szCs w:val="24"/>
          <w:highlight w:val="none"/>
          <w:lang w:val="en-US" w:eastAsia="zh-CN"/>
        </w:rPr>
        <w:t>3</w:t>
      </w:r>
      <w:r>
        <w:rPr>
          <w:rFonts w:hint="default" w:ascii="Times New Roman" w:hAnsi="Times New Roman" w:cs="Times New Roman"/>
          <w:color w:val="auto"/>
          <w:spacing w:val="-5"/>
          <w:sz w:val="24"/>
          <w:szCs w:val="24"/>
          <w:highlight w:val="none"/>
          <w:lang w:eastAsia="zh-CN"/>
        </w:rPr>
        <w:t>。</w:t>
      </w:r>
    </w:p>
    <w:p w14:paraId="6957482C">
      <w:pPr>
        <w:ind w:firstLine="420" w:firstLineChars="200"/>
        <w:jc w:val="center"/>
        <w:rPr>
          <w:rFonts w:hint="eastAsia" w:ascii="黑体" w:hAnsi="黑体" w:eastAsia="黑体" w:cs="黑体"/>
          <w:color w:val="auto"/>
          <w:sz w:val="21"/>
          <w:szCs w:val="21"/>
          <w:highlight w:val="none"/>
          <w:lang w:val="zh-CN"/>
        </w:rPr>
      </w:pPr>
      <w:r>
        <w:rPr>
          <w:rFonts w:hint="eastAsia" w:hAnsi="宋体" w:cs="宋体"/>
          <w:color w:val="auto"/>
          <w:sz w:val="21"/>
          <w:szCs w:val="21"/>
          <w:highlight w:val="none"/>
        </w:rPr>
        <w:t>表3.1-2</w:t>
      </w:r>
      <w:r>
        <w:rPr>
          <w:rFonts w:hint="eastAsia" w:hAnsi="宋体" w:cs="宋体"/>
          <w:color w:val="auto"/>
          <w:sz w:val="21"/>
          <w:szCs w:val="21"/>
          <w:highlight w:val="none"/>
          <w:lang w:val="en-US" w:eastAsia="zh-CN"/>
        </w:rPr>
        <w:t xml:space="preserve">   </w:t>
      </w:r>
      <w:r>
        <w:rPr>
          <w:rFonts w:hint="eastAsia" w:ascii="黑体" w:hAnsi="黑体" w:eastAsia="黑体" w:cs="黑体"/>
          <w:color w:val="auto"/>
          <w:sz w:val="21"/>
          <w:szCs w:val="21"/>
          <w:highlight w:val="none"/>
          <w:lang w:val="zh-CN"/>
        </w:rPr>
        <w:t>塔河油田</w:t>
      </w:r>
      <w:r>
        <w:rPr>
          <w:rFonts w:hint="eastAsia" w:ascii="黑体" w:hAnsi="黑体" w:eastAsia="黑体" w:cs="黑体"/>
          <w:color w:val="auto"/>
          <w:sz w:val="21"/>
          <w:szCs w:val="21"/>
          <w:highlight w:val="none"/>
        </w:rPr>
        <w:t>各</w:t>
      </w:r>
      <w:r>
        <w:rPr>
          <w:rFonts w:hint="eastAsia" w:ascii="黑体" w:hAnsi="黑体" w:eastAsia="黑体" w:cs="黑体"/>
          <w:color w:val="auto"/>
          <w:sz w:val="21"/>
          <w:szCs w:val="21"/>
          <w:highlight w:val="none"/>
          <w:lang w:val="zh-CN"/>
        </w:rPr>
        <w:t>区</w:t>
      </w:r>
      <w:r>
        <w:rPr>
          <w:rFonts w:hint="eastAsia" w:ascii="黑体" w:hAnsi="黑体" w:eastAsia="黑体" w:cs="黑体"/>
          <w:color w:val="auto"/>
          <w:sz w:val="21"/>
          <w:szCs w:val="21"/>
          <w:highlight w:val="none"/>
        </w:rPr>
        <w:t>手续</w:t>
      </w:r>
      <w:r>
        <w:rPr>
          <w:rFonts w:hint="eastAsia" w:ascii="黑体" w:hAnsi="黑体" w:eastAsia="黑体" w:cs="黑体"/>
          <w:color w:val="auto"/>
          <w:sz w:val="21"/>
          <w:szCs w:val="21"/>
          <w:highlight w:val="none"/>
          <w:lang w:val="zh-CN"/>
        </w:rPr>
        <w:t>情况一览表</w:t>
      </w:r>
    </w:p>
    <w:tbl>
      <w:tblPr>
        <w:tblStyle w:val="35"/>
        <w:tblW w:w="516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95"/>
        <w:gridCol w:w="1774"/>
        <w:gridCol w:w="147"/>
        <w:gridCol w:w="934"/>
        <w:gridCol w:w="1130"/>
        <w:gridCol w:w="1046"/>
        <w:gridCol w:w="21"/>
        <w:gridCol w:w="950"/>
        <w:gridCol w:w="12"/>
        <w:gridCol w:w="1382"/>
        <w:gridCol w:w="1056"/>
      </w:tblGrid>
      <w:tr w14:paraId="20E80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vMerge w:val="restart"/>
            <w:noWrap w:val="0"/>
            <w:vAlign w:val="center"/>
          </w:tcPr>
          <w:p w14:paraId="081BD334">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序号</w:t>
            </w:r>
          </w:p>
        </w:tc>
        <w:tc>
          <w:tcPr>
            <w:tcW w:w="1014" w:type="pct"/>
            <w:vMerge w:val="restart"/>
            <w:noWrap w:val="0"/>
            <w:vAlign w:val="center"/>
          </w:tcPr>
          <w:p w14:paraId="0DF69B60">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项目名称</w:t>
            </w:r>
          </w:p>
        </w:tc>
        <w:tc>
          <w:tcPr>
            <w:tcW w:w="1873" w:type="pct"/>
            <w:gridSpan w:val="5"/>
            <w:noWrap w:val="0"/>
            <w:vAlign w:val="center"/>
          </w:tcPr>
          <w:p w14:paraId="44DBBF6F">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环评文件</w:t>
            </w:r>
          </w:p>
        </w:tc>
        <w:tc>
          <w:tcPr>
            <w:tcW w:w="1943" w:type="pct"/>
            <w:gridSpan w:val="4"/>
            <w:noWrap w:val="0"/>
            <w:vAlign w:val="center"/>
          </w:tcPr>
          <w:p w14:paraId="1DA9FDD1">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验收文件</w:t>
            </w:r>
          </w:p>
        </w:tc>
      </w:tr>
      <w:tr w14:paraId="26BDA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vMerge w:val="continue"/>
            <w:noWrap w:val="0"/>
            <w:vAlign w:val="center"/>
          </w:tcPr>
          <w:p w14:paraId="560BF505">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p>
        </w:tc>
        <w:tc>
          <w:tcPr>
            <w:tcW w:w="1014" w:type="pct"/>
            <w:vMerge w:val="continue"/>
            <w:noWrap w:val="0"/>
            <w:vAlign w:val="center"/>
          </w:tcPr>
          <w:p w14:paraId="0C58365C">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p>
        </w:tc>
        <w:tc>
          <w:tcPr>
            <w:tcW w:w="617" w:type="pct"/>
            <w:gridSpan w:val="2"/>
            <w:noWrap w:val="0"/>
            <w:vAlign w:val="center"/>
          </w:tcPr>
          <w:p w14:paraId="6726F07C">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审批单位</w:t>
            </w:r>
          </w:p>
        </w:tc>
        <w:tc>
          <w:tcPr>
            <w:tcW w:w="645" w:type="pct"/>
            <w:noWrap w:val="0"/>
            <w:vAlign w:val="center"/>
          </w:tcPr>
          <w:p w14:paraId="534CA627">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批准文号</w:t>
            </w:r>
          </w:p>
        </w:tc>
        <w:tc>
          <w:tcPr>
            <w:tcW w:w="609" w:type="pct"/>
            <w:gridSpan w:val="2"/>
            <w:noWrap w:val="0"/>
            <w:vAlign w:val="center"/>
          </w:tcPr>
          <w:p w14:paraId="76669314">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批准时间</w:t>
            </w:r>
          </w:p>
        </w:tc>
        <w:tc>
          <w:tcPr>
            <w:tcW w:w="549" w:type="pct"/>
            <w:gridSpan w:val="2"/>
            <w:noWrap w:val="0"/>
            <w:vAlign w:val="center"/>
          </w:tcPr>
          <w:p w14:paraId="3E97D3CE">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验收单位</w:t>
            </w:r>
          </w:p>
        </w:tc>
        <w:tc>
          <w:tcPr>
            <w:tcW w:w="789" w:type="pct"/>
            <w:noWrap w:val="0"/>
            <w:vAlign w:val="center"/>
          </w:tcPr>
          <w:p w14:paraId="072A1067">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验收文号</w:t>
            </w:r>
          </w:p>
        </w:tc>
        <w:tc>
          <w:tcPr>
            <w:tcW w:w="603" w:type="pct"/>
            <w:noWrap w:val="0"/>
            <w:vAlign w:val="center"/>
          </w:tcPr>
          <w:p w14:paraId="6E8F83EA">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验收时间</w:t>
            </w:r>
          </w:p>
        </w:tc>
      </w:tr>
      <w:tr w14:paraId="27AC5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11"/>
            <w:noWrap w:val="0"/>
            <w:vAlign w:val="center"/>
          </w:tcPr>
          <w:p w14:paraId="5148FF6C">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塔河油田8区</w:t>
            </w:r>
          </w:p>
        </w:tc>
      </w:tr>
      <w:tr w14:paraId="4B4E2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noWrap w:val="0"/>
            <w:vAlign w:val="center"/>
          </w:tcPr>
          <w:p w14:paraId="2D349C18">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1</w:t>
            </w:r>
          </w:p>
        </w:tc>
        <w:tc>
          <w:tcPr>
            <w:tcW w:w="1098" w:type="pct"/>
            <w:gridSpan w:val="2"/>
            <w:noWrap w:val="0"/>
            <w:vAlign w:val="center"/>
          </w:tcPr>
          <w:p w14:paraId="0040DC70">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新疆塔里木盆地塔河油田8区奥陶系油藏开发建设工程</w:t>
            </w:r>
          </w:p>
        </w:tc>
        <w:tc>
          <w:tcPr>
            <w:tcW w:w="533" w:type="pct"/>
            <w:noWrap w:val="0"/>
            <w:vAlign w:val="center"/>
          </w:tcPr>
          <w:p w14:paraId="530ACDCD">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原自治区环境保护局</w:t>
            </w:r>
          </w:p>
        </w:tc>
        <w:tc>
          <w:tcPr>
            <w:tcW w:w="645" w:type="pct"/>
            <w:noWrap w:val="0"/>
            <w:vAlign w:val="center"/>
          </w:tcPr>
          <w:p w14:paraId="0F054017">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新环自函</w:t>
            </w:r>
            <w:r>
              <w:rPr>
                <w:rFonts w:hint="eastAsia" w:hAnsi="宋体" w:cs="宋体"/>
                <w:color w:val="auto"/>
                <w:spacing w:val="-10"/>
                <w:sz w:val="23"/>
                <w:szCs w:val="23"/>
                <w:highlight w:val="none"/>
                <w:lang w:eastAsia="zh-CN"/>
              </w:rPr>
              <w:t>〔2005〕552号</w:t>
            </w:r>
          </w:p>
        </w:tc>
        <w:tc>
          <w:tcPr>
            <w:tcW w:w="597" w:type="pct"/>
            <w:noWrap w:val="0"/>
            <w:vAlign w:val="center"/>
          </w:tcPr>
          <w:p w14:paraId="5B4AB167">
            <w:pPr>
              <w:keepNext w:val="0"/>
              <w:keepLines w:val="0"/>
              <w:pageBreakBefore w:val="0"/>
              <w:widowControl/>
              <w:kinsoku/>
              <w:wordWrap/>
              <w:overflowPunct/>
              <w:topLinePunct w:val="0"/>
              <w:autoSpaceDE/>
              <w:autoSpaceDN/>
              <w:bidi w:val="0"/>
              <w:adjustRightInd/>
              <w:snapToGrid/>
              <w:spacing w:line="280" w:lineRule="exact"/>
              <w:jc w:val="center"/>
              <w:rPr>
                <w:rFonts w:hAnsi="宋体" w:cs="宋体"/>
                <w:color w:val="auto"/>
                <w:spacing w:val="-10"/>
                <w:sz w:val="23"/>
                <w:szCs w:val="23"/>
                <w:highlight w:val="none"/>
              </w:rPr>
            </w:pPr>
            <w:r>
              <w:rPr>
                <w:rFonts w:hint="eastAsia" w:hAnsi="宋体" w:cs="宋体"/>
                <w:color w:val="auto"/>
                <w:spacing w:val="-10"/>
                <w:sz w:val="23"/>
                <w:szCs w:val="23"/>
                <w:highlight w:val="none"/>
              </w:rPr>
              <w:t>2005年10月</w:t>
            </w:r>
          </w:p>
        </w:tc>
        <w:tc>
          <w:tcPr>
            <w:tcW w:w="555" w:type="pct"/>
            <w:gridSpan w:val="2"/>
            <w:noWrap w:val="0"/>
            <w:vAlign w:val="center"/>
          </w:tcPr>
          <w:p w14:paraId="18CFA058">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自主验收</w:t>
            </w:r>
          </w:p>
        </w:tc>
        <w:tc>
          <w:tcPr>
            <w:tcW w:w="796" w:type="pct"/>
            <w:gridSpan w:val="2"/>
            <w:noWrap w:val="0"/>
            <w:vAlign w:val="center"/>
          </w:tcPr>
          <w:p w14:paraId="4E4E55E7">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w:t>
            </w:r>
          </w:p>
        </w:tc>
        <w:tc>
          <w:tcPr>
            <w:tcW w:w="603" w:type="pct"/>
            <w:noWrap w:val="0"/>
            <w:vAlign w:val="center"/>
          </w:tcPr>
          <w:p w14:paraId="3D72A0FB">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olor w:val="auto"/>
                <w:spacing w:val="-10"/>
                <w:sz w:val="23"/>
                <w:szCs w:val="23"/>
                <w:highlight w:val="none"/>
              </w:rPr>
              <w:t>2021年12月</w:t>
            </w:r>
          </w:p>
        </w:tc>
      </w:tr>
      <w:tr w14:paraId="25B69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42" w:hRule="atLeast"/>
          <w:jc w:val="center"/>
        </w:trPr>
        <w:tc>
          <w:tcPr>
            <w:tcW w:w="168" w:type="pct"/>
            <w:noWrap w:val="0"/>
            <w:vAlign w:val="center"/>
          </w:tcPr>
          <w:p w14:paraId="00E5C0C4">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w:t>
            </w:r>
          </w:p>
        </w:tc>
        <w:tc>
          <w:tcPr>
            <w:tcW w:w="1098" w:type="pct"/>
            <w:gridSpan w:val="2"/>
            <w:noWrap w:val="0"/>
            <w:vAlign w:val="center"/>
          </w:tcPr>
          <w:p w14:paraId="0B54C399">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塔河油田主体区奥陶系报告2017年第一期产能建设项目</w:t>
            </w:r>
          </w:p>
        </w:tc>
        <w:tc>
          <w:tcPr>
            <w:tcW w:w="533" w:type="pct"/>
            <w:noWrap w:val="0"/>
            <w:vAlign w:val="center"/>
          </w:tcPr>
          <w:p w14:paraId="3E71071F">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新疆维吾尔自治区环境保护厅</w:t>
            </w:r>
          </w:p>
        </w:tc>
        <w:tc>
          <w:tcPr>
            <w:tcW w:w="645" w:type="pct"/>
            <w:noWrap w:val="0"/>
            <w:vAlign w:val="center"/>
          </w:tcPr>
          <w:p w14:paraId="14FBC95A">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新环函</w:t>
            </w:r>
            <w:r>
              <w:rPr>
                <w:rFonts w:hint="eastAsia" w:hAnsi="宋体" w:cs="宋体"/>
                <w:color w:val="auto"/>
                <w:spacing w:val="-10"/>
                <w:sz w:val="23"/>
                <w:szCs w:val="23"/>
                <w:highlight w:val="none"/>
                <w:lang w:eastAsia="zh-CN"/>
              </w:rPr>
              <w:t>〔2017〕1974号</w:t>
            </w:r>
          </w:p>
        </w:tc>
        <w:tc>
          <w:tcPr>
            <w:tcW w:w="597" w:type="pct"/>
            <w:noWrap w:val="0"/>
            <w:vAlign w:val="center"/>
          </w:tcPr>
          <w:p w14:paraId="787D4D65">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2017年12月</w:t>
            </w:r>
          </w:p>
        </w:tc>
        <w:tc>
          <w:tcPr>
            <w:tcW w:w="555" w:type="pct"/>
            <w:gridSpan w:val="2"/>
            <w:noWrap w:val="0"/>
            <w:vAlign w:val="center"/>
          </w:tcPr>
          <w:p w14:paraId="53A99B8A">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自主验收</w:t>
            </w:r>
          </w:p>
        </w:tc>
        <w:tc>
          <w:tcPr>
            <w:tcW w:w="796" w:type="pct"/>
            <w:gridSpan w:val="2"/>
            <w:noWrap w:val="0"/>
            <w:vAlign w:val="center"/>
          </w:tcPr>
          <w:p w14:paraId="4D93EDA6">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w:t>
            </w:r>
          </w:p>
        </w:tc>
        <w:tc>
          <w:tcPr>
            <w:tcW w:w="603" w:type="pct"/>
            <w:noWrap w:val="0"/>
            <w:vAlign w:val="center"/>
          </w:tcPr>
          <w:p w14:paraId="6C989C3A">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2020年1月</w:t>
            </w:r>
          </w:p>
        </w:tc>
      </w:tr>
      <w:tr w14:paraId="0CB9D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22" w:hRule="atLeast"/>
          <w:jc w:val="center"/>
        </w:trPr>
        <w:tc>
          <w:tcPr>
            <w:tcW w:w="168" w:type="pct"/>
            <w:noWrap w:val="0"/>
            <w:vAlign w:val="center"/>
          </w:tcPr>
          <w:p w14:paraId="6CB5D951">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3</w:t>
            </w:r>
          </w:p>
        </w:tc>
        <w:tc>
          <w:tcPr>
            <w:tcW w:w="1098" w:type="pct"/>
            <w:gridSpan w:val="2"/>
            <w:noWrap w:val="0"/>
            <w:vAlign w:val="top"/>
          </w:tcPr>
          <w:p w14:paraId="60EECD20">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eastAsia="宋体" w:cs="宋体"/>
                <w:color w:val="auto"/>
                <w:spacing w:val="-10"/>
                <w:sz w:val="23"/>
                <w:szCs w:val="23"/>
                <w:highlight w:val="none"/>
              </w:rPr>
              <w:t>塔河油田</w:t>
            </w:r>
            <w:r>
              <w:rPr>
                <w:rFonts w:hint="eastAsia" w:hAnsi="宋体" w:eastAsia="宋体" w:cs="宋体"/>
                <w:color w:val="auto"/>
                <w:spacing w:val="-10"/>
                <w:sz w:val="23"/>
                <w:szCs w:val="23"/>
                <w:highlight w:val="none"/>
                <w:lang w:val="en-US" w:eastAsia="zh-CN"/>
              </w:rPr>
              <w:t>8</w:t>
            </w:r>
            <w:r>
              <w:rPr>
                <w:rFonts w:hint="eastAsia" w:hAnsi="宋体" w:eastAsia="宋体" w:cs="宋体"/>
                <w:color w:val="auto"/>
                <w:spacing w:val="-10"/>
                <w:sz w:val="23"/>
                <w:szCs w:val="23"/>
                <w:highlight w:val="none"/>
              </w:rPr>
              <w:t>区</w:t>
            </w:r>
            <w:r>
              <w:rPr>
                <w:rFonts w:hint="eastAsia" w:hAnsi="宋体" w:eastAsia="宋体" w:cs="宋体"/>
                <w:color w:val="auto"/>
                <w:spacing w:val="-10"/>
                <w:sz w:val="23"/>
                <w:szCs w:val="23"/>
                <w:highlight w:val="none"/>
                <w:lang w:eastAsia="zh-CN"/>
              </w:rPr>
              <w:t>、</w:t>
            </w:r>
            <w:r>
              <w:rPr>
                <w:rFonts w:hint="eastAsia" w:hAnsi="宋体" w:eastAsia="宋体" w:cs="宋体"/>
                <w:color w:val="auto"/>
                <w:spacing w:val="-10"/>
                <w:sz w:val="23"/>
                <w:szCs w:val="23"/>
                <w:highlight w:val="none"/>
                <w:lang w:val="en-US" w:eastAsia="zh-CN"/>
              </w:rPr>
              <w:t>11区</w:t>
            </w:r>
            <w:r>
              <w:rPr>
                <w:rFonts w:hint="eastAsia" w:hAnsi="宋体" w:eastAsia="宋体" w:cs="宋体"/>
                <w:color w:val="auto"/>
                <w:spacing w:val="-10"/>
                <w:sz w:val="23"/>
                <w:szCs w:val="23"/>
                <w:highlight w:val="none"/>
              </w:rPr>
              <w:t>环境影响后评价报告书</w:t>
            </w:r>
          </w:p>
        </w:tc>
        <w:tc>
          <w:tcPr>
            <w:tcW w:w="3733" w:type="pct"/>
            <w:gridSpan w:val="8"/>
            <w:noWrap w:val="0"/>
            <w:vAlign w:val="top"/>
          </w:tcPr>
          <w:p w14:paraId="1CCDCFCA">
            <w:pPr>
              <w:keepNext w:val="0"/>
              <w:keepLines w:val="0"/>
              <w:pageBreakBefore w:val="0"/>
              <w:widowControl/>
              <w:kinsoku/>
              <w:wordWrap/>
              <w:overflowPunct/>
              <w:topLinePunct w:val="0"/>
              <w:autoSpaceDE/>
              <w:autoSpaceDN/>
              <w:bidi w:val="0"/>
              <w:adjustRightInd/>
              <w:snapToGrid/>
              <w:spacing w:line="280" w:lineRule="exact"/>
              <w:jc w:val="both"/>
              <w:rPr>
                <w:rFonts w:hint="eastAsia" w:hAnsi="宋体" w:cs="宋体"/>
                <w:color w:val="auto"/>
                <w:spacing w:val="-10"/>
                <w:sz w:val="23"/>
                <w:szCs w:val="23"/>
                <w:highlight w:val="none"/>
              </w:rPr>
            </w:pPr>
            <w:r>
              <w:rPr>
                <w:rFonts w:hint="eastAsia" w:hAnsi="宋体" w:eastAsia="宋体" w:cs="宋体"/>
                <w:color w:val="auto"/>
                <w:spacing w:val="-10"/>
                <w:sz w:val="23"/>
                <w:szCs w:val="23"/>
                <w:highlight w:val="none"/>
              </w:rPr>
              <w:t>《关于中国石油化工股份有限公司西北</w:t>
            </w:r>
            <w:r>
              <w:rPr>
                <w:rFonts w:hint="eastAsia" w:hAnsi="宋体" w:cs="宋体"/>
                <w:color w:val="auto"/>
                <w:spacing w:val="-10"/>
                <w:sz w:val="23"/>
                <w:szCs w:val="23"/>
                <w:highlight w:val="none"/>
                <w:lang w:eastAsia="zh-CN"/>
              </w:rPr>
              <w:t>油田</w:t>
            </w:r>
            <w:r>
              <w:rPr>
                <w:rFonts w:hint="eastAsia" w:hAnsi="宋体" w:eastAsia="宋体" w:cs="宋体"/>
                <w:color w:val="auto"/>
                <w:spacing w:val="-10"/>
                <w:sz w:val="23"/>
                <w:szCs w:val="23"/>
                <w:highlight w:val="none"/>
              </w:rPr>
              <w:t>分公司塔河油田</w:t>
            </w:r>
            <w:r>
              <w:rPr>
                <w:rFonts w:hint="eastAsia" w:hAnsi="宋体" w:eastAsia="宋体" w:cs="宋体"/>
                <w:color w:val="auto"/>
                <w:spacing w:val="-10"/>
                <w:sz w:val="23"/>
                <w:szCs w:val="23"/>
                <w:highlight w:val="none"/>
                <w:lang w:val="en-US" w:eastAsia="zh-CN"/>
              </w:rPr>
              <w:t>8</w:t>
            </w:r>
            <w:r>
              <w:rPr>
                <w:rFonts w:hint="eastAsia" w:hAnsi="宋体" w:eastAsia="宋体" w:cs="宋体"/>
                <w:color w:val="auto"/>
                <w:spacing w:val="-10"/>
                <w:sz w:val="23"/>
                <w:szCs w:val="23"/>
                <w:highlight w:val="none"/>
              </w:rPr>
              <w:t>区</w:t>
            </w:r>
            <w:r>
              <w:rPr>
                <w:rFonts w:hint="eastAsia" w:hAnsi="宋体" w:eastAsia="宋体" w:cs="宋体"/>
                <w:color w:val="auto"/>
                <w:spacing w:val="-10"/>
                <w:sz w:val="23"/>
                <w:szCs w:val="23"/>
                <w:highlight w:val="none"/>
                <w:lang w:eastAsia="zh-CN"/>
              </w:rPr>
              <w:t>、</w:t>
            </w:r>
            <w:r>
              <w:rPr>
                <w:rFonts w:hint="eastAsia" w:hAnsi="宋体" w:eastAsia="宋体" w:cs="宋体"/>
                <w:color w:val="auto"/>
                <w:spacing w:val="-10"/>
                <w:sz w:val="23"/>
                <w:szCs w:val="23"/>
                <w:highlight w:val="none"/>
                <w:lang w:val="en-US" w:eastAsia="zh-CN"/>
              </w:rPr>
              <w:t>11区</w:t>
            </w:r>
            <w:r>
              <w:rPr>
                <w:rFonts w:hint="eastAsia" w:hAnsi="宋体" w:eastAsia="宋体" w:cs="宋体"/>
                <w:color w:val="auto"/>
                <w:spacing w:val="-10"/>
                <w:sz w:val="23"/>
                <w:szCs w:val="23"/>
                <w:highlight w:val="none"/>
              </w:rPr>
              <w:t>环境影响后评价报告书备案意见的函》（新环环评函〔2021〕</w:t>
            </w:r>
            <w:r>
              <w:rPr>
                <w:rFonts w:hint="eastAsia" w:hAnsi="宋体" w:eastAsia="宋体" w:cs="宋体"/>
                <w:color w:val="auto"/>
                <w:spacing w:val="-10"/>
                <w:sz w:val="23"/>
                <w:szCs w:val="23"/>
                <w:highlight w:val="none"/>
                <w:lang w:val="en-US" w:eastAsia="zh-CN"/>
              </w:rPr>
              <w:t>161</w:t>
            </w:r>
            <w:r>
              <w:rPr>
                <w:rFonts w:hint="eastAsia" w:hAnsi="宋体" w:eastAsia="宋体" w:cs="宋体"/>
                <w:color w:val="auto"/>
                <w:spacing w:val="-10"/>
                <w:sz w:val="23"/>
                <w:szCs w:val="23"/>
                <w:highlight w:val="none"/>
              </w:rPr>
              <w:t>号），2021年2月25日</w:t>
            </w:r>
          </w:p>
        </w:tc>
      </w:tr>
      <w:tr w14:paraId="5CD5C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11"/>
            <w:noWrap w:val="0"/>
            <w:vAlign w:val="center"/>
          </w:tcPr>
          <w:p w14:paraId="1550D40A">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塔河油田10区</w:t>
            </w:r>
          </w:p>
        </w:tc>
      </w:tr>
      <w:tr w14:paraId="6606F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noWrap w:val="0"/>
            <w:vAlign w:val="center"/>
          </w:tcPr>
          <w:p w14:paraId="2D48FBF3">
            <w:pPr>
              <w:keepNext w:val="0"/>
              <w:keepLines w:val="0"/>
              <w:pageBreakBefore w:val="0"/>
              <w:widowControl/>
              <w:kinsoku/>
              <w:wordWrap/>
              <w:overflowPunct/>
              <w:topLinePunct w:val="0"/>
              <w:autoSpaceDE/>
              <w:autoSpaceDN/>
              <w:bidi w:val="0"/>
              <w:adjustRightInd/>
              <w:snapToGrid/>
              <w:spacing w:line="280" w:lineRule="exact"/>
              <w:jc w:val="center"/>
              <w:rPr>
                <w:rFonts w:hAnsi="宋体" w:cs="宋体"/>
                <w:color w:val="auto"/>
                <w:spacing w:val="-10"/>
                <w:sz w:val="23"/>
                <w:szCs w:val="23"/>
                <w:highlight w:val="none"/>
              </w:rPr>
            </w:pPr>
            <w:r>
              <w:rPr>
                <w:rFonts w:hint="eastAsia" w:hAnsi="宋体" w:cs="宋体"/>
                <w:color w:val="auto"/>
                <w:spacing w:val="-10"/>
                <w:sz w:val="23"/>
                <w:szCs w:val="23"/>
                <w:highlight w:val="none"/>
              </w:rPr>
              <w:t>1</w:t>
            </w:r>
          </w:p>
        </w:tc>
        <w:tc>
          <w:tcPr>
            <w:tcW w:w="1098" w:type="pct"/>
            <w:gridSpan w:val="2"/>
            <w:noWrap w:val="0"/>
            <w:vAlign w:val="center"/>
          </w:tcPr>
          <w:p w14:paraId="22FD1685">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塔河油田10区奥陶系油藏开发建设工程</w:t>
            </w:r>
          </w:p>
        </w:tc>
        <w:tc>
          <w:tcPr>
            <w:tcW w:w="533" w:type="pct"/>
            <w:noWrap w:val="0"/>
            <w:vAlign w:val="center"/>
          </w:tcPr>
          <w:p w14:paraId="05108855">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原自治区环境保护厅</w:t>
            </w:r>
          </w:p>
        </w:tc>
        <w:tc>
          <w:tcPr>
            <w:tcW w:w="645" w:type="pct"/>
            <w:noWrap w:val="0"/>
            <w:vAlign w:val="center"/>
          </w:tcPr>
          <w:p w14:paraId="50ABD967">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新环自函</w:t>
            </w:r>
            <w:r>
              <w:rPr>
                <w:rFonts w:hint="eastAsia" w:hAnsi="宋体" w:cs="宋体"/>
                <w:color w:val="auto"/>
                <w:spacing w:val="-10"/>
                <w:sz w:val="23"/>
                <w:szCs w:val="23"/>
                <w:highlight w:val="none"/>
                <w:lang w:eastAsia="zh-CN"/>
              </w:rPr>
              <w:t>〔2006〕134号</w:t>
            </w:r>
          </w:p>
        </w:tc>
        <w:tc>
          <w:tcPr>
            <w:tcW w:w="597" w:type="pct"/>
            <w:noWrap w:val="0"/>
            <w:vAlign w:val="center"/>
          </w:tcPr>
          <w:p w14:paraId="72A988BF">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2006.4.4</w:t>
            </w:r>
          </w:p>
        </w:tc>
        <w:tc>
          <w:tcPr>
            <w:tcW w:w="555" w:type="pct"/>
            <w:gridSpan w:val="2"/>
            <w:noWrap w:val="0"/>
            <w:vAlign w:val="center"/>
          </w:tcPr>
          <w:p w14:paraId="76F7B30E">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原自治区环保厅</w:t>
            </w:r>
          </w:p>
        </w:tc>
        <w:tc>
          <w:tcPr>
            <w:tcW w:w="796" w:type="pct"/>
            <w:gridSpan w:val="2"/>
            <w:noWrap w:val="0"/>
            <w:vAlign w:val="center"/>
          </w:tcPr>
          <w:p w14:paraId="6CE289B0">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新环评价函</w:t>
            </w:r>
            <w:r>
              <w:rPr>
                <w:rFonts w:hint="eastAsia" w:hAnsi="宋体" w:cs="宋体"/>
                <w:color w:val="auto"/>
                <w:spacing w:val="-10"/>
                <w:sz w:val="23"/>
                <w:szCs w:val="23"/>
                <w:highlight w:val="none"/>
                <w:lang w:eastAsia="zh-CN"/>
              </w:rPr>
              <w:t>〔2010〕586号</w:t>
            </w:r>
          </w:p>
        </w:tc>
        <w:tc>
          <w:tcPr>
            <w:tcW w:w="603" w:type="pct"/>
            <w:noWrap w:val="0"/>
            <w:vAlign w:val="center"/>
          </w:tcPr>
          <w:p w14:paraId="0CD26521">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2010.9</w:t>
            </w:r>
          </w:p>
        </w:tc>
      </w:tr>
      <w:tr w14:paraId="706EE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noWrap w:val="0"/>
            <w:vAlign w:val="center"/>
          </w:tcPr>
          <w:p w14:paraId="699DC2F4">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w:t>
            </w:r>
          </w:p>
        </w:tc>
        <w:tc>
          <w:tcPr>
            <w:tcW w:w="1098" w:type="pct"/>
            <w:gridSpan w:val="2"/>
            <w:noWrap w:val="0"/>
            <w:vAlign w:val="center"/>
          </w:tcPr>
          <w:p w14:paraId="1A1C8437">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塔河油田10区奥陶系油藏低品位储量第三期产能建设</w:t>
            </w:r>
          </w:p>
          <w:p w14:paraId="006710A1">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项目</w:t>
            </w:r>
          </w:p>
        </w:tc>
        <w:tc>
          <w:tcPr>
            <w:tcW w:w="533" w:type="pct"/>
            <w:noWrap w:val="0"/>
            <w:vAlign w:val="center"/>
          </w:tcPr>
          <w:p w14:paraId="3F14AB52">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原自治区环境保护厅</w:t>
            </w:r>
          </w:p>
        </w:tc>
        <w:tc>
          <w:tcPr>
            <w:tcW w:w="645" w:type="pct"/>
            <w:noWrap w:val="0"/>
            <w:vAlign w:val="center"/>
          </w:tcPr>
          <w:p w14:paraId="0127CD72">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新环评价函</w:t>
            </w:r>
            <w:r>
              <w:rPr>
                <w:rFonts w:hint="eastAsia" w:hAnsi="宋体" w:cs="宋体"/>
                <w:color w:val="auto"/>
                <w:spacing w:val="-10"/>
                <w:sz w:val="23"/>
                <w:szCs w:val="23"/>
                <w:highlight w:val="none"/>
                <w:lang w:eastAsia="zh-CN"/>
              </w:rPr>
              <w:t>〔2013〕491号</w:t>
            </w:r>
          </w:p>
        </w:tc>
        <w:tc>
          <w:tcPr>
            <w:tcW w:w="597" w:type="pct"/>
            <w:noWrap w:val="0"/>
            <w:vAlign w:val="center"/>
          </w:tcPr>
          <w:p w14:paraId="79E2DDA2">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2013.6.14</w:t>
            </w:r>
          </w:p>
        </w:tc>
        <w:tc>
          <w:tcPr>
            <w:tcW w:w="555" w:type="pct"/>
            <w:gridSpan w:val="2"/>
            <w:noWrap w:val="0"/>
            <w:vAlign w:val="center"/>
          </w:tcPr>
          <w:p w14:paraId="0DBCAAC1">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eastAsia="宋体" w:cs="宋体"/>
                <w:color w:val="auto"/>
                <w:spacing w:val="-10"/>
                <w:sz w:val="23"/>
                <w:szCs w:val="23"/>
                <w:highlight w:val="none"/>
                <w:lang w:eastAsia="zh-CN"/>
              </w:rPr>
            </w:pPr>
            <w:r>
              <w:rPr>
                <w:rFonts w:hint="eastAsia" w:hAnsi="宋体" w:cs="宋体"/>
                <w:color w:val="auto"/>
                <w:spacing w:val="-10"/>
                <w:sz w:val="23"/>
                <w:szCs w:val="23"/>
                <w:highlight w:val="none"/>
              </w:rPr>
              <w:t>原自治区环境保护厅</w:t>
            </w:r>
          </w:p>
        </w:tc>
        <w:tc>
          <w:tcPr>
            <w:tcW w:w="796" w:type="pct"/>
            <w:gridSpan w:val="2"/>
            <w:noWrap w:val="0"/>
            <w:vAlign w:val="center"/>
          </w:tcPr>
          <w:p w14:paraId="15E20121">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新环函</w:t>
            </w:r>
            <w:r>
              <w:rPr>
                <w:rFonts w:hint="eastAsia" w:hAnsi="宋体" w:cs="宋体"/>
                <w:color w:val="auto"/>
                <w:spacing w:val="-10"/>
                <w:sz w:val="23"/>
                <w:szCs w:val="23"/>
                <w:highlight w:val="none"/>
                <w:lang w:eastAsia="zh-CN"/>
              </w:rPr>
              <w:t>〔2015〕1413号</w:t>
            </w:r>
          </w:p>
        </w:tc>
        <w:tc>
          <w:tcPr>
            <w:tcW w:w="603" w:type="pct"/>
            <w:noWrap w:val="0"/>
            <w:vAlign w:val="center"/>
          </w:tcPr>
          <w:p w14:paraId="4767F988">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2015.12.23</w:t>
            </w:r>
          </w:p>
        </w:tc>
      </w:tr>
      <w:tr w14:paraId="6777E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shd w:val="clear" w:color="auto" w:fill="auto"/>
            <w:noWrap w:val="0"/>
            <w:vAlign w:val="center"/>
          </w:tcPr>
          <w:p w14:paraId="1124A4EA">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宋体" w:eastAsia="宋体" w:cs="宋体"/>
                <w:color w:val="auto"/>
                <w:spacing w:val="-10"/>
                <w:sz w:val="23"/>
                <w:szCs w:val="23"/>
                <w:highlight w:val="none"/>
                <w:lang w:val="en-US" w:eastAsia="zh-CN" w:bidi="ar-SA"/>
              </w:rPr>
            </w:pPr>
            <w:r>
              <w:rPr>
                <w:rFonts w:hint="eastAsia" w:hAnsi="宋体" w:cs="宋体"/>
                <w:color w:val="auto"/>
                <w:spacing w:val="-10"/>
                <w:sz w:val="23"/>
                <w:szCs w:val="23"/>
                <w:highlight w:val="none"/>
              </w:rPr>
              <w:t>3</w:t>
            </w:r>
          </w:p>
        </w:tc>
        <w:tc>
          <w:tcPr>
            <w:tcW w:w="1098" w:type="pct"/>
            <w:gridSpan w:val="2"/>
            <w:noWrap w:val="0"/>
            <w:vAlign w:val="center"/>
          </w:tcPr>
          <w:p w14:paraId="2B45FAB7">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塔河油田10区奥陶系油藏低品位储量第四期产能建设项目</w:t>
            </w:r>
          </w:p>
        </w:tc>
        <w:tc>
          <w:tcPr>
            <w:tcW w:w="533" w:type="pct"/>
            <w:noWrap w:val="0"/>
            <w:vAlign w:val="center"/>
          </w:tcPr>
          <w:p w14:paraId="58837C9C">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原自治区环境保护厅</w:t>
            </w:r>
          </w:p>
        </w:tc>
        <w:tc>
          <w:tcPr>
            <w:tcW w:w="645" w:type="pct"/>
            <w:noWrap w:val="0"/>
            <w:vAlign w:val="center"/>
          </w:tcPr>
          <w:p w14:paraId="5770C460">
            <w:pPr>
              <w:keepNext w:val="0"/>
              <w:keepLines w:val="0"/>
              <w:pageBreakBefore w:val="0"/>
              <w:widowControl/>
              <w:kinsoku/>
              <w:wordWrap/>
              <w:overflowPunct/>
              <w:topLinePunct w:val="0"/>
              <w:autoSpaceDE/>
              <w:autoSpaceDN/>
              <w:bidi w:val="0"/>
              <w:adjustRightInd/>
              <w:snapToGrid/>
              <w:spacing w:line="280" w:lineRule="exact"/>
              <w:jc w:val="center"/>
              <w:rPr>
                <w:rFonts w:hint="default"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新环评价函〔2013〕490号</w:t>
            </w:r>
          </w:p>
        </w:tc>
        <w:tc>
          <w:tcPr>
            <w:tcW w:w="597" w:type="pct"/>
            <w:noWrap w:val="0"/>
            <w:vAlign w:val="center"/>
          </w:tcPr>
          <w:p w14:paraId="6015E5F1">
            <w:pPr>
              <w:keepNext w:val="0"/>
              <w:keepLines w:val="0"/>
              <w:pageBreakBefore w:val="0"/>
              <w:widowControl/>
              <w:kinsoku/>
              <w:wordWrap/>
              <w:overflowPunct/>
              <w:topLinePunct w:val="0"/>
              <w:autoSpaceDE/>
              <w:autoSpaceDN/>
              <w:bidi w:val="0"/>
              <w:adjustRightInd/>
              <w:snapToGrid/>
              <w:spacing w:line="280" w:lineRule="exact"/>
              <w:jc w:val="center"/>
              <w:rPr>
                <w:rFonts w:hint="default"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2013.6.14</w:t>
            </w:r>
          </w:p>
        </w:tc>
        <w:tc>
          <w:tcPr>
            <w:tcW w:w="555" w:type="pct"/>
            <w:gridSpan w:val="2"/>
            <w:noWrap w:val="0"/>
            <w:vAlign w:val="center"/>
          </w:tcPr>
          <w:p w14:paraId="2FF6586B">
            <w:pPr>
              <w:keepNext w:val="0"/>
              <w:keepLines w:val="0"/>
              <w:pageBreakBefore w:val="0"/>
              <w:widowControl/>
              <w:kinsoku/>
              <w:wordWrap/>
              <w:overflowPunct/>
              <w:topLinePunct w:val="0"/>
              <w:autoSpaceDE/>
              <w:autoSpaceDN/>
              <w:bidi w:val="0"/>
              <w:adjustRightInd/>
              <w:snapToGrid/>
              <w:spacing w:line="280" w:lineRule="exact"/>
              <w:jc w:val="center"/>
              <w:rPr>
                <w:rFonts w:hint="default"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自主验收</w:t>
            </w:r>
          </w:p>
        </w:tc>
        <w:tc>
          <w:tcPr>
            <w:tcW w:w="796" w:type="pct"/>
            <w:gridSpan w:val="2"/>
            <w:noWrap w:val="0"/>
            <w:vAlign w:val="center"/>
          </w:tcPr>
          <w:p w14:paraId="0602A06B">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rPr>
              <w:t>--</w:t>
            </w:r>
          </w:p>
        </w:tc>
        <w:tc>
          <w:tcPr>
            <w:tcW w:w="603" w:type="pct"/>
            <w:noWrap w:val="0"/>
            <w:vAlign w:val="center"/>
          </w:tcPr>
          <w:p w14:paraId="1F48DADE">
            <w:pPr>
              <w:keepNext w:val="0"/>
              <w:keepLines w:val="0"/>
              <w:pageBreakBefore w:val="0"/>
              <w:widowControl/>
              <w:kinsoku/>
              <w:wordWrap/>
              <w:overflowPunct/>
              <w:topLinePunct w:val="0"/>
              <w:autoSpaceDE/>
              <w:autoSpaceDN/>
              <w:bidi w:val="0"/>
              <w:adjustRightInd/>
              <w:snapToGrid/>
              <w:spacing w:line="280" w:lineRule="exact"/>
              <w:jc w:val="center"/>
              <w:rPr>
                <w:rFonts w:hint="default"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2021.11.16</w:t>
            </w:r>
          </w:p>
        </w:tc>
      </w:tr>
      <w:tr w14:paraId="12D50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shd w:val="clear" w:color="auto" w:fill="auto"/>
            <w:noWrap w:val="0"/>
            <w:vAlign w:val="center"/>
          </w:tcPr>
          <w:p w14:paraId="5D046AD5">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宋体" w:eastAsia="宋体" w:cs="宋体"/>
                <w:color w:val="auto"/>
                <w:spacing w:val="-10"/>
                <w:sz w:val="23"/>
                <w:szCs w:val="23"/>
                <w:highlight w:val="none"/>
                <w:lang w:val="en-US" w:eastAsia="zh-CN" w:bidi="ar-SA"/>
              </w:rPr>
            </w:pPr>
            <w:r>
              <w:rPr>
                <w:rFonts w:hint="eastAsia" w:hAnsi="宋体" w:cs="宋体"/>
                <w:color w:val="auto"/>
                <w:spacing w:val="-10"/>
                <w:sz w:val="23"/>
                <w:szCs w:val="23"/>
                <w:highlight w:val="none"/>
              </w:rPr>
              <w:t>4</w:t>
            </w:r>
          </w:p>
        </w:tc>
        <w:tc>
          <w:tcPr>
            <w:tcW w:w="1098" w:type="pct"/>
            <w:gridSpan w:val="2"/>
            <w:noWrap w:val="0"/>
            <w:vAlign w:val="center"/>
          </w:tcPr>
          <w:p w14:paraId="7C467986">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塔河油田10区奥陶系油藏第六期产能建设项目</w:t>
            </w:r>
          </w:p>
        </w:tc>
        <w:tc>
          <w:tcPr>
            <w:tcW w:w="533" w:type="pct"/>
            <w:noWrap w:val="0"/>
            <w:vAlign w:val="center"/>
          </w:tcPr>
          <w:p w14:paraId="066F1AFF">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原自治区环境保护厅</w:t>
            </w:r>
          </w:p>
        </w:tc>
        <w:tc>
          <w:tcPr>
            <w:tcW w:w="645" w:type="pct"/>
            <w:noWrap w:val="0"/>
            <w:vAlign w:val="center"/>
          </w:tcPr>
          <w:p w14:paraId="7F67716D">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新环函</w:t>
            </w:r>
            <w:r>
              <w:rPr>
                <w:rFonts w:hint="eastAsia" w:hAnsi="宋体" w:cs="宋体"/>
                <w:color w:val="auto"/>
                <w:spacing w:val="-10"/>
                <w:sz w:val="23"/>
                <w:szCs w:val="23"/>
                <w:highlight w:val="none"/>
                <w:lang w:eastAsia="zh-CN"/>
              </w:rPr>
              <w:t>〔2015〕418号</w:t>
            </w:r>
          </w:p>
        </w:tc>
        <w:tc>
          <w:tcPr>
            <w:tcW w:w="597" w:type="pct"/>
            <w:noWrap w:val="0"/>
            <w:vAlign w:val="center"/>
          </w:tcPr>
          <w:p w14:paraId="736CE27D">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2015.4.24</w:t>
            </w:r>
          </w:p>
        </w:tc>
        <w:tc>
          <w:tcPr>
            <w:tcW w:w="555" w:type="pct"/>
            <w:gridSpan w:val="2"/>
            <w:noWrap w:val="0"/>
            <w:vAlign w:val="center"/>
          </w:tcPr>
          <w:p w14:paraId="3F1E0591">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自主验收</w:t>
            </w:r>
          </w:p>
        </w:tc>
        <w:tc>
          <w:tcPr>
            <w:tcW w:w="796" w:type="pct"/>
            <w:gridSpan w:val="2"/>
            <w:noWrap w:val="0"/>
            <w:vAlign w:val="center"/>
          </w:tcPr>
          <w:p w14:paraId="6687B099">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w:t>
            </w:r>
          </w:p>
        </w:tc>
        <w:tc>
          <w:tcPr>
            <w:tcW w:w="603" w:type="pct"/>
            <w:noWrap w:val="0"/>
            <w:vAlign w:val="center"/>
          </w:tcPr>
          <w:p w14:paraId="062E2245">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2019.9.4</w:t>
            </w:r>
          </w:p>
        </w:tc>
      </w:tr>
      <w:tr w14:paraId="594C2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shd w:val="clear" w:color="auto" w:fill="auto"/>
            <w:noWrap w:val="0"/>
            <w:vAlign w:val="center"/>
          </w:tcPr>
          <w:p w14:paraId="5CBE2FD2">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宋体" w:eastAsia="宋体" w:cs="宋体"/>
                <w:color w:val="auto"/>
                <w:spacing w:val="-10"/>
                <w:sz w:val="23"/>
                <w:szCs w:val="23"/>
                <w:highlight w:val="none"/>
                <w:lang w:val="en-US" w:eastAsia="zh-CN" w:bidi="ar-SA"/>
              </w:rPr>
            </w:pPr>
            <w:r>
              <w:rPr>
                <w:rFonts w:hint="eastAsia" w:hAnsi="宋体" w:cs="宋体"/>
                <w:color w:val="auto"/>
                <w:spacing w:val="-10"/>
                <w:sz w:val="23"/>
                <w:szCs w:val="23"/>
                <w:highlight w:val="none"/>
                <w:lang w:val="en-US" w:eastAsia="zh-CN"/>
              </w:rPr>
              <w:t>5</w:t>
            </w:r>
          </w:p>
        </w:tc>
        <w:tc>
          <w:tcPr>
            <w:tcW w:w="1098" w:type="pct"/>
            <w:gridSpan w:val="2"/>
            <w:noWrap w:val="0"/>
            <w:vAlign w:val="center"/>
          </w:tcPr>
          <w:p w14:paraId="75C19C78">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塔河油田10区奥陶系油藏2021年第一期产能建设项目</w:t>
            </w:r>
          </w:p>
        </w:tc>
        <w:tc>
          <w:tcPr>
            <w:tcW w:w="533" w:type="pct"/>
            <w:noWrap w:val="0"/>
            <w:vAlign w:val="center"/>
          </w:tcPr>
          <w:p w14:paraId="70F96094">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阿克苏地区生态环境局</w:t>
            </w:r>
          </w:p>
        </w:tc>
        <w:tc>
          <w:tcPr>
            <w:tcW w:w="645" w:type="pct"/>
            <w:noWrap w:val="0"/>
            <w:vAlign w:val="center"/>
          </w:tcPr>
          <w:p w14:paraId="5CFE72A4">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阿地环函字</w:t>
            </w:r>
            <w:r>
              <w:rPr>
                <w:rFonts w:hint="eastAsia" w:hAnsi="宋体" w:cs="宋体"/>
                <w:color w:val="auto"/>
                <w:spacing w:val="-10"/>
                <w:sz w:val="23"/>
                <w:szCs w:val="23"/>
                <w:highlight w:val="none"/>
                <w:lang w:eastAsia="zh-CN"/>
              </w:rPr>
              <w:t>〔2021〕315号</w:t>
            </w:r>
          </w:p>
        </w:tc>
        <w:tc>
          <w:tcPr>
            <w:tcW w:w="597" w:type="pct"/>
            <w:noWrap w:val="0"/>
            <w:vAlign w:val="center"/>
          </w:tcPr>
          <w:p w14:paraId="60DDCE40">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olor w:val="auto"/>
                <w:spacing w:val="-10"/>
                <w:sz w:val="23"/>
                <w:szCs w:val="23"/>
                <w:highlight w:val="none"/>
              </w:rPr>
            </w:pPr>
            <w:r>
              <w:rPr>
                <w:rFonts w:hint="eastAsia" w:hAnsi="宋体"/>
                <w:color w:val="auto"/>
                <w:spacing w:val="-10"/>
                <w:sz w:val="23"/>
                <w:szCs w:val="23"/>
                <w:highlight w:val="none"/>
              </w:rPr>
              <w:t>2021.7.29</w:t>
            </w:r>
          </w:p>
        </w:tc>
        <w:tc>
          <w:tcPr>
            <w:tcW w:w="555" w:type="pct"/>
            <w:gridSpan w:val="2"/>
            <w:noWrap w:val="0"/>
            <w:vAlign w:val="center"/>
          </w:tcPr>
          <w:p w14:paraId="2FAD5B30">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s="宋体"/>
                <w:color w:val="auto"/>
                <w:spacing w:val="-10"/>
                <w:sz w:val="23"/>
                <w:szCs w:val="23"/>
                <w:highlight w:val="none"/>
              </w:rPr>
            </w:pPr>
            <w:r>
              <w:rPr>
                <w:rFonts w:hint="eastAsia" w:hAnsi="宋体"/>
                <w:color w:val="auto"/>
                <w:spacing w:val="-10"/>
                <w:sz w:val="23"/>
                <w:szCs w:val="23"/>
                <w:highlight w:val="none"/>
              </w:rPr>
              <w:t>自主验收</w:t>
            </w:r>
          </w:p>
        </w:tc>
        <w:tc>
          <w:tcPr>
            <w:tcW w:w="796" w:type="pct"/>
            <w:gridSpan w:val="2"/>
            <w:noWrap w:val="0"/>
            <w:vAlign w:val="center"/>
          </w:tcPr>
          <w:p w14:paraId="09CDE2C3">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olor w:val="auto"/>
                <w:spacing w:val="-10"/>
                <w:sz w:val="23"/>
                <w:szCs w:val="23"/>
                <w:highlight w:val="none"/>
              </w:rPr>
            </w:pPr>
            <w:r>
              <w:rPr>
                <w:rFonts w:hint="eastAsia" w:hAnsi="宋体" w:cs="宋体"/>
                <w:color w:val="auto"/>
                <w:spacing w:val="-10"/>
                <w:sz w:val="23"/>
                <w:szCs w:val="23"/>
                <w:highlight w:val="none"/>
              </w:rPr>
              <w:t>--</w:t>
            </w:r>
          </w:p>
        </w:tc>
        <w:tc>
          <w:tcPr>
            <w:tcW w:w="603" w:type="pct"/>
            <w:noWrap w:val="0"/>
            <w:vAlign w:val="center"/>
          </w:tcPr>
          <w:p w14:paraId="3D463B30">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color w:val="auto"/>
                <w:spacing w:val="-10"/>
                <w:sz w:val="23"/>
                <w:szCs w:val="23"/>
                <w:highlight w:val="none"/>
              </w:rPr>
            </w:pPr>
            <w:r>
              <w:rPr>
                <w:rFonts w:hint="eastAsia" w:hAnsi="宋体"/>
                <w:color w:val="auto"/>
                <w:spacing w:val="-10"/>
                <w:sz w:val="23"/>
                <w:szCs w:val="23"/>
                <w:highlight w:val="none"/>
              </w:rPr>
              <w:t>2022.11.15</w:t>
            </w:r>
          </w:p>
        </w:tc>
      </w:tr>
      <w:tr w14:paraId="6A528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 w:type="pct"/>
            <w:noWrap w:val="0"/>
            <w:vAlign w:val="center"/>
          </w:tcPr>
          <w:p w14:paraId="55096915">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6</w:t>
            </w:r>
          </w:p>
        </w:tc>
        <w:tc>
          <w:tcPr>
            <w:tcW w:w="1098" w:type="pct"/>
            <w:gridSpan w:val="2"/>
            <w:noWrap w:val="0"/>
            <w:vAlign w:val="top"/>
          </w:tcPr>
          <w:p w14:paraId="010B0066">
            <w:pPr>
              <w:keepNext w:val="0"/>
              <w:keepLines w:val="0"/>
              <w:pageBreakBefore w:val="0"/>
              <w:widowControl/>
              <w:kinsoku/>
              <w:wordWrap/>
              <w:overflowPunct/>
              <w:topLinePunct w:val="0"/>
              <w:autoSpaceDE/>
              <w:autoSpaceDN/>
              <w:bidi w:val="0"/>
              <w:adjustRightInd/>
              <w:snapToGrid/>
              <w:spacing w:line="280" w:lineRule="exact"/>
              <w:jc w:val="center"/>
              <w:rPr>
                <w:rFonts w:hint="eastAsia" w:hAnsi="宋体" w:eastAsia="宋体" w:cs="宋体"/>
                <w:color w:val="auto"/>
                <w:spacing w:val="-10"/>
                <w:sz w:val="23"/>
                <w:szCs w:val="23"/>
                <w:highlight w:val="none"/>
              </w:rPr>
            </w:pPr>
            <w:r>
              <w:rPr>
                <w:rFonts w:hint="eastAsia" w:hAnsi="宋体" w:eastAsia="宋体" w:cs="宋体"/>
                <w:color w:val="auto"/>
                <w:spacing w:val="-10"/>
                <w:sz w:val="23"/>
                <w:szCs w:val="23"/>
                <w:highlight w:val="none"/>
              </w:rPr>
              <w:t>塔河油田10区环境影响后评价报告书</w:t>
            </w:r>
          </w:p>
        </w:tc>
        <w:tc>
          <w:tcPr>
            <w:tcW w:w="3733" w:type="pct"/>
            <w:gridSpan w:val="8"/>
            <w:noWrap w:val="0"/>
            <w:vAlign w:val="top"/>
          </w:tcPr>
          <w:p w14:paraId="568ABC1B">
            <w:pPr>
              <w:keepNext w:val="0"/>
              <w:keepLines w:val="0"/>
              <w:pageBreakBefore w:val="0"/>
              <w:widowControl/>
              <w:kinsoku/>
              <w:wordWrap/>
              <w:overflowPunct/>
              <w:topLinePunct w:val="0"/>
              <w:autoSpaceDE/>
              <w:autoSpaceDN/>
              <w:bidi w:val="0"/>
              <w:adjustRightInd/>
              <w:snapToGrid/>
              <w:spacing w:line="280" w:lineRule="exact"/>
              <w:jc w:val="both"/>
              <w:rPr>
                <w:rFonts w:hint="eastAsia" w:hAnsi="宋体" w:eastAsia="宋体" w:cs="宋体"/>
                <w:color w:val="auto"/>
                <w:spacing w:val="-10"/>
                <w:sz w:val="23"/>
                <w:szCs w:val="23"/>
                <w:highlight w:val="none"/>
              </w:rPr>
            </w:pPr>
            <w:r>
              <w:rPr>
                <w:rFonts w:hint="eastAsia" w:hAnsi="宋体" w:eastAsia="宋体" w:cs="宋体"/>
                <w:color w:val="auto"/>
                <w:spacing w:val="-10"/>
                <w:sz w:val="23"/>
                <w:szCs w:val="23"/>
                <w:highlight w:val="none"/>
              </w:rPr>
              <w:t>《关于中国石油化工股份有限公司西北</w:t>
            </w:r>
            <w:r>
              <w:rPr>
                <w:rFonts w:hint="eastAsia" w:hAnsi="宋体" w:cs="宋体"/>
                <w:color w:val="auto"/>
                <w:spacing w:val="-10"/>
                <w:sz w:val="23"/>
                <w:szCs w:val="23"/>
                <w:highlight w:val="none"/>
                <w:lang w:eastAsia="zh-CN"/>
              </w:rPr>
              <w:t>油田</w:t>
            </w:r>
            <w:r>
              <w:rPr>
                <w:rFonts w:hint="eastAsia" w:hAnsi="宋体" w:eastAsia="宋体" w:cs="宋体"/>
                <w:color w:val="auto"/>
                <w:spacing w:val="-10"/>
                <w:sz w:val="23"/>
                <w:szCs w:val="23"/>
                <w:highlight w:val="none"/>
              </w:rPr>
              <w:t>分公司塔河油田10区环境影响后评价报告书备案意见的函》（新环环评函〔2021〕159号），2021年2月25日</w:t>
            </w:r>
          </w:p>
        </w:tc>
      </w:tr>
    </w:tbl>
    <w:p w14:paraId="0E637490">
      <w:pPr>
        <w:spacing w:before="78" w:line="229" w:lineRule="auto"/>
        <w:ind w:left="573"/>
        <w:jc w:val="center"/>
        <w:rPr>
          <w:rFonts w:hint="default" w:ascii="Times New Roman" w:hAnsi="Times New Roman" w:eastAsia="黑体" w:cs="Times New Roman"/>
          <w:color w:val="auto"/>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bidi="ar-SA"/>
        </w:rPr>
        <w:t>表3.1-2本项目相关</w:t>
      </w:r>
      <w:r>
        <w:rPr>
          <w:rFonts w:hint="eastAsia" w:eastAsia="黑体" w:cs="Times New Roman"/>
          <w:color w:val="auto"/>
          <w:sz w:val="21"/>
          <w:szCs w:val="21"/>
          <w:highlight w:val="none"/>
          <w:lang w:val="en-US" w:eastAsia="zh-CN" w:bidi="ar-SA"/>
        </w:rPr>
        <w:t>依托站场</w:t>
      </w:r>
      <w:r>
        <w:rPr>
          <w:rFonts w:hint="default" w:ascii="Times New Roman" w:hAnsi="Times New Roman" w:eastAsia="黑体" w:cs="Times New Roman"/>
          <w:color w:val="auto"/>
          <w:sz w:val="21"/>
          <w:szCs w:val="21"/>
          <w:highlight w:val="none"/>
          <w:lang w:val="en-US" w:eastAsia="zh-CN" w:bidi="ar-SA"/>
        </w:rPr>
        <w:t>“三同时”执行情况表</w:t>
      </w:r>
    </w:p>
    <w:tbl>
      <w:tblPr>
        <w:tblStyle w:val="60"/>
        <w:tblW w:w="53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2"/>
        <w:gridCol w:w="553"/>
        <w:gridCol w:w="1744"/>
        <w:gridCol w:w="1217"/>
        <w:gridCol w:w="950"/>
        <w:gridCol w:w="922"/>
        <w:gridCol w:w="954"/>
        <w:gridCol w:w="1078"/>
        <w:gridCol w:w="996"/>
      </w:tblGrid>
      <w:tr w14:paraId="5D236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291" w:type="pct"/>
            <w:vMerge w:val="restart"/>
            <w:tcBorders>
              <w:top w:val="single" w:color="000000" w:sz="6" w:space="0"/>
              <w:bottom w:val="nil"/>
            </w:tcBorders>
            <w:vAlign w:val="center"/>
          </w:tcPr>
          <w:p w14:paraId="7D45B026">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pacing w:val="-3"/>
                <w:sz w:val="21"/>
                <w:szCs w:val="21"/>
                <w:highlight w:val="none"/>
                <w:lang w:val="en-US" w:eastAsia="zh-CN"/>
              </w:rPr>
              <w:t>区块</w:t>
            </w:r>
          </w:p>
        </w:tc>
        <w:tc>
          <w:tcPr>
            <w:tcW w:w="309" w:type="pct"/>
            <w:vMerge w:val="restart"/>
            <w:tcBorders>
              <w:top w:val="single" w:color="000000" w:sz="6" w:space="0"/>
            </w:tcBorders>
            <w:vAlign w:val="center"/>
          </w:tcPr>
          <w:p w14:paraId="6F832180">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工程</w:t>
            </w:r>
          </w:p>
          <w:p w14:paraId="6EB24D35">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lang w:val="en-US" w:eastAsia="zh-CN"/>
              </w:rPr>
              <w:t>名称</w:t>
            </w:r>
          </w:p>
        </w:tc>
        <w:tc>
          <w:tcPr>
            <w:tcW w:w="975" w:type="pct"/>
            <w:vMerge w:val="restart"/>
            <w:tcBorders>
              <w:top w:val="single" w:color="000000" w:sz="6" w:space="0"/>
              <w:bottom w:val="nil"/>
            </w:tcBorders>
            <w:vAlign w:val="center"/>
          </w:tcPr>
          <w:p w14:paraId="79241F15">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项目名称</w:t>
            </w:r>
          </w:p>
        </w:tc>
        <w:tc>
          <w:tcPr>
            <w:tcW w:w="1728" w:type="pct"/>
            <w:gridSpan w:val="3"/>
            <w:tcBorders>
              <w:top w:val="single" w:color="000000" w:sz="6" w:space="0"/>
            </w:tcBorders>
            <w:vAlign w:val="center"/>
          </w:tcPr>
          <w:p w14:paraId="2E359BC0">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环评文件</w:t>
            </w:r>
          </w:p>
        </w:tc>
        <w:tc>
          <w:tcPr>
            <w:tcW w:w="1694" w:type="pct"/>
            <w:gridSpan w:val="3"/>
            <w:tcBorders>
              <w:top w:val="single" w:color="000000" w:sz="6" w:space="0"/>
              <w:right w:val="single" w:color="000000" w:sz="6" w:space="0"/>
            </w:tcBorders>
            <w:vAlign w:val="center"/>
          </w:tcPr>
          <w:p w14:paraId="458103CB">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验收文件</w:t>
            </w:r>
          </w:p>
        </w:tc>
      </w:tr>
      <w:tr w14:paraId="788B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91" w:type="pct"/>
            <w:vMerge w:val="continue"/>
            <w:tcBorders>
              <w:top w:val="nil"/>
              <w:bottom w:val="single" w:color="auto" w:sz="4" w:space="0"/>
            </w:tcBorders>
            <w:vAlign w:val="center"/>
          </w:tcPr>
          <w:p w14:paraId="380DF211">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309" w:type="pct"/>
            <w:vMerge w:val="continue"/>
            <w:tcBorders>
              <w:bottom w:val="single" w:color="auto" w:sz="4" w:space="0"/>
            </w:tcBorders>
            <w:vAlign w:val="center"/>
          </w:tcPr>
          <w:p w14:paraId="32187696">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975" w:type="pct"/>
            <w:vMerge w:val="continue"/>
            <w:tcBorders>
              <w:top w:val="nil"/>
              <w:bottom w:val="single" w:color="auto" w:sz="4" w:space="0"/>
            </w:tcBorders>
            <w:vAlign w:val="center"/>
          </w:tcPr>
          <w:p w14:paraId="6F9236C3">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680" w:type="pct"/>
            <w:tcBorders>
              <w:bottom w:val="single" w:color="auto" w:sz="4" w:space="0"/>
            </w:tcBorders>
            <w:vAlign w:val="center"/>
          </w:tcPr>
          <w:p w14:paraId="2E951BF3">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审批部门</w:t>
            </w:r>
          </w:p>
        </w:tc>
        <w:tc>
          <w:tcPr>
            <w:tcW w:w="531" w:type="pct"/>
            <w:tcBorders>
              <w:bottom w:val="single" w:color="auto" w:sz="4" w:space="0"/>
            </w:tcBorders>
            <w:vAlign w:val="center"/>
          </w:tcPr>
          <w:p w14:paraId="03827A06">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文号</w:t>
            </w:r>
          </w:p>
        </w:tc>
        <w:tc>
          <w:tcPr>
            <w:tcW w:w="515" w:type="pct"/>
            <w:tcBorders>
              <w:bottom w:val="single" w:color="auto" w:sz="4" w:space="0"/>
            </w:tcBorders>
            <w:vAlign w:val="center"/>
          </w:tcPr>
          <w:p w14:paraId="60B3A1CC">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审批日期</w:t>
            </w:r>
          </w:p>
        </w:tc>
        <w:tc>
          <w:tcPr>
            <w:tcW w:w="533" w:type="pct"/>
            <w:tcBorders>
              <w:bottom w:val="single" w:color="auto" w:sz="4" w:space="0"/>
            </w:tcBorders>
            <w:vAlign w:val="center"/>
          </w:tcPr>
          <w:p w14:paraId="7116568D">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验收单位</w:t>
            </w:r>
          </w:p>
        </w:tc>
        <w:tc>
          <w:tcPr>
            <w:tcW w:w="603" w:type="pct"/>
            <w:tcBorders>
              <w:bottom w:val="single" w:color="auto" w:sz="4" w:space="0"/>
            </w:tcBorders>
            <w:vAlign w:val="center"/>
          </w:tcPr>
          <w:p w14:paraId="6194CEF4">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验收文号</w:t>
            </w:r>
          </w:p>
        </w:tc>
        <w:tc>
          <w:tcPr>
            <w:tcW w:w="557" w:type="pct"/>
            <w:tcBorders>
              <w:bottom w:val="single" w:color="auto" w:sz="4" w:space="0"/>
              <w:right w:val="single" w:color="000000" w:sz="6" w:space="0"/>
            </w:tcBorders>
            <w:vAlign w:val="center"/>
          </w:tcPr>
          <w:p w14:paraId="6CDB2EE7">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验收时间</w:t>
            </w:r>
          </w:p>
        </w:tc>
      </w:tr>
      <w:tr w14:paraId="0F27C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91" w:type="pct"/>
            <w:vMerge w:val="restart"/>
            <w:tcBorders>
              <w:top w:val="single" w:color="auto" w:sz="4" w:space="0"/>
              <w:left w:val="single" w:color="auto" w:sz="4" w:space="0"/>
              <w:right w:val="single" w:color="auto" w:sz="4" w:space="0"/>
            </w:tcBorders>
            <w:vAlign w:val="center"/>
          </w:tcPr>
          <w:p w14:paraId="4AD9D479">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塔河油田</w:t>
            </w:r>
            <w:r>
              <w:rPr>
                <w:rFonts w:hint="default" w:ascii="Times New Roman" w:hAnsi="Times New Roman" w:eastAsia="宋体" w:cs="Times New Roman"/>
                <w:color w:val="auto"/>
                <w:spacing w:val="-3"/>
                <w:sz w:val="21"/>
                <w:szCs w:val="21"/>
                <w:highlight w:val="none"/>
                <w:lang w:val="en-US" w:eastAsia="zh-CN"/>
              </w:rPr>
              <w:t>8</w:t>
            </w:r>
            <w:r>
              <w:rPr>
                <w:rFonts w:hint="default" w:ascii="Times New Roman" w:hAnsi="Times New Roman" w:eastAsia="宋体" w:cs="Times New Roman"/>
                <w:color w:val="auto"/>
                <w:spacing w:val="-3"/>
                <w:sz w:val="21"/>
                <w:szCs w:val="21"/>
                <w:highlight w:val="none"/>
              </w:rPr>
              <w:t>区</w:t>
            </w:r>
          </w:p>
        </w:tc>
        <w:tc>
          <w:tcPr>
            <w:tcW w:w="309" w:type="pct"/>
            <w:vMerge w:val="restart"/>
            <w:tcBorders>
              <w:top w:val="single" w:color="auto" w:sz="4" w:space="0"/>
              <w:left w:val="single" w:color="auto" w:sz="4" w:space="0"/>
              <w:right w:val="single" w:color="auto" w:sz="4" w:space="0"/>
            </w:tcBorders>
            <w:vAlign w:val="center"/>
          </w:tcPr>
          <w:p w14:paraId="7A7A7306">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lang w:val="en-US" w:eastAsia="zh-CN"/>
              </w:rPr>
              <w:t>塔河油田</w:t>
            </w:r>
            <w:r>
              <w:rPr>
                <w:rFonts w:hint="default" w:ascii="Times New Roman" w:hAnsi="Times New Roman" w:eastAsia="宋体" w:cs="Times New Roman"/>
                <w:color w:val="auto"/>
                <w:spacing w:val="-3"/>
                <w:sz w:val="21"/>
                <w:szCs w:val="21"/>
                <w:highlight w:val="none"/>
              </w:rPr>
              <w:t>三号联合站</w:t>
            </w:r>
          </w:p>
        </w:tc>
        <w:tc>
          <w:tcPr>
            <w:tcW w:w="975" w:type="pct"/>
            <w:tcBorders>
              <w:top w:val="single" w:color="auto" w:sz="4" w:space="0"/>
              <w:left w:val="single" w:color="auto" w:sz="4" w:space="0"/>
              <w:bottom w:val="single" w:color="auto" w:sz="4" w:space="0"/>
              <w:right w:val="single" w:color="auto" w:sz="4" w:space="0"/>
            </w:tcBorders>
            <w:vAlign w:val="center"/>
          </w:tcPr>
          <w:p w14:paraId="38EF3C6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塔河油田三号联合站建设工程</w:t>
            </w:r>
          </w:p>
        </w:tc>
        <w:tc>
          <w:tcPr>
            <w:tcW w:w="680" w:type="pct"/>
            <w:tcBorders>
              <w:top w:val="single" w:color="auto" w:sz="4" w:space="0"/>
              <w:left w:val="single" w:color="auto" w:sz="4" w:space="0"/>
              <w:bottom w:val="single" w:color="auto" w:sz="4" w:space="0"/>
              <w:right w:val="single" w:color="auto" w:sz="4" w:space="0"/>
            </w:tcBorders>
            <w:vAlign w:val="center"/>
          </w:tcPr>
          <w:p w14:paraId="11F791D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原新疆维吾尔自治区环境保护局</w:t>
            </w:r>
          </w:p>
        </w:tc>
        <w:tc>
          <w:tcPr>
            <w:tcW w:w="531" w:type="pct"/>
            <w:tcBorders>
              <w:top w:val="single" w:color="auto" w:sz="4" w:space="0"/>
              <w:left w:val="single" w:color="auto" w:sz="4" w:space="0"/>
              <w:bottom w:val="single" w:color="auto" w:sz="4" w:space="0"/>
              <w:right w:val="single" w:color="auto" w:sz="4" w:space="0"/>
            </w:tcBorders>
            <w:vAlign w:val="center"/>
          </w:tcPr>
          <w:p w14:paraId="50C96BCA">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新环自函〔2006〕135号</w:t>
            </w:r>
          </w:p>
        </w:tc>
        <w:tc>
          <w:tcPr>
            <w:tcW w:w="515" w:type="pct"/>
            <w:tcBorders>
              <w:top w:val="single" w:color="auto" w:sz="4" w:space="0"/>
              <w:left w:val="single" w:color="auto" w:sz="4" w:space="0"/>
              <w:bottom w:val="single" w:color="auto" w:sz="4" w:space="0"/>
              <w:right w:val="single" w:color="auto" w:sz="4" w:space="0"/>
            </w:tcBorders>
            <w:vAlign w:val="center"/>
          </w:tcPr>
          <w:p w14:paraId="341C048C">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SA"/>
              </w:rPr>
              <w:t>2006年4</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kern w:val="2"/>
                <w:sz w:val="21"/>
                <w:szCs w:val="21"/>
                <w:highlight w:val="none"/>
                <w:lang w:val="en-US" w:eastAsia="zh-CN" w:bidi="ar-SA"/>
              </w:rPr>
              <w:t>3日</w:t>
            </w:r>
          </w:p>
        </w:tc>
        <w:tc>
          <w:tcPr>
            <w:tcW w:w="533" w:type="pct"/>
            <w:tcBorders>
              <w:top w:val="single" w:color="auto" w:sz="4" w:space="0"/>
              <w:left w:val="single" w:color="auto" w:sz="4" w:space="0"/>
              <w:bottom w:val="single" w:color="auto" w:sz="4" w:space="0"/>
              <w:right w:val="single" w:color="auto" w:sz="4" w:space="0"/>
            </w:tcBorders>
            <w:vAlign w:val="center"/>
          </w:tcPr>
          <w:p w14:paraId="404A9A25">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原阿克苏地区环境保护局</w:t>
            </w:r>
          </w:p>
        </w:tc>
        <w:tc>
          <w:tcPr>
            <w:tcW w:w="603" w:type="pct"/>
            <w:tcBorders>
              <w:top w:val="single" w:color="auto" w:sz="4" w:space="0"/>
              <w:left w:val="single" w:color="auto" w:sz="4" w:space="0"/>
              <w:bottom w:val="single" w:color="auto" w:sz="4" w:space="0"/>
              <w:right w:val="single" w:color="auto" w:sz="4" w:space="0"/>
            </w:tcBorders>
            <w:vAlign w:val="center"/>
          </w:tcPr>
          <w:p w14:paraId="00BA1EC8">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阿地环函字〔2007〕19号</w:t>
            </w:r>
          </w:p>
        </w:tc>
        <w:tc>
          <w:tcPr>
            <w:tcW w:w="557" w:type="pct"/>
            <w:tcBorders>
              <w:top w:val="single" w:color="auto" w:sz="4" w:space="0"/>
              <w:left w:val="single" w:color="auto" w:sz="4" w:space="0"/>
              <w:bottom w:val="single" w:color="auto" w:sz="4" w:space="0"/>
              <w:right w:val="single" w:color="auto" w:sz="4" w:space="0"/>
            </w:tcBorders>
            <w:vAlign w:val="center"/>
          </w:tcPr>
          <w:p w14:paraId="5EA4E242">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2007</w:t>
            </w:r>
            <w:r>
              <w:rPr>
                <w:rFonts w:hint="default" w:ascii="Times New Roman" w:hAnsi="Times New Roman" w:eastAsia="宋体" w:cs="Times New Roman"/>
                <w:color w:val="auto"/>
                <w:kern w:val="2"/>
                <w:sz w:val="21"/>
                <w:szCs w:val="21"/>
                <w:highlight w:val="none"/>
                <w:lang w:val="en-US" w:eastAsia="zh-CN" w:bidi="ar-SA"/>
              </w:rPr>
              <w:t>年</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sz w:val="21"/>
                <w:szCs w:val="21"/>
                <w:highlight w:val="none"/>
                <w:lang w:val="en-US" w:eastAsia="zh-CN"/>
              </w:rPr>
              <w:t>29</w:t>
            </w:r>
            <w:r>
              <w:rPr>
                <w:rFonts w:hint="default" w:ascii="Times New Roman" w:hAnsi="Times New Roman" w:eastAsia="宋体" w:cs="Times New Roman"/>
                <w:color w:val="auto"/>
                <w:kern w:val="2"/>
                <w:sz w:val="21"/>
                <w:szCs w:val="21"/>
                <w:highlight w:val="none"/>
                <w:lang w:val="en-US" w:eastAsia="zh-CN" w:bidi="ar-SA"/>
              </w:rPr>
              <w:t>日</w:t>
            </w:r>
          </w:p>
        </w:tc>
      </w:tr>
      <w:tr w14:paraId="6D539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right w:val="single" w:color="auto" w:sz="4" w:space="0"/>
            </w:tcBorders>
            <w:vAlign w:val="center"/>
          </w:tcPr>
          <w:p w14:paraId="265DA87E">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309" w:type="pct"/>
            <w:vMerge w:val="continue"/>
            <w:tcBorders>
              <w:left w:val="single" w:color="auto" w:sz="4" w:space="0"/>
              <w:right w:val="single" w:color="auto" w:sz="4" w:space="0"/>
            </w:tcBorders>
            <w:vAlign w:val="center"/>
          </w:tcPr>
          <w:p w14:paraId="23D3B4A5">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975" w:type="pct"/>
            <w:tcBorders>
              <w:top w:val="single" w:color="auto" w:sz="4" w:space="0"/>
            </w:tcBorders>
            <w:vAlign w:val="center"/>
          </w:tcPr>
          <w:p w14:paraId="59B0DEE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塔河油田三号联原油脱硫部分技术改造降耗增效工程</w:t>
            </w:r>
          </w:p>
        </w:tc>
        <w:tc>
          <w:tcPr>
            <w:tcW w:w="680" w:type="pct"/>
            <w:tcBorders>
              <w:top w:val="single" w:color="auto" w:sz="4" w:space="0"/>
            </w:tcBorders>
            <w:vAlign w:val="center"/>
          </w:tcPr>
          <w:p w14:paraId="3B4A35C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原新疆维吾尔自治区环境保护局</w:t>
            </w:r>
          </w:p>
        </w:tc>
        <w:tc>
          <w:tcPr>
            <w:tcW w:w="531" w:type="pct"/>
            <w:tcBorders>
              <w:top w:val="single" w:color="auto" w:sz="4" w:space="0"/>
            </w:tcBorders>
            <w:vAlign w:val="center"/>
          </w:tcPr>
          <w:p w14:paraId="749EE0D2">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新环函〔2017〕2064号</w:t>
            </w:r>
          </w:p>
        </w:tc>
        <w:tc>
          <w:tcPr>
            <w:tcW w:w="515" w:type="pct"/>
            <w:tcBorders>
              <w:top w:val="single" w:color="auto" w:sz="4" w:space="0"/>
            </w:tcBorders>
            <w:vAlign w:val="center"/>
          </w:tcPr>
          <w:p w14:paraId="0D705864">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2017年12</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kern w:val="2"/>
                <w:sz w:val="21"/>
                <w:szCs w:val="21"/>
                <w:highlight w:val="none"/>
                <w:lang w:val="en-US" w:eastAsia="zh-CN" w:bidi="ar-SA"/>
              </w:rPr>
              <w:t>17日</w:t>
            </w:r>
          </w:p>
        </w:tc>
        <w:tc>
          <w:tcPr>
            <w:tcW w:w="533" w:type="pct"/>
            <w:tcBorders>
              <w:top w:val="single" w:color="auto" w:sz="4" w:space="0"/>
            </w:tcBorders>
            <w:vAlign w:val="center"/>
          </w:tcPr>
          <w:p w14:paraId="17185178">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自主验收</w:t>
            </w:r>
          </w:p>
        </w:tc>
        <w:tc>
          <w:tcPr>
            <w:tcW w:w="603" w:type="pct"/>
            <w:tcBorders>
              <w:top w:val="single" w:color="auto" w:sz="4" w:space="0"/>
            </w:tcBorders>
            <w:vAlign w:val="center"/>
          </w:tcPr>
          <w:p w14:paraId="63F674F3">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w:t>
            </w:r>
          </w:p>
        </w:tc>
        <w:tc>
          <w:tcPr>
            <w:tcW w:w="557" w:type="pct"/>
            <w:tcBorders>
              <w:top w:val="single" w:color="auto" w:sz="4" w:space="0"/>
              <w:right w:val="single" w:color="000000" w:sz="6" w:space="0"/>
            </w:tcBorders>
            <w:vAlign w:val="center"/>
          </w:tcPr>
          <w:p w14:paraId="1D96A92E">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2021年3</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kern w:val="2"/>
                <w:sz w:val="21"/>
                <w:szCs w:val="21"/>
                <w:highlight w:val="none"/>
                <w:lang w:val="en-US" w:eastAsia="zh-CN" w:bidi="ar-SA"/>
              </w:rPr>
              <w:t>26日</w:t>
            </w:r>
          </w:p>
        </w:tc>
      </w:tr>
      <w:tr w14:paraId="620C5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91" w:type="pct"/>
            <w:vMerge w:val="continue"/>
            <w:tcBorders>
              <w:left w:val="single" w:color="auto" w:sz="4" w:space="0"/>
              <w:right w:val="single" w:color="auto" w:sz="4" w:space="0"/>
            </w:tcBorders>
            <w:vAlign w:val="center"/>
          </w:tcPr>
          <w:p w14:paraId="373DDB37">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309" w:type="pct"/>
            <w:vMerge w:val="continue"/>
            <w:tcBorders>
              <w:left w:val="single" w:color="auto" w:sz="4" w:space="0"/>
              <w:right w:val="single" w:color="auto" w:sz="4" w:space="0"/>
            </w:tcBorders>
            <w:vAlign w:val="center"/>
          </w:tcPr>
          <w:p w14:paraId="15B0E2AC">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975" w:type="pct"/>
            <w:tcBorders>
              <w:top w:val="single" w:color="auto" w:sz="4" w:space="0"/>
            </w:tcBorders>
            <w:vAlign w:val="center"/>
          </w:tcPr>
          <w:p w14:paraId="00646C4C">
            <w:pPr>
              <w:keepNext w:val="0"/>
              <w:keepLines w:val="0"/>
              <w:pageBreakBefore w:val="0"/>
              <w:widowControl/>
              <w:kinsoku/>
              <w:wordWrap/>
              <w:overflowPunct/>
              <w:topLinePunct w:val="0"/>
              <w:autoSpaceDE/>
              <w:autoSpaceDN/>
              <w:bidi w:val="0"/>
              <w:adjustRightInd/>
              <w:snapToGrid/>
              <w:spacing w:line="340" w:lineRule="exact"/>
              <w:ind w:left="-48" w:leftChars="-20" w:right="-48" w:rightChars="-2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塔河油田三号联注水系统改造增效工程</w:t>
            </w:r>
          </w:p>
        </w:tc>
        <w:tc>
          <w:tcPr>
            <w:tcW w:w="680" w:type="pct"/>
            <w:tcBorders>
              <w:top w:val="single" w:color="auto" w:sz="4" w:space="0"/>
            </w:tcBorders>
            <w:vAlign w:val="center"/>
          </w:tcPr>
          <w:p w14:paraId="5424DE8A">
            <w:pPr>
              <w:pStyle w:val="42"/>
              <w:keepNext w:val="0"/>
              <w:keepLines w:val="0"/>
              <w:pageBreakBefore w:val="0"/>
              <w:widowControl/>
              <w:kinsoku/>
              <w:wordWrap/>
              <w:overflowPunct/>
              <w:topLinePunct w:val="0"/>
              <w:autoSpaceDE/>
              <w:autoSpaceDN/>
              <w:bidi w:val="0"/>
              <w:adjustRightInd w:val="0"/>
              <w:snapToGrid w:val="0"/>
              <w:spacing w:line="340" w:lineRule="exact"/>
              <w:ind w:left="-48" w:leftChars="-20" w:right="-48" w:rightChars="-2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原阿克苏地区</w:t>
            </w:r>
            <w:r>
              <w:rPr>
                <w:rFonts w:hint="eastAsia" w:ascii="Times New Roman" w:hAnsi="Times New Roman" w:eastAsia="宋体" w:cs="Times New Roman"/>
                <w:color w:val="auto"/>
                <w:kern w:val="2"/>
                <w:sz w:val="21"/>
                <w:szCs w:val="21"/>
                <w:highlight w:val="none"/>
                <w:lang w:val="en-US" w:eastAsia="zh-CN" w:bidi="ar-SA"/>
              </w:rPr>
              <w:t>环境保护</w:t>
            </w:r>
            <w:r>
              <w:rPr>
                <w:rFonts w:hint="default" w:ascii="Times New Roman" w:hAnsi="Times New Roman" w:eastAsia="宋体" w:cs="Times New Roman"/>
                <w:color w:val="auto"/>
                <w:kern w:val="2"/>
                <w:sz w:val="21"/>
                <w:szCs w:val="21"/>
                <w:highlight w:val="none"/>
                <w:lang w:val="en-US" w:eastAsia="zh-CN" w:bidi="ar-SA"/>
              </w:rPr>
              <w:t>局</w:t>
            </w:r>
          </w:p>
        </w:tc>
        <w:tc>
          <w:tcPr>
            <w:tcW w:w="531" w:type="pct"/>
            <w:tcBorders>
              <w:top w:val="single" w:color="auto" w:sz="4" w:space="0"/>
            </w:tcBorders>
            <w:vAlign w:val="center"/>
          </w:tcPr>
          <w:p w14:paraId="67DE5766">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阿地环函字〔2018〕511号</w:t>
            </w:r>
          </w:p>
        </w:tc>
        <w:tc>
          <w:tcPr>
            <w:tcW w:w="515" w:type="pct"/>
            <w:tcBorders>
              <w:top w:val="single" w:color="auto" w:sz="4" w:space="0"/>
            </w:tcBorders>
            <w:vAlign w:val="center"/>
          </w:tcPr>
          <w:p w14:paraId="16E4D3B5">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2018年11</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kern w:val="2"/>
                <w:sz w:val="21"/>
                <w:szCs w:val="21"/>
                <w:highlight w:val="none"/>
                <w:lang w:val="en-US" w:eastAsia="zh-CN" w:bidi="ar-SA"/>
              </w:rPr>
              <w:t>16日</w:t>
            </w:r>
          </w:p>
        </w:tc>
        <w:tc>
          <w:tcPr>
            <w:tcW w:w="533" w:type="pct"/>
            <w:tcBorders>
              <w:top w:val="single" w:color="auto" w:sz="4" w:space="0"/>
            </w:tcBorders>
            <w:vAlign w:val="center"/>
          </w:tcPr>
          <w:p w14:paraId="4474AD6D">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自主验收</w:t>
            </w:r>
          </w:p>
        </w:tc>
        <w:tc>
          <w:tcPr>
            <w:tcW w:w="603" w:type="pct"/>
            <w:tcBorders>
              <w:top w:val="single" w:color="auto" w:sz="4" w:space="0"/>
            </w:tcBorders>
            <w:vAlign w:val="center"/>
          </w:tcPr>
          <w:p w14:paraId="5D5046B2">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w:t>
            </w:r>
          </w:p>
        </w:tc>
        <w:tc>
          <w:tcPr>
            <w:tcW w:w="557" w:type="pct"/>
            <w:tcBorders>
              <w:top w:val="single" w:color="auto" w:sz="4" w:space="0"/>
              <w:right w:val="single" w:color="000000" w:sz="6" w:space="0"/>
            </w:tcBorders>
            <w:vAlign w:val="center"/>
          </w:tcPr>
          <w:p w14:paraId="1D7A4757">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2021年6</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kern w:val="2"/>
                <w:sz w:val="21"/>
                <w:szCs w:val="21"/>
                <w:highlight w:val="none"/>
                <w:lang w:val="en-US" w:eastAsia="zh-CN" w:bidi="ar-SA"/>
              </w:rPr>
              <w:t>18日</w:t>
            </w:r>
          </w:p>
        </w:tc>
      </w:tr>
      <w:tr w14:paraId="347A6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bottom w:val="single" w:color="auto" w:sz="4" w:space="0"/>
              <w:right w:val="single" w:color="auto" w:sz="4" w:space="0"/>
            </w:tcBorders>
            <w:vAlign w:val="center"/>
          </w:tcPr>
          <w:p w14:paraId="50A0613F">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p>
        </w:tc>
        <w:tc>
          <w:tcPr>
            <w:tcW w:w="309" w:type="pct"/>
            <w:tcBorders>
              <w:left w:val="single" w:color="auto" w:sz="4" w:space="0"/>
              <w:right w:val="single" w:color="auto" w:sz="4" w:space="0"/>
            </w:tcBorders>
            <w:vAlign w:val="center"/>
          </w:tcPr>
          <w:p w14:paraId="4B9A95A4">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8-1计转站</w:t>
            </w:r>
          </w:p>
        </w:tc>
        <w:tc>
          <w:tcPr>
            <w:tcW w:w="975" w:type="pct"/>
            <w:tcBorders>
              <w:top w:val="single" w:color="auto" w:sz="4" w:space="0"/>
            </w:tcBorders>
            <w:vAlign w:val="center"/>
          </w:tcPr>
          <w:p w14:paraId="5DC1981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塔河油田8区奥陶系油藏开发建设工程</w:t>
            </w:r>
          </w:p>
        </w:tc>
        <w:tc>
          <w:tcPr>
            <w:tcW w:w="680" w:type="pct"/>
            <w:tcBorders>
              <w:top w:val="single" w:color="auto" w:sz="4" w:space="0"/>
            </w:tcBorders>
            <w:vAlign w:val="center"/>
          </w:tcPr>
          <w:p w14:paraId="785A86C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原新疆维吾尔自治区环境保护局</w:t>
            </w:r>
          </w:p>
        </w:tc>
        <w:tc>
          <w:tcPr>
            <w:tcW w:w="531" w:type="pct"/>
            <w:tcBorders>
              <w:top w:val="single" w:color="auto" w:sz="4" w:space="0"/>
            </w:tcBorders>
            <w:vAlign w:val="center"/>
          </w:tcPr>
          <w:p w14:paraId="339ABCF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新环自函〔2005〕552号</w:t>
            </w:r>
          </w:p>
        </w:tc>
        <w:tc>
          <w:tcPr>
            <w:tcW w:w="515" w:type="pct"/>
            <w:tcBorders>
              <w:top w:val="single" w:color="auto" w:sz="4" w:space="0"/>
            </w:tcBorders>
            <w:vAlign w:val="center"/>
          </w:tcPr>
          <w:p w14:paraId="5808C83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2005年10</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kern w:val="2"/>
                <w:sz w:val="21"/>
                <w:szCs w:val="21"/>
                <w:highlight w:val="none"/>
                <w:lang w:val="en-US" w:eastAsia="zh-CN" w:bidi="ar-SA"/>
              </w:rPr>
              <w:t>25日</w:t>
            </w:r>
          </w:p>
        </w:tc>
        <w:tc>
          <w:tcPr>
            <w:tcW w:w="533" w:type="pct"/>
            <w:tcBorders>
              <w:top w:val="single" w:color="auto" w:sz="4" w:space="0"/>
            </w:tcBorders>
            <w:vAlign w:val="center"/>
          </w:tcPr>
          <w:p w14:paraId="2E82518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自主验收</w:t>
            </w:r>
          </w:p>
        </w:tc>
        <w:tc>
          <w:tcPr>
            <w:tcW w:w="603" w:type="pct"/>
            <w:tcBorders>
              <w:top w:val="single" w:color="auto" w:sz="4" w:space="0"/>
            </w:tcBorders>
            <w:vAlign w:val="center"/>
          </w:tcPr>
          <w:p w14:paraId="1281B62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57" w:type="pct"/>
            <w:tcBorders>
              <w:top w:val="single" w:color="auto" w:sz="4" w:space="0"/>
              <w:right w:val="single" w:color="000000" w:sz="6" w:space="0"/>
            </w:tcBorders>
            <w:vAlign w:val="center"/>
          </w:tcPr>
          <w:p w14:paraId="4B029E6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2021年</w:t>
            </w:r>
            <w:r>
              <w:rPr>
                <w:rFonts w:hint="default" w:ascii="Times New Roman" w:hAnsi="Times New Roman" w:cs="Times New Roman"/>
                <w:color w:val="auto"/>
                <w:kern w:val="2"/>
                <w:sz w:val="21"/>
                <w:szCs w:val="21"/>
                <w:highlight w:val="none"/>
                <w:lang w:val="en-US" w:eastAsia="zh-CN" w:bidi="ar-SA"/>
              </w:rPr>
              <w:t>11</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kern w:val="2"/>
                <w:sz w:val="21"/>
                <w:szCs w:val="21"/>
                <w:highlight w:val="none"/>
                <w:lang w:val="en-US" w:eastAsia="zh-CN" w:bidi="ar-SA"/>
              </w:rPr>
              <w:t>18日</w:t>
            </w:r>
          </w:p>
        </w:tc>
      </w:tr>
      <w:tr w14:paraId="55832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jc w:val="center"/>
        </w:trPr>
        <w:tc>
          <w:tcPr>
            <w:tcW w:w="291" w:type="pct"/>
            <w:tcBorders>
              <w:top w:val="single" w:color="auto" w:sz="4" w:space="0"/>
              <w:left w:val="single" w:color="auto" w:sz="4" w:space="0"/>
              <w:bottom w:val="single" w:color="auto" w:sz="4" w:space="0"/>
              <w:right w:val="single" w:color="auto" w:sz="4" w:space="0"/>
            </w:tcBorders>
            <w:vAlign w:val="center"/>
          </w:tcPr>
          <w:p w14:paraId="13751B61">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塔河油田10区</w:t>
            </w:r>
          </w:p>
        </w:tc>
        <w:tc>
          <w:tcPr>
            <w:tcW w:w="309" w:type="pct"/>
            <w:tcBorders>
              <w:left w:val="single" w:color="auto" w:sz="4" w:space="0"/>
            </w:tcBorders>
            <w:vAlign w:val="center"/>
          </w:tcPr>
          <w:p w14:paraId="1A7F0A19">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10-6计转站</w:t>
            </w:r>
          </w:p>
        </w:tc>
        <w:tc>
          <w:tcPr>
            <w:tcW w:w="975" w:type="pct"/>
            <w:tcBorders>
              <w:left w:val="single" w:color="auto" w:sz="4" w:space="0"/>
            </w:tcBorders>
            <w:vAlign w:val="center"/>
          </w:tcPr>
          <w:p w14:paraId="6C7D6F1B">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塔河油田10区奥陶系油藏开发建设工程</w:t>
            </w:r>
          </w:p>
        </w:tc>
        <w:tc>
          <w:tcPr>
            <w:tcW w:w="680" w:type="pct"/>
            <w:vAlign w:val="center"/>
          </w:tcPr>
          <w:p w14:paraId="37010E09">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lang w:eastAsia="zh-CN"/>
              </w:rPr>
              <w:t>原新疆维吾尔自治区</w:t>
            </w:r>
            <w:r>
              <w:rPr>
                <w:rFonts w:hint="default" w:ascii="Times New Roman" w:hAnsi="Times New Roman" w:eastAsia="宋体" w:cs="Times New Roman"/>
                <w:color w:val="auto"/>
                <w:spacing w:val="-3"/>
                <w:sz w:val="21"/>
                <w:szCs w:val="21"/>
                <w:highlight w:val="none"/>
              </w:rPr>
              <w:t>环境保护厅</w:t>
            </w:r>
          </w:p>
        </w:tc>
        <w:tc>
          <w:tcPr>
            <w:tcW w:w="531" w:type="pct"/>
            <w:vAlign w:val="center"/>
          </w:tcPr>
          <w:p w14:paraId="4A2AEF1A">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新环自函</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rPr>
              <w:t>2006</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rPr>
              <w:t>134号</w:t>
            </w:r>
          </w:p>
        </w:tc>
        <w:tc>
          <w:tcPr>
            <w:tcW w:w="515" w:type="pct"/>
            <w:vAlign w:val="center"/>
          </w:tcPr>
          <w:p w14:paraId="5425CDD3">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2006</w:t>
            </w:r>
            <w:r>
              <w:rPr>
                <w:rFonts w:hint="default" w:ascii="Times New Roman" w:hAnsi="Times New Roman" w:eastAsia="宋体" w:cs="Times New Roman"/>
                <w:color w:val="auto"/>
                <w:kern w:val="2"/>
                <w:sz w:val="21"/>
                <w:szCs w:val="21"/>
                <w:highlight w:val="none"/>
                <w:lang w:val="en-US" w:eastAsia="zh-CN" w:bidi="ar-SA"/>
              </w:rPr>
              <w:t>年</w:t>
            </w:r>
            <w:r>
              <w:rPr>
                <w:rFonts w:hint="default" w:ascii="Times New Roman" w:hAnsi="Times New Roman" w:eastAsia="宋体" w:cs="Times New Roman"/>
                <w:color w:val="auto"/>
                <w:spacing w:val="-3"/>
                <w:sz w:val="21"/>
                <w:szCs w:val="21"/>
                <w:highlight w:val="none"/>
              </w:rPr>
              <w:t>4</w:t>
            </w:r>
            <w:r>
              <w:rPr>
                <w:rFonts w:hint="default" w:ascii="Times New Roman" w:hAnsi="Times New Roman" w:eastAsia="宋体" w:cs="Times New Roman"/>
                <w:color w:val="auto"/>
                <w:spacing w:val="-3"/>
                <w:sz w:val="21"/>
                <w:szCs w:val="21"/>
                <w:highlight w:val="none"/>
                <w:lang w:val="en-US" w:eastAsia="zh-CN"/>
              </w:rPr>
              <w:t>月</w:t>
            </w:r>
            <w:r>
              <w:rPr>
                <w:rFonts w:hint="default" w:ascii="Times New Roman" w:hAnsi="Times New Roman" w:eastAsia="宋体" w:cs="Times New Roman"/>
                <w:color w:val="auto"/>
                <w:spacing w:val="-3"/>
                <w:sz w:val="21"/>
                <w:szCs w:val="21"/>
                <w:highlight w:val="none"/>
              </w:rPr>
              <w:t>4</w:t>
            </w:r>
            <w:r>
              <w:rPr>
                <w:rFonts w:hint="default" w:ascii="Times New Roman" w:hAnsi="Times New Roman" w:eastAsia="宋体" w:cs="Times New Roman"/>
                <w:color w:val="auto"/>
                <w:kern w:val="2"/>
                <w:sz w:val="21"/>
                <w:szCs w:val="21"/>
                <w:highlight w:val="none"/>
                <w:lang w:val="en-US" w:eastAsia="zh-CN" w:bidi="ar-SA"/>
              </w:rPr>
              <w:t>日</w:t>
            </w:r>
          </w:p>
        </w:tc>
        <w:tc>
          <w:tcPr>
            <w:tcW w:w="533" w:type="pct"/>
            <w:vAlign w:val="center"/>
          </w:tcPr>
          <w:p w14:paraId="693AB23D">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val="en-US"/>
              </w:rPr>
            </w:pPr>
            <w:r>
              <w:rPr>
                <w:rFonts w:hint="eastAsia" w:ascii="Times New Roman" w:hAnsi="Times New Roman" w:eastAsia="宋体" w:cs="Times New Roman"/>
                <w:color w:val="auto"/>
                <w:spacing w:val="0"/>
                <w:sz w:val="21"/>
                <w:szCs w:val="21"/>
                <w:highlight w:val="none"/>
                <w:lang w:val="en-US" w:eastAsia="zh-CN"/>
              </w:rPr>
              <w:t>自主验收</w:t>
            </w:r>
          </w:p>
        </w:tc>
        <w:tc>
          <w:tcPr>
            <w:tcW w:w="603" w:type="pct"/>
            <w:vAlign w:val="center"/>
          </w:tcPr>
          <w:p w14:paraId="52237987">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557" w:type="pct"/>
            <w:tcBorders>
              <w:right w:val="single" w:color="000000" w:sz="6" w:space="0"/>
            </w:tcBorders>
            <w:vAlign w:val="center"/>
          </w:tcPr>
          <w:p w14:paraId="1571DD9E">
            <w:pPr>
              <w:pStyle w:val="42"/>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分期第二批验收，2021年11月16日</w:t>
            </w:r>
          </w:p>
        </w:tc>
      </w:tr>
    </w:tbl>
    <w:p w14:paraId="020433BF">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60" w:firstLineChars="200"/>
        <w:jc w:val="both"/>
        <w:textAlignment w:val="auto"/>
        <w:rPr>
          <w:rFonts w:hint="default" w:ascii="Times New Roman" w:hAnsi="Times New Roman" w:cs="Times New Roman"/>
          <w:color w:val="auto"/>
          <w:spacing w:val="-5"/>
          <w:sz w:val="24"/>
          <w:szCs w:val="24"/>
          <w:highlight w:val="none"/>
          <w:lang w:eastAsia="zh-CN"/>
        </w:rPr>
        <w:sectPr>
          <w:headerReference r:id="rId10" w:type="default"/>
          <w:footerReference r:id="rId11" w:type="default"/>
          <w:pgSz w:w="11905" w:h="16838"/>
          <w:pgMar w:top="1389" w:right="1729" w:bottom="1202" w:left="1769" w:header="794" w:footer="1134" w:gutter="0"/>
          <w:pgBorders>
            <w:top w:val="none" w:sz="0" w:space="0"/>
            <w:left w:val="none" w:sz="0" w:space="0"/>
            <w:bottom w:val="none" w:sz="0" w:space="0"/>
            <w:right w:val="none" w:sz="0" w:space="0"/>
          </w:pgBorders>
          <w:pgNumType w:fmt="decimal"/>
          <w:cols w:space="0" w:num="1"/>
          <w:rtlGutter w:val="0"/>
          <w:docGrid w:linePitch="312" w:charSpace="0"/>
        </w:sectPr>
      </w:pPr>
    </w:p>
    <w:p w14:paraId="65313A9B">
      <w:pPr>
        <w:pStyle w:val="12"/>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3.1.</w:t>
      </w:r>
      <w:r>
        <w:rPr>
          <w:rFonts w:hint="default" w:ascii="Times New Roman" w:hAnsi="Times New Roman"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rPr>
        <w:t>区块环境影响回顾</w:t>
      </w:r>
      <w:bookmarkEnd w:id="206"/>
      <w:bookmarkEnd w:id="207"/>
    </w:p>
    <w:p w14:paraId="3CF646FF">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本次评价</w:t>
      </w:r>
      <w:r>
        <w:rPr>
          <w:rFonts w:hint="default" w:ascii="Times New Roman" w:hAnsi="Times New Roman" w:cs="Times New Roman"/>
          <w:color w:val="auto"/>
          <w:spacing w:val="-5"/>
          <w:sz w:val="24"/>
          <w:szCs w:val="24"/>
          <w:highlight w:val="none"/>
          <w:lang w:eastAsia="zh-CN"/>
        </w:rPr>
        <w:t>涉及塔河油田8区、10</w:t>
      </w:r>
      <w:r>
        <w:rPr>
          <w:rFonts w:hint="eastAsia" w:ascii="Times New Roman" w:hAnsi="Times New Roman" w:cs="Times New Roman"/>
          <w:color w:val="auto"/>
          <w:spacing w:val="-5"/>
          <w:sz w:val="24"/>
          <w:szCs w:val="24"/>
          <w:highlight w:val="none"/>
          <w:lang w:val="en-US" w:eastAsia="zh-CN"/>
        </w:rPr>
        <w:t>区</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根据现场踏勘情况及调查结果，分别从生态环境影响、土壤环境影响、水环境影响、大气环境影响、固废环境影响、声环境影响、环境风险进行回顾性评价。</w:t>
      </w:r>
    </w:p>
    <w:p w14:paraId="0D338CA1">
      <w:pPr>
        <w:pStyle w:val="12"/>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bCs/>
          <w:snapToGrid w:val="0"/>
          <w:color w:val="auto"/>
          <w:kern w:val="0"/>
          <w:sz w:val="24"/>
          <w:szCs w:val="21"/>
          <w:highlight w:val="none"/>
          <w:lang w:val="en-US" w:eastAsia="en-US" w:bidi="ar-SA"/>
        </w:rPr>
      </w:pPr>
      <w:r>
        <w:rPr>
          <w:rFonts w:hint="default" w:ascii="Times New Roman" w:hAnsi="Times New Roman" w:eastAsia="宋体" w:cs="Times New Roman"/>
          <w:b/>
          <w:bCs/>
          <w:snapToGrid w:val="0"/>
          <w:color w:val="auto"/>
          <w:kern w:val="0"/>
          <w:sz w:val="24"/>
          <w:szCs w:val="21"/>
          <w:highlight w:val="none"/>
          <w:lang w:val="en-US" w:eastAsia="zh-CN" w:bidi="ar-SA"/>
        </w:rPr>
        <w:t>3.1.</w:t>
      </w:r>
      <w:r>
        <w:rPr>
          <w:rFonts w:hint="default" w:ascii="Times New Roman" w:hAnsi="Times New Roman" w:cs="Times New Roman"/>
          <w:b/>
          <w:bCs/>
          <w:snapToGrid w:val="0"/>
          <w:color w:val="auto"/>
          <w:kern w:val="0"/>
          <w:sz w:val="24"/>
          <w:szCs w:val="21"/>
          <w:highlight w:val="none"/>
          <w:lang w:val="en-US" w:eastAsia="zh-CN" w:bidi="ar-SA"/>
        </w:rPr>
        <w:t>3</w:t>
      </w:r>
      <w:r>
        <w:rPr>
          <w:rFonts w:hint="default" w:ascii="Times New Roman" w:hAnsi="Times New Roman" w:eastAsia="宋体" w:cs="Times New Roman"/>
          <w:b/>
          <w:bCs/>
          <w:snapToGrid w:val="0"/>
          <w:color w:val="auto"/>
          <w:kern w:val="0"/>
          <w:sz w:val="24"/>
          <w:szCs w:val="21"/>
          <w:highlight w:val="none"/>
          <w:lang w:val="en-US" w:eastAsia="zh-CN" w:bidi="ar-SA"/>
        </w:rPr>
        <w:t>.1</w:t>
      </w:r>
      <w:r>
        <w:rPr>
          <w:rFonts w:hint="default" w:ascii="Times New Roman" w:hAnsi="Times New Roman" w:eastAsia="宋体" w:cs="Times New Roman"/>
          <w:b/>
          <w:bCs/>
          <w:snapToGrid w:val="0"/>
          <w:color w:val="auto"/>
          <w:kern w:val="0"/>
          <w:sz w:val="24"/>
          <w:szCs w:val="21"/>
          <w:highlight w:val="none"/>
          <w:lang w:val="en-US" w:eastAsia="en-US" w:bidi="ar-SA"/>
        </w:rPr>
        <w:t>生态环境影响回顾评价</w:t>
      </w:r>
    </w:p>
    <w:p w14:paraId="118F9C9B">
      <w:pPr>
        <w:pStyle w:val="12"/>
        <w:keepNext w:val="0"/>
        <w:keepLines w:val="0"/>
        <w:pageBreakBefore w:val="0"/>
        <w:numPr>
          <w:ilvl w:val="0"/>
          <w:numId w:val="0"/>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（1）</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区</w:t>
      </w:r>
    </w:p>
    <w:p w14:paraId="2E07925B">
      <w:pPr>
        <w:pStyle w:val="13"/>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场调查，严格控制占地，永久性占地范围内进行砾石铺垫处理。站场内地表均用水泥硬化处理，站外有人工绿化种植植被。井场内临时性占地的地表基本裸露，没有植被恢复。管线和道路临时占地以自然恢复为主，恢复缓慢，种子萌发和幼苗生长主要依赖洪水。环评及环评批复提出的生态保护要求基本得到落实。</w:t>
      </w:r>
    </w:p>
    <w:p w14:paraId="15B21A1C">
      <w:pPr>
        <w:pStyle w:val="13"/>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综上所述，塔河油田8区井场永久性占地范围内进行砾石铺垫处理，站场有护栏围护。油田内部永久占地范围的植被完全清除。井场内临时性占地的地表基本裸露，植被正在自然恢复。油田区域道路和管线两侧植被自然恢复。站场内地表均用水泥硬化处理，站外有人工绿化种植植被。另油区北部部分开垦有棉田，油气田开发区域内的绿化改善了区域小环境。油气开采在施工期和运营期对野生动物的负面影响不大，也没有发生捕猎保护动物的现象，对周边生态环境影响较小</w:t>
      </w:r>
      <w:r>
        <w:rPr>
          <w:rFonts w:hint="default" w:ascii="Times New Roman" w:hAnsi="Times New Roman" w:eastAsia="宋体" w:cs="Times New Roman"/>
          <w:color w:val="auto"/>
          <w:highlight w:val="none"/>
          <w:lang w:eastAsia="zh-CN"/>
        </w:rPr>
        <w:t>。</w:t>
      </w:r>
    </w:p>
    <w:p w14:paraId="1C78E0DC">
      <w:pPr>
        <w:pStyle w:val="12"/>
        <w:keepNext w:val="0"/>
        <w:keepLines w:val="0"/>
        <w:pageBreakBefore w:val="0"/>
        <w:numPr>
          <w:ilvl w:val="0"/>
          <w:numId w:val="0"/>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（2）</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区</w:t>
      </w:r>
    </w:p>
    <w:p w14:paraId="38538507">
      <w:pPr>
        <w:pStyle w:val="1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塔河油田十区各项目的建设对生态环境的主要影响为土地的永久/临时征用以及原有植被的破坏。项目区内对已建成的井场永久性占地范围内进行了平整硬化处理，临时占地已平整。井场钻屑储集防渗池上部已经覆土，上部没有污油出现，油区道路总体规范，但部分地段有车辆乱碾乱轧的痕迹。</w:t>
      </w:r>
    </w:p>
    <w:p w14:paraId="2EDEBE9C">
      <w:pPr>
        <w:pStyle w:val="1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0"/>
          <w:highlight w:val="none"/>
          <w:lang w:val="en-US" w:eastAsia="zh-CN" w:bidi="ar-SA"/>
        </w:rPr>
        <w:t>从后评价期间，土壤环境质量现状来看，后评价布设的土壤监测点各项污染因子均满足《土壤环境质量建设用地土壤污染风险管控标准（试行）》（GB36600-2018）中筛选值第二类用地标准；从植被类型来看，项目的建设对油田区域内的原有植被类型未造成影响，各类植被的占地面积基本无变化；从土地利用类型来看，各项目的建设使油田区域内的中低覆盖度草地面积减少，建设用地和耕地面积略有增加。总体来说，区块内依旧是荒漠景观，人类干扰加强，多样性增加。油田开发区域基本保持原有的荒漠生态系统，部分地区受人类活动的影响。</w:t>
      </w:r>
    </w:p>
    <w:p w14:paraId="26F8E699">
      <w:pPr>
        <w:pStyle w:val="12"/>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3"/>
        <w:rPr>
          <w:rFonts w:hint="default" w:ascii="Times New Roman" w:hAnsi="Times New Roman" w:eastAsia="宋体" w:cs="Times New Roman"/>
          <w:b/>
          <w:bCs/>
          <w:snapToGrid w:val="0"/>
          <w:color w:val="auto"/>
          <w:kern w:val="0"/>
          <w:sz w:val="24"/>
          <w:szCs w:val="21"/>
          <w:highlight w:val="none"/>
          <w:lang w:val="en-US" w:eastAsia="zh-CN" w:bidi="ar-SA"/>
        </w:rPr>
      </w:pPr>
      <w:r>
        <w:rPr>
          <w:rFonts w:hint="default" w:ascii="Times New Roman" w:hAnsi="Times New Roman" w:eastAsia="宋体" w:cs="Times New Roman"/>
          <w:b/>
          <w:bCs/>
          <w:snapToGrid w:val="0"/>
          <w:color w:val="auto"/>
          <w:kern w:val="0"/>
          <w:sz w:val="24"/>
          <w:szCs w:val="21"/>
          <w:highlight w:val="none"/>
          <w:lang w:val="en-US" w:eastAsia="zh-CN" w:bidi="ar-SA"/>
        </w:rPr>
        <w:t>3.1.</w:t>
      </w:r>
      <w:r>
        <w:rPr>
          <w:rFonts w:hint="default" w:ascii="Times New Roman" w:hAnsi="Times New Roman" w:cs="Times New Roman"/>
          <w:b/>
          <w:bCs/>
          <w:snapToGrid w:val="0"/>
          <w:color w:val="auto"/>
          <w:kern w:val="0"/>
          <w:sz w:val="24"/>
          <w:szCs w:val="21"/>
          <w:highlight w:val="none"/>
          <w:lang w:val="en-US" w:eastAsia="zh-CN" w:bidi="ar-SA"/>
        </w:rPr>
        <w:t>3</w:t>
      </w:r>
      <w:r>
        <w:rPr>
          <w:rFonts w:hint="default" w:ascii="Times New Roman" w:hAnsi="Times New Roman" w:eastAsia="宋体" w:cs="Times New Roman"/>
          <w:b/>
          <w:bCs/>
          <w:snapToGrid w:val="0"/>
          <w:color w:val="auto"/>
          <w:kern w:val="0"/>
          <w:sz w:val="24"/>
          <w:szCs w:val="21"/>
          <w:highlight w:val="none"/>
          <w:lang w:val="en-US" w:eastAsia="zh-CN" w:bidi="ar-SA"/>
        </w:rPr>
        <w:t>.2水环境影响回顾评价</w:t>
      </w:r>
    </w:p>
    <w:p w14:paraId="5F4D42F1">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8" w:firstLineChars="200"/>
        <w:textAlignment w:val="baseline"/>
        <w:rPr>
          <w:rFonts w:hint="default" w:ascii="Times New Roman" w:hAnsi="Times New Roman" w:eastAsia="宋体" w:cs="Times New Roman"/>
          <w:b/>
          <w:bCs/>
          <w:color w:val="auto"/>
          <w:spacing w:val="-1"/>
          <w:sz w:val="24"/>
          <w:szCs w:val="24"/>
          <w:highlight w:val="none"/>
          <w:lang w:val="en-US" w:eastAsia="zh-CN"/>
        </w:rPr>
      </w:pPr>
      <w:r>
        <w:rPr>
          <w:rFonts w:hint="default" w:ascii="Times New Roman" w:hAnsi="Times New Roman" w:cs="Times New Roman"/>
          <w:b/>
          <w:bCs/>
          <w:color w:val="auto"/>
          <w:spacing w:val="-1"/>
          <w:sz w:val="24"/>
          <w:szCs w:val="24"/>
          <w:highlight w:val="none"/>
          <w:lang w:val="en-US" w:eastAsia="zh-CN" w:bidi="ar-SA"/>
        </w:rPr>
        <w:t>（1）</w:t>
      </w:r>
      <w:r>
        <w:rPr>
          <w:rFonts w:hint="default" w:ascii="Times New Roman" w:hAnsi="Times New Roman" w:eastAsia="宋体" w:cs="Times New Roman"/>
          <w:b/>
          <w:bCs/>
          <w:color w:val="auto"/>
          <w:spacing w:val="-1"/>
          <w:sz w:val="24"/>
          <w:szCs w:val="24"/>
          <w:highlight w:val="none"/>
          <w:lang w:val="en-US" w:eastAsia="zh-CN"/>
        </w:rPr>
        <w:t>塔河油田8区</w:t>
      </w:r>
    </w:p>
    <w:p w14:paraId="5B76F84F">
      <w:pPr>
        <w:keepNext w:val="0"/>
        <w:keepLines w:val="0"/>
        <w:pageBreakBefore w:val="0"/>
        <w:widowControl/>
        <w:kinsoku/>
        <w:wordWrap/>
        <w:overflowPunct/>
        <w:topLinePunct w:val="0"/>
        <w:autoSpaceDE/>
        <w:autoSpaceDN/>
        <w:bidi w:val="0"/>
        <w:adjustRightInd w:val="0"/>
        <w:snapToGrid w:val="0"/>
        <w:spacing w:line="360" w:lineRule="auto"/>
        <w:ind w:left="23" w:right="0" w:firstLine="48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塔河油田</w:t>
      </w:r>
      <w:r>
        <w:rPr>
          <w:rFonts w:hint="default" w:ascii="Times New Roman" w:hAnsi="Times New Roman" w:eastAsia="Times New Roman" w:cs="Times New Roman"/>
          <w:color w:val="auto"/>
          <w:spacing w:val="-4"/>
          <w:sz w:val="24"/>
          <w:szCs w:val="24"/>
          <w:highlight w:val="none"/>
        </w:rPr>
        <w:t>8</w:t>
      </w:r>
      <w:r>
        <w:rPr>
          <w:rFonts w:hint="default" w:ascii="Times New Roman" w:hAnsi="Times New Roman" w:eastAsia="宋体" w:cs="Times New Roman"/>
          <w:color w:val="auto"/>
          <w:spacing w:val="-4"/>
          <w:sz w:val="24"/>
          <w:szCs w:val="24"/>
          <w:highlight w:val="none"/>
        </w:rPr>
        <w:t>区采出水经三号联合站污水回注</w:t>
      </w:r>
      <w:r>
        <w:rPr>
          <w:rFonts w:hint="default" w:ascii="Times New Roman" w:hAnsi="Times New Roman" w:eastAsia="宋体" w:cs="Times New Roman"/>
          <w:color w:val="auto"/>
          <w:spacing w:val="-5"/>
          <w:sz w:val="24"/>
          <w:szCs w:val="24"/>
          <w:highlight w:val="none"/>
        </w:rPr>
        <w:t>系统处理，水质满足《碎屑岩油</w:t>
      </w:r>
      <w:r>
        <w:rPr>
          <w:rFonts w:hint="default" w:ascii="Times New Roman" w:hAnsi="Times New Roman" w:eastAsia="宋体" w:cs="Times New Roman"/>
          <w:color w:val="auto"/>
          <w:spacing w:val="2"/>
          <w:sz w:val="24"/>
          <w:szCs w:val="24"/>
          <w:highlight w:val="none"/>
        </w:rPr>
        <w:t>藏注水水质指标技术要求及分析方法》</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Times New Roman" w:cs="Times New Roman"/>
          <w:color w:val="auto"/>
          <w:sz w:val="24"/>
          <w:szCs w:val="24"/>
          <w:highlight w:val="none"/>
        </w:rPr>
        <w:t>SY</w:t>
      </w:r>
      <w:r>
        <w:rPr>
          <w:rFonts w:hint="default" w:ascii="Times New Roman" w:hAnsi="Times New Roman" w:eastAsia="Times New Roman" w:cs="Times New Roman"/>
          <w:color w:val="auto"/>
          <w:spacing w:val="2"/>
          <w:sz w:val="24"/>
          <w:szCs w:val="24"/>
          <w:highlight w:val="none"/>
        </w:rPr>
        <w:t>/T5329-2022</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标准要求后，根据井场</w:t>
      </w:r>
      <w:r>
        <w:rPr>
          <w:rFonts w:hint="default" w:ascii="Times New Roman" w:hAnsi="Times New Roman" w:eastAsia="宋体" w:cs="Times New Roman"/>
          <w:color w:val="auto"/>
          <w:spacing w:val="-3"/>
          <w:sz w:val="24"/>
          <w:szCs w:val="24"/>
          <w:highlight w:val="none"/>
        </w:rPr>
        <w:t>注水需要回注地层。在井下作业过程中，作业单位自带回收罐回收作业废水，运至塔河油田绿色环保站处置，处置后的废水满足《碎屑岩油藏注水水质指标技术</w:t>
      </w:r>
      <w:r>
        <w:rPr>
          <w:rFonts w:hint="default" w:ascii="Times New Roman" w:hAnsi="Times New Roman" w:eastAsia="宋体" w:cs="Times New Roman"/>
          <w:color w:val="auto"/>
          <w:spacing w:val="2"/>
          <w:sz w:val="24"/>
          <w:szCs w:val="24"/>
          <w:highlight w:val="none"/>
        </w:rPr>
        <w:t>要求及分析方法》</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Times New Roman" w:cs="Times New Roman"/>
          <w:color w:val="auto"/>
          <w:sz w:val="24"/>
          <w:szCs w:val="24"/>
          <w:highlight w:val="none"/>
        </w:rPr>
        <w:t>SY</w:t>
      </w:r>
      <w:r>
        <w:rPr>
          <w:rFonts w:hint="default" w:ascii="Times New Roman" w:hAnsi="Times New Roman" w:eastAsia="Times New Roman" w:cs="Times New Roman"/>
          <w:color w:val="auto"/>
          <w:spacing w:val="2"/>
          <w:sz w:val="24"/>
          <w:szCs w:val="24"/>
          <w:highlight w:val="none"/>
        </w:rPr>
        <w:t>/T5329-2022</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标准要求后回注，未外排。根据西北油田分</w:t>
      </w:r>
      <w:r>
        <w:rPr>
          <w:rFonts w:hint="default" w:ascii="Times New Roman" w:hAnsi="Times New Roman" w:eastAsia="宋体" w:cs="Times New Roman"/>
          <w:color w:val="auto"/>
          <w:spacing w:val="-3"/>
          <w:sz w:val="24"/>
          <w:szCs w:val="24"/>
          <w:highlight w:val="none"/>
        </w:rPr>
        <w:t>公司的规定，落地原油</w:t>
      </w:r>
      <w:r>
        <w:rPr>
          <w:rFonts w:hint="default" w:ascii="Times New Roman" w:hAnsi="Times New Roman" w:eastAsia="Times New Roman" w:cs="Times New Roman"/>
          <w:color w:val="auto"/>
          <w:spacing w:val="-3"/>
          <w:sz w:val="24"/>
          <w:szCs w:val="24"/>
          <w:highlight w:val="none"/>
        </w:rPr>
        <w:t>100%</w:t>
      </w:r>
      <w:r>
        <w:rPr>
          <w:rFonts w:hint="default" w:ascii="Times New Roman" w:hAnsi="Times New Roman" w:eastAsia="宋体" w:cs="Times New Roman"/>
          <w:color w:val="auto"/>
          <w:spacing w:val="-3"/>
          <w:sz w:val="24"/>
          <w:szCs w:val="24"/>
          <w:highlight w:val="none"/>
        </w:rPr>
        <w:t>进行回收</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目前生产过程产生的含油污泥和罐底油泥</w:t>
      </w:r>
      <w:r>
        <w:rPr>
          <w:rFonts w:hint="default" w:ascii="Times New Roman" w:hAnsi="Times New Roman" w:eastAsia="宋体" w:cs="Times New Roman"/>
          <w:color w:val="auto"/>
          <w:spacing w:val="-1"/>
          <w:sz w:val="24"/>
          <w:szCs w:val="24"/>
          <w:highlight w:val="none"/>
        </w:rPr>
        <w:t>均委托有处置资质的单位进行处理，未对水环境产生不利影响。</w:t>
      </w:r>
    </w:p>
    <w:p w14:paraId="10CB54F4">
      <w:pPr>
        <w:keepNext w:val="0"/>
        <w:keepLines w:val="0"/>
        <w:pageBreakBefore w:val="0"/>
        <w:widowControl/>
        <w:kinsoku/>
        <w:wordWrap/>
        <w:overflowPunct/>
        <w:topLinePunct w:val="0"/>
        <w:autoSpaceDE/>
        <w:autoSpaceDN/>
        <w:bidi w:val="0"/>
        <w:adjustRightInd w:val="0"/>
        <w:snapToGrid w:val="0"/>
        <w:spacing w:line="360" w:lineRule="auto"/>
        <w:ind w:left="24" w:right="0" w:firstLine="479"/>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3"/>
          <w:sz w:val="24"/>
          <w:szCs w:val="24"/>
          <w:highlight w:val="none"/>
        </w:rPr>
        <w:t>通过区块内地下水监测井水质、地表水水质及废水的监测情况可</w:t>
      </w:r>
      <w:r>
        <w:rPr>
          <w:rFonts w:hint="default" w:ascii="Times New Roman" w:hAnsi="Times New Roman" w:eastAsia="宋体" w:cs="Times New Roman"/>
          <w:color w:val="auto"/>
          <w:spacing w:val="-4"/>
          <w:sz w:val="24"/>
          <w:szCs w:val="24"/>
          <w:highlight w:val="none"/>
        </w:rPr>
        <w:t>看出，油田</w:t>
      </w:r>
      <w:r>
        <w:rPr>
          <w:rFonts w:hint="default" w:ascii="Times New Roman" w:hAnsi="Times New Roman" w:eastAsia="宋体" w:cs="Times New Roman"/>
          <w:color w:val="auto"/>
          <w:spacing w:val="-3"/>
          <w:sz w:val="24"/>
          <w:szCs w:val="24"/>
          <w:highlight w:val="none"/>
        </w:rPr>
        <w:t>开发未对地表水及当地浅层及主要供水层的地下水环境产生明显不良影响。上述</w:t>
      </w:r>
      <w:r>
        <w:rPr>
          <w:rFonts w:hint="default" w:ascii="Times New Roman" w:hAnsi="Times New Roman" w:eastAsia="宋体" w:cs="Times New Roman"/>
          <w:color w:val="auto"/>
          <w:spacing w:val="-4"/>
          <w:sz w:val="24"/>
          <w:szCs w:val="24"/>
          <w:highlight w:val="none"/>
        </w:rPr>
        <w:t>分析可知，塔河油田</w:t>
      </w:r>
      <w:r>
        <w:rPr>
          <w:rFonts w:hint="default" w:ascii="Times New Roman" w:hAnsi="Times New Roman" w:eastAsia="Times New Roman" w:cs="Times New Roman"/>
          <w:color w:val="auto"/>
          <w:spacing w:val="-4"/>
          <w:sz w:val="24"/>
          <w:szCs w:val="24"/>
          <w:highlight w:val="none"/>
        </w:rPr>
        <w:t>8</w:t>
      </w:r>
      <w:r>
        <w:rPr>
          <w:rFonts w:hint="default" w:ascii="Times New Roman" w:hAnsi="Times New Roman" w:eastAsia="宋体" w:cs="Times New Roman"/>
          <w:color w:val="auto"/>
          <w:spacing w:val="-4"/>
          <w:sz w:val="24"/>
          <w:szCs w:val="24"/>
          <w:highlight w:val="none"/>
        </w:rPr>
        <w:t>区在实施油气开发的过程中基本落实了环</w:t>
      </w:r>
      <w:r>
        <w:rPr>
          <w:rFonts w:hint="default" w:ascii="Times New Roman" w:hAnsi="Times New Roman" w:eastAsia="宋体" w:cs="Times New Roman"/>
          <w:color w:val="auto"/>
          <w:spacing w:val="-5"/>
          <w:sz w:val="24"/>
          <w:szCs w:val="24"/>
          <w:highlight w:val="none"/>
        </w:rPr>
        <w:t>评及验收中提出</w:t>
      </w:r>
      <w:r>
        <w:rPr>
          <w:rFonts w:hint="default" w:ascii="Times New Roman" w:hAnsi="Times New Roman" w:eastAsia="宋体" w:cs="Times New Roman"/>
          <w:color w:val="auto"/>
          <w:spacing w:val="-3"/>
          <w:sz w:val="24"/>
          <w:szCs w:val="24"/>
          <w:highlight w:val="none"/>
        </w:rPr>
        <w:t>的地下水污染防治措施，采取的污水处理设施等各项环保设施基本起到了相应的</w:t>
      </w:r>
      <w:r>
        <w:rPr>
          <w:rFonts w:hint="default" w:ascii="Times New Roman" w:hAnsi="Times New Roman" w:eastAsia="宋体" w:cs="Times New Roman"/>
          <w:color w:val="auto"/>
          <w:spacing w:val="-1"/>
          <w:sz w:val="24"/>
          <w:szCs w:val="24"/>
          <w:highlight w:val="none"/>
        </w:rPr>
        <w:t>污染防治效果，采取的水污染防治措施基本有效</w:t>
      </w:r>
      <w:r>
        <w:rPr>
          <w:rFonts w:hint="default" w:ascii="Times New Roman" w:hAnsi="Times New Roman" w:eastAsia="宋体" w:cs="Times New Roman"/>
          <w:color w:val="auto"/>
          <w:spacing w:val="-1"/>
          <w:sz w:val="24"/>
          <w:szCs w:val="24"/>
          <w:highlight w:val="none"/>
          <w:lang w:eastAsia="zh-CN"/>
        </w:rPr>
        <w:t>。</w:t>
      </w:r>
    </w:p>
    <w:p w14:paraId="44595DE2">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8" w:firstLineChars="200"/>
        <w:textAlignment w:val="baseline"/>
        <w:rPr>
          <w:rFonts w:hint="default" w:ascii="Times New Roman" w:hAnsi="Times New Roman" w:eastAsia="宋体" w:cs="Times New Roman"/>
          <w:b/>
          <w:bCs/>
          <w:color w:val="auto"/>
          <w:spacing w:val="-1"/>
          <w:sz w:val="24"/>
          <w:szCs w:val="24"/>
          <w:highlight w:val="none"/>
          <w:lang w:val="en-US" w:eastAsia="zh-CN"/>
        </w:rPr>
      </w:pPr>
      <w:r>
        <w:rPr>
          <w:rFonts w:hint="default" w:ascii="Times New Roman" w:hAnsi="Times New Roman" w:cs="Times New Roman"/>
          <w:b/>
          <w:bCs/>
          <w:color w:val="auto"/>
          <w:spacing w:val="-1"/>
          <w:sz w:val="24"/>
          <w:szCs w:val="24"/>
          <w:highlight w:val="none"/>
          <w:lang w:val="en-US" w:eastAsia="zh-CN" w:bidi="ar-SA"/>
        </w:rPr>
        <w:t>（2）</w:t>
      </w:r>
      <w:r>
        <w:rPr>
          <w:rFonts w:hint="default" w:ascii="Times New Roman" w:hAnsi="Times New Roman" w:eastAsia="宋体" w:cs="Times New Roman"/>
          <w:b/>
          <w:bCs/>
          <w:color w:val="auto"/>
          <w:spacing w:val="-1"/>
          <w:sz w:val="24"/>
          <w:szCs w:val="24"/>
          <w:highlight w:val="none"/>
          <w:lang w:val="en-US" w:eastAsia="zh-CN"/>
        </w:rPr>
        <w:t>塔河油田10区</w:t>
      </w:r>
    </w:p>
    <w:p w14:paraId="1FA0B453">
      <w:pPr>
        <w:pStyle w:val="13"/>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根据后评价期间监测结果及本次调查情况，塔河油田十区现状采出水三号联合站采出水处理系统处理后回注地层。根据后评价期间的监测结果，采出水处理系统出水中石油类、硫化物、悬浮物均可满足《碎屑岩油藏注水水质推荐指标及分析方法》（SY/T5329-2012）中高渗地层生产回注水质指标要求，用于油田油层回注用水的处置措施基本有效；各生活基地的生活污水均经各基地内的一体化污水处理设备处理，处理工艺采用预处理+RAAO+消毒+过滤工艺，根据监测数据，pH、COD、BOD</w:t>
      </w:r>
      <w:r>
        <w:rPr>
          <w:rFonts w:hint="default" w:ascii="Times New Roman" w:hAnsi="Times New Roman" w:eastAsia="宋体" w:cs="Times New Roman"/>
          <w:color w:val="auto"/>
          <w:spacing w:val="-1"/>
          <w:sz w:val="24"/>
          <w:szCs w:val="24"/>
          <w:highlight w:val="none"/>
          <w:vertAlign w:val="subscript"/>
          <w:lang w:val="en-US" w:eastAsia="zh-CN"/>
        </w:rPr>
        <w:t>5</w:t>
      </w:r>
      <w:r>
        <w:rPr>
          <w:rFonts w:hint="default" w:ascii="Times New Roman" w:hAnsi="Times New Roman" w:eastAsia="宋体" w:cs="Times New Roman"/>
          <w:color w:val="auto"/>
          <w:spacing w:val="-1"/>
          <w:sz w:val="24"/>
          <w:szCs w:val="24"/>
          <w:highlight w:val="none"/>
          <w:lang w:val="en-US" w:eastAsia="zh-CN"/>
        </w:rPr>
        <w:t>、NH</w:t>
      </w:r>
      <w:r>
        <w:rPr>
          <w:rFonts w:hint="default" w:ascii="Times New Roman" w:hAnsi="Times New Roman" w:eastAsia="宋体" w:cs="Times New Roman"/>
          <w:color w:val="auto"/>
          <w:spacing w:val="-1"/>
          <w:sz w:val="24"/>
          <w:szCs w:val="24"/>
          <w:highlight w:val="none"/>
          <w:vertAlign w:val="subscript"/>
          <w:lang w:val="en-US" w:eastAsia="zh-CN"/>
        </w:rPr>
        <w:t>3</w:t>
      </w:r>
      <w:r>
        <w:rPr>
          <w:rFonts w:hint="default" w:ascii="Times New Roman" w:hAnsi="Times New Roman" w:eastAsia="宋体" w:cs="Times New Roman"/>
          <w:color w:val="auto"/>
          <w:spacing w:val="-1"/>
          <w:sz w:val="24"/>
          <w:szCs w:val="24"/>
          <w:highlight w:val="none"/>
          <w:lang w:val="en-US" w:eastAsia="zh-CN"/>
        </w:rPr>
        <w:t>-N、SS、动植物油、石油类、总氮、粪大肠菌群、总磷等指标均能满足《农村生活污水处理排放标准》（DB654275-2019）表2的B级标准；井下作业废水采用专用废液收集罐收集后运至塔河绿色环保站处理，处理后的井下作业废水均不外排。</w:t>
      </w:r>
    </w:p>
    <w:p w14:paraId="443DA553">
      <w:pPr>
        <w:pStyle w:val="13"/>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在实施油气开发的过程中基本落实了环评及验收中提出的水环境污染防治措施，采取的污水处理设施等各项环保设施基本起到了相应的污染防治效果，采取的水污染防治措施基本有效。</w:t>
      </w:r>
    </w:p>
    <w:p w14:paraId="12C1F7C4">
      <w:pPr>
        <w:pStyle w:val="13"/>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后评价阶段搜集了环评阶段地下水环境质量现状监测数据，与后评价期间实地进行的地下水环境质量监测数据进行比对，与早期数据基本监测一致。潜水</w:t>
      </w:r>
      <w:r>
        <w:rPr>
          <w:rFonts w:hint="eastAsia" w:cs="Times New Roman"/>
          <w:color w:val="auto"/>
          <w:spacing w:val="-1"/>
          <w:sz w:val="24"/>
          <w:szCs w:val="24"/>
          <w:highlight w:val="none"/>
          <w:lang w:val="en-US" w:eastAsia="zh-CN"/>
        </w:rPr>
        <w:t>水质</w:t>
      </w:r>
      <w:r>
        <w:rPr>
          <w:rFonts w:hint="default" w:ascii="Times New Roman" w:hAnsi="Times New Roman" w:eastAsia="宋体" w:cs="Times New Roman"/>
          <w:color w:val="auto"/>
          <w:spacing w:val="-1"/>
          <w:sz w:val="24"/>
          <w:szCs w:val="24"/>
          <w:highlight w:val="none"/>
          <w:lang w:val="en-US" w:eastAsia="zh-CN"/>
        </w:rPr>
        <w:t>较差，氯化物、总硬度、溶解性总固体、硫酸盐、</w:t>
      </w:r>
      <w:r>
        <w:rPr>
          <w:rFonts w:hint="eastAsia" w:cs="Times New Roman"/>
          <w:color w:val="auto"/>
          <w:spacing w:val="-1"/>
          <w:sz w:val="24"/>
          <w:szCs w:val="24"/>
          <w:highlight w:val="none"/>
          <w:lang w:val="en-US" w:eastAsia="zh-CN"/>
        </w:rPr>
        <w:t>氟化物、</w:t>
      </w:r>
      <w:r>
        <w:rPr>
          <w:rFonts w:hint="default" w:ascii="Times New Roman" w:hAnsi="Times New Roman" w:eastAsia="宋体" w:cs="Times New Roman"/>
          <w:color w:val="auto"/>
          <w:spacing w:val="-1"/>
          <w:sz w:val="24"/>
          <w:szCs w:val="24"/>
          <w:highlight w:val="none"/>
          <w:lang w:val="en-US" w:eastAsia="zh-CN"/>
        </w:rPr>
        <w:t>钠、锰等均有不同程度的超标；承压水中各项满足《地下水质量标准》（GB/T14848-2017）Ⅲ类标准要求。各</w:t>
      </w:r>
      <w:r>
        <w:rPr>
          <w:rFonts w:hint="eastAsia" w:cs="Times New Roman"/>
          <w:color w:val="auto"/>
          <w:spacing w:val="-1"/>
          <w:sz w:val="24"/>
          <w:szCs w:val="24"/>
          <w:highlight w:val="none"/>
          <w:lang w:val="en-US" w:eastAsia="zh-CN"/>
        </w:rPr>
        <w:t>监测点</w:t>
      </w:r>
      <w:r>
        <w:rPr>
          <w:rFonts w:hint="default" w:ascii="Times New Roman" w:hAnsi="Times New Roman" w:eastAsia="宋体" w:cs="Times New Roman"/>
          <w:color w:val="auto"/>
          <w:spacing w:val="-1"/>
          <w:sz w:val="24"/>
          <w:szCs w:val="24"/>
          <w:highlight w:val="none"/>
          <w:lang w:val="en-US" w:eastAsia="zh-CN"/>
        </w:rPr>
        <w:t>区域地下水石油类满足《地表水环境质量标准》（GB3838-2002）中的Ⅲ类标准要求。</w:t>
      </w:r>
    </w:p>
    <w:p w14:paraId="4A10D536">
      <w:pPr>
        <w:pStyle w:val="13"/>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总体来说，油田开发未对地表水及当地浅层及主要供水层的地下水环境产生明显不良影响。</w:t>
      </w:r>
    </w:p>
    <w:p w14:paraId="040DE67A">
      <w:pPr>
        <w:pStyle w:val="13"/>
        <w:numPr>
          <w:ilvl w:val="0"/>
          <w:numId w:val="0"/>
        </w:numPr>
        <w:outlineLvl w:val="3"/>
        <w:rPr>
          <w:rFonts w:hint="default" w:ascii="Times New Roman" w:hAnsi="Times New Roman" w:eastAsia="宋体" w:cs="Times New Roman"/>
          <w:b/>
          <w:bCs/>
          <w:snapToGrid w:val="0"/>
          <w:color w:val="auto"/>
          <w:kern w:val="0"/>
          <w:sz w:val="24"/>
          <w:szCs w:val="21"/>
          <w:highlight w:val="none"/>
          <w:lang w:val="en-US" w:eastAsia="zh-CN" w:bidi="ar-SA"/>
        </w:rPr>
      </w:pPr>
      <w:r>
        <w:rPr>
          <w:rFonts w:hint="default" w:ascii="Times New Roman" w:hAnsi="Times New Roman" w:eastAsia="宋体" w:cs="Times New Roman"/>
          <w:b/>
          <w:bCs/>
          <w:snapToGrid w:val="0"/>
          <w:color w:val="auto"/>
          <w:kern w:val="0"/>
          <w:sz w:val="24"/>
          <w:szCs w:val="21"/>
          <w:highlight w:val="none"/>
          <w:lang w:val="en-US" w:eastAsia="zh-CN" w:bidi="ar-SA"/>
        </w:rPr>
        <w:t>3.1.</w:t>
      </w:r>
      <w:r>
        <w:rPr>
          <w:rFonts w:hint="default" w:ascii="Times New Roman" w:hAnsi="Times New Roman" w:cs="Times New Roman"/>
          <w:b/>
          <w:bCs/>
          <w:snapToGrid w:val="0"/>
          <w:color w:val="auto"/>
          <w:kern w:val="0"/>
          <w:sz w:val="24"/>
          <w:szCs w:val="21"/>
          <w:highlight w:val="none"/>
          <w:lang w:val="en-US" w:eastAsia="zh-CN" w:bidi="ar-SA"/>
        </w:rPr>
        <w:t>3</w:t>
      </w:r>
      <w:r>
        <w:rPr>
          <w:rFonts w:hint="default" w:ascii="Times New Roman" w:hAnsi="Times New Roman" w:eastAsia="宋体" w:cs="Times New Roman"/>
          <w:b/>
          <w:bCs/>
          <w:snapToGrid w:val="0"/>
          <w:color w:val="auto"/>
          <w:kern w:val="0"/>
          <w:sz w:val="24"/>
          <w:szCs w:val="21"/>
          <w:highlight w:val="none"/>
          <w:lang w:val="en-US" w:eastAsia="zh-CN" w:bidi="ar-SA"/>
        </w:rPr>
        <w:t>.3大气环境影响回顾</w:t>
      </w:r>
    </w:p>
    <w:p w14:paraId="3BFB14FC">
      <w:pPr>
        <w:pStyle w:val="12"/>
        <w:keepNext w:val="0"/>
        <w:keepLines w:val="0"/>
        <w:pageBreakBefore w:val="0"/>
        <w:numPr>
          <w:ilvl w:val="0"/>
          <w:numId w:val="0"/>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（1）</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区</w:t>
      </w:r>
    </w:p>
    <w:p w14:paraId="3E2AADD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根据现场调查，塔河油田8区内现有的各井场采出原油集输基本实现了密闭集输工艺，选用先进的生产工艺及设备，在正常生产情况下尽可能地减少非甲烷总烃逸散排放。运营期站场、井场加热炉燃用处理后的返输天然气，从运行现状情况看，天然气气质稳定，各设备运行正常，排放废气中各项污染物浓度较低。类比塔河油田同类型井场及集气站污染源监测数据，站场及井场加热炉烟气排放满足《锅炉大气污染物排放标准》（GB13271-2014）表2.新建锅炉大气污染物排放浓度限值要求。各场站无组织排放的硫化氢满足《恶臭污染物排放标准》（GB14554-93）表1恶臭污染物厂界标准值新扩改建项目二级标准</w:t>
      </w:r>
      <w:r>
        <w:rPr>
          <w:rFonts w:hint="eastAsia" w:cs="Times New Roman"/>
          <w:color w:val="auto"/>
          <w:spacing w:val="-4"/>
          <w:sz w:val="24"/>
          <w:szCs w:val="24"/>
          <w:highlight w:val="none"/>
          <w:lang w:val="en-US" w:eastAsia="zh-CN"/>
        </w:rPr>
        <w:t>；</w:t>
      </w:r>
      <w:r>
        <w:rPr>
          <w:rFonts w:hint="default" w:ascii="Times New Roman" w:hAnsi="Times New Roman" w:eastAsia="宋体" w:cs="Times New Roman"/>
          <w:color w:val="auto"/>
          <w:spacing w:val="-4"/>
          <w:sz w:val="24"/>
          <w:szCs w:val="24"/>
          <w:highlight w:val="none"/>
          <w:lang w:val="en-US" w:eastAsia="zh-CN"/>
        </w:rPr>
        <w:t>无组织排放</w:t>
      </w:r>
      <w:r>
        <w:rPr>
          <w:rFonts w:hint="eastAsia" w:cs="Times New Roman"/>
          <w:color w:val="auto"/>
          <w:spacing w:val="-4"/>
          <w:sz w:val="24"/>
          <w:szCs w:val="24"/>
          <w:highlight w:val="none"/>
          <w:lang w:val="en-US" w:eastAsia="zh-CN"/>
        </w:rPr>
        <w:t>非甲烷总烃</w:t>
      </w:r>
      <w:r>
        <w:rPr>
          <w:rFonts w:hint="default" w:ascii="Times New Roman" w:hAnsi="Times New Roman" w:eastAsia="宋体" w:cs="Times New Roman"/>
          <w:color w:val="auto"/>
          <w:spacing w:val="-4"/>
          <w:sz w:val="24"/>
          <w:szCs w:val="24"/>
          <w:highlight w:val="none"/>
          <w:lang w:val="en-US" w:eastAsia="zh-CN"/>
        </w:rPr>
        <w:t>满足《陆上石油天然气开采工业大气污染物排放标准》（GB39728-2020）中边界污染物控制要求。说明加热炉有组织废气污染防治措施、各站场无组织废气污染防治措施基本适用、有效，废气污染防治措施均基本按照环评及批复意见落实。</w:t>
      </w:r>
    </w:p>
    <w:p w14:paraId="18C3FC0D">
      <w:pPr>
        <w:pStyle w:val="12"/>
        <w:keepNext w:val="0"/>
        <w:keepLines w:val="0"/>
        <w:pageBreakBefore w:val="0"/>
        <w:numPr>
          <w:ilvl w:val="0"/>
          <w:numId w:val="0"/>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（2）</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区</w:t>
      </w:r>
    </w:p>
    <w:p w14:paraId="01953E2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根据现场调查，塔河油田10区内现有的各井场采出原油集输基本实现了密闭集输工艺，选用先进的生产工艺及设备，在正常生产情况下尽可能地减少非甲烷总烃逸散排放。运营期站场、井场加热炉燃用处理后的返输天然气，从运行现状情况看，天然气气质稳定，各设备运行正常，排放废气中各项污染物浓度较低。</w:t>
      </w:r>
    </w:p>
    <w:p w14:paraId="2173AE5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塔河油田10区环境影响后评价阶段监测的结果显示，站场及井场加热炉烟气排放满足《锅炉大气污染物排放标准》（GB13271-2014）表2新建锅炉大气污染物排放浓度限值要求；各场站无组织排放的硫化氢满足《恶臭污染物排放标准》（GB14554-93）表1恶臭污染物厂界标准值新扩改建项目二级标准；无组织排放非甲烷总烃满足《陆上石油天然气开采工业大气污染物排放标准》（GB39728-2020）中边界污染物控制要求。说明加热炉有组织废气污染防治措施、各站场无组织废气污染防治措施基本适用、有效，废气污染防治措施均基本按照环评及批复意见落实。</w:t>
      </w:r>
    </w:p>
    <w:p w14:paraId="7EF8FED5">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后评价阶段对塔河油田10区环境空气质量进行了监测，并且收集了往年环评报告中的监测数据、例行监测数据及评价时段内的环境空气监测数据，针对主要监测因子进行统计分析，区域大气环境质量未发生明显变化，除PM</w:t>
      </w:r>
      <w:r>
        <w:rPr>
          <w:rFonts w:hint="default" w:ascii="Times New Roman" w:hAnsi="Times New Roman" w:eastAsia="宋体" w:cs="Times New Roman"/>
          <w:color w:val="auto"/>
          <w:spacing w:val="-4"/>
          <w:sz w:val="24"/>
          <w:szCs w:val="24"/>
          <w:highlight w:val="none"/>
          <w:vertAlign w:val="subscript"/>
          <w:lang w:val="en-US" w:eastAsia="zh-CN"/>
        </w:rPr>
        <w:t>10</w:t>
      </w:r>
      <w:r>
        <w:rPr>
          <w:rFonts w:hint="default" w:ascii="Times New Roman" w:hAnsi="Times New Roman" w:eastAsia="宋体" w:cs="Times New Roman"/>
          <w:color w:val="auto"/>
          <w:spacing w:val="-4"/>
          <w:sz w:val="24"/>
          <w:szCs w:val="24"/>
          <w:highlight w:val="none"/>
          <w:lang w:val="en-US" w:eastAsia="zh-CN"/>
        </w:rPr>
        <w:t>、PM</w:t>
      </w:r>
      <w:r>
        <w:rPr>
          <w:rFonts w:hint="default" w:ascii="Times New Roman" w:hAnsi="Times New Roman" w:eastAsia="宋体" w:cs="Times New Roman"/>
          <w:color w:val="auto"/>
          <w:spacing w:val="-4"/>
          <w:sz w:val="24"/>
          <w:szCs w:val="24"/>
          <w:highlight w:val="none"/>
          <w:vertAlign w:val="subscript"/>
          <w:lang w:val="en-US" w:eastAsia="zh-CN"/>
        </w:rPr>
        <w:t>2.5</w:t>
      </w:r>
      <w:r>
        <w:rPr>
          <w:rFonts w:hint="default" w:ascii="Times New Roman" w:hAnsi="Times New Roman" w:eastAsia="宋体" w:cs="Times New Roman"/>
          <w:color w:val="auto"/>
          <w:spacing w:val="-4"/>
          <w:sz w:val="24"/>
          <w:szCs w:val="24"/>
          <w:highlight w:val="none"/>
          <w:lang w:val="en-US" w:eastAsia="zh-CN"/>
        </w:rPr>
        <w:t>超标外，其余指标均能满足《环境空气质量标准》（GB3095-2012）中二级标准要求，说明项目的建设和运行对区域环境空气质量影响不大。</w:t>
      </w:r>
    </w:p>
    <w:p w14:paraId="07C3A758">
      <w:pPr>
        <w:pStyle w:val="13"/>
        <w:numPr>
          <w:ilvl w:val="0"/>
          <w:numId w:val="0"/>
        </w:numPr>
        <w:outlineLvl w:val="3"/>
        <w:rPr>
          <w:rFonts w:hint="default" w:ascii="Times New Roman" w:hAnsi="Times New Roman" w:eastAsia="宋体" w:cs="Times New Roman"/>
          <w:b/>
          <w:bCs/>
          <w:snapToGrid w:val="0"/>
          <w:color w:val="auto"/>
          <w:kern w:val="0"/>
          <w:sz w:val="24"/>
          <w:szCs w:val="21"/>
          <w:highlight w:val="none"/>
          <w:lang w:val="en-US" w:eastAsia="zh-CN" w:bidi="ar-SA"/>
        </w:rPr>
      </w:pPr>
      <w:r>
        <w:rPr>
          <w:rFonts w:hint="default" w:ascii="Times New Roman" w:hAnsi="Times New Roman" w:eastAsia="宋体" w:cs="Times New Roman"/>
          <w:b/>
          <w:bCs/>
          <w:snapToGrid w:val="0"/>
          <w:color w:val="auto"/>
          <w:kern w:val="0"/>
          <w:sz w:val="24"/>
          <w:szCs w:val="21"/>
          <w:highlight w:val="none"/>
          <w:lang w:val="en-US" w:eastAsia="zh-CN" w:bidi="ar-SA"/>
        </w:rPr>
        <w:t>3.1.</w:t>
      </w:r>
      <w:r>
        <w:rPr>
          <w:rFonts w:hint="default" w:ascii="Times New Roman" w:hAnsi="Times New Roman" w:cs="Times New Roman"/>
          <w:b/>
          <w:bCs/>
          <w:snapToGrid w:val="0"/>
          <w:color w:val="auto"/>
          <w:kern w:val="0"/>
          <w:sz w:val="24"/>
          <w:szCs w:val="21"/>
          <w:highlight w:val="none"/>
          <w:lang w:val="en-US" w:eastAsia="zh-CN" w:bidi="ar-SA"/>
        </w:rPr>
        <w:t>3</w:t>
      </w:r>
      <w:r>
        <w:rPr>
          <w:rFonts w:hint="default" w:ascii="Times New Roman" w:hAnsi="Times New Roman" w:eastAsia="宋体" w:cs="Times New Roman"/>
          <w:b/>
          <w:bCs/>
          <w:snapToGrid w:val="0"/>
          <w:color w:val="auto"/>
          <w:kern w:val="0"/>
          <w:sz w:val="24"/>
          <w:szCs w:val="21"/>
          <w:highlight w:val="none"/>
          <w:lang w:val="en-US" w:eastAsia="zh-CN" w:bidi="ar-SA"/>
        </w:rPr>
        <w:t>.4声环境影响回顾评价</w:t>
      </w:r>
    </w:p>
    <w:p w14:paraId="69E4D793">
      <w:pPr>
        <w:pStyle w:val="12"/>
        <w:keepNext w:val="0"/>
        <w:keepLines w:val="0"/>
        <w:pageBreakBefore w:val="0"/>
        <w:numPr>
          <w:ilvl w:val="0"/>
          <w:numId w:val="0"/>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（1）</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区</w:t>
      </w:r>
    </w:p>
    <w:p w14:paraId="762CC5B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区域油田钻井过程中所产生的噪声会对周围一定区域内造成影响。但随着距离的增大，钻井施工噪声有一定程度的衰减，钻井过程为临时性的，噪声源为不固定源，对局部环境的影响是暂时的，只在短时期对局部环境造成影响，待施工结束后这种影响也随之消失。</w:t>
      </w:r>
    </w:p>
    <w:p w14:paraId="2E67F66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塔河油田8区内油气开发活动产生的噪声主要来自井场、计转站的各类机泵。塔河油田8区环境影响后评价阶段监测的结果显示，区域内井场、计转站等厂界噪声均满足《工业企业厂界噪声排放标准》（GB12348-2008）中2类标准值。因此从声环境影响角度，区块开发建设可行，在采取有效声污染防治措施后不会导致所在区域声环境质量超出相应功能区要求。</w:t>
      </w:r>
    </w:p>
    <w:p w14:paraId="38A29A98">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840" w:leftChars="200" w:hanging="360" w:firstLineChars="0"/>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（2）</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区</w:t>
      </w:r>
    </w:p>
    <w:p w14:paraId="5E72C811">
      <w:pPr>
        <w:pStyle w:val="13"/>
        <w:numPr>
          <w:ilvl w:val="0"/>
          <w:numId w:val="0"/>
        </w:numPr>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根据收集往年环评报告中的监测数据，区域噪声影响较小。各监测点昼、夜监测值均低于《声环境质量标准》（GB3095-2008）2类标准值，表明区内声环境质量现状良好，满足所在功能区的要求，未发生明显变化。</w:t>
      </w:r>
    </w:p>
    <w:p w14:paraId="34BC014F">
      <w:pPr>
        <w:pStyle w:val="13"/>
        <w:numPr>
          <w:ilvl w:val="0"/>
          <w:numId w:val="0"/>
        </w:numPr>
        <w:outlineLvl w:val="3"/>
        <w:rPr>
          <w:rFonts w:hint="default" w:ascii="Times New Roman" w:hAnsi="Times New Roman" w:eastAsia="宋体" w:cs="Times New Roman"/>
          <w:b/>
          <w:bCs/>
          <w:snapToGrid w:val="0"/>
          <w:color w:val="auto"/>
          <w:kern w:val="0"/>
          <w:sz w:val="24"/>
          <w:szCs w:val="21"/>
          <w:highlight w:val="none"/>
          <w:lang w:val="en-US" w:eastAsia="zh-CN" w:bidi="ar-SA"/>
        </w:rPr>
      </w:pPr>
      <w:r>
        <w:rPr>
          <w:rFonts w:hint="default" w:ascii="Times New Roman" w:hAnsi="Times New Roman" w:eastAsia="宋体" w:cs="Times New Roman"/>
          <w:b/>
          <w:bCs/>
          <w:snapToGrid w:val="0"/>
          <w:color w:val="auto"/>
          <w:kern w:val="0"/>
          <w:sz w:val="24"/>
          <w:szCs w:val="21"/>
          <w:highlight w:val="none"/>
          <w:lang w:val="en-US" w:eastAsia="zh-CN" w:bidi="ar-SA"/>
        </w:rPr>
        <w:t>3.1.</w:t>
      </w:r>
      <w:r>
        <w:rPr>
          <w:rFonts w:hint="default" w:ascii="Times New Roman" w:hAnsi="Times New Roman" w:cs="Times New Roman"/>
          <w:b/>
          <w:bCs/>
          <w:snapToGrid w:val="0"/>
          <w:color w:val="auto"/>
          <w:kern w:val="0"/>
          <w:sz w:val="24"/>
          <w:szCs w:val="21"/>
          <w:highlight w:val="none"/>
          <w:lang w:val="en-US" w:eastAsia="zh-CN" w:bidi="ar-SA"/>
        </w:rPr>
        <w:t>3</w:t>
      </w:r>
      <w:r>
        <w:rPr>
          <w:rFonts w:hint="default" w:ascii="Times New Roman" w:hAnsi="Times New Roman" w:eastAsia="宋体" w:cs="Times New Roman"/>
          <w:b/>
          <w:bCs/>
          <w:snapToGrid w:val="0"/>
          <w:color w:val="auto"/>
          <w:kern w:val="0"/>
          <w:sz w:val="24"/>
          <w:szCs w:val="21"/>
          <w:highlight w:val="none"/>
          <w:lang w:val="en-US" w:eastAsia="zh-CN" w:bidi="ar-SA"/>
        </w:rPr>
        <w:t>.5固体废物环境影响回顾评价</w:t>
      </w:r>
    </w:p>
    <w:p w14:paraId="59F82B8B">
      <w:pPr>
        <w:pStyle w:val="12"/>
        <w:keepNext w:val="0"/>
        <w:keepLines w:val="0"/>
        <w:pageBreakBefore w:val="0"/>
        <w:numPr>
          <w:ilvl w:val="0"/>
          <w:numId w:val="0"/>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（1）</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区</w:t>
      </w:r>
    </w:p>
    <w:p w14:paraId="6C966A94">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固体废物产生源主要为施工期的钻井废弃物、生活垃圾；运营期主要</w:t>
      </w:r>
      <w:r>
        <w:rPr>
          <w:rFonts w:hint="eastAsia" w:cs="Times New Roman"/>
          <w:color w:val="auto"/>
          <w:spacing w:val="-4"/>
          <w:sz w:val="24"/>
          <w:szCs w:val="24"/>
          <w:highlight w:val="none"/>
          <w:lang w:val="en-US" w:eastAsia="zh-CN"/>
        </w:rPr>
        <w:t>来自</w:t>
      </w:r>
      <w:r>
        <w:rPr>
          <w:rFonts w:hint="default" w:ascii="Times New Roman" w:hAnsi="Times New Roman" w:eastAsia="宋体" w:cs="Times New Roman"/>
          <w:color w:val="auto"/>
          <w:spacing w:val="-4"/>
          <w:sz w:val="24"/>
          <w:szCs w:val="24"/>
          <w:highlight w:val="none"/>
          <w:lang w:val="en-US" w:eastAsia="zh-CN"/>
        </w:rPr>
        <w:t>集输过程中产生的含油污泥及废矿物油，还有少部分的生活垃圾、废机油。钻井废弃物影响集中在井场内，各阶段均按照相关的环保规范进行了管理，现场未发现废弃泥浆遗留。钻井泥浆经处理后其泥饼浸出液均可达到《油气田含油污泥及钻井固体废物处理处置技术规范》（</w:t>
      </w:r>
      <w:r>
        <w:rPr>
          <w:rFonts w:hint="default" w:ascii="Times New Roman" w:hAnsi="Times New Roman" w:cs="Times New Roman"/>
          <w:color w:val="auto"/>
          <w:spacing w:val="-4"/>
          <w:sz w:val="24"/>
          <w:szCs w:val="24"/>
          <w:highlight w:val="none"/>
          <w:lang w:val="en-US" w:eastAsia="zh-CN"/>
        </w:rPr>
        <w:t>DB65/T3999-2017</w:t>
      </w:r>
      <w:r>
        <w:rPr>
          <w:rFonts w:hint="default" w:ascii="Times New Roman" w:hAnsi="Times New Roman" w:eastAsia="宋体" w:cs="Times New Roman"/>
          <w:color w:val="auto"/>
          <w:spacing w:val="-4"/>
          <w:sz w:val="24"/>
          <w:szCs w:val="24"/>
          <w:highlight w:val="none"/>
          <w:lang w:val="en-US" w:eastAsia="zh-CN"/>
        </w:rPr>
        <w:t>）、《油气田钻井固体废物综合利用污染控制要求》（DB65/T3997-2017）标准中相应指标要求等国家及有关部门、地方相关标准和生态环境保护要求后，用于铺垫井场和井场道路。含油污泥及受浸土处置后的还原土，满足《陆上石油天然气开采含油污泥资源化综合利用及污染控制技术要求》（SY/T7301-2016）相关要求及《关于含油污泥处置有关事宜的通知》（新环办发〔2018〕20号）要求，可用于铺垫井场和井场道路。塔河油田8区、托甫台区生活垃圾定期由</w:t>
      </w:r>
      <w:r>
        <w:rPr>
          <w:rFonts w:hint="default" w:ascii="Times New Roman" w:hAnsi="Times New Roman" w:cs="Times New Roman"/>
          <w:color w:val="auto"/>
          <w:spacing w:val="-4"/>
          <w:sz w:val="24"/>
          <w:szCs w:val="24"/>
          <w:highlight w:val="none"/>
          <w:lang w:val="en-US" w:eastAsia="zh-CN"/>
        </w:rPr>
        <w:t>库车绿能环保科技有限公司</w:t>
      </w:r>
      <w:r>
        <w:rPr>
          <w:rFonts w:hint="default" w:ascii="Times New Roman" w:hAnsi="Times New Roman" w:eastAsia="宋体" w:cs="Times New Roman"/>
          <w:color w:val="auto"/>
          <w:spacing w:val="-4"/>
          <w:sz w:val="24"/>
          <w:szCs w:val="24"/>
          <w:highlight w:val="none"/>
          <w:lang w:val="en-US" w:eastAsia="zh-CN"/>
        </w:rPr>
        <w:t>负责拉运至</w:t>
      </w:r>
      <w:bookmarkStart w:id="208" w:name="OLE_LINK2"/>
      <w:r>
        <w:rPr>
          <w:rFonts w:hint="default" w:ascii="Times New Roman" w:hAnsi="Times New Roman" w:eastAsia="宋体" w:cs="Times New Roman"/>
          <w:color w:val="auto"/>
          <w:spacing w:val="-4"/>
          <w:sz w:val="24"/>
          <w:szCs w:val="24"/>
          <w:highlight w:val="none"/>
          <w:lang w:val="en-US" w:eastAsia="zh-CN"/>
        </w:rPr>
        <w:t>库车景胜新能源环保有限公司</w:t>
      </w:r>
      <w:bookmarkEnd w:id="208"/>
      <w:r>
        <w:rPr>
          <w:rFonts w:hint="default" w:ascii="Times New Roman" w:hAnsi="Times New Roman" w:eastAsia="宋体" w:cs="Times New Roman"/>
          <w:color w:val="auto"/>
          <w:spacing w:val="-4"/>
          <w:sz w:val="24"/>
          <w:szCs w:val="24"/>
          <w:highlight w:val="none"/>
          <w:lang w:val="en-US" w:eastAsia="zh-CN"/>
        </w:rPr>
        <w:t>阿克苏地区静脉产业园（东区）生活垃圾焚烧发电厂处置。根据现场调查，塔河油田8区、托甫台区在落地油处理中采取了有力的措施，井下作业必须带罐上岗，铺设作业，控制落地原油产生量，落地原油回收率为100%，统一收集后交由塔河油田绿色环保工作站进行处理。废机油一般来自机泵等机械设备维修、维护产生的润滑、更换机油，塔河油田采油三厂有专业的维修和检修队伍，维修检修期间自行综合利用或交第三方有资质单位处理。</w:t>
      </w:r>
    </w:p>
    <w:p w14:paraId="16E9584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总体来说，项目区内已有工程生产活动和生活产生的固体废物基本得到妥善地处置。</w:t>
      </w:r>
    </w:p>
    <w:p w14:paraId="20B813B4">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840" w:leftChars="200" w:hanging="360" w:firstLineChars="0"/>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SA"/>
        </w:rPr>
        <w:t>（2）</w:t>
      </w:r>
      <w:r>
        <w:rPr>
          <w:rFonts w:hint="default" w:ascii="Times New Roman" w:hAnsi="Times New Roman" w:eastAsia="宋体" w:cs="Times New Roman"/>
          <w:b/>
          <w:bCs/>
          <w:color w:val="auto"/>
          <w:sz w:val="24"/>
          <w:szCs w:val="24"/>
          <w:highlight w:val="none"/>
        </w:rPr>
        <w:t>塔河油田</w:t>
      </w:r>
      <w:r>
        <w:rPr>
          <w:rFonts w:hint="default" w:ascii="Times New Roman" w:hAnsi="Times New Roman"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区</w:t>
      </w:r>
    </w:p>
    <w:p w14:paraId="5E05C3C9">
      <w:pPr>
        <w:pStyle w:val="13"/>
        <w:numPr>
          <w:ilvl w:val="0"/>
          <w:numId w:val="0"/>
        </w:numPr>
        <w:ind w:firstLine="480" w:firstLineChars="200"/>
        <w:rPr>
          <w:rFonts w:hint="default" w:ascii="Times New Roman" w:hAnsi="Times New Roman" w:eastAsia="宋体" w:cs="Times New Roman"/>
          <w:b/>
          <w:bCs/>
          <w:color w:val="auto"/>
          <w:sz w:val="24"/>
          <w:szCs w:val="20"/>
          <w:highlight w:val="none"/>
          <w:lang w:val="en-US" w:eastAsia="zh-CN" w:bidi="ar-SA"/>
        </w:rPr>
      </w:pPr>
      <w:r>
        <w:rPr>
          <w:rFonts w:hint="default" w:ascii="Times New Roman" w:hAnsi="Times New Roman" w:cs="Times New Roman"/>
          <w:color w:val="auto"/>
          <w:highlight w:val="none"/>
          <w:lang w:val="en-US" w:eastAsia="zh-CN"/>
        </w:rPr>
        <w:t>固体废物产生源主要为施工期的钻井废弃物、生活垃圾；运营期</w:t>
      </w:r>
      <w:r>
        <w:rPr>
          <w:rFonts w:hint="eastAsia" w:cs="Times New Roman"/>
          <w:color w:val="auto"/>
          <w:highlight w:val="none"/>
          <w:lang w:val="en-US" w:eastAsia="zh-CN"/>
        </w:rPr>
        <w:t>主要</w:t>
      </w:r>
      <w:r>
        <w:rPr>
          <w:rFonts w:hint="default" w:ascii="Times New Roman" w:hAnsi="Times New Roman" w:cs="Times New Roman"/>
          <w:color w:val="auto"/>
          <w:highlight w:val="none"/>
          <w:lang w:val="en-US" w:eastAsia="zh-CN"/>
        </w:rPr>
        <w:t>来自于计转站以及集输过程中产生的含油污泥及废矿物油，还有少部分的生活垃圾、废机油。钻井废弃物影响集中在井场内，未发现废弃钻井泥浆和钻井岩屑对周围环境产生重大影响。钻井泥浆经处理后其泥饼浸出液均可达到《油气田含油污泥及钻井固体废物处理处置技术规范》（DB65/T3999-2017）、《油气田钻井固体废物综合利用污染控制要求》（DB65/T3997-2017）标准中相应指标要求等国家及有关部门、地方相关标准和生态环境保护要求后，用于铺垫井场和井场道路。含油污泥及受浸土处置后的还原土，满足《陆上石油天然气开采含油污泥资源化综合利用及污染控制技术要求》（SY/T7301-2016）相关要求及《关于含油污泥处置有关事宜的通知》（新环办发〔2018〕20号）要求，可用于铺垫井场和井场道路。总体来说，10区内生产活动和生活产生的固体废物基本得到妥善</w:t>
      </w:r>
      <w:r>
        <w:rPr>
          <w:rFonts w:hint="eastAsia" w:cs="Times New Roman"/>
          <w:color w:val="auto"/>
          <w:highlight w:val="none"/>
          <w:lang w:val="en-US" w:eastAsia="zh-CN"/>
        </w:rPr>
        <w:t>地</w:t>
      </w:r>
      <w:r>
        <w:rPr>
          <w:rFonts w:hint="default" w:ascii="Times New Roman" w:hAnsi="Times New Roman" w:cs="Times New Roman"/>
          <w:color w:val="auto"/>
          <w:highlight w:val="none"/>
          <w:lang w:val="en-US" w:eastAsia="zh-CN"/>
        </w:rPr>
        <w:t>处置，没有对周围环境产生重大不利影响。</w:t>
      </w:r>
    </w:p>
    <w:p w14:paraId="700E8A1F">
      <w:pPr>
        <w:pStyle w:val="13"/>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imes New Roman" w:hAnsi="Times New Roman" w:eastAsia="宋体" w:cs="Times New Roman"/>
          <w:b/>
          <w:bCs/>
          <w:snapToGrid w:val="0"/>
          <w:color w:val="auto"/>
          <w:kern w:val="0"/>
          <w:sz w:val="24"/>
          <w:szCs w:val="21"/>
          <w:highlight w:val="none"/>
          <w:lang w:val="en-US" w:eastAsia="zh-CN" w:bidi="ar-SA"/>
        </w:rPr>
      </w:pPr>
      <w:r>
        <w:rPr>
          <w:rFonts w:hint="default" w:ascii="Times New Roman" w:hAnsi="Times New Roman" w:eastAsia="宋体" w:cs="Times New Roman"/>
          <w:b/>
          <w:bCs/>
          <w:snapToGrid w:val="0"/>
          <w:color w:val="auto"/>
          <w:kern w:val="0"/>
          <w:sz w:val="24"/>
          <w:szCs w:val="21"/>
          <w:highlight w:val="none"/>
          <w:lang w:val="en-US" w:eastAsia="zh-CN" w:bidi="ar-SA"/>
        </w:rPr>
        <w:t>3.1.</w:t>
      </w:r>
      <w:r>
        <w:rPr>
          <w:rFonts w:hint="default" w:ascii="Times New Roman" w:hAnsi="Times New Roman" w:cs="Times New Roman"/>
          <w:b/>
          <w:bCs/>
          <w:snapToGrid w:val="0"/>
          <w:color w:val="auto"/>
          <w:kern w:val="0"/>
          <w:sz w:val="24"/>
          <w:szCs w:val="21"/>
          <w:highlight w:val="none"/>
          <w:lang w:val="en-US" w:eastAsia="zh-CN" w:bidi="ar-SA"/>
        </w:rPr>
        <w:t>3</w:t>
      </w:r>
      <w:r>
        <w:rPr>
          <w:rFonts w:hint="default" w:ascii="Times New Roman" w:hAnsi="Times New Roman" w:eastAsia="宋体" w:cs="Times New Roman"/>
          <w:b/>
          <w:bCs/>
          <w:snapToGrid w:val="0"/>
          <w:color w:val="auto"/>
          <w:kern w:val="0"/>
          <w:sz w:val="24"/>
          <w:szCs w:val="21"/>
          <w:highlight w:val="none"/>
          <w:lang w:val="en-US" w:eastAsia="zh-CN" w:bidi="ar-SA"/>
        </w:rPr>
        <w:t>.5环境风险回顾</w:t>
      </w:r>
    </w:p>
    <w:p w14:paraId="0D2FC522">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塔河油田生产过程中的风险物质主要包括原油、天然气等，可能发生的风险事故主要为钻井过程中发生的原油泄漏（包括井喷）；油气集输和储运过程中的原油、采出污水的泄漏。</w:t>
      </w:r>
    </w:p>
    <w:p w14:paraId="1CACFE88">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调查，塔河油田至今未发生过井喷事故及管道全管径断裂事故，因管道及设备腐蚀老化发生泄漏事故，事故发生后，采取了有效的环境风险防范和应急措施，使危害影响范围减小到最低程度，未对周边产生较大的影响。</w:t>
      </w:r>
    </w:p>
    <w:p w14:paraId="3CF326F2">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本次对油田环境风险防范措施进行了调查，具体如下：</w:t>
      </w:r>
    </w:p>
    <w:p w14:paraId="1600C618">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（1）钻井、井下作业事故风险预防措施</w:t>
      </w:r>
    </w:p>
    <w:p w14:paraId="5BA0D4FF">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①设计、生产中采取有效预防措施，严格遵守钻井、井下作业的安全规定，在井口安装防喷器和控制装置，杜绝井喷的发生。</w:t>
      </w:r>
    </w:p>
    <w:p w14:paraId="478802B3">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②井场设置明显的禁止烟火标志，井场钻井设备及电气设备、照明灯具符合防火防爆的安全要求，井场安装探照灯，以备井喷时钻台照明。</w:t>
      </w:r>
    </w:p>
    <w:p w14:paraId="227DC99D">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③按消防规定配备泡沫灭火器、干粉灭火器、消防铁锹和其他消防器材。</w:t>
      </w:r>
    </w:p>
    <w:p w14:paraId="068DFD38">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④井下作业之前，在井场周围划分高压区和低压区，高压泵、高压汇管、井口装置等高压设备均布置于高压区内，施工过程中，高压区无关人员全部撤离，并设置安全警戒岗。</w:t>
      </w:r>
    </w:p>
    <w:p w14:paraId="17ABC901">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⑤每一次井下作业施工前，必须对高压汇管进行试压，试压压力大于施工压力5MPa，施工后探伤，更换不符合要求的汇管。</w:t>
      </w:r>
    </w:p>
    <w:p w14:paraId="0282F5B1">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（2）油气集输事故风险预防措施</w:t>
      </w:r>
    </w:p>
    <w:p w14:paraId="740C3D95">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①严格按照管道施工、验收等规范进行设计、施工和验收。</w:t>
      </w:r>
    </w:p>
    <w:p w14:paraId="569D678E">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②集输管线敷设前，对管材和焊接质量检查，严禁使用不合格产品。对焊接质量严格检验，防止焊接缺陷造成泄漏事故的发生。</w:t>
      </w:r>
    </w:p>
    <w:p w14:paraId="7869EFC8">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③在集输管线的敷设线路上设置永久性标志，包括里程桩、转角桩、交叉标志和警示牌等。</w:t>
      </w:r>
    </w:p>
    <w:p w14:paraId="5C69EF3C">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④按规定进行设备维修、保养，及时更换易损及老化部件，防止油气泄漏事故的发生。</w:t>
      </w:r>
    </w:p>
    <w:p w14:paraId="5D4151F1">
      <w:pPr>
        <w:pStyle w:val="1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⑤在集输系统运营期间，严格控制输送介质的性质，定期清管，排除管内的积水和污物，以减轻管道内腐蚀；定期对管线进行</w:t>
      </w:r>
      <w:r>
        <w:rPr>
          <w:rFonts w:hint="eastAsia" w:cs="Times New Roman"/>
          <w:color w:val="auto"/>
          <w:highlight w:val="none"/>
          <w:lang w:val="en-US" w:eastAsia="zh-CN"/>
        </w:rPr>
        <w:t>超声检查</w:t>
      </w:r>
      <w:r>
        <w:rPr>
          <w:rFonts w:hint="default" w:ascii="Times New Roman" w:hAnsi="Times New Roman" w:cs="Times New Roman"/>
          <w:color w:val="auto"/>
          <w:highlight w:val="none"/>
          <w:lang w:val="en-US" w:eastAsia="zh-CN"/>
        </w:rPr>
        <w:t>，对壁厚低于规定要求的管段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14:paraId="1BA41E8C">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⑥定期对管线进行巡视，加强管线和</w:t>
      </w:r>
      <w:r>
        <w:rPr>
          <w:rFonts w:hint="eastAsia" w:cs="Times New Roman"/>
          <w:color w:val="auto"/>
          <w:highlight w:val="none"/>
          <w:lang w:val="en-US" w:eastAsia="zh-CN"/>
        </w:rPr>
        <w:t>警示标志</w:t>
      </w:r>
      <w:r>
        <w:rPr>
          <w:rFonts w:hint="default" w:ascii="Times New Roman" w:hAnsi="Times New Roman" w:cs="Times New Roman"/>
          <w:color w:val="auto"/>
          <w:highlight w:val="none"/>
          <w:lang w:val="en-US" w:eastAsia="zh-CN"/>
        </w:rPr>
        <w:t>的管理工作。</w:t>
      </w:r>
    </w:p>
    <w:p w14:paraId="08423C79">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（3）站场事故风险预防措施</w:t>
      </w:r>
    </w:p>
    <w:p w14:paraId="0AEAF1E8">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①在建、构筑物区域内设置接地装置，工艺设备、塔、架等设置防静电接地装置；变压器等采用避雷器作为防雷保护。</w:t>
      </w:r>
    </w:p>
    <w:p w14:paraId="33C86EA7">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②站场内的装置区、泵房等均为爆炸火灾危险区域，区域内的配电设备均采用防爆型。</w:t>
      </w:r>
    </w:p>
    <w:p w14:paraId="134C438B">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③在可能产生易燃易爆介质泄漏的地方，设置可燃气体检测报警器，以便及时发现事故隐患。</w:t>
      </w:r>
    </w:p>
    <w:p w14:paraId="4C823E4A">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④站场设置自动化控制系统和紧急停车联锁系统，采用电脑</w:t>
      </w:r>
      <w:r>
        <w:rPr>
          <w:rFonts w:hint="eastAsia" w:cs="Times New Roman"/>
          <w:color w:val="auto"/>
          <w:highlight w:val="none"/>
          <w:lang w:val="en-US" w:eastAsia="zh-CN"/>
        </w:rPr>
        <w:t>自动检测</w:t>
      </w:r>
      <w:r>
        <w:rPr>
          <w:rFonts w:hint="default" w:ascii="Times New Roman" w:hAnsi="Times New Roman" w:cs="Times New Roman"/>
          <w:color w:val="auto"/>
          <w:highlight w:val="none"/>
          <w:lang w:val="en-US" w:eastAsia="zh-CN"/>
        </w:rPr>
        <w:t>和报警机制。</w:t>
      </w:r>
    </w:p>
    <w:p w14:paraId="5FA9BCEA">
      <w:pPr>
        <w:pStyle w:val="6"/>
        <w:keepNext/>
        <w:keepLines/>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eastAsia="宋体" w:cs="Times New Roman"/>
          <w:b/>
          <w:bCs/>
          <w:snapToGrid w:val="0"/>
          <w:color w:val="auto"/>
          <w:kern w:val="0"/>
          <w:sz w:val="24"/>
          <w:szCs w:val="21"/>
          <w:highlight w:val="none"/>
          <w:lang w:val="en-US" w:eastAsia="zh-CN" w:bidi="ar-SA"/>
        </w:rPr>
      </w:pPr>
      <w:bookmarkStart w:id="209" w:name="_Toc380"/>
      <w:bookmarkStart w:id="210" w:name="_Toc427"/>
      <w:r>
        <w:rPr>
          <w:rFonts w:hint="default" w:ascii="Times New Roman" w:hAnsi="Times New Roman" w:cs="Times New Roman"/>
          <w:b/>
          <w:bCs/>
          <w:color w:val="auto"/>
          <w:sz w:val="28"/>
          <w:szCs w:val="28"/>
          <w:highlight w:val="none"/>
        </w:rPr>
        <w:t>3.1.</w:t>
      </w:r>
      <w:r>
        <w:rPr>
          <w:rFonts w:hint="default" w:ascii="Times New Roman" w:hAnsi="Times New Roman" w:cs="Times New Roman"/>
          <w:b/>
          <w:bCs/>
          <w:color w:val="auto"/>
          <w:sz w:val="28"/>
          <w:szCs w:val="28"/>
          <w:highlight w:val="none"/>
          <w:lang w:val="en-US" w:eastAsia="zh-CN"/>
        </w:rPr>
        <w:t>4</w:t>
      </w:r>
      <w:bookmarkEnd w:id="209"/>
      <w:bookmarkEnd w:id="210"/>
      <w:r>
        <w:rPr>
          <w:rFonts w:hint="default" w:ascii="Times New Roman" w:hAnsi="Times New Roman" w:cs="Times New Roman"/>
          <w:b/>
          <w:bCs/>
          <w:color w:val="auto"/>
          <w:sz w:val="28"/>
          <w:szCs w:val="28"/>
          <w:highlight w:val="none"/>
          <w:lang w:val="en-US" w:eastAsia="zh-CN"/>
        </w:rPr>
        <w:t>排污许可衔接情况</w:t>
      </w:r>
    </w:p>
    <w:p w14:paraId="6688D1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从</w:t>
      </w:r>
      <w:r>
        <w:rPr>
          <w:rFonts w:hint="eastAsia" w:cs="Times New Roman"/>
          <w:color w:val="auto"/>
          <w:highlight w:val="none"/>
          <w:lang w:val="en-US" w:eastAsia="zh-CN"/>
        </w:rPr>
        <w:t>现场</w:t>
      </w:r>
      <w:r>
        <w:rPr>
          <w:rFonts w:hint="default" w:ascii="Times New Roman" w:hAnsi="Times New Roman" w:cs="Times New Roman"/>
          <w:color w:val="auto"/>
          <w:highlight w:val="none"/>
        </w:rPr>
        <w:t>调查及收集资料可以看出，</w:t>
      </w:r>
      <w:r>
        <w:rPr>
          <w:rFonts w:hint="default" w:ascii="Times New Roman" w:hAnsi="Times New Roman" w:cs="Times New Roman"/>
          <w:color w:val="auto"/>
          <w:highlight w:val="none"/>
          <w:lang w:val="en-US" w:eastAsia="zh-CN"/>
        </w:rPr>
        <w:t>采油三厂</w:t>
      </w:r>
      <w:r>
        <w:rPr>
          <w:rFonts w:hint="default" w:ascii="Times New Roman" w:hAnsi="Times New Roman" w:cs="Times New Roman"/>
          <w:color w:val="auto"/>
          <w:highlight w:val="none"/>
        </w:rPr>
        <w:t>基本能做到排污口规范化。固体废物、危险废物贮存场所均设置有标志牌，废气排放口、噪声排放口规范化管理较规范，废气监测口的设置、噪声排放口标志牌设置符合国家和自治区的相关要求进行规范管理，并自行开展了相关监测。采油三厂按照《固定污染源排污许可分类管理名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2019版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》规定的范围，已对加热炉等固定污染源办理了排污许可证。根据《排污口规范化整治技术要求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1996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470号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、《＜环境保护图形标志</w:t>
      </w:r>
      <w:r>
        <w:rPr>
          <w:rFonts w:hint="eastAsia" w:cs="Times New Roman"/>
          <w:color w:val="auto"/>
          <w:highlight w:val="none"/>
          <w:lang w:eastAsia="zh-CN"/>
        </w:rPr>
        <w:t>〉</w:t>
      </w:r>
      <w:r>
        <w:rPr>
          <w:rFonts w:hint="default" w:ascii="Times New Roman" w:hAnsi="Times New Roman" w:cs="Times New Roman"/>
          <w:color w:val="auto"/>
          <w:highlight w:val="none"/>
        </w:rPr>
        <w:t>实施细则》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1996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463号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、《排污单位自行监测技术指南总则》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HJ819-2017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、《排污单位自行监测技术指南陆上石油天然气开采工业》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HJ1248-2022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采油三厂</w:t>
      </w:r>
      <w:r>
        <w:rPr>
          <w:rFonts w:hint="default" w:ascii="Times New Roman" w:hAnsi="Times New Roman" w:cs="Times New Roman"/>
          <w:color w:val="auto"/>
          <w:highlight w:val="none"/>
        </w:rPr>
        <w:t>进一步建立完善了自行监测制度及排污口规范化管理制度。</w:t>
      </w:r>
      <w:r>
        <w:rPr>
          <w:rFonts w:hint="default" w:ascii="Times New Roman" w:hAnsi="Times New Roman" w:cs="Times New Roman"/>
          <w:color w:val="auto"/>
          <w:highlight w:val="none"/>
          <w:lang w:val="en-US" w:eastAsia="zh-CN"/>
        </w:rPr>
        <w:t>采油三厂</w:t>
      </w:r>
      <w:r>
        <w:rPr>
          <w:rFonts w:hint="eastAsia" w:cs="Times New Roman"/>
          <w:color w:val="auto"/>
          <w:highlight w:val="none"/>
          <w:lang w:val="en-US" w:eastAsia="zh-CN"/>
        </w:rPr>
        <w:t>排污许可</w:t>
      </w:r>
      <w:r>
        <w:rPr>
          <w:rFonts w:hint="default" w:ascii="Times New Roman" w:hAnsi="Times New Roman" w:cs="Times New Roman"/>
          <w:color w:val="auto"/>
          <w:highlight w:val="none"/>
        </w:rPr>
        <w:t>登记编号：91650000742248144Q084U</w:t>
      </w:r>
      <w:r>
        <w:rPr>
          <w:rFonts w:hint="default" w:ascii="Times New Roman" w:hAnsi="Times New Roman" w:cs="Times New Roman"/>
          <w:color w:val="auto"/>
          <w:highlight w:val="none"/>
          <w:lang w:eastAsia="zh-CN"/>
        </w:rPr>
        <w:t>。</w:t>
      </w:r>
    </w:p>
    <w:p w14:paraId="264653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随着国家、自治区环境管理要求的提高，</w:t>
      </w:r>
      <w:r>
        <w:rPr>
          <w:rFonts w:hint="default" w:ascii="Times New Roman" w:hAnsi="Times New Roman" w:cs="Times New Roman"/>
          <w:color w:val="auto"/>
          <w:highlight w:val="none"/>
          <w:lang w:val="en-US" w:eastAsia="zh-CN"/>
        </w:rPr>
        <w:t>采油三厂</w:t>
      </w:r>
      <w:r>
        <w:rPr>
          <w:rFonts w:hint="default" w:ascii="Times New Roman" w:hAnsi="Times New Roman" w:cs="Times New Roman"/>
          <w:color w:val="auto"/>
          <w:highlight w:val="none"/>
        </w:rPr>
        <w:t>围绕QHSE制度体系，逐步健全了环境保护法律法规汇编、建设项目环境管理、污染防治设施运行管理、固体废弃物处置利用管理、环境安全隐患治理与风险管控、环境管理依法合规情况检查与整改等环境管理档案。根据《环境保护档案管理规范环境监察</w:t>
      </w:r>
      <w:r>
        <w:rPr>
          <w:rFonts w:hint="eastAsia" w:cs="Times New Roman"/>
          <w:color w:val="auto"/>
          <w:highlight w:val="none"/>
          <w:lang w:eastAsia="zh-CN"/>
        </w:rPr>
        <w:t>》《</w:t>
      </w:r>
      <w:r>
        <w:rPr>
          <w:rFonts w:hint="default" w:ascii="Times New Roman" w:hAnsi="Times New Roman" w:cs="Times New Roman"/>
          <w:color w:val="auto"/>
          <w:highlight w:val="none"/>
        </w:rPr>
        <w:t>排污单位环境管理台账及排污许可证执行报告技术规范总则》，采油三厂建立并完善环境管理文件和档案管理制度，明确责任部门、人员、流程、形式、权限及各类环境管理档案及保存要求等，确保企业环境管理规章制度和操作规程编制、使用、评审、修订符合有关要求</w:t>
      </w:r>
      <w:r>
        <w:rPr>
          <w:rFonts w:hint="default" w:ascii="Times New Roman" w:hAnsi="Times New Roman" w:cs="Times New Roman"/>
          <w:color w:val="auto"/>
          <w:highlight w:val="none"/>
          <w:lang w:eastAsia="zh-CN"/>
        </w:rPr>
        <w:t>。</w:t>
      </w:r>
    </w:p>
    <w:p w14:paraId="2A39293D">
      <w:pPr>
        <w:pStyle w:val="6"/>
        <w:keepNext/>
        <w:keepLines/>
        <w:pageBreakBefore w:val="0"/>
        <w:widowControl w:val="0"/>
        <w:kinsoku/>
        <w:wordWrap/>
        <w:overflowPunct/>
        <w:topLinePunct w:val="0"/>
        <w:autoSpaceDE/>
        <w:autoSpaceDN/>
        <w:bidi w:val="0"/>
        <w:adjustRightInd w:val="0"/>
        <w:snapToGrid w:val="0"/>
        <w:spacing w:beforeLines="0" w:afterLines="0" w:line="360" w:lineRule="auto"/>
        <w:textAlignment w:val="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3.1.5</w:t>
      </w:r>
      <w:r>
        <w:rPr>
          <w:rFonts w:hint="eastAsia" w:ascii="Times New Roman" w:hAnsi="Times New Roman" w:cs="Times New Roman"/>
          <w:b/>
          <w:bCs/>
          <w:color w:val="auto"/>
          <w:sz w:val="28"/>
          <w:szCs w:val="28"/>
          <w:highlight w:val="none"/>
          <w:lang w:val="en-US" w:eastAsia="zh-CN"/>
        </w:rPr>
        <w:t>自行检测</w:t>
      </w:r>
      <w:r>
        <w:rPr>
          <w:rFonts w:hint="eastAsia" w:ascii="Times New Roman" w:hAnsi="Times New Roman" w:eastAsia="宋体" w:cs="Times New Roman"/>
          <w:b/>
          <w:bCs/>
          <w:color w:val="auto"/>
          <w:sz w:val="28"/>
          <w:szCs w:val="28"/>
          <w:highlight w:val="none"/>
          <w:lang w:val="en-US" w:eastAsia="zh-CN"/>
        </w:rPr>
        <w:t>情况</w:t>
      </w:r>
    </w:p>
    <w:p w14:paraId="2C57E5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塔河油田生产特征和污染物的排放特征，采油三厂依据《排污单位自行监测技术指南总则》(HJ819-2017)、《排污单位自行监测技术指南陆上石油天然气开采工业》(HJ1248-2022）及地方生态环境主管部门的要求开展自行监测工作，对辖区范围的采出水、生活污水、生产废水、回注水、受侵泥土、污油泥、泥浆不落地开展监督监测，锅炉、地下水和土壤外委协测。同时采油三厂对辖区内联合站、天然气处理厂每年开展VOCs泄漏密封点检测及修复工作，贯彻落实《新疆维吾尔自治区工业企业挥发性有机物泄漏检测与修复（LDAR）技术要求（试行）》，遵循了LDAR实施的技术要求，对减少环境污染，改善大气环境质量和减少企业物料损耗方面都具有良好的环境、经济和社会效益。</w:t>
      </w:r>
    </w:p>
    <w:p w14:paraId="4CDD5FB0">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bCs/>
          <w:snapToGrid w:val="0"/>
          <w:color w:val="auto"/>
          <w:kern w:val="0"/>
          <w:sz w:val="28"/>
          <w:szCs w:val="28"/>
          <w:highlight w:val="none"/>
          <w:lang w:val="en-US" w:eastAsia="zh-CN" w:bidi="ar-SA"/>
        </w:rPr>
      </w:pPr>
      <w:r>
        <w:rPr>
          <w:rFonts w:hint="default" w:ascii="Times New Roman" w:hAnsi="Times New Roman" w:eastAsia="宋体" w:cs="Times New Roman"/>
          <w:b/>
          <w:bCs/>
          <w:snapToGrid w:val="0"/>
          <w:color w:val="auto"/>
          <w:kern w:val="0"/>
          <w:sz w:val="28"/>
          <w:szCs w:val="28"/>
          <w:highlight w:val="none"/>
          <w:lang w:val="en-US" w:eastAsia="en-US" w:bidi="ar-SA"/>
        </w:rPr>
        <w:t>3.1.</w:t>
      </w:r>
      <w:r>
        <w:rPr>
          <w:rFonts w:hint="eastAsia" w:ascii="Times New Roman" w:hAnsi="Times New Roman" w:cs="Times New Roman"/>
          <w:b/>
          <w:bCs/>
          <w:snapToGrid w:val="0"/>
          <w:color w:val="auto"/>
          <w:kern w:val="0"/>
          <w:sz w:val="28"/>
          <w:szCs w:val="28"/>
          <w:highlight w:val="none"/>
          <w:lang w:val="en-US" w:eastAsia="zh-CN" w:bidi="ar-SA"/>
        </w:rPr>
        <w:t>6</w:t>
      </w:r>
      <w:r>
        <w:rPr>
          <w:rFonts w:hint="default" w:ascii="Times New Roman" w:hAnsi="Times New Roman" w:eastAsia="宋体" w:cs="Times New Roman"/>
          <w:b/>
          <w:bCs/>
          <w:snapToGrid w:val="0"/>
          <w:color w:val="auto"/>
          <w:kern w:val="0"/>
          <w:sz w:val="28"/>
          <w:szCs w:val="28"/>
          <w:highlight w:val="none"/>
          <w:lang w:val="en-US" w:eastAsia="en-US" w:bidi="ar-SA"/>
        </w:rPr>
        <w:t>环境管理</w:t>
      </w:r>
      <w:r>
        <w:rPr>
          <w:rFonts w:hint="default" w:ascii="Times New Roman" w:hAnsi="Times New Roman" w:eastAsia="宋体" w:cs="Times New Roman"/>
          <w:b/>
          <w:bCs/>
          <w:snapToGrid w:val="0"/>
          <w:color w:val="auto"/>
          <w:kern w:val="0"/>
          <w:sz w:val="28"/>
          <w:szCs w:val="28"/>
          <w:highlight w:val="none"/>
          <w:lang w:val="en-US" w:eastAsia="zh-CN" w:bidi="ar-SA"/>
        </w:rPr>
        <w:t>回顾</w:t>
      </w:r>
    </w:p>
    <w:p w14:paraId="0A32C4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本项目由</w:t>
      </w:r>
      <w:r>
        <w:rPr>
          <w:rFonts w:hint="eastAsia" w:cs="Times New Roman"/>
          <w:color w:val="auto"/>
          <w:highlight w:val="none"/>
          <w:lang w:val="en-US" w:eastAsia="zh-CN"/>
        </w:rPr>
        <w:t>西北油田分公司</w:t>
      </w:r>
      <w:r>
        <w:rPr>
          <w:rFonts w:hint="default" w:ascii="Times New Roman" w:hAnsi="Times New Roman" w:cs="Times New Roman"/>
          <w:color w:val="auto"/>
          <w:highlight w:val="none"/>
          <w:lang w:val="en-US" w:eastAsia="zh-CN"/>
        </w:rPr>
        <w:t>采油三厂管理。采油三厂分别</w:t>
      </w:r>
      <w:r>
        <w:rPr>
          <w:rFonts w:hint="default" w:ascii="Times New Roman" w:hAnsi="Times New Roman" w:cs="Times New Roman"/>
          <w:color w:val="auto"/>
          <w:highlight w:val="none"/>
        </w:rPr>
        <w:t>于202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23日和</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28日</w:t>
      </w:r>
      <w:r>
        <w:rPr>
          <w:rFonts w:hint="default" w:ascii="Times New Roman" w:hAnsi="Times New Roman" w:cs="Times New Roman"/>
          <w:color w:val="auto"/>
          <w:highlight w:val="none"/>
        </w:rPr>
        <w:t>取得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中国石化西北油田分公司采油三厂突发环境事件应急预案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的备案证明，备案编号为</w:t>
      </w:r>
      <w:r>
        <w:rPr>
          <w:rFonts w:hint="default" w:ascii="Times New Roman" w:hAnsi="Times New Roman" w:cs="Times New Roman"/>
          <w:color w:val="auto"/>
          <w:highlight w:val="none"/>
          <w:lang w:val="en-US" w:eastAsia="zh-CN"/>
        </w:rPr>
        <w:t>652924-2021-146（沙雅县）、</w:t>
      </w:r>
      <w:r>
        <w:rPr>
          <w:rFonts w:hint="default" w:ascii="Times New Roman" w:hAnsi="Times New Roman" w:cs="Times New Roman"/>
          <w:color w:val="auto"/>
          <w:highlight w:val="none"/>
        </w:rPr>
        <w:t>652923-2021-196-L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库车市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eastAsia" w:cs="Times New Roman"/>
          <w:color w:val="auto"/>
          <w:highlight w:val="none"/>
          <w:lang w:val="en-US" w:eastAsia="zh-CN"/>
        </w:rPr>
        <w:t>采</w:t>
      </w:r>
      <w:r>
        <w:rPr>
          <w:rFonts w:hint="default" w:ascii="Times New Roman" w:hAnsi="Times New Roman" w:cs="Times New Roman"/>
          <w:color w:val="auto"/>
          <w:highlight w:val="none"/>
          <w:lang w:val="en-US" w:eastAsia="zh-CN"/>
        </w:rPr>
        <w:t>油三厂</w:t>
      </w:r>
      <w:r>
        <w:rPr>
          <w:rFonts w:hint="default" w:ascii="Times New Roman" w:hAnsi="Times New Roman" w:cs="Times New Roman"/>
          <w:color w:val="auto"/>
          <w:highlight w:val="none"/>
        </w:rPr>
        <w:t>采取了有效的环境风险防范和应急措施，建立了应急管理体系，开展了应急培训和应急演练，具备处置突发环境事件的能力，应急物资储备充足，应急保障措施完善。</w:t>
      </w:r>
    </w:p>
    <w:p w14:paraId="31BE9A7B">
      <w:pPr>
        <w:pStyle w:val="69"/>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Cs w:val="24"/>
          <w:highlight w:val="none"/>
        </w:rPr>
      </w:pPr>
      <w:r>
        <w:rPr>
          <w:rFonts w:hint="eastAsia" w:cs="Times New Roman"/>
          <w:b w:val="0"/>
          <w:bCs w:val="0"/>
          <w:color w:val="auto"/>
          <w:sz w:val="24"/>
          <w:highlight w:val="none"/>
          <w:lang w:val="en-US" w:eastAsia="zh-CN"/>
        </w:rPr>
        <w:t>根据调查及收集资料可知</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szCs w:val="24"/>
          <w:highlight w:val="none"/>
        </w:rPr>
        <w:t>近年来</w:t>
      </w:r>
      <w:r>
        <w:rPr>
          <w:rFonts w:hint="default" w:ascii="Times New Roman" w:hAnsi="Times New Roman" w:cs="Times New Roman"/>
          <w:b w:val="0"/>
          <w:bCs w:val="0"/>
          <w:color w:val="auto"/>
          <w:sz w:val="24"/>
          <w:szCs w:val="24"/>
          <w:highlight w:val="none"/>
          <w:lang w:val="en-US" w:eastAsia="zh-CN"/>
        </w:rPr>
        <w:t>塔河油田8区、塔河油田10区</w:t>
      </w:r>
      <w:r>
        <w:rPr>
          <w:rFonts w:hint="default" w:ascii="Times New Roman" w:hAnsi="Times New Roman" w:eastAsia="宋体" w:cs="Times New Roman"/>
          <w:b w:val="0"/>
          <w:bCs w:val="0"/>
          <w:color w:val="auto"/>
          <w:sz w:val="24"/>
          <w:szCs w:val="24"/>
          <w:highlight w:val="none"/>
          <w:lang w:val="en-US" w:eastAsia="zh-CN"/>
        </w:rPr>
        <w:t>没有发生过</w:t>
      </w:r>
      <w:r>
        <w:rPr>
          <w:rFonts w:hint="default" w:ascii="Times New Roman" w:hAnsi="Times New Roman" w:eastAsia="宋体" w:cs="Times New Roman"/>
          <w:b w:val="0"/>
          <w:bCs w:val="0"/>
          <w:color w:val="auto"/>
          <w:sz w:val="24"/>
          <w:szCs w:val="24"/>
          <w:highlight w:val="none"/>
        </w:rPr>
        <w:t>环境</w:t>
      </w:r>
      <w:r>
        <w:rPr>
          <w:rFonts w:hint="default" w:ascii="Times New Roman" w:hAnsi="Times New Roman" w:eastAsia="宋体" w:cs="Times New Roman"/>
          <w:b w:val="0"/>
          <w:bCs w:val="0"/>
          <w:color w:val="auto"/>
          <w:sz w:val="24"/>
          <w:szCs w:val="24"/>
          <w:highlight w:val="none"/>
          <w:lang w:val="en-US" w:eastAsia="zh-CN"/>
        </w:rPr>
        <w:t>污染</w:t>
      </w:r>
      <w:r>
        <w:rPr>
          <w:rFonts w:hint="default" w:ascii="Times New Roman" w:hAnsi="Times New Roman" w:eastAsia="宋体" w:cs="Times New Roman"/>
          <w:b w:val="0"/>
          <w:bCs w:val="0"/>
          <w:color w:val="auto"/>
          <w:sz w:val="24"/>
          <w:szCs w:val="24"/>
          <w:highlight w:val="none"/>
        </w:rPr>
        <w:t>事故</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没有居民</w:t>
      </w:r>
      <w:r>
        <w:rPr>
          <w:rFonts w:hint="default" w:ascii="Times New Roman" w:hAnsi="Times New Roman" w:eastAsia="宋体" w:cs="Times New Roman"/>
          <w:b w:val="0"/>
          <w:bCs w:val="0"/>
          <w:color w:val="auto"/>
          <w:sz w:val="24"/>
          <w:szCs w:val="24"/>
          <w:highlight w:val="none"/>
        </w:rPr>
        <w:t>投诉</w:t>
      </w:r>
      <w:r>
        <w:rPr>
          <w:rFonts w:hint="default" w:ascii="Times New Roman" w:hAnsi="Times New Roman" w:eastAsia="宋体" w:cs="Times New Roman"/>
          <w:b w:val="0"/>
          <w:bCs w:val="0"/>
          <w:color w:val="auto"/>
          <w:sz w:val="24"/>
          <w:szCs w:val="24"/>
          <w:highlight w:val="none"/>
          <w:lang w:val="en-US" w:eastAsia="zh-CN"/>
        </w:rPr>
        <w:t>。</w:t>
      </w:r>
    </w:p>
    <w:p w14:paraId="63AC78C8">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28"/>
          <w:szCs w:val="28"/>
          <w:highlight w:val="none"/>
        </w:rPr>
      </w:pPr>
      <w:bookmarkStart w:id="211" w:name="_Toc6770"/>
      <w:bookmarkStart w:id="212" w:name="_Toc14654"/>
      <w:bookmarkStart w:id="213" w:name="_Toc10651"/>
      <w:r>
        <w:rPr>
          <w:rFonts w:hint="default" w:ascii="Times New Roman" w:hAnsi="Times New Roman" w:cs="Times New Roman"/>
          <w:color w:val="auto"/>
          <w:sz w:val="28"/>
          <w:szCs w:val="28"/>
          <w:highlight w:val="none"/>
        </w:rPr>
        <w:t>3.1.</w:t>
      </w:r>
      <w:bookmarkEnd w:id="211"/>
      <w:bookmarkEnd w:id="212"/>
      <w:bookmarkEnd w:id="213"/>
      <w:r>
        <w:rPr>
          <w:rFonts w:hint="eastAsia"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rPr>
        <w:t>区</w:t>
      </w:r>
      <w:r>
        <w:rPr>
          <w:rFonts w:hint="eastAsia" w:ascii="Times New Roman" w:hAnsi="Times New Roman" w:cs="Times New Roman"/>
          <w:color w:val="auto"/>
          <w:sz w:val="28"/>
          <w:szCs w:val="28"/>
          <w:highlight w:val="none"/>
          <w:lang w:val="en-US" w:eastAsia="zh-CN"/>
        </w:rPr>
        <w:t>块</w:t>
      </w:r>
      <w:r>
        <w:rPr>
          <w:rFonts w:hint="default" w:ascii="Times New Roman" w:hAnsi="Times New Roman" w:cs="Times New Roman"/>
          <w:color w:val="auto"/>
          <w:sz w:val="28"/>
          <w:szCs w:val="28"/>
          <w:highlight w:val="none"/>
        </w:rPr>
        <w:t>污染物三废排放情况</w:t>
      </w:r>
    </w:p>
    <w:p w14:paraId="2DDFA1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目前塔河油田各区已根据开采区块和集输情况，按照《固定污染源排污许可分类管理名录(2019年版）》(生态环境部令第11号)，完成了排污许可证的申领。区域污染物排放统计了塔河油田</w:t>
      </w:r>
      <w:r>
        <w:rPr>
          <w:rFonts w:hint="eastAsia" w:ascii="Times New Roman" w:hAnsi="Times New Roman" w:eastAsia="宋体" w:cs="Times New Roman"/>
          <w:color w:val="auto"/>
          <w:highlight w:val="none"/>
          <w:lang w:val="en-US" w:eastAsia="zh-CN"/>
        </w:rPr>
        <w:t>10区</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8区</w:t>
      </w:r>
      <w:r>
        <w:rPr>
          <w:rFonts w:hint="eastAsia" w:ascii="Times New Roman" w:hAnsi="Times New Roman" w:eastAsia="宋体" w:cs="Times New Roman"/>
          <w:color w:val="auto"/>
          <w:highlight w:val="none"/>
        </w:rPr>
        <w:t>现有工程（已建工程+在建工程）的污染物产生及排放量，见表3.1-</w:t>
      </w:r>
      <w:r>
        <w:rPr>
          <w:rFonts w:hint="default" w:ascii="Times New Roman" w:hAnsi="Times New Roman" w:eastAsia="宋体" w:cs="Times New Roman"/>
          <w:color w:val="auto"/>
          <w:highlight w:val="none"/>
        </w:rPr>
        <w:t>3。</w:t>
      </w:r>
    </w:p>
    <w:p w14:paraId="6E0DDFD7">
      <w:pPr>
        <w:pStyle w:val="44"/>
        <w:keepNext w:val="0"/>
        <w:keepLines w:val="0"/>
        <w:pageBreakBefore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表3.1-3</w:t>
      </w:r>
      <w:r>
        <w:rPr>
          <w:rFonts w:hint="eastAsia" w:cs="Times New Roman"/>
          <w:color w:val="auto"/>
          <w:sz w:val="21"/>
          <w:szCs w:val="21"/>
          <w:highlight w:val="none"/>
          <w:lang w:val="en-US" w:eastAsia="zh-CN"/>
        </w:rPr>
        <w:t xml:space="preserve">    </w:t>
      </w:r>
      <w:r>
        <w:rPr>
          <w:rFonts w:hint="eastAsia" w:ascii="Times New Roman" w:hAnsi="Times New Roman" w:eastAsia="黑体" w:cs="Times New Roman"/>
          <w:color w:val="auto"/>
          <w:sz w:val="21"/>
          <w:szCs w:val="21"/>
          <w:highlight w:val="none"/>
        </w:rPr>
        <w:t>本项目涉及区块</w:t>
      </w:r>
      <w:r>
        <w:rPr>
          <w:rFonts w:hint="default" w:ascii="Times New Roman" w:hAnsi="Times New Roman" w:eastAsia="黑体" w:cs="Times New Roman"/>
          <w:color w:val="auto"/>
          <w:sz w:val="21"/>
          <w:szCs w:val="21"/>
          <w:highlight w:val="none"/>
        </w:rPr>
        <w:t>污染物排放情况一览表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132"/>
        <w:gridCol w:w="1664"/>
        <w:gridCol w:w="2674"/>
        <w:gridCol w:w="2155"/>
      </w:tblGrid>
      <w:tr w14:paraId="3494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646" w:type="pct"/>
            <w:vAlign w:val="center"/>
          </w:tcPr>
          <w:p w14:paraId="1B75E970">
            <w:pPr>
              <w:pStyle w:val="52"/>
              <w:rPr>
                <w:color w:val="auto"/>
                <w:highlight w:val="none"/>
              </w:rPr>
            </w:pPr>
            <w:r>
              <w:rPr>
                <w:color w:val="auto"/>
                <w:highlight w:val="none"/>
              </w:rPr>
              <w:t>序号</w:t>
            </w:r>
          </w:p>
        </w:tc>
        <w:tc>
          <w:tcPr>
            <w:tcW w:w="646" w:type="pct"/>
            <w:vAlign w:val="center"/>
          </w:tcPr>
          <w:p w14:paraId="79DBAA08">
            <w:pPr>
              <w:pStyle w:val="52"/>
              <w:rPr>
                <w:color w:val="auto"/>
                <w:highlight w:val="none"/>
              </w:rPr>
            </w:pPr>
            <w:r>
              <w:rPr>
                <w:color w:val="auto"/>
                <w:highlight w:val="none"/>
              </w:rPr>
              <w:t>污染源</w:t>
            </w:r>
          </w:p>
        </w:tc>
        <w:tc>
          <w:tcPr>
            <w:tcW w:w="950" w:type="pct"/>
            <w:vAlign w:val="center"/>
          </w:tcPr>
          <w:p w14:paraId="773B8859">
            <w:pPr>
              <w:pStyle w:val="52"/>
              <w:rPr>
                <w:color w:val="auto"/>
                <w:highlight w:val="none"/>
              </w:rPr>
            </w:pPr>
            <w:r>
              <w:rPr>
                <w:color w:val="auto"/>
                <w:highlight w:val="none"/>
              </w:rPr>
              <w:t>污染物</w:t>
            </w:r>
          </w:p>
        </w:tc>
        <w:tc>
          <w:tcPr>
            <w:tcW w:w="1526" w:type="pct"/>
            <w:vAlign w:val="center"/>
          </w:tcPr>
          <w:p w14:paraId="6217DD19">
            <w:pPr>
              <w:pStyle w:val="52"/>
              <w:rPr>
                <w:color w:val="auto"/>
                <w:highlight w:val="none"/>
              </w:rPr>
            </w:pPr>
            <w:r>
              <w:rPr>
                <w:color w:val="auto"/>
                <w:highlight w:val="none"/>
              </w:rPr>
              <w:t>产生量</w:t>
            </w:r>
            <w:r>
              <w:rPr>
                <w:rFonts w:hint="eastAsia"/>
                <w:color w:val="auto"/>
                <w:highlight w:val="none"/>
              </w:rPr>
              <w:t>（</w:t>
            </w:r>
            <w:r>
              <w:rPr>
                <w:color w:val="auto"/>
                <w:highlight w:val="none"/>
              </w:rPr>
              <w:t>t/a</w:t>
            </w:r>
            <w:r>
              <w:rPr>
                <w:rFonts w:hint="eastAsia"/>
                <w:color w:val="auto"/>
                <w:highlight w:val="none"/>
              </w:rPr>
              <w:t>）</w:t>
            </w:r>
          </w:p>
        </w:tc>
        <w:tc>
          <w:tcPr>
            <w:tcW w:w="1230" w:type="pct"/>
            <w:vAlign w:val="center"/>
          </w:tcPr>
          <w:p w14:paraId="3F11E86A">
            <w:pPr>
              <w:pStyle w:val="52"/>
              <w:rPr>
                <w:color w:val="auto"/>
                <w:highlight w:val="none"/>
              </w:rPr>
            </w:pPr>
            <w:r>
              <w:rPr>
                <w:color w:val="auto"/>
                <w:highlight w:val="none"/>
              </w:rPr>
              <w:t>排放量</w:t>
            </w:r>
            <w:r>
              <w:rPr>
                <w:rFonts w:hint="eastAsia"/>
                <w:color w:val="auto"/>
                <w:highlight w:val="none"/>
              </w:rPr>
              <w:t>（</w:t>
            </w:r>
            <w:r>
              <w:rPr>
                <w:color w:val="auto"/>
                <w:highlight w:val="none"/>
              </w:rPr>
              <w:t>t/a</w:t>
            </w:r>
            <w:r>
              <w:rPr>
                <w:rFonts w:hint="eastAsia"/>
                <w:color w:val="auto"/>
                <w:highlight w:val="none"/>
              </w:rPr>
              <w:t>）</w:t>
            </w:r>
          </w:p>
        </w:tc>
      </w:tr>
      <w:tr w14:paraId="7212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46" w:type="pct"/>
            <w:vMerge w:val="restart"/>
            <w:vAlign w:val="center"/>
          </w:tcPr>
          <w:p w14:paraId="237EAAEB">
            <w:pPr>
              <w:pStyle w:val="52"/>
              <w:rPr>
                <w:color w:val="auto"/>
                <w:highlight w:val="none"/>
              </w:rPr>
            </w:pPr>
            <w:r>
              <w:rPr>
                <w:color w:val="auto"/>
                <w:highlight w:val="none"/>
              </w:rPr>
              <w:t>1</w:t>
            </w:r>
          </w:p>
        </w:tc>
        <w:tc>
          <w:tcPr>
            <w:tcW w:w="646" w:type="pct"/>
            <w:vMerge w:val="restart"/>
            <w:vAlign w:val="center"/>
          </w:tcPr>
          <w:p w14:paraId="3B583C62">
            <w:pPr>
              <w:pStyle w:val="52"/>
              <w:rPr>
                <w:color w:val="auto"/>
                <w:highlight w:val="none"/>
              </w:rPr>
            </w:pPr>
            <w:r>
              <w:rPr>
                <w:color w:val="auto"/>
                <w:highlight w:val="none"/>
              </w:rPr>
              <w:t>废气</w:t>
            </w:r>
          </w:p>
        </w:tc>
        <w:tc>
          <w:tcPr>
            <w:tcW w:w="950" w:type="pct"/>
            <w:vAlign w:val="center"/>
          </w:tcPr>
          <w:p w14:paraId="7B3790DF">
            <w:pPr>
              <w:pStyle w:val="52"/>
              <w:rPr>
                <w:color w:val="auto"/>
                <w:highlight w:val="none"/>
              </w:rPr>
            </w:pPr>
            <w:r>
              <w:rPr>
                <w:color w:val="auto"/>
                <w:highlight w:val="none"/>
              </w:rPr>
              <w:t>SO</w:t>
            </w:r>
            <w:r>
              <w:rPr>
                <w:color w:val="auto"/>
                <w:highlight w:val="none"/>
                <w:vertAlign w:val="subscript"/>
              </w:rPr>
              <w:t>2</w:t>
            </w:r>
          </w:p>
        </w:tc>
        <w:tc>
          <w:tcPr>
            <w:tcW w:w="2674" w:type="dxa"/>
            <w:vAlign w:val="center"/>
          </w:tcPr>
          <w:p w14:paraId="5DE58AD3">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rFonts w:hint="eastAsia"/>
                <w:color w:val="auto"/>
                <w:highlight w:val="none"/>
                <w:lang w:val="en-US" w:eastAsia="zh-CN"/>
              </w:rPr>
              <w:t>20</w:t>
            </w:r>
            <w:r>
              <w:rPr>
                <w:color w:val="auto"/>
                <w:highlight w:val="none"/>
              </w:rPr>
              <w:t>.9</w:t>
            </w:r>
            <w:r>
              <w:rPr>
                <w:rFonts w:hint="eastAsia"/>
                <w:color w:val="auto"/>
                <w:highlight w:val="none"/>
                <w:lang w:val="en-US" w:eastAsia="zh-CN"/>
              </w:rPr>
              <w:t>7</w:t>
            </w:r>
          </w:p>
        </w:tc>
        <w:tc>
          <w:tcPr>
            <w:tcW w:w="2155" w:type="dxa"/>
            <w:vAlign w:val="center"/>
          </w:tcPr>
          <w:p w14:paraId="704362D9">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rFonts w:hint="eastAsia"/>
                <w:color w:val="auto"/>
                <w:highlight w:val="none"/>
                <w:lang w:val="en-US" w:eastAsia="zh-CN"/>
              </w:rPr>
              <w:t>20.97</w:t>
            </w:r>
          </w:p>
        </w:tc>
      </w:tr>
      <w:tr w14:paraId="4292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6" w:type="pct"/>
            <w:vMerge w:val="continue"/>
            <w:vAlign w:val="center"/>
          </w:tcPr>
          <w:p w14:paraId="58FEF679">
            <w:pPr>
              <w:pStyle w:val="52"/>
              <w:rPr>
                <w:color w:val="auto"/>
                <w:highlight w:val="none"/>
              </w:rPr>
            </w:pPr>
          </w:p>
        </w:tc>
        <w:tc>
          <w:tcPr>
            <w:tcW w:w="646" w:type="pct"/>
            <w:vMerge w:val="continue"/>
            <w:vAlign w:val="center"/>
          </w:tcPr>
          <w:p w14:paraId="789F06FA">
            <w:pPr>
              <w:pStyle w:val="52"/>
              <w:rPr>
                <w:color w:val="auto"/>
                <w:highlight w:val="none"/>
              </w:rPr>
            </w:pPr>
          </w:p>
        </w:tc>
        <w:tc>
          <w:tcPr>
            <w:tcW w:w="950" w:type="pct"/>
            <w:vAlign w:val="center"/>
          </w:tcPr>
          <w:p w14:paraId="4D252582">
            <w:pPr>
              <w:pStyle w:val="52"/>
              <w:rPr>
                <w:color w:val="auto"/>
                <w:highlight w:val="none"/>
              </w:rPr>
            </w:pPr>
            <w:r>
              <w:rPr>
                <w:color w:val="auto"/>
                <w:highlight w:val="none"/>
              </w:rPr>
              <w:t>NO</w:t>
            </w:r>
            <w:r>
              <w:rPr>
                <w:color w:val="auto"/>
                <w:highlight w:val="none"/>
                <w:vertAlign w:val="subscript"/>
              </w:rPr>
              <w:t>X</w:t>
            </w:r>
          </w:p>
        </w:tc>
        <w:tc>
          <w:tcPr>
            <w:tcW w:w="2674" w:type="dxa"/>
            <w:vAlign w:val="center"/>
          </w:tcPr>
          <w:p w14:paraId="5C660C3F">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color w:val="auto"/>
                <w:highlight w:val="none"/>
              </w:rPr>
              <w:t>1</w:t>
            </w:r>
            <w:r>
              <w:rPr>
                <w:rFonts w:hint="eastAsia"/>
                <w:color w:val="auto"/>
                <w:highlight w:val="none"/>
                <w:lang w:val="en-US" w:eastAsia="zh-CN"/>
              </w:rPr>
              <w:t>68</w:t>
            </w:r>
            <w:r>
              <w:rPr>
                <w:color w:val="auto"/>
                <w:highlight w:val="none"/>
              </w:rPr>
              <w:t>.9</w:t>
            </w:r>
          </w:p>
        </w:tc>
        <w:tc>
          <w:tcPr>
            <w:tcW w:w="2155" w:type="dxa"/>
            <w:vAlign w:val="center"/>
          </w:tcPr>
          <w:p w14:paraId="0B694415">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rFonts w:hint="eastAsia"/>
                <w:color w:val="auto"/>
                <w:highlight w:val="none"/>
                <w:lang w:val="en-US" w:eastAsia="zh-CN"/>
              </w:rPr>
              <w:t>168.9</w:t>
            </w:r>
          </w:p>
        </w:tc>
      </w:tr>
      <w:tr w14:paraId="048F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6" w:type="pct"/>
            <w:vMerge w:val="continue"/>
            <w:vAlign w:val="center"/>
          </w:tcPr>
          <w:p w14:paraId="0DEBBA32">
            <w:pPr>
              <w:pStyle w:val="52"/>
              <w:rPr>
                <w:color w:val="auto"/>
                <w:highlight w:val="none"/>
              </w:rPr>
            </w:pPr>
          </w:p>
        </w:tc>
        <w:tc>
          <w:tcPr>
            <w:tcW w:w="646" w:type="pct"/>
            <w:vMerge w:val="continue"/>
            <w:vAlign w:val="center"/>
          </w:tcPr>
          <w:p w14:paraId="5D9847DB">
            <w:pPr>
              <w:pStyle w:val="52"/>
              <w:rPr>
                <w:color w:val="auto"/>
                <w:highlight w:val="none"/>
              </w:rPr>
            </w:pPr>
          </w:p>
        </w:tc>
        <w:tc>
          <w:tcPr>
            <w:tcW w:w="950" w:type="pct"/>
            <w:vAlign w:val="center"/>
          </w:tcPr>
          <w:p w14:paraId="57E4B9EE">
            <w:pPr>
              <w:pStyle w:val="52"/>
              <w:rPr>
                <w:color w:val="auto"/>
                <w:highlight w:val="none"/>
              </w:rPr>
            </w:pPr>
            <w:r>
              <w:rPr>
                <w:color w:val="auto"/>
                <w:highlight w:val="none"/>
              </w:rPr>
              <w:t>颗粒物</w:t>
            </w:r>
          </w:p>
        </w:tc>
        <w:tc>
          <w:tcPr>
            <w:tcW w:w="2674" w:type="dxa"/>
            <w:vAlign w:val="center"/>
          </w:tcPr>
          <w:p w14:paraId="4009BEC7">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color w:val="auto"/>
                <w:highlight w:val="none"/>
              </w:rPr>
              <w:t>23.292</w:t>
            </w:r>
          </w:p>
        </w:tc>
        <w:tc>
          <w:tcPr>
            <w:tcW w:w="2155" w:type="dxa"/>
            <w:vAlign w:val="center"/>
          </w:tcPr>
          <w:p w14:paraId="7EB23D66">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color w:val="auto"/>
                <w:highlight w:val="none"/>
              </w:rPr>
              <w:t>23.292</w:t>
            </w:r>
          </w:p>
        </w:tc>
      </w:tr>
      <w:tr w14:paraId="625C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46" w:type="pct"/>
            <w:vMerge w:val="continue"/>
            <w:vAlign w:val="center"/>
          </w:tcPr>
          <w:p w14:paraId="14FC8412">
            <w:pPr>
              <w:pStyle w:val="52"/>
              <w:rPr>
                <w:color w:val="auto"/>
                <w:highlight w:val="none"/>
              </w:rPr>
            </w:pPr>
          </w:p>
        </w:tc>
        <w:tc>
          <w:tcPr>
            <w:tcW w:w="646" w:type="pct"/>
            <w:vMerge w:val="continue"/>
            <w:vAlign w:val="center"/>
          </w:tcPr>
          <w:p w14:paraId="35F52859">
            <w:pPr>
              <w:pStyle w:val="52"/>
              <w:rPr>
                <w:color w:val="auto"/>
                <w:highlight w:val="none"/>
              </w:rPr>
            </w:pPr>
          </w:p>
        </w:tc>
        <w:tc>
          <w:tcPr>
            <w:tcW w:w="950" w:type="pct"/>
            <w:vAlign w:val="center"/>
          </w:tcPr>
          <w:p w14:paraId="061B250E">
            <w:pPr>
              <w:pStyle w:val="52"/>
              <w:rPr>
                <w:rFonts w:hint="default" w:eastAsia="宋体"/>
                <w:color w:val="auto"/>
                <w:highlight w:val="none"/>
                <w:lang w:val="en-US" w:eastAsia="zh-CN"/>
              </w:rPr>
            </w:pPr>
            <w:r>
              <w:rPr>
                <w:rFonts w:hint="eastAsia"/>
                <w:color w:val="auto"/>
                <w:highlight w:val="none"/>
                <w:lang w:val="en-US" w:eastAsia="zh-CN"/>
              </w:rPr>
              <w:t>非甲烷总烃</w:t>
            </w:r>
          </w:p>
        </w:tc>
        <w:tc>
          <w:tcPr>
            <w:tcW w:w="2674" w:type="dxa"/>
            <w:vAlign w:val="center"/>
          </w:tcPr>
          <w:p w14:paraId="0198C89A">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color w:val="auto"/>
                <w:highlight w:val="none"/>
              </w:rPr>
              <w:t>196.62</w:t>
            </w:r>
          </w:p>
        </w:tc>
        <w:tc>
          <w:tcPr>
            <w:tcW w:w="2155" w:type="dxa"/>
            <w:vAlign w:val="center"/>
          </w:tcPr>
          <w:p w14:paraId="47BDCD70">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color w:val="auto"/>
                <w:highlight w:val="none"/>
              </w:rPr>
              <w:t>196.62</w:t>
            </w:r>
          </w:p>
        </w:tc>
      </w:tr>
      <w:tr w14:paraId="6102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46" w:type="pct"/>
            <w:vMerge w:val="continue"/>
            <w:vAlign w:val="center"/>
          </w:tcPr>
          <w:p w14:paraId="280F3D9B">
            <w:pPr>
              <w:pStyle w:val="52"/>
              <w:rPr>
                <w:color w:val="auto"/>
                <w:highlight w:val="none"/>
              </w:rPr>
            </w:pPr>
          </w:p>
        </w:tc>
        <w:tc>
          <w:tcPr>
            <w:tcW w:w="646" w:type="pct"/>
            <w:vMerge w:val="continue"/>
            <w:vAlign w:val="center"/>
          </w:tcPr>
          <w:p w14:paraId="1D1D97A5">
            <w:pPr>
              <w:pStyle w:val="52"/>
              <w:rPr>
                <w:color w:val="auto"/>
                <w:highlight w:val="none"/>
              </w:rPr>
            </w:pPr>
          </w:p>
        </w:tc>
        <w:tc>
          <w:tcPr>
            <w:tcW w:w="950" w:type="pct"/>
            <w:vAlign w:val="center"/>
          </w:tcPr>
          <w:p w14:paraId="3E603E33">
            <w:pPr>
              <w:pStyle w:val="52"/>
              <w:rPr>
                <w:rFonts w:hint="eastAsia" w:eastAsia="宋体"/>
                <w:color w:val="auto"/>
                <w:highlight w:val="none"/>
                <w:lang w:val="en-US" w:eastAsia="zh-CN"/>
              </w:rPr>
            </w:pPr>
            <w:r>
              <w:rPr>
                <w:rFonts w:hint="eastAsia"/>
                <w:color w:val="auto"/>
                <w:highlight w:val="none"/>
                <w:lang w:val="en-US" w:eastAsia="zh-CN"/>
              </w:rPr>
              <w:t>硫化氢</w:t>
            </w:r>
          </w:p>
        </w:tc>
        <w:tc>
          <w:tcPr>
            <w:tcW w:w="2674" w:type="dxa"/>
            <w:vAlign w:val="center"/>
          </w:tcPr>
          <w:p w14:paraId="6A06F723">
            <w:pPr>
              <w:pStyle w:val="52"/>
              <w:keepNext w:val="0"/>
              <w:keepLines w:val="0"/>
              <w:pageBreakBefore w:val="0"/>
              <w:widowControl/>
              <w:kinsoku/>
              <w:wordWrap/>
              <w:topLinePunct w:val="0"/>
              <w:bidi w:val="0"/>
              <w:spacing w:line="240" w:lineRule="auto"/>
              <w:ind w:firstLine="0" w:firstLineChars="0"/>
              <w:rPr>
                <w:rFonts w:hint="default" w:eastAsia="宋体"/>
                <w:color w:val="auto"/>
                <w:highlight w:val="none"/>
                <w:lang w:val="en-US" w:eastAsia="zh-CN"/>
              </w:rPr>
            </w:pPr>
            <w:r>
              <w:rPr>
                <w:rFonts w:hint="eastAsia"/>
                <w:color w:val="auto"/>
                <w:highlight w:val="none"/>
                <w:lang w:val="en-US" w:eastAsia="zh-CN"/>
              </w:rPr>
              <w:t>3.2</w:t>
            </w:r>
          </w:p>
        </w:tc>
        <w:tc>
          <w:tcPr>
            <w:tcW w:w="2155" w:type="dxa"/>
            <w:vAlign w:val="center"/>
          </w:tcPr>
          <w:p w14:paraId="7A663B7C">
            <w:pPr>
              <w:pStyle w:val="52"/>
              <w:keepNext w:val="0"/>
              <w:keepLines w:val="0"/>
              <w:pageBreakBefore w:val="0"/>
              <w:widowControl/>
              <w:kinsoku/>
              <w:wordWrap/>
              <w:topLinePunct w:val="0"/>
              <w:bidi w:val="0"/>
              <w:spacing w:line="240" w:lineRule="auto"/>
              <w:ind w:firstLine="0" w:firstLineChars="0"/>
              <w:rPr>
                <w:rFonts w:hint="default" w:eastAsia="宋体"/>
                <w:color w:val="auto"/>
                <w:highlight w:val="none"/>
                <w:lang w:val="en-US" w:eastAsia="zh-CN"/>
              </w:rPr>
            </w:pPr>
            <w:r>
              <w:rPr>
                <w:rFonts w:hint="eastAsia"/>
                <w:color w:val="auto"/>
                <w:highlight w:val="none"/>
                <w:lang w:val="en-US" w:eastAsia="zh-CN"/>
              </w:rPr>
              <w:t>3.2</w:t>
            </w:r>
          </w:p>
        </w:tc>
      </w:tr>
      <w:tr w14:paraId="1FE7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6" w:type="pct"/>
            <w:vMerge w:val="restart"/>
            <w:vAlign w:val="center"/>
          </w:tcPr>
          <w:p w14:paraId="08B334A6">
            <w:pPr>
              <w:pStyle w:val="52"/>
              <w:rPr>
                <w:color w:val="auto"/>
                <w:highlight w:val="none"/>
              </w:rPr>
            </w:pPr>
            <w:r>
              <w:rPr>
                <w:color w:val="auto"/>
                <w:highlight w:val="none"/>
              </w:rPr>
              <w:t>2</w:t>
            </w:r>
          </w:p>
        </w:tc>
        <w:tc>
          <w:tcPr>
            <w:tcW w:w="646" w:type="pct"/>
            <w:vMerge w:val="restart"/>
            <w:vAlign w:val="center"/>
          </w:tcPr>
          <w:p w14:paraId="1DE2645F">
            <w:pPr>
              <w:pStyle w:val="52"/>
              <w:rPr>
                <w:color w:val="auto"/>
                <w:highlight w:val="none"/>
              </w:rPr>
            </w:pPr>
            <w:r>
              <w:rPr>
                <w:color w:val="auto"/>
                <w:highlight w:val="none"/>
              </w:rPr>
              <w:t>废水</w:t>
            </w:r>
          </w:p>
        </w:tc>
        <w:tc>
          <w:tcPr>
            <w:tcW w:w="950" w:type="pct"/>
            <w:vAlign w:val="center"/>
          </w:tcPr>
          <w:p w14:paraId="025ECA17">
            <w:pPr>
              <w:pStyle w:val="52"/>
              <w:rPr>
                <w:color w:val="auto"/>
                <w:highlight w:val="none"/>
              </w:rPr>
            </w:pPr>
            <w:r>
              <w:rPr>
                <w:color w:val="auto"/>
                <w:highlight w:val="none"/>
              </w:rPr>
              <w:t>生产废水</w:t>
            </w:r>
          </w:p>
        </w:tc>
        <w:tc>
          <w:tcPr>
            <w:tcW w:w="2674" w:type="dxa"/>
            <w:vAlign w:val="center"/>
          </w:tcPr>
          <w:p w14:paraId="701122A4">
            <w:pPr>
              <w:pStyle w:val="52"/>
              <w:keepNext w:val="0"/>
              <w:keepLines w:val="0"/>
              <w:pageBreakBefore w:val="0"/>
              <w:widowControl/>
              <w:kinsoku/>
              <w:wordWrap/>
              <w:topLinePunct w:val="0"/>
              <w:bidi w:val="0"/>
              <w:spacing w:line="240" w:lineRule="auto"/>
              <w:ind w:firstLine="0" w:firstLineChars="0"/>
              <w:rPr>
                <w:color w:val="auto"/>
                <w:szCs w:val="23"/>
                <w:highlight w:val="none"/>
              </w:rPr>
            </w:pPr>
            <w:r>
              <w:rPr>
                <w:color w:val="auto"/>
                <w:highlight w:val="none"/>
                <w:lang w:bidi="ar"/>
              </w:rPr>
              <w:t>96.99×10</w:t>
            </w:r>
            <w:r>
              <w:rPr>
                <w:color w:val="auto"/>
                <w:highlight w:val="none"/>
                <w:vertAlign w:val="superscript"/>
                <w:lang w:bidi="ar"/>
              </w:rPr>
              <w:t>4</w:t>
            </w:r>
          </w:p>
        </w:tc>
        <w:tc>
          <w:tcPr>
            <w:tcW w:w="1230" w:type="pct"/>
            <w:vAlign w:val="center"/>
          </w:tcPr>
          <w:p w14:paraId="48120D29">
            <w:pPr>
              <w:pStyle w:val="52"/>
              <w:rPr>
                <w:color w:val="auto"/>
                <w:highlight w:val="none"/>
              </w:rPr>
            </w:pPr>
            <w:r>
              <w:rPr>
                <w:color w:val="auto"/>
                <w:highlight w:val="none"/>
              </w:rPr>
              <w:t>0</w:t>
            </w:r>
          </w:p>
        </w:tc>
      </w:tr>
      <w:tr w14:paraId="658E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46" w:type="pct"/>
            <w:vMerge w:val="continue"/>
            <w:vAlign w:val="center"/>
          </w:tcPr>
          <w:p w14:paraId="4FD89558">
            <w:pPr>
              <w:pStyle w:val="52"/>
              <w:rPr>
                <w:color w:val="auto"/>
                <w:highlight w:val="none"/>
              </w:rPr>
            </w:pPr>
          </w:p>
        </w:tc>
        <w:tc>
          <w:tcPr>
            <w:tcW w:w="646" w:type="pct"/>
            <w:vMerge w:val="continue"/>
            <w:vAlign w:val="center"/>
          </w:tcPr>
          <w:p w14:paraId="09557FF1">
            <w:pPr>
              <w:pStyle w:val="52"/>
              <w:rPr>
                <w:color w:val="auto"/>
                <w:highlight w:val="none"/>
              </w:rPr>
            </w:pPr>
          </w:p>
        </w:tc>
        <w:tc>
          <w:tcPr>
            <w:tcW w:w="950" w:type="pct"/>
            <w:vAlign w:val="center"/>
          </w:tcPr>
          <w:p w14:paraId="21CD136A">
            <w:pPr>
              <w:pStyle w:val="52"/>
              <w:rPr>
                <w:color w:val="auto"/>
                <w:highlight w:val="none"/>
              </w:rPr>
            </w:pPr>
            <w:r>
              <w:rPr>
                <w:color w:val="auto"/>
                <w:highlight w:val="none"/>
              </w:rPr>
              <w:t>生活污水</w:t>
            </w:r>
          </w:p>
        </w:tc>
        <w:tc>
          <w:tcPr>
            <w:tcW w:w="2674" w:type="dxa"/>
            <w:vAlign w:val="center"/>
          </w:tcPr>
          <w:p w14:paraId="0ABD1F07">
            <w:pPr>
              <w:pStyle w:val="52"/>
              <w:keepNext w:val="0"/>
              <w:keepLines w:val="0"/>
              <w:pageBreakBefore w:val="0"/>
              <w:widowControl/>
              <w:kinsoku/>
              <w:wordWrap/>
              <w:topLinePunct w:val="0"/>
              <w:bidi w:val="0"/>
              <w:spacing w:line="240" w:lineRule="auto"/>
              <w:ind w:firstLine="0" w:firstLineChars="0"/>
              <w:rPr>
                <w:rFonts w:eastAsia="等线"/>
                <w:color w:val="auto"/>
                <w:highlight w:val="none"/>
              </w:rPr>
            </w:pPr>
            <w:r>
              <w:rPr>
                <w:rFonts w:hint="eastAsia"/>
                <w:color w:val="auto"/>
                <w:highlight w:val="none"/>
                <w:lang w:val="en-US" w:eastAsia="zh-CN"/>
              </w:rPr>
              <w:t>1.2</w:t>
            </w:r>
            <w:r>
              <w:rPr>
                <w:color w:val="auto"/>
                <w:highlight w:val="none"/>
                <w:lang w:bidi="ar"/>
              </w:rPr>
              <w:t>×10</w:t>
            </w:r>
            <w:r>
              <w:rPr>
                <w:color w:val="auto"/>
                <w:highlight w:val="none"/>
                <w:vertAlign w:val="superscript"/>
                <w:lang w:bidi="ar"/>
              </w:rPr>
              <w:t>4</w:t>
            </w:r>
          </w:p>
        </w:tc>
        <w:tc>
          <w:tcPr>
            <w:tcW w:w="1230" w:type="pct"/>
            <w:vAlign w:val="center"/>
          </w:tcPr>
          <w:p w14:paraId="1AA8E178">
            <w:pPr>
              <w:pStyle w:val="52"/>
              <w:rPr>
                <w:color w:val="auto"/>
                <w:highlight w:val="none"/>
              </w:rPr>
            </w:pPr>
            <w:r>
              <w:rPr>
                <w:color w:val="auto"/>
                <w:highlight w:val="none"/>
              </w:rPr>
              <w:t>0</w:t>
            </w:r>
          </w:p>
        </w:tc>
      </w:tr>
      <w:tr w14:paraId="72D3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6" w:type="pct"/>
            <w:vMerge w:val="restart"/>
            <w:vAlign w:val="center"/>
          </w:tcPr>
          <w:p w14:paraId="303C0334">
            <w:pPr>
              <w:pStyle w:val="52"/>
              <w:rPr>
                <w:color w:val="auto"/>
                <w:highlight w:val="none"/>
              </w:rPr>
            </w:pPr>
            <w:r>
              <w:rPr>
                <w:color w:val="auto"/>
                <w:highlight w:val="none"/>
              </w:rPr>
              <w:t>3</w:t>
            </w:r>
          </w:p>
        </w:tc>
        <w:tc>
          <w:tcPr>
            <w:tcW w:w="646" w:type="pct"/>
            <w:vMerge w:val="restart"/>
            <w:vAlign w:val="center"/>
          </w:tcPr>
          <w:p w14:paraId="2330EEC7">
            <w:pPr>
              <w:pStyle w:val="52"/>
              <w:rPr>
                <w:color w:val="auto"/>
                <w:highlight w:val="none"/>
              </w:rPr>
            </w:pPr>
            <w:r>
              <w:rPr>
                <w:color w:val="auto"/>
                <w:highlight w:val="none"/>
              </w:rPr>
              <w:t>固体废物</w:t>
            </w:r>
          </w:p>
        </w:tc>
        <w:tc>
          <w:tcPr>
            <w:tcW w:w="950" w:type="pct"/>
            <w:vAlign w:val="center"/>
          </w:tcPr>
          <w:p w14:paraId="6BF4BA98">
            <w:pPr>
              <w:pStyle w:val="52"/>
              <w:rPr>
                <w:rFonts w:hint="default" w:eastAsia="宋体"/>
                <w:color w:val="auto"/>
                <w:highlight w:val="none"/>
                <w:lang w:val="en-US" w:eastAsia="zh-CN"/>
              </w:rPr>
            </w:pPr>
            <w:r>
              <w:rPr>
                <w:rFonts w:hint="eastAsia"/>
                <w:color w:val="auto"/>
                <w:highlight w:val="none"/>
                <w:lang w:val="en-US" w:eastAsia="zh-CN"/>
              </w:rPr>
              <w:t>含油废物</w:t>
            </w:r>
          </w:p>
        </w:tc>
        <w:tc>
          <w:tcPr>
            <w:tcW w:w="1526" w:type="pct"/>
            <w:vAlign w:val="center"/>
          </w:tcPr>
          <w:p w14:paraId="0BA0A1D7">
            <w:pPr>
              <w:pStyle w:val="52"/>
              <w:rPr>
                <w:color w:val="auto"/>
                <w:highlight w:val="none"/>
              </w:rPr>
            </w:pPr>
            <w:r>
              <w:rPr>
                <w:color w:val="auto"/>
                <w:highlight w:val="none"/>
                <w:lang w:bidi="ar"/>
              </w:rPr>
              <w:t>0.9×10</w:t>
            </w:r>
            <w:r>
              <w:rPr>
                <w:color w:val="auto"/>
                <w:highlight w:val="none"/>
                <w:vertAlign w:val="superscript"/>
                <w:lang w:bidi="ar"/>
              </w:rPr>
              <w:t>4</w:t>
            </w:r>
          </w:p>
        </w:tc>
        <w:tc>
          <w:tcPr>
            <w:tcW w:w="1230" w:type="pct"/>
            <w:vAlign w:val="center"/>
          </w:tcPr>
          <w:p w14:paraId="7DCEDA62">
            <w:pPr>
              <w:pStyle w:val="52"/>
              <w:rPr>
                <w:color w:val="auto"/>
                <w:highlight w:val="none"/>
              </w:rPr>
            </w:pPr>
            <w:r>
              <w:rPr>
                <w:color w:val="auto"/>
                <w:highlight w:val="none"/>
              </w:rPr>
              <w:t>0</w:t>
            </w:r>
          </w:p>
        </w:tc>
      </w:tr>
      <w:tr w14:paraId="7B98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6" w:type="pct"/>
            <w:vMerge w:val="continue"/>
            <w:vAlign w:val="center"/>
          </w:tcPr>
          <w:p w14:paraId="3D597E2C">
            <w:pPr>
              <w:pStyle w:val="52"/>
              <w:rPr>
                <w:color w:val="auto"/>
                <w:highlight w:val="none"/>
              </w:rPr>
            </w:pPr>
          </w:p>
        </w:tc>
        <w:tc>
          <w:tcPr>
            <w:tcW w:w="646" w:type="pct"/>
            <w:vMerge w:val="continue"/>
            <w:vAlign w:val="center"/>
          </w:tcPr>
          <w:p w14:paraId="235454B5">
            <w:pPr>
              <w:pStyle w:val="52"/>
              <w:rPr>
                <w:color w:val="auto"/>
                <w:highlight w:val="none"/>
              </w:rPr>
            </w:pPr>
          </w:p>
        </w:tc>
        <w:tc>
          <w:tcPr>
            <w:tcW w:w="950" w:type="pct"/>
            <w:vAlign w:val="center"/>
          </w:tcPr>
          <w:p w14:paraId="7F1AA866">
            <w:pPr>
              <w:pStyle w:val="52"/>
              <w:rPr>
                <w:color w:val="auto"/>
                <w:highlight w:val="none"/>
              </w:rPr>
            </w:pPr>
            <w:r>
              <w:rPr>
                <w:color w:val="auto"/>
                <w:highlight w:val="none"/>
              </w:rPr>
              <w:t>生活垃圾</w:t>
            </w:r>
          </w:p>
        </w:tc>
        <w:tc>
          <w:tcPr>
            <w:tcW w:w="1526" w:type="pct"/>
            <w:vAlign w:val="center"/>
          </w:tcPr>
          <w:p w14:paraId="608003E3">
            <w:pPr>
              <w:pStyle w:val="52"/>
              <w:rPr>
                <w:rFonts w:hint="default" w:eastAsia="等线"/>
                <w:color w:val="auto"/>
                <w:highlight w:val="none"/>
                <w:lang w:val="en-US" w:eastAsia="zh-CN"/>
              </w:rPr>
            </w:pPr>
            <w:r>
              <w:rPr>
                <w:rFonts w:hint="eastAsia" w:eastAsia="等线"/>
                <w:color w:val="auto"/>
                <w:highlight w:val="none"/>
                <w:lang w:val="en-US" w:eastAsia="zh-CN" w:bidi="ar"/>
              </w:rPr>
              <w:t>128</w:t>
            </w:r>
          </w:p>
        </w:tc>
        <w:tc>
          <w:tcPr>
            <w:tcW w:w="1230" w:type="pct"/>
            <w:vAlign w:val="center"/>
          </w:tcPr>
          <w:p w14:paraId="68D6A925">
            <w:pPr>
              <w:pStyle w:val="52"/>
              <w:rPr>
                <w:color w:val="auto"/>
                <w:highlight w:val="none"/>
              </w:rPr>
            </w:pPr>
            <w:r>
              <w:rPr>
                <w:color w:val="auto"/>
                <w:highlight w:val="none"/>
              </w:rPr>
              <w:t>0</w:t>
            </w:r>
          </w:p>
        </w:tc>
      </w:tr>
    </w:tbl>
    <w:p w14:paraId="6C7924F6">
      <w:pPr>
        <w:pStyle w:val="6"/>
        <w:keepNext/>
        <w:keepLines/>
        <w:pageBreakBefore w:val="0"/>
        <w:widowControl w:val="0"/>
        <w:kinsoku/>
        <w:wordWrap/>
        <w:overflowPunct/>
        <w:topLinePunct w:val="0"/>
        <w:autoSpaceDE/>
        <w:autoSpaceDN/>
        <w:bidi w:val="0"/>
        <w:adjustRightInd w:val="0"/>
        <w:snapToGrid w:val="0"/>
        <w:spacing w:before="313" w:beforeLines="100" w:after="0" w:afterLines="0" w:line="360" w:lineRule="auto"/>
        <w:textAlignment w:val="auto"/>
        <w:rPr>
          <w:rFonts w:hint="default" w:ascii="Times New Roman" w:hAnsi="Times New Roman" w:cs="Times New Roman"/>
          <w:color w:val="auto"/>
          <w:highlight w:val="none"/>
        </w:rPr>
      </w:pPr>
      <w:bookmarkStart w:id="214" w:name="_Toc12003"/>
      <w:bookmarkStart w:id="215" w:name="_Toc8199"/>
      <w:bookmarkStart w:id="216" w:name="_Toc8720"/>
      <w:r>
        <w:rPr>
          <w:rFonts w:hint="default" w:ascii="Times New Roman" w:hAnsi="Times New Roman" w:cs="Times New Roman"/>
          <w:color w:val="auto"/>
          <w:highlight w:val="none"/>
        </w:rPr>
        <w:t>3.1.</w:t>
      </w:r>
      <w:r>
        <w:rPr>
          <w:rFonts w:hint="eastAsia" w:ascii="Times New Roman" w:hAnsi="Times New Roman" w:cs="Times New Roman"/>
          <w:color w:val="auto"/>
          <w:highlight w:val="none"/>
          <w:lang w:val="en-US" w:eastAsia="zh-CN"/>
        </w:rPr>
        <w:t>8区块</w:t>
      </w:r>
      <w:r>
        <w:rPr>
          <w:rFonts w:hint="default" w:ascii="Times New Roman" w:hAnsi="Times New Roman" w:cs="Times New Roman"/>
          <w:color w:val="auto"/>
          <w:highlight w:val="none"/>
        </w:rPr>
        <w:t>环境问题及“以新带老”整改措施</w:t>
      </w:r>
      <w:bookmarkEnd w:id="214"/>
      <w:bookmarkEnd w:id="215"/>
      <w:bookmarkEnd w:id="216"/>
    </w:p>
    <w:p w14:paraId="29CF67BB">
      <w:pPr>
        <w:pStyle w:val="13"/>
        <w:numPr>
          <w:ilvl w:val="0"/>
          <w:numId w:val="0"/>
        </w:numPr>
        <w:outlineLvl w:val="3"/>
        <w:rPr>
          <w:rFonts w:hint="eastAsia"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b/>
          <w:bCs/>
          <w:snapToGrid w:val="0"/>
          <w:color w:val="auto"/>
          <w:kern w:val="0"/>
          <w:sz w:val="24"/>
          <w:szCs w:val="21"/>
          <w:highlight w:val="none"/>
          <w:lang w:val="en-US" w:eastAsia="zh-CN" w:bidi="ar-SA"/>
        </w:rPr>
        <w:t>3.1.8.1存在问题</w:t>
      </w:r>
    </w:p>
    <w:p w14:paraId="0B88F48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目前，塔河油田各区已开展后评价工作并完成备案，针对后评价期间梳理的未进行验收的单井，已完成了验收工作。根据后评价报告、验收报告及现场调查情况，具体存在的问题如下：</w:t>
      </w:r>
    </w:p>
    <w:p w14:paraId="593C2C4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（1）土壤自行监测频次低，不满足《重点排污单位土壤污染隐患排查指南（试行）》（生态环境部 2021 年 1 号文）中自行监测频次及点位要求</w:t>
      </w:r>
      <w:r>
        <w:rPr>
          <w:rFonts w:hint="eastAsia" w:ascii="Times New Roman" w:hAnsi="Times New Roman" w:eastAsia="宋体" w:cs="Times New Roman"/>
          <w:color w:val="auto"/>
          <w:highlight w:val="none"/>
          <w:lang w:val="en-US" w:eastAsia="zh-CN"/>
        </w:rPr>
        <w:t>。</w:t>
      </w:r>
    </w:p>
    <w:p w14:paraId="2EC0A5D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）部分已退役的油井未及时实施封井。本项目属于老区块，根据油气开采进度不定时有油井退役。</w:t>
      </w:r>
    </w:p>
    <w:p w14:paraId="148C9D65">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）信息公开不够规范。</w:t>
      </w:r>
    </w:p>
    <w:p w14:paraId="4600D1C2">
      <w:pPr>
        <w:pStyle w:val="13"/>
        <w:numPr>
          <w:ilvl w:val="0"/>
          <w:numId w:val="0"/>
        </w:numPr>
        <w:outlineLvl w:val="3"/>
        <w:rPr>
          <w:rFonts w:hint="default"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b/>
          <w:bCs/>
          <w:snapToGrid w:val="0"/>
          <w:color w:val="auto"/>
          <w:kern w:val="0"/>
          <w:sz w:val="24"/>
          <w:szCs w:val="21"/>
          <w:highlight w:val="none"/>
          <w:lang w:val="en-US" w:eastAsia="zh-CN" w:bidi="ar-SA"/>
        </w:rPr>
        <w:t>3.1.8.2</w:t>
      </w:r>
      <w:r>
        <w:rPr>
          <w:rFonts w:hint="default" w:ascii="Times New Roman" w:hAnsi="Times New Roman" w:eastAsia="宋体" w:cs="Times New Roman"/>
          <w:b/>
          <w:bCs/>
          <w:snapToGrid w:val="0"/>
          <w:color w:val="auto"/>
          <w:kern w:val="0"/>
          <w:sz w:val="24"/>
          <w:szCs w:val="21"/>
          <w:highlight w:val="none"/>
          <w:lang w:val="en-US" w:eastAsia="zh-CN" w:bidi="ar-SA"/>
        </w:rPr>
        <w:t>整改方案</w:t>
      </w:r>
    </w:p>
    <w:p w14:paraId="461D20F4">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目前存在的问题已纳入塔河油田2024年度～2025年度整改计划中，已落实到具体的责任部门，并明确了资金来源。建议整改方案如下：</w:t>
      </w:r>
    </w:p>
    <w:p w14:paraId="7A72BF98">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根</w:t>
      </w:r>
      <w:r>
        <w:rPr>
          <w:rFonts w:hint="default" w:ascii="Times New Roman" w:hAnsi="Times New Roman" w:eastAsia="宋体" w:cs="Times New Roman"/>
          <w:color w:val="auto"/>
          <w:highlight w:val="none"/>
          <w:lang w:val="en-US" w:eastAsia="zh-CN"/>
        </w:rPr>
        <w:t>据《工矿用地土壤环境管理办法（试行）》（生态环境</w:t>
      </w:r>
      <w:r>
        <w:rPr>
          <w:rFonts w:hint="eastAsia" w:cs="Times New Roman"/>
          <w:color w:val="auto"/>
          <w:highlight w:val="none"/>
          <w:lang w:val="en-US" w:eastAsia="zh-CN"/>
        </w:rPr>
        <w:t>部</w:t>
      </w:r>
      <w:r>
        <w:rPr>
          <w:rFonts w:hint="default" w:ascii="Times New Roman" w:hAnsi="Times New Roman" w:eastAsia="宋体" w:cs="Times New Roman"/>
          <w:color w:val="auto"/>
          <w:highlight w:val="none"/>
          <w:lang w:val="en-US" w:eastAsia="zh-CN"/>
        </w:rPr>
        <w:t>令第3号）、《重点排污单位土壤污染隐患排查指南（试行）》（生态环境部2021年1号文）要求，加强土壤自行监测工作，并进行信息</w:t>
      </w:r>
      <w:r>
        <w:rPr>
          <w:rFonts w:hint="eastAsia" w:cs="Times New Roman"/>
          <w:color w:val="auto"/>
          <w:highlight w:val="none"/>
          <w:lang w:val="en-US" w:eastAsia="zh-CN"/>
        </w:rPr>
        <w:t>公开</w:t>
      </w:r>
      <w:r>
        <w:rPr>
          <w:rFonts w:hint="default" w:ascii="Times New Roman" w:hAnsi="Times New Roman" w:eastAsia="宋体" w:cs="Times New Roman"/>
          <w:color w:val="auto"/>
          <w:highlight w:val="none"/>
          <w:lang w:val="en-US" w:eastAsia="zh-CN"/>
        </w:rPr>
        <w:t>。</w:t>
      </w:r>
    </w:p>
    <w:p w14:paraId="371E38B1">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按照《废弃井封井回填技术指南（试行）》《矿山生态环境保护与恢复治理技术规范（试行）》（HJ651-2013）要求，对永久停用、拆除或弃置的各类井及时实施封井，油田公司督促相关方落实相关协议与责任，保证其做好场地恢复工作，对关停、搬迁和退役生产设施采取防止土壤和地下水污染的措施，对油气生产和储运等设施要制定退出方案，实施清除设施内残存物料、清理遗留污染等措施。</w:t>
      </w:r>
    </w:p>
    <w:p w14:paraId="1523009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）健全环境信息公开制度。按照《企业环境信息依法披露管理办法》（生态环境</w:t>
      </w:r>
      <w:r>
        <w:rPr>
          <w:rFonts w:hint="eastAsia" w:cs="Times New Roman"/>
          <w:color w:val="auto"/>
          <w:highlight w:val="none"/>
          <w:lang w:val="en-US" w:eastAsia="zh-CN"/>
        </w:rPr>
        <w:t>部</w:t>
      </w:r>
      <w:r>
        <w:rPr>
          <w:rFonts w:hint="default" w:ascii="Times New Roman" w:hAnsi="Times New Roman" w:eastAsia="宋体" w:cs="Times New Roman"/>
          <w:color w:val="auto"/>
          <w:highlight w:val="none"/>
          <w:lang w:val="en-US" w:eastAsia="zh-CN"/>
        </w:rPr>
        <w:t>令第24号）及《国家重点监控企业自行监测及信息公开办法（试行）》（环发〔2013〕81号）、《关于发布</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建设项目竣工环境保护验收暂行办法</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的公告》（国环规环评〔2017〕4号）等进行企业相关信息公开。</w:t>
      </w:r>
    </w:p>
    <w:p w14:paraId="660B4AAF">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auto"/>
          <w:highlight w:val="none"/>
        </w:rPr>
      </w:pPr>
      <w:bookmarkStart w:id="217" w:name="_Toc31876"/>
      <w:bookmarkStart w:id="218" w:name="_Toc6640"/>
      <w:bookmarkStart w:id="219" w:name="_Toc11617"/>
      <w:r>
        <w:rPr>
          <w:rFonts w:hint="default" w:ascii="Times New Roman" w:hAnsi="Times New Roman" w:eastAsia="宋体" w:cs="Times New Roman"/>
          <w:color w:val="auto"/>
          <w:highlight w:val="none"/>
        </w:rPr>
        <w:t>3.2</w:t>
      </w:r>
      <w:r>
        <w:rPr>
          <w:rFonts w:hint="default" w:ascii="Times New Roman" w:hAnsi="Times New Roman" w:eastAsia="宋体" w:cs="Times New Roman"/>
          <w:color w:val="auto"/>
          <w:highlight w:val="none"/>
          <w:lang w:val="en-US" w:eastAsia="zh-CN"/>
        </w:rPr>
        <w:t>现有</w:t>
      </w:r>
      <w:r>
        <w:rPr>
          <w:rFonts w:hint="default" w:ascii="Times New Roman" w:hAnsi="Times New Roman" w:eastAsia="宋体" w:cs="Times New Roman"/>
          <w:color w:val="auto"/>
          <w:highlight w:val="none"/>
        </w:rPr>
        <w:t>工程</w:t>
      </w:r>
      <w:bookmarkEnd w:id="217"/>
      <w:bookmarkEnd w:id="218"/>
      <w:bookmarkEnd w:id="219"/>
    </w:p>
    <w:p w14:paraId="44634751">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Cs w:val="22"/>
          <w:highlight w:val="none"/>
        </w:rPr>
      </w:pPr>
      <w:r>
        <w:rPr>
          <w:rFonts w:hint="default" w:ascii="Times New Roman" w:hAnsi="Times New Roman" w:cs="Times New Roman"/>
          <w:color w:val="auto"/>
          <w:szCs w:val="22"/>
          <w:highlight w:val="none"/>
          <w:lang w:eastAsia="zh-CN"/>
        </w:rPr>
        <w:t>本项目</w:t>
      </w:r>
      <w:r>
        <w:rPr>
          <w:rFonts w:hint="default" w:ascii="Times New Roman" w:hAnsi="Times New Roman" w:eastAsia="宋体" w:cs="Times New Roman"/>
          <w:color w:val="auto"/>
          <w:szCs w:val="22"/>
          <w:highlight w:val="none"/>
        </w:rPr>
        <w:t>建设内容中需对</w:t>
      </w:r>
      <w:r>
        <w:rPr>
          <w:rFonts w:hint="eastAsia" w:cs="Times New Roman"/>
          <w:color w:val="auto"/>
          <w:szCs w:val="22"/>
          <w:highlight w:val="none"/>
          <w:lang w:val="en-US" w:eastAsia="zh-CN"/>
        </w:rPr>
        <w:t>4</w:t>
      </w:r>
      <w:r>
        <w:rPr>
          <w:rFonts w:hint="default" w:ascii="Times New Roman" w:hAnsi="Times New Roman" w:eastAsia="宋体" w:cs="Times New Roman"/>
          <w:color w:val="auto"/>
          <w:szCs w:val="22"/>
          <w:highlight w:val="none"/>
        </w:rPr>
        <w:t>座老井进行侧钻，现有工程介绍中主要针对</w:t>
      </w:r>
      <w:r>
        <w:rPr>
          <w:rFonts w:hint="eastAsia" w:cs="Times New Roman"/>
          <w:color w:val="auto"/>
          <w:szCs w:val="22"/>
          <w:highlight w:val="none"/>
          <w:lang w:val="en-US" w:eastAsia="zh-CN"/>
        </w:rPr>
        <w:t>4</w:t>
      </w:r>
      <w:r>
        <w:rPr>
          <w:rFonts w:hint="default" w:ascii="Times New Roman" w:hAnsi="Times New Roman" w:eastAsia="宋体" w:cs="Times New Roman"/>
          <w:color w:val="auto"/>
          <w:szCs w:val="22"/>
          <w:highlight w:val="none"/>
        </w:rPr>
        <w:t>座老井</w:t>
      </w:r>
      <w:r>
        <w:rPr>
          <w:rFonts w:hint="eastAsia" w:cs="Times New Roman"/>
          <w:color w:val="auto"/>
          <w:szCs w:val="22"/>
          <w:highlight w:val="none"/>
          <w:lang w:val="en-US" w:eastAsia="zh-CN"/>
        </w:rPr>
        <w:t>基本情况</w:t>
      </w:r>
      <w:r>
        <w:rPr>
          <w:rFonts w:hint="default" w:ascii="Times New Roman" w:hAnsi="Times New Roman" w:eastAsia="宋体" w:cs="Times New Roman"/>
          <w:color w:val="auto"/>
          <w:szCs w:val="22"/>
          <w:highlight w:val="none"/>
        </w:rPr>
        <w:t>进行介绍。</w:t>
      </w:r>
    </w:p>
    <w:p w14:paraId="4940E3EF">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3.2.1现有工程概况</w:t>
      </w:r>
    </w:p>
    <w:p w14:paraId="1E6C2DAA">
      <w:pPr>
        <w:pStyle w:val="13"/>
        <w:numPr>
          <w:ilvl w:val="0"/>
          <w:numId w:val="0"/>
        </w:numPr>
        <w:outlineLvl w:val="3"/>
        <w:rPr>
          <w:rFonts w:hint="default"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b/>
          <w:bCs/>
          <w:snapToGrid w:val="0"/>
          <w:color w:val="auto"/>
          <w:kern w:val="0"/>
          <w:sz w:val="24"/>
          <w:szCs w:val="21"/>
          <w:highlight w:val="none"/>
          <w:lang w:val="en-US" w:eastAsia="zh-CN" w:bidi="ar-SA"/>
        </w:rPr>
        <w:t>3.2.1.1老井</w:t>
      </w:r>
      <w:r>
        <w:rPr>
          <w:rFonts w:hint="default" w:ascii="Times New Roman" w:hAnsi="Times New Roman" w:eastAsia="宋体" w:cs="Times New Roman"/>
          <w:b/>
          <w:bCs/>
          <w:snapToGrid w:val="0"/>
          <w:color w:val="auto"/>
          <w:kern w:val="0"/>
          <w:sz w:val="24"/>
          <w:szCs w:val="21"/>
          <w:highlight w:val="none"/>
          <w:lang w:val="en-US" w:eastAsia="zh-CN" w:bidi="ar-SA"/>
        </w:rPr>
        <w:t>基本情况</w:t>
      </w:r>
    </w:p>
    <w:p w14:paraId="18B250AE">
      <w:pPr>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szCs w:val="22"/>
          <w:highlight w:val="none"/>
          <w:lang w:eastAsia="zh-CN"/>
        </w:rPr>
        <w:t>本项目</w:t>
      </w:r>
      <w:r>
        <w:rPr>
          <w:rFonts w:hint="default" w:ascii="Times New Roman" w:hAnsi="Times New Roman" w:eastAsia="宋体" w:cs="Times New Roman"/>
          <w:color w:val="auto"/>
          <w:szCs w:val="22"/>
          <w:highlight w:val="none"/>
        </w:rPr>
        <w:t>建设内容中</w:t>
      </w:r>
      <w:r>
        <w:rPr>
          <w:rFonts w:hint="default" w:ascii="Times New Roman" w:hAnsi="Times New Roman" w:eastAsia="宋体" w:cs="Times New Roman"/>
          <w:color w:val="auto"/>
          <w:szCs w:val="22"/>
          <w:highlight w:val="none"/>
          <w:lang w:val="en-US" w:eastAsia="zh-CN"/>
        </w:rPr>
        <w:t>涉及的</w:t>
      </w:r>
      <w:r>
        <w:rPr>
          <w:rFonts w:hint="eastAsia" w:cs="Times New Roman"/>
          <w:color w:val="auto"/>
          <w:szCs w:val="22"/>
          <w:highlight w:val="none"/>
          <w:lang w:val="en-US" w:eastAsia="zh-CN"/>
        </w:rPr>
        <w:t>4</w:t>
      </w:r>
      <w:r>
        <w:rPr>
          <w:rFonts w:hint="default" w:ascii="Times New Roman" w:hAnsi="Times New Roman" w:eastAsia="宋体" w:cs="Times New Roman"/>
          <w:color w:val="auto"/>
          <w:szCs w:val="22"/>
          <w:highlight w:val="none"/>
        </w:rPr>
        <w:t>座老井</w:t>
      </w:r>
      <w:r>
        <w:rPr>
          <w:rFonts w:hint="eastAsia" w:cs="Times New Roman"/>
          <w:color w:val="auto"/>
          <w:szCs w:val="22"/>
          <w:highlight w:val="none"/>
          <w:lang w:val="en-US" w:eastAsia="zh-CN"/>
        </w:rPr>
        <w:t>侧钻</w:t>
      </w:r>
      <w:r>
        <w:rPr>
          <w:rFonts w:hint="eastAsia" w:cs="Times New Roman"/>
          <w:color w:val="auto"/>
          <w:szCs w:val="22"/>
          <w:highlight w:val="none"/>
          <w:lang w:eastAsia="zh-CN"/>
        </w:rPr>
        <w:t>，</w:t>
      </w:r>
      <w:r>
        <w:rPr>
          <w:rFonts w:hint="eastAsia" w:cs="Times New Roman"/>
          <w:color w:val="auto"/>
          <w:szCs w:val="22"/>
          <w:highlight w:val="none"/>
          <w:lang w:val="en-US" w:eastAsia="zh-CN"/>
        </w:rPr>
        <w:t>其中TH10294井和TH10298井</w:t>
      </w:r>
      <w:r>
        <w:rPr>
          <w:rFonts w:hint="default" w:ascii="Times New Roman" w:hAnsi="Times New Roman" w:cs="Times New Roman"/>
          <w:color w:val="auto"/>
          <w:szCs w:val="22"/>
          <w:highlight w:val="none"/>
          <w:lang w:val="en-US" w:eastAsia="zh-CN"/>
        </w:rPr>
        <w:t>处于停井状态</w:t>
      </w:r>
      <w:r>
        <w:rPr>
          <w:rFonts w:hint="eastAsia" w:cs="Times New Roman"/>
          <w:color w:val="auto"/>
          <w:szCs w:val="22"/>
          <w:highlight w:val="none"/>
          <w:lang w:val="en-US" w:eastAsia="zh-CN"/>
        </w:rPr>
        <w:t>，TH10250井和TK872X井处于生产状态</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lang w:val="en-US" w:eastAsia="zh-CN"/>
        </w:rPr>
        <w:t>根据建设单位提供的相关资料，现有</w:t>
      </w:r>
      <w:r>
        <w:rPr>
          <w:rFonts w:hint="default" w:ascii="Times New Roman" w:hAnsi="Times New Roman" w:cs="Times New Roman"/>
          <w:color w:val="auto"/>
          <w:szCs w:val="22"/>
          <w:highlight w:val="none"/>
          <w:lang w:eastAsia="zh-CN"/>
        </w:rPr>
        <w:t>管道运营期</w:t>
      </w:r>
      <w:r>
        <w:rPr>
          <w:rFonts w:hint="default" w:ascii="Times New Roman" w:hAnsi="Times New Roman" w:cs="Times New Roman"/>
          <w:color w:val="auto"/>
          <w:szCs w:val="22"/>
          <w:highlight w:val="none"/>
          <w:lang w:val="en-US" w:eastAsia="zh-CN"/>
        </w:rPr>
        <w:t>间</w:t>
      </w:r>
      <w:r>
        <w:rPr>
          <w:rFonts w:hint="default" w:ascii="Times New Roman" w:hAnsi="Times New Roman" w:cs="Times New Roman"/>
          <w:color w:val="auto"/>
          <w:szCs w:val="22"/>
          <w:highlight w:val="none"/>
          <w:lang w:eastAsia="zh-CN"/>
        </w:rPr>
        <w:t>，无腐蚀泄漏情况，没有发生过</w:t>
      </w:r>
      <w:r>
        <w:rPr>
          <w:rFonts w:hint="eastAsia" w:cs="Times New Roman"/>
          <w:color w:val="auto"/>
          <w:szCs w:val="22"/>
          <w:highlight w:val="none"/>
          <w:lang w:eastAsia="zh-CN"/>
        </w:rPr>
        <w:t>泄漏</w:t>
      </w:r>
      <w:r>
        <w:rPr>
          <w:rFonts w:hint="default" w:ascii="Times New Roman" w:hAnsi="Times New Roman" w:cs="Times New Roman"/>
          <w:color w:val="auto"/>
          <w:szCs w:val="22"/>
          <w:highlight w:val="none"/>
          <w:lang w:eastAsia="zh-CN"/>
        </w:rPr>
        <w:t>事故。</w:t>
      </w:r>
    </w:p>
    <w:p w14:paraId="44257D17">
      <w:pPr>
        <w:pStyle w:val="44"/>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表3.2-1</w:t>
      </w:r>
      <w:r>
        <w:rPr>
          <w:rFonts w:hint="eastAsia"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现有老井基本情况一览表</w:t>
      </w:r>
    </w:p>
    <w:tbl>
      <w:tblPr>
        <w:tblStyle w:val="60"/>
        <w:tblW w:w="507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3"/>
        <w:gridCol w:w="1093"/>
        <w:gridCol w:w="1011"/>
        <w:gridCol w:w="935"/>
        <w:gridCol w:w="1420"/>
        <w:gridCol w:w="1348"/>
        <w:gridCol w:w="1630"/>
        <w:gridCol w:w="999"/>
      </w:tblGrid>
      <w:tr w14:paraId="4E26E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jc w:val="center"/>
        </w:trPr>
        <w:tc>
          <w:tcPr>
            <w:tcW w:w="140" w:type="pct"/>
            <w:tcBorders>
              <w:top w:val="single" w:color="auto" w:sz="4" w:space="0"/>
              <w:left w:val="single" w:color="auto" w:sz="4" w:space="0"/>
              <w:bottom w:val="single" w:color="auto" w:sz="4" w:space="0"/>
            </w:tcBorders>
            <w:vAlign w:val="center"/>
          </w:tcPr>
          <w:p w14:paraId="2E98CBA6">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序号</w:t>
            </w:r>
          </w:p>
        </w:tc>
        <w:tc>
          <w:tcPr>
            <w:tcW w:w="629" w:type="pct"/>
            <w:tcBorders>
              <w:top w:val="single" w:color="auto" w:sz="4" w:space="0"/>
              <w:bottom w:val="single" w:color="auto" w:sz="4" w:space="0"/>
            </w:tcBorders>
            <w:vAlign w:val="center"/>
          </w:tcPr>
          <w:p w14:paraId="244CC2F2">
            <w:pPr>
              <w:pStyle w:val="42"/>
              <w:keepNext w:val="0"/>
              <w:keepLines w:val="0"/>
              <w:pageBreakBefore w:val="0"/>
              <w:widowControl/>
              <w:kinsoku/>
              <w:wordWrap/>
              <w:overflowPunct/>
              <w:topLinePunct w:val="0"/>
              <w:autoSpaceDE/>
              <w:autoSpaceDN/>
              <w:bidi w:val="0"/>
              <w:adjustRightInd w:val="0"/>
              <w:snapToGrid w:val="0"/>
              <w:spacing w:line="240" w:lineRule="auto"/>
              <w:ind w:right="97"/>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老井名</w:t>
            </w:r>
            <w:r>
              <w:rPr>
                <w:rFonts w:hint="default" w:ascii="Times New Roman" w:hAnsi="Times New Roman" w:eastAsia="宋体" w:cs="Times New Roman"/>
                <w:color w:val="auto"/>
                <w:spacing w:val="1"/>
                <w:sz w:val="21"/>
                <w:szCs w:val="21"/>
                <w:highlight w:val="none"/>
              </w:rPr>
              <w:t>称</w:t>
            </w:r>
          </w:p>
        </w:tc>
        <w:tc>
          <w:tcPr>
            <w:tcW w:w="582" w:type="pct"/>
            <w:tcBorders>
              <w:top w:val="single" w:color="auto" w:sz="4" w:space="0"/>
              <w:bottom w:val="single" w:color="auto" w:sz="4" w:space="0"/>
            </w:tcBorders>
            <w:vAlign w:val="center"/>
          </w:tcPr>
          <w:p w14:paraId="75E8546A">
            <w:pPr>
              <w:pStyle w:val="42"/>
              <w:keepNext w:val="0"/>
              <w:keepLines w:val="0"/>
              <w:pageBreakBefore w:val="0"/>
              <w:widowControl/>
              <w:kinsoku/>
              <w:wordWrap/>
              <w:overflowPunct/>
              <w:topLinePunct w:val="0"/>
              <w:autoSpaceDE/>
              <w:autoSpaceDN/>
              <w:bidi w:val="0"/>
              <w:adjustRightInd w:val="0"/>
              <w:snapToGrid w:val="0"/>
              <w:spacing w:line="240" w:lineRule="auto"/>
              <w:ind w:right="62"/>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val="en-US" w:eastAsia="zh-CN"/>
              </w:rPr>
              <w:t>井身结构</w:t>
            </w:r>
          </w:p>
        </w:tc>
        <w:tc>
          <w:tcPr>
            <w:tcW w:w="538" w:type="pct"/>
            <w:tcBorders>
              <w:top w:val="single" w:color="auto" w:sz="4" w:space="0"/>
              <w:bottom w:val="single" w:color="auto" w:sz="4" w:space="0"/>
            </w:tcBorders>
            <w:vAlign w:val="center"/>
          </w:tcPr>
          <w:p w14:paraId="0A7E8F9B">
            <w:pPr>
              <w:pStyle w:val="42"/>
              <w:keepNext w:val="0"/>
              <w:keepLines w:val="0"/>
              <w:pageBreakBefore w:val="0"/>
              <w:widowControl/>
              <w:kinsoku/>
              <w:wordWrap/>
              <w:overflowPunct/>
              <w:topLinePunct w:val="0"/>
              <w:autoSpaceDE/>
              <w:autoSpaceDN/>
              <w:bidi w:val="0"/>
              <w:adjustRightInd w:val="0"/>
              <w:snapToGrid w:val="0"/>
              <w:spacing w:line="240" w:lineRule="auto"/>
              <w:ind w:right="62"/>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val="en-US" w:eastAsia="zh-CN"/>
              </w:rPr>
              <w:t>井深</w:t>
            </w:r>
          </w:p>
        </w:tc>
        <w:tc>
          <w:tcPr>
            <w:tcW w:w="817" w:type="pct"/>
            <w:tcBorders>
              <w:top w:val="single" w:color="auto" w:sz="4" w:space="0"/>
              <w:bottom w:val="single" w:color="auto" w:sz="4" w:space="0"/>
            </w:tcBorders>
            <w:vAlign w:val="center"/>
          </w:tcPr>
          <w:p w14:paraId="1F445904">
            <w:pPr>
              <w:pStyle w:val="42"/>
              <w:keepNext w:val="0"/>
              <w:keepLines w:val="0"/>
              <w:pageBreakBefore w:val="0"/>
              <w:widowControl/>
              <w:kinsoku/>
              <w:wordWrap/>
              <w:overflowPunct/>
              <w:topLinePunct w:val="0"/>
              <w:autoSpaceDE/>
              <w:autoSpaceDN/>
              <w:bidi w:val="0"/>
              <w:adjustRightInd w:val="0"/>
              <w:snapToGrid w:val="0"/>
              <w:spacing w:line="240" w:lineRule="auto"/>
              <w:ind w:right="62"/>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接入计转</w:t>
            </w:r>
            <w:r>
              <w:rPr>
                <w:rFonts w:hint="default" w:ascii="Times New Roman" w:hAnsi="Times New Roman" w:eastAsia="宋体" w:cs="Times New Roman"/>
                <w:color w:val="auto"/>
                <w:sz w:val="21"/>
                <w:szCs w:val="21"/>
                <w:highlight w:val="none"/>
              </w:rPr>
              <w:t>站</w:t>
            </w:r>
          </w:p>
        </w:tc>
        <w:tc>
          <w:tcPr>
            <w:tcW w:w="776" w:type="pct"/>
            <w:tcBorders>
              <w:top w:val="single" w:color="auto" w:sz="4" w:space="0"/>
              <w:bottom w:val="single" w:color="auto" w:sz="4" w:space="0"/>
            </w:tcBorders>
            <w:vAlign w:val="center"/>
          </w:tcPr>
          <w:p w14:paraId="136C7E90">
            <w:pPr>
              <w:pStyle w:val="42"/>
              <w:keepNext w:val="0"/>
              <w:keepLines w:val="0"/>
              <w:pageBreakBefore w:val="0"/>
              <w:widowControl/>
              <w:kinsoku/>
              <w:wordWrap/>
              <w:overflowPunct/>
              <w:topLinePunct w:val="0"/>
              <w:autoSpaceDE/>
              <w:autoSpaceDN/>
              <w:bidi w:val="0"/>
              <w:adjustRightInd w:val="0"/>
              <w:snapToGrid w:val="0"/>
              <w:spacing w:line="240" w:lineRule="auto"/>
              <w:ind w:right="39"/>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接入联</w:t>
            </w:r>
            <w:r>
              <w:rPr>
                <w:rFonts w:hint="default" w:ascii="Times New Roman" w:hAnsi="Times New Roman" w:eastAsia="宋体" w:cs="Times New Roman"/>
                <w:color w:val="auto"/>
                <w:sz w:val="21"/>
                <w:szCs w:val="21"/>
                <w:highlight w:val="none"/>
              </w:rPr>
              <w:t>合站</w:t>
            </w:r>
          </w:p>
        </w:tc>
        <w:tc>
          <w:tcPr>
            <w:tcW w:w="938" w:type="pct"/>
            <w:tcBorders>
              <w:top w:val="single" w:color="auto" w:sz="4" w:space="0"/>
              <w:bottom w:val="single" w:color="auto" w:sz="4" w:space="0"/>
            </w:tcBorders>
            <w:vAlign w:val="center"/>
          </w:tcPr>
          <w:p w14:paraId="11B827E6">
            <w:pPr>
              <w:pStyle w:val="42"/>
              <w:keepNext w:val="0"/>
              <w:keepLines w:val="0"/>
              <w:pageBreakBefore w:val="0"/>
              <w:widowControl/>
              <w:kinsoku/>
              <w:wordWrap/>
              <w:overflowPunct/>
              <w:topLinePunct w:val="0"/>
              <w:autoSpaceDE/>
              <w:autoSpaceDN/>
              <w:bidi w:val="0"/>
              <w:adjustRightInd w:val="0"/>
              <w:snapToGrid w:val="0"/>
              <w:spacing w:line="240" w:lineRule="auto"/>
              <w:ind w:left="76"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pacing w:val="-5"/>
                <w:sz w:val="21"/>
                <w:szCs w:val="21"/>
                <w:highlight w:val="none"/>
                <w:lang w:val="en-US" w:eastAsia="zh-CN"/>
              </w:rPr>
              <w:t>实际产能</w:t>
            </w:r>
          </w:p>
        </w:tc>
        <w:tc>
          <w:tcPr>
            <w:tcW w:w="575" w:type="pct"/>
            <w:tcBorders>
              <w:top w:val="single" w:color="auto" w:sz="4" w:space="0"/>
              <w:bottom w:val="single" w:color="auto" w:sz="4" w:space="0"/>
              <w:right w:val="single" w:color="auto" w:sz="4" w:space="0"/>
            </w:tcBorders>
            <w:vAlign w:val="center"/>
          </w:tcPr>
          <w:p w14:paraId="4A0512D6">
            <w:pPr>
              <w:pStyle w:val="42"/>
              <w:keepNext w:val="0"/>
              <w:keepLines w:val="0"/>
              <w:pageBreakBefore w:val="0"/>
              <w:widowControl/>
              <w:kinsoku/>
              <w:wordWrap/>
              <w:overflowPunct/>
              <w:topLinePunct w:val="0"/>
              <w:autoSpaceDE/>
              <w:autoSpaceDN/>
              <w:bidi w:val="0"/>
              <w:adjustRightInd w:val="0"/>
              <w:snapToGrid w:val="0"/>
              <w:spacing w:line="240" w:lineRule="auto"/>
              <w:ind w:right="29"/>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所属区</w:t>
            </w:r>
            <w:r>
              <w:rPr>
                <w:rFonts w:hint="default" w:ascii="Times New Roman" w:hAnsi="Times New Roman" w:eastAsia="宋体" w:cs="Times New Roman"/>
                <w:color w:val="auto"/>
                <w:spacing w:val="1"/>
                <w:sz w:val="21"/>
                <w:szCs w:val="21"/>
                <w:highlight w:val="none"/>
              </w:rPr>
              <w:t>块</w:t>
            </w:r>
          </w:p>
        </w:tc>
      </w:tr>
      <w:tr w14:paraId="1C257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140" w:type="pct"/>
            <w:tcBorders>
              <w:top w:val="single" w:color="auto" w:sz="4" w:space="0"/>
              <w:left w:val="single" w:color="000000" w:sz="6" w:space="0"/>
            </w:tcBorders>
            <w:vAlign w:val="center"/>
          </w:tcPr>
          <w:p w14:paraId="36FA13F9">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1</w:t>
            </w:r>
          </w:p>
        </w:tc>
        <w:tc>
          <w:tcPr>
            <w:tcW w:w="629" w:type="pct"/>
            <w:tcBorders>
              <w:top w:val="single" w:color="auto" w:sz="4" w:space="0"/>
            </w:tcBorders>
            <w:vAlign w:val="center"/>
          </w:tcPr>
          <w:p w14:paraId="54F4FB74">
            <w:pPr>
              <w:keepNext w:val="0"/>
              <w:keepLines w:val="0"/>
              <w:widowControl/>
              <w:suppressLineNumbers w:val="0"/>
              <w:jc w:val="center"/>
              <w:textAlignment w:val="center"/>
              <w:rPr>
                <w:rFonts w:hint="default" w:ascii="Times New Roman" w:hAnsi="Times New Roman" w:eastAsia="宋体" w:cs="Times New Roman"/>
                <w:color w:val="auto"/>
                <w:spacing w:val="9"/>
                <w:sz w:val="21"/>
                <w:szCs w:val="21"/>
                <w:highlight w:val="none"/>
              </w:rPr>
            </w:pPr>
            <w:r>
              <w:rPr>
                <w:rFonts w:hint="eastAsia" w:cs="Times New Roman"/>
                <w:i w:val="0"/>
                <w:iCs w:val="0"/>
                <w:color w:val="auto"/>
                <w:kern w:val="0"/>
                <w:sz w:val="21"/>
                <w:szCs w:val="21"/>
                <w:highlight w:val="none"/>
                <w:u w:val="none"/>
                <w:lang w:val="en-US" w:eastAsia="zh-CN" w:bidi="ar"/>
              </w:rPr>
              <w:t>TH10250</w:t>
            </w:r>
          </w:p>
        </w:tc>
        <w:tc>
          <w:tcPr>
            <w:tcW w:w="582" w:type="pct"/>
            <w:tcBorders>
              <w:top w:val="single" w:color="auto" w:sz="4" w:space="0"/>
            </w:tcBorders>
            <w:vAlign w:val="center"/>
          </w:tcPr>
          <w:p w14:paraId="57EEC261">
            <w:pPr>
              <w:keepNext w:val="0"/>
              <w:keepLines w:val="0"/>
              <w:widowControl/>
              <w:suppressLineNumbers w:val="0"/>
              <w:jc w:val="center"/>
              <w:textAlignment w:val="center"/>
              <w:rPr>
                <w:rFonts w:hint="default" w:ascii="Times New Roman" w:hAnsi="Times New Roman" w:eastAsia="宋体" w:cs="Times New Roman"/>
                <w:color w:val="auto"/>
                <w:spacing w:val="9"/>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三开直井</w:t>
            </w:r>
          </w:p>
        </w:tc>
        <w:tc>
          <w:tcPr>
            <w:tcW w:w="538" w:type="pct"/>
            <w:tcBorders>
              <w:top w:val="single" w:color="auto" w:sz="4" w:space="0"/>
            </w:tcBorders>
            <w:vAlign w:val="center"/>
          </w:tcPr>
          <w:p w14:paraId="2D36BB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5927m</w:t>
            </w:r>
          </w:p>
        </w:tc>
        <w:tc>
          <w:tcPr>
            <w:tcW w:w="817" w:type="pct"/>
            <w:tcBorders>
              <w:top w:val="single" w:color="auto" w:sz="4" w:space="0"/>
            </w:tcBorders>
            <w:vAlign w:val="center"/>
          </w:tcPr>
          <w:p w14:paraId="7BC6C9AE">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10-6计转站</w:t>
            </w:r>
          </w:p>
        </w:tc>
        <w:tc>
          <w:tcPr>
            <w:tcW w:w="776" w:type="pct"/>
            <w:tcBorders>
              <w:top w:val="single" w:color="auto" w:sz="4" w:space="0"/>
            </w:tcBorders>
            <w:vAlign w:val="center"/>
          </w:tcPr>
          <w:p w14:paraId="55CBE986">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938" w:type="pct"/>
            <w:tcBorders>
              <w:top w:val="single" w:color="auto" w:sz="4" w:space="0"/>
            </w:tcBorders>
            <w:vAlign w:val="center"/>
          </w:tcPr>
          <w:p w14:paraId="7E464639">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9"/>
                <w:sz w:val="21"/>
                <w:szCs w:val="21"/>
                <w:highlight w:val="none"/>
                <w:lang w:val="en-US" w:eastAsia="zh-CN" w:bidi="ar-SA"/>
              </w:rPr>
            </w:pPr>
            <w:r>
              <w:rPr>
                <w:rFonts w:hint="eastAsia" w:ascii="Times New Roman" w:hAnsi="Times New Roman" w:eastAsia="宋体" w:cs="Times New Roman"/>
                <w:color w:val="auto"/>
                <w:spacing w:val="9"/>
                <w:sz w:val="21"/>
                <w:szCs w:val="21"/>
                <w:highlight w:val="none"/>
                <w:lang w:val="en-US" w:eastAsia="zh-CN"/>
              </w:rPr>
              <w:t>累</w:t>
            </w:r>
            <w:r>
              <w:rPr>
                <w:rFonts w:hint="default" w:ascii="Times New Roman" w:hAnsi="Times New Roman" w:eastAsia="宋体" w:cs="Times New Roman"/>
                <w:color w:val="auto"/>
                <w:spacing w:val="9"/>
                <w:sz w:val="21"/>
                <w:szCs w:val="21"/>
                <w:highlight w:val="none"/>
                <w:lang w:val="en-US" w:eastAsia="zh-CN"/>
              </w:rPr>
              <w:t>产油2.77</w:t>
            </w:r>
            <w:r>
              <w:rPr>
                <w:rFonts w:hint="eastAsia" w:ascii="Times New Roman" w:hAnsi="Times New Roman" w:eastAsia="宋体" w:cs="Times New Roman"/>
                <w:color w:val="auto"/>
                <w:spacing w:val="9"/>
                <w:sz w:val="21"/>
                <w:szCs w:val="21"/>
                <w:highlight w:val="none"/>
                <w:lang w:val="en-US" w:eastAsia="zh-CN"/>
              </w:rPr>
              <w:t>万吨</w:t>
            </w:r>
          </w:p>
        </w:tc>
        <w:tc>
          <w:tcPr>
            <w:tcW w:w="575" w:type="pct"/>
            <w:tcBorders>
              <w:top w:val="single" w:color="auto" w:sz="4" w:space="0"/>
            </w:tcBorders>
            <w:vAlign w:val="center"/>
          </w:tcPr>
          <w:p w14:paraId="0C6D84D1">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w:t>
            </w:r>
            <w:r>
              <w:rPr>
                <w:rFonts w:hint="default" w:ascii="Times New Roman" w:hAnsi="Times New Roman" w:eastAsia="宋体" w:cs="Times New Roman"/>
                <w:color w:val="auto"/>
                <w:spacing w:val="9"/>
                <w:sz w:val="21"/>
                <w:szCs w:val="21"/>
                <w:highlight w:val="none"/>
              </w:rPr>
              <w:t>区</w:t>
            </w:r>
          </w:p>
        </w:tc>
      </w:tr>
      <w:tr w14:paraId="6F32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140" w:type="pct"/>
            <w:tcBorders>
              <w:left w:val="single" w:color="000000" w:sz="6" w:space="0"/>
            </w:tcBorders>
            <w:vAlign w:val="center"/>
          </w:tcPr>
          <w:p w14:paraId="0B8082E5">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2</w:t>
            </w:r>
          </w:p>
        </w:tc>
        <w:tc>
          <w:tcPr>
            <w:tcW w:w="629" w:type="pct"/>
            <w:vAlign w:val="center"/>
          </w:tcPr>
          <w:p w14:paraId="51176C49">
            <w:pPr>
              <w:keepNext w:val="0"/>
              <w:keepLines w:val="0"/>
              <w:widowControl/>
              <w:suppressLineNumbers w:val="0"/>
              <w:jc w:val="center"/>
              <w:textAlignment w:val="center"/>
              <w:rPr>
                <w:rFonts w:hint="default" w:ascii="Times New Roman" w:hAnsi="Times New Roman" w:eastAsia="宋体" w:cs="Times New Roman"/>
                <w:color w:val="auto"/>
                <w:spacing w:val="9"/>
                <w:sz w:val="21"/>
                <w:szCs w:val="21"/>
                <w:highlight w:val="none"/>
              </w:rPr>
            </w:pPr>
            <w:r>
              <w:rPr>
                <w:rFonts w:hint="eastAsia" w:cs="Times New Roman"/>
                <w:i w:val="0"/>
                <w:iCs w:val="0"/>
                <w:color w:val="auto"/>
                <w:kern w:val="0"/>
                <w:sz w:val="21"/>
                <w:szCs w:val="21"/>
                <w:highlight w:val="none"/>
                <w:u w:val="none"/>
                <w:lang w:val="en-US" w:eastAsia="zh-CN" w:bidi="ar"/>
              </w:rPr>
              <w:t>TH10294X</w:t>
            </w:r>
          </w:p>
        </w:tc>
        <w:tc>
          <w:tcPr>
            <w:tcW w:w="582" w:type="pct"/>
            <w:vAlign w:val="center"/>
          </w:tcPr>
          <w:p w14:paraId="202F89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三开斜井</w:t>
            </w:r>
          </w:p>
        </w:tc>
        <w:tc>
          <w:tcPr>
            <w:tcW w:w="538" w:type="pct"/>
            <w:vAlign w:val="center"/>
          </w:tcPr>
          <w:p w14:paraId="769DE7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5831m</w:t>
            </w:r>
          </w:p>
        </w:tc>
        <w:tc>
          <w:tcPr>
            <w:tcW w:w="817" w:type="pct"/>
            <w:vAlign w:val="center"/>
          </w:tcPr>
          <w:p w14:paraId="15E83ED4">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10-6计转站</w:t>
            </w:r>
          </w:p>
        </w:tc>
        <w:tc>
          <w:tcPr>
            <w:tcW w:w="776" w:type="pct"/>
            <w:vAlign w:val="center"/>
          </w:tcPr>
          <w:p w14:paraId="5E6B83F3">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938" w:type="pct"/>
            <w:vAlign w:val="center"/>
          </w:tcPr>
          <w:p w14:paraId="5CABAFB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9"/>
                <w:sz w:val="21"/>
                <w:szCs w:val="21"/>
                <w:highlight w:val="none"/>
                <w:lang w:val="en-US" w:eastAsia="zh-CN" w:bidi="ar-SA"/>
              </w:rPr>
            </w:pPr>
            <w:r>
              <w:rPr>
                <w:rFonts w:hint="eastAsia" w:ascii="Times New Roman" w:hAnsi="Times New Roman" w:eastAsia="宋体" w:cs="Times New Roman"/>
                <w:color w:val="auto"/>
                <w:spacing w:val="9"/>
                <w:sz w:val="21"/>
                <w:szCs w:val="21"/>
                <w:highlight w:val="none"/>
                <w:lang w:val="en-US" w:eastAsia="zh-CN"/>
              </w:rPr>
              <w:t>累</w:t>
            </w:r>
            <w:r>
              <w:rPr>
                <w:rFonts w:hint="default" w:ascii="Times New Roman" w:hAnsi="Times New Roman" w:eastAsia="宋体" w:cs="Times New Roman"/>
                <w:color w:val="auto"/>
                <w:spacing w:val="9"/>
                <w:sz w:val="21"/>
                <w:szCs w:val="21"/>
                <w:highlight w:val="none"/>
                <w:lang w:val="en-US" w:eastAsia="zh-CN"/>
              </w:rPr>
              <w:t>产油</w:t>
            </w:r>
            <w:r>
              <w:rPr>
                <w:rFonts w:hint="eastAsia" w:ascii="Times New Roman" w:hAnsi="Times New Roman" w:eastAsia="宋体" w:cs="Times New Roman"/>
                <w:color w:val="auto"/>
                <w:spacing w:val="9"/>
                <w:sz w:val="21"/>
                <w:szCs w:val="21"/>
                <w:highlight w:val="none"/>
                <w:lang w:val="en-US" w:eastAsia="zh-CN"/>
              </w:rPr>
              <w:t>1.3万吨</w:t>
            </w:r>
          </w:p>
        </w:tc>
        <w:tc>
          <w:tcPr>
            <w:tcW w:w="575" w:type="pct"/>
            <w:vAlign w:val="center"/>
          </w:tcPr>
          <w:p w14:paraId="06FFC90C">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w:t>
            </w:r>
            <w:r>
              <w:rPr>
                <w:rFonts w:hint="default" w:ascii="Times New Roman" w:hAnsi="Times New Roman" w:eastAsia="宋体" w:cs="Times New Roman"/>
                <w:color w:val="auto"/>
                <w:spacing w:val="9"/>
                <w:sz w:val="21"/>
                <w:szCs w:val="21"/>
                <w:highlight w:val="none"/>
              </w:rPr>
              <w:t>区</w:t>
            </w:r>
          </w:p>
        </w:tc>
      </w:tr>
      <w:tr w14:paraId="6EA13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40" w:type="pct"/>
            <w:tcBorders>
              <w:left w:val="single" w:color="000000" w:sz="6" w:space="0"/>
            </w:tcBorders>
            <w:vAlign w:val="center"/>
          </w:tcPr>
          <w:p w14:paraId="62C19672">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3</w:t>
            </w:r>
          </w:p>
        </w:tc>
        <w:tc>
          <w:tcPr>
            <w:tcW w:w="629" w:type="pct"/>
            <w:vAlign w:val="center"/>
          </w:tcPr>
          <w:p w14:paraId="11353B20">
            <w:pPr>
              <w:keepNext w:val="0"/>
              <w:keepLines w:val="0"/>
              <w:widowControl/>
              <w:suppressLineNumbers w:val="0"/>
              <w:jc w:val="center"/>
              <w:textAlignment w:val="center"/>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TH10298</w:t>
            </w:r>
          </w:p>
        </w:tc>
        <w:tc>
          <w:tcPr>
            <w:tcW w:w="582" w:type="pct"/>
            <w:vAlign w:val="center"/>
          </w:tcPr>
          <w:p w14:paraId="50FED1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三开直井</w:t>
            </w:r>
          </w:p>
        </w:tc>
        <w:tc>
          <w:tcPr>
            <w:tcW w:w="538" w:type="pct"/>
            <w:vAlign w:val="center"/>
          </w:tcPr>
          <w:p w14:paraId="16D2C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5803m</w:t>
            </w:r>
          </w:p>
        </w:tc>
        <w:tc>
          <w:tcPr>
            <w:tcW w:w="817" w:type="pct"/>
            <w:vAlign w:val="center"/>
          </w:tcPr>
          <w:p w14:paraId="42B0DDB9">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10-6计转站</w:t>
            </w:r>
          </w:p>
        </w:tc>
        <w:tc>
          <w:tcPr>
            <w:tcW w:w="776" w:type="pct"/>
            <w:vAlign w:val="center"/>
          </w:tcPr>
          <w:p w14:paraId="6BEC57E1">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938" w:type="pct"/>
            <w:vAlign w:val="center"/>
          </w:tcPr>
          <w:p w14:paraId="7069B98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9"/>
                <w:sz w:val="21"/>
                <w:szCs w:val="21"/>
                <w:highlight w:val="none"/>
                <w:lang w:val="en-US" w:eastAsia="zh-CN" w:bidi="ar-SA"/>
              </w:rPr>
            </w:pPr>
            <w:r>
              <w:rPr>
                <w:rFonts w:hint="eastAsia" w:ascii="Times New Roman" w:hAnsi="Times New Roman" w:eastAsia="宋体" w:cs="Times New Roman"/>
                <w:color w:val="auto"/>
                <w:spacing w:val="9"/>
                <w:sz w:val="21"/>
                <w:szCs w:val="21"/>
                <w:highlight w:val="none"/>
                <w:lang w:val="en-US" w:eastAsia="zh-CN"/>
              </w:rPr>
              <w:t>累</w:t>
            </w:r>
            <w:r>
              <w:rPr>
                <w:rFonts w:hint="default" w:ascii="Times New Roman" w:hAnsi="Times New Roman" w:eastAsia="宋体" w:cs="Times New Roman"/>
                <w:color w:val="auto"/>
                <w:spacing w:val="9"/>
                <w:sz w:val="21"/>
                <w:szCs w:val="21"/>
                <w:highlight w:val="none"/>
                <w:lang w:val="en-US" w:eastAsia="zh-CN"/>
              </w:rPr>
              <w:t>产油0.6万吨</w:t>
            </w:r>
          </w:p>
        </w:tc>
        <w:tc>
          <w:tcPr>
            <w:tcW w:w="575" w:type="pct"/>
            <w:vAlign w:val="center"/>
          </w:tcPr>
          <w:p w14:paraId="6D1D0D6D">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w:t>
            </w:r>
            <w:r>
              <w:rPr>
                <w:rFonts w:hint="default" w:ascii="Times New Roman" w:hAnsi="Times New Roman" w:eastAsia="宋体" w:cs="Times New Roman"/>
                <w:color w:val="auto"/>
                <w:spacing w:val="9"/>
                <w:sz w:val="21"/>
                <w:szCs w:val="21"/>
                <w:highlight w:val="none"/>
              </w:rPr>
              <w:t>区</w:t>
            </w:r>
          </w:p>
        </w:tc>
      </w:tr>
      <w:tr w14:paraId="0CB2A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jc w:val="center"/>
        </w:trPr>
        <w:tc>
          <w:tcPr>
            <w:tcW w:w="140" w:type="pct"/>
            <w:tcBorders>
              <w:left w:val="single" w:color="000000" w:sz="6" w:space="0"/>
            </w:tcBorders>
            <w:vAlign w:val="center"/>
          </w:tcPr>
          <w:p w14:paraId="37D42ED5">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4</w:t>
            </w:r>
          </w:p>
        </w:tc>
        <w:tc>
          <w:tcPr>
            <w:tcW w:w="629" w:type="pct"/>
            <w:vAlign w:val="center"/>
          </w:tcPr>
          <w:p w14:paraId="11CBA8C4">
            <w:pPr>
              <w:keepNext w:val="0"/>
              <w:keepLines w:val="0"/>
              <w:widowControl/>
              <w:suppressLineNumbers w:val="0"/>
              <w:jc w:val="center"/>
              <w:textAlignment w:val="center"/>
              <w:rPr>
                <w:rFonts w:hint="default" w:ascii="Times New Roman" w:hAnsi="Times New Roman" w:eastAsia="宋体" w:cs="Times New Roman"/>
                <w:color w:val="auto"/>
                <w:spacing w:val="9"/>
                <w:sz w:val="21"/>
                <w:szCs w:val="21"/>
                <w:highlight w:val="none"/>
              </w:rPr>
            </w:pPr>
            <w:r>
              <w:rPr>
                <w:rFonts w:hint="eastAsia" w:cs="Times New Roman"/>
                <w:i w:val="0"/>
                <w:iCs w:val="0"/>
                <w:color w:val="auto"/>
                <w:kern w:val="0"/>
                <w:sz w:val="21"/>
                <w:szCs w:val="21"/>
                <w:highlight w:val="none"/>
                <w:u w:val="none"/>
                <w:lang w:val="en-US" w:eastAsia="zh-CN" w:bidi="ar"/>
              </w:rPr>
              <w:t>TK872X</w:t>
            </w:r>
          </w:p>
        </w:tc>
        <w:tc>
          <w:tcPr>
            <w:tcW w:w="582" w:type="pct"/>
            <w:vAlign w:val="center"/>
          </w:tcPr>
          <w:p w14:paraId="2AD000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三开斜井</w:t>
            </w:r>
          </w:p>
        </w:tc>
        <w:tc>
          <w:tcPr>
            <w:tcW w:w="538" w:type="pct"/>
            <w:vAlign w:val="center"/>
          </w:tcPr>
          <w:p w14:paraId="565A72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5598.65m</w:t>
            </w:r>
          </w:p>
        </w:tc>
        <w:tc>
          <w:tcPr>
            <w:tcW w:w="817" w:type="pct"/>
            <w:vAlign w:val="center"/>
          </w:tcPr>
          <w:p w14:paraId="7DB38991">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8-1计转站</w:t>
            </w:r>
          </w:p>
        </w:tc>
        <w:tc>
          <w:tcPr>
            <w:tcW w:w="776" w:type="pct"/>
            <w:vAlign w:val="center"/>
          </w:tcPr>
          <w:p w14:paraId="671232C4">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938" w:type="pct"/>
            <w:vAlign w:val="center"/>
          </w:tcPr>
          <w:p w14:paraId="1948E05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9"/>
                <w:sz w:val="21"/>
                <w:szCs w:val="21"/>
                <w:highlight w:val="none"/>
                <w:lang w:val="en-US" w:eastAsia="zh-CN" w:bidi="ar-SA"/>
              </w:rPr>
            </w:pPr>
            <w:r>
              <w:rPr>
                <w:rFonts w:hint="default" w:ascii="Times New Roman" w:hAnsi="Times New Roman" w:eastAsia="宋体" w:cs="Times New Roman"/>
                <w:color w:val="auto"/>
                <w:spacing w:val="9"/>
                <w:sz w:val="21"/>
                <w:szCs w:val="21"/>
                <w:highlight w:val="none"/>
                <w:lang w:val="en-US" w:eastAsia="zh-CN"/>
              </w:rPr>
              <w:t>累产</w:t>
            </w:r>
            <w:r>
              <w:rPr>
                <w:rFonts w:hint="eastAsia" w:ascii="Times New Roman" w:hAnsi="Times New Roman" w:eastAsia="宋体" w:cs="Times New Roman"/>
                <w:color w:val="auto"/>
                <w:spacing w:val="9"/>
                <w:sz w:val="21"/>
                <w:szCs w:val="21"/>
                <w:highlight w:val="none"/>
                <w:lang w:val="en-US" w:eastAsia="zh-CN"/>
              </w:rPr>
              <w:t>油</w:t>
            </w:r>
            <w:r>
              <w:rPr>
                <w:rFonts w:hint="default" w:ascii="Times New Roman" w:hAnsi="Times New Roman" w:eastAsia="宋体" w:cs="Times New Roman"/>
                <w:color w:val="auto"/>
                <w:spacing w:val="9"/>
                <w:sz w:val="21"/>
                <w:szCs w:val="21"/>
                <w:highlight w:val="none"/>
                <w:lang w:val="en-US" w:eastAsia="zh-CN"/>
              </w:rPr>
              <w:t>2.49万吨</w:t>
            </w:r>
          </w:p>
        </w:tc>
        <w:tc>
          <w:tcPr>
            <w:tcW w:w="575" w:type="pct"/>
            <w:vAlign w:val="center"/>
          </w:tcPr>
          <w:p w14:paraId="03E17C9A">
            <w:pPr>
              <w:pStyle w:val="4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8区</w:t>
            </w:r>
          </w:p>
        </w:tc>
      </w:tr>
    </w:tbl>
    <w:p w14:paraId="7205837F">
      <w:pPr>
        <w:pStyle w:val="13"/>
        <w:keepNext w:val="0"/>
        <w:keepLines w:val="0"/>
        <w:pageBreakBefore w:val="0"/>
        <w:widowControl w:val="0"/>
        <w:numPr>
          <w:ilvl w:val="0"/>
          <w:numId w:val="0"/>
        </w:numPr>
        <w:kinsoku/>
        <w:wordWrap/>
        <w:overflowPunct/>
        <w:topLinePunct w:val="0"/>
        <w:autoSpaceDE/>
        <w:autoSpaceDN/>
        <w:bidi w:val="0"/>
        <w:adjustRightInd/>
        <w:snapToGrid/>
        <w:spacing w:before="157" w:beforeLines="50"/>
        <w:textAlignment w:val="auto"/>
        <w:outlineLvl w:val="3"/>
        <w:rPr>
          <w:rFonts w:hint="default"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b/>
          <w:bCs/>
          <w:snapToGrid w:val="0"/>
          <w:color w:val="auto"/>
          <w:kern w:val="0"/>
          <w:sz w:val="24"/>
          <w:szCs w:val="21"/>
          <w:highlight w:val="none"/>
          <w:lang w:val="en-US" w:eastAsia="zh-CN" w:bidi="ar-SA"/>
        </w:rPr>
        <w:t>3.2.1.2井场</w:t>
      </w:r>
      <w:r>
        <w:rPr>
          <w:rFonts w:hint="default" w:ascii="Times New Roman" w:hAnsi="Times New Roman" w:eastAsia="宋体" w:cs="Times New Roman"/>
          <w:b/>
          <w:bCs/>
          <w:snapToGrid w:val="0"/>
          <w:color w:val="auto"/>
          <w:kern w:val="0"/>
          <w:sz w:val="24"/>
          <w:szCs w:val="21"/>
          <w:highlight w:val="none"/>
          <w:lang w:val="en-US" w:eastAsia="zh-CN" w:bidi="ar-SA"/>
        </w:rPr>
        <w:t>主要设备设施</w:t>
      </w:r>
    </w:p>
    <w:p w14:paraId="6837FEF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现有工程井场主要设备见表3.2-</w:t>
      </w:r>
      <w:r>
        <w:rPr>
          <w:rFonts w:hint="default" w:ascii="Times New Roman" w:hAnsi="Times New Roman" w:cs="Times New Roman"/>
          <w:color w:val="auto"/>
          <w:szCs w:val="22"/>
          <w:highlight w:val="none"/>
          <w:lang w:val="en-US" w:eastAsia="zh-CN"/>
        </w:rPr>
        <w:t>2</w:t>
      </w:r>
      <w:r>
        <w:rPr>
          <w:rFonts w:hint="default" w:ascii="Times New Roman" w:hAnsi="Times New Roman" w:cs="Times New Roman"/>
          <w:color w:val="auto"/>
          <w:szCs w:val="22"/>
          <w:highlight w:val="none"/>
        </w:rPr>
        <w:t>。</w:t>
      </w:r>
    </w:p>
    <w:p w14:paraId="2EB0A525">
      <w:pPr>
        <w:pStyle w:val="44"/>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表3.2-2</w:t>
      </w:r>
      <w:r>
        <w:rPr>
          <w:rFonts w:hint="eastAsia"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现有井场主要设备一览表</w:t>
      </w:r>
    </w:p>
    <w:tbl>
      <w:tblPr>
        <w:tblStyle w:val="60"/>
        <w:tblW w:w="5071"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02"/>
        <w:gridCol w:w="1829"/>
        <w:gridCol w:w="3369"/>
        <w:gridCol w:w="913"/>
        <w:gridCol w:w="949"/>
        <w:gridCol w:w="813"/>
      </w:tblGrid>
      <w:tr w14:paraId="65D7A04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462" w:type="pct"/>
            <w:tcBorders>
              <w:bottom w:val="single" w:color="auto" w:sz="4" w:space="0"/>
            </w:tcBorders>
            <w:vAlign w:val="center"/>
          </w:tcPr>
          <w:p w14:paraId="4D7BBF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054" w:type="pct"/>
            <w:tcBorders>
              <w:bottom w:val="single" w:color="auto" w:sz="4" w:space="0"/>
            </w:tcBorders>
            <w:vAlign w:val="center"/>
          </w:tcPr>
          <w:p w14:paraId="7CE77C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老井名称</w:t>
            </w:r>
          </w:p>
        </w:tc>
        <w:tc>
          <w:tcPr>
            <w:tcW w:w="1941" w:type="pct"/>
            <w:tcBorders>
              <w:bottom w:val="single" w:color="auto" w:sz="4" w:space="0"/>
            </w:tcBorders>
            <w:vAlign w:val="center"/>
          </w:tcPr>
          <w:p w14:paraId="462D3D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设备名称</w:t>
            </w:r>
          </w:p>
        </w:tc>
        <w:tc>
          <w:tcPr>
            <w:tcW w:w="526" w:type="pct"/>
            <w:tcBorders>
              <w:bottom w:val="single" w:color="auto" w:sz="4" w:space="0"/>
            </w:tcBorders>
            <w:vAlign w:val="center"/>
          </w:tcPr>
          <w:p w14:paraId="140076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547" w:type="pct"/>
            <w:tcBorders>
              <w:bottom w:val="single" w:color="auto" w:sz="4" w:space="0"/>
            </w:tcBorders>
            <w:vAlign w:val="center"/>
          </w:tcPr>
          <w:p w14:paraId="53354C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c>
          <w:tcPr>
            <w:tcW w:w="468" w:type="pct"/>
            <w:tcBorders>
              <w:bottom w:val="single" w:color="auto" w:sz="4" w:space="0"/>
            </w:tcBorders>
            <w:vAlign w:val="center"/>
          </w:tcPr>
          <w:p w14:paraId="1B877D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w:t>
            </w:r>
          </w:p>
        </w:tc>
      </w:tr>
      <w:tr w14:paraId="6CCBAD6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462" w:type="pct"/>
            <w:tcBorders>
              <w:top w:val="single" w:color="auto" w:sz="4" w:space="0"/>
            </w:tcBorders>
            <w:vAlign w:val="center"/>
          </w:tcPr>
          <w:p w14:paraId="7B3ABC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54" w:type="pct"/>
            <w:vMerge w:val="restart"/>
            <w:tcBorders>
              <w:top w:val="single" w:color="auto" w:sz="4" w:space="0"/>
            </w:tcBorders>
            <w:vAlign w:val="center"/>
          </w:tcPr>
          <w:p w14:paraId="48F05E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TH10250</w:t>
            </w:r>
          </w:p>
        </w:tc>
        <w:tc>
          <w:tcPr>
            <w:tcW w:w="1941" w:type="pct"/>
            <w:tcBorders>
              <w:top w:val="single" w:color="auto" w:sz="4" w:space="0"/>
            </w:tcBorders>
            <w:vAlign w:val="center"/>
          </w:tcPr>
          <w:p w14:paraId="41D48E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采油树</w:t>
            </w:r>
          </w:p>
        </w:tc>
        <w:tc>
          <w:tcPr>
            <w:tcW w:w="526" w:type="pct"/>
            <w:tcBorders>
              <w:top w:val="single" w:color="auto" w:sz="4" w:space="0"/>
            </w:tcBorders>
            <w:vAlign w:val="center"/>
          </w:tcPr>
          <w:p w14:paraId="60425A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座</w:t>
            </w:r>
          </w:p>
        </w:tc>
        <w:tc>
          <w:tcPr>
            <w:tcW w:w="547" w:type="pct"/>
            <w:tcBorders>
              <w:top w:val="single" w:color="auto" w:sz="4" w:space="0"/>
            </w:tcBorders>
            <w:vAlign w:val="center"/>
          </w:tcPr>
          <w:p w14:paraId="065B05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restart"/>
            <w:tcBorders>
              <w:top w:val="single" w:color="auto" w:sz="4" w:space="0"/>
            </w:tcBorders>
            <w:vAlign w:val="center"/>
          </w:tcPr>
          <w:p w14:paraId="49D124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生产</w:t>
            </w:r>
          </w:p>
        </w:tc>
      </w:tr>
      <w:tr w14:paraId="4877D1A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462" w:type="pct"/>
            <w:vAlign w:val="center"/>
          </w:tcPr>
          <w:p w14:paraId="74EB24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54" w:type="pct"/>
            <w:vMerge w:val="continue"/>
            <w:vAlign w:val="center"/>
          </w:tcPr>
          <w:p w14:paraId="26F547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5BC850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400</w:t>
            </w:r>
            <w:r>
              <w:rPr>
                <w:rFonts w:hint="eastAsia" w:cs="Times New Roman"/>
                <w:i w:val="0"/>
                <w:iCs w:val="0"/>
                <w:color w:val="auto"/>
                <w:kern w:val="0"/>
                <w:sz w:val="21"/>
                <w:szCs w:val="21"/>
                <w:highlight w:val="none"/>
                <w:u w:val="none"/>
                <w:lang w:val="en-US" w:eastAsia="zh-CN" w:bidi="ar"/>
              </w:rPr>
              <w:t>kW</w:t>
            </w:r>
            <w:r>
              <w:rPr>
                <w:rFonts w:hint="eastAsia" w:ascii="Times New Roman" w:hAnsi="Times New Roman" w:eastAsia="宋体" w:cs="Times New Roman"/>
                <w:i w:val="0"/>
                <w:iCs w:val="0"/>
                <w:color w:val="auto"/>
                <w:kern w:val="0"/>
                <w:sz w:val="21"/>
                <w:szCs w:val="21"/>
                <w:highlight w:val="none"/>
                <w:u w:val="none"/>
                <w:lang w:val="en-US" w:eastAsia="zh-CN" w:bidi="ar"/>
              </w:rPr>
              <w:t>加热炉</w:t>
            </w:r>
          </w:p>
        </w:tc>
        <w:tc>
          <w:tcPr>
            <w:tcW w:w="526" w:type="pct"/>
            <w:vAlign w:val="center"/>
          </w:tcPr>
          <w:p w14:paraId="3F6949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台</w:t>
            </w:r>
          </w:p>
        </w:tc>
        <w:tc>
          <w:tcPr>
            <w:tcW w:w="547" w:type="pct"/>
            <w:vAlign w:val="center"/>
          </w:tcPr>
          <w:p w14:paraId="5427C9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continue"/>
            <w:vAlign w:val="center"/>
          </w:tcPr>
          <w:p w14:paraId="610A90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7C09D3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462" w:type="pct"/>
            <w:vAlign w:val="center"/>
          </w:tcPr>
          <w:p w14:paraId="3AAE40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054" w:type="pct"/>
            <w:vMerge w:val="continue"/>
            <w:vAlign w:val="center"/>
          </w:tcPr>
          <w:p w14:paraId="7E6735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3DF4FC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高压自控流量仪</w:t>
            </w:r>
          </w:p>
        </w:tc>
        <w:tc>
          <w:tcPr>
            <w:tcW w:w="526" w:type="pct"/>
            <w:vAlign w:val="center"/>
          </w:tcPr>
          <w:p w14:paraId="05F0E7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5F59D2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2AE70B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63BF8A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462" w:type="pct"/>
            <w:vAlign w:val="center"/>
          </w:tcPr>
          <w:p w14:paraId="4C9920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1054" w:type="pct"/>
            <w:vMerge w:val="continue"/>
            <w:vAlign w:val="center"/>
          </w:tcPr>
          <w:p w14:paraId="76AB2F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2DC4CF09">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可燃气体检测报警仪</w:t>
            </w:r>
          </w:p>
        </w:tc>
        <w:tc>
          <w:tcPr>
            <w:tcW w:w="526" w:type="pct"/>
            <w:vAlign w:val="center"/>
          </w:tcPr>
          <w:p w14:paraId="4BC15E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228602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668EE6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CEC8B0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462" w:type="pct"/>
            <w:vAlign w:val="center"/>
          </w:tcPr>
          <w:p w14:paraId="5E2E16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1054" w:type="pct"/>
            <w:vMerge w:val="continue"/>
            <w:vAlign w:val="center"/>
          </w:tcPr>
          <w:p w14:paraId="5395A1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5688A190">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硫化氢检测报警仪</w:t>
            </w:r>
          </w:p>
        </w:tc>
        <w:tc>
          <w:tcPr>
            <w:tcW w:w="526" w:type="pct"/>
            <w:vAlign w:val="center"/>
          </w:tcPr>
          <w:p w14:paraId="2FD873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37C63F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3B43E3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A043EC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462" w:type="pct"/>
            <w:vAlign w:val="center"/>
          </w:tcPr>
          <w:p w14:paraId="32AC71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1054" w:type="pct"/>
            <w:vMerge w:val="restart"/>
            <w:vAlign w:val="center"/>
          </w:tcPr>
          <w:p w14:paraId="04EE6E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TH10294X</w:t>
            </w:r>
          </w:p>
        </w:tc>
        <w:tc>
          <w:tcPr>
            <w:tcW w:w="1941" w:type="pct"/>
            <w:vAlign w:val="center"/>
          </w:tcPr>
          <w:p w14:paraId="6B1614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采油树</w:t>
            </w:r>
          </w:p>
        </w:tc>
        <w:tc>
          <w:tcPr>
            <w:tcW w:w="526" w:type="pct"/>
            <w:vAlign w:val="center"/>
          </w:tcPr>
          <w:p w14:paraId="4FAE38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座</w:t>
            </w:r>
          </w:p>
        </w:tc>
        <w:tc>
          <w:tcPr>
            <w:tcW w:w="547" w:type="pct"/>
            <w:vAlign w:val="center"/>
          </w:tcPr>
          <w:p w14:paraId="5FA3DC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restart"/>
            <w:vAlign w:val="center"/>
          </w:tcPr>
          <w:p w14:paraId="3DAED2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停井</w:t>
            </w:r>
          </w:p>
        </w:tc>
      </w:tr>
      <w:tr w14:paraId="6758310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62" w:type="pct"/>
            <w:vAlign w:val="center"/>
          </w:tcPr>
          <w:p w14:paraId="33FEC5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p>
        </w:tc>
        <w:tc>
          <w:tcPr>
            <w:tcW w:w="1054" w:type="pct"/>
            <w:vMerge w:val="continue"/>
            <w:vAlign w:val="center"/>
          </w:tcPr>
          <w:p w14:paraId="554E0B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24AC2D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400</w:t>
            </w:r>
            <w:r>
              <w:rPr>
                <w:rFonts w:hint="eastAsia" w:cs="Times New Roman"/>
                <w:i w:val="0"/>
                <w:iCs w:val="0"/>
                <w:color w:val="auto"/>
                <w:kern w:val="0"/>
                <w:sz w:val="21"/>
                <w:szCs w:val="21"/>
                <w:highlight w:val="none"/>
                <w:u w:val="none"/>
                <w:lang w:val="en-US" w:eastAsia="zh-CN" w:bidi="ar"/>
              </w:rPr>
              <w:t>kW</w:t>
            </w:r>
            <w:r>
              <w:rPr>
                <w:rFonts w:hint="eastAsia" w:ascii="Times New Roman" w:hAnsi="Times New Roman" w:eastAsia="宋体" w:cs="Times New Roman"/>
                <w:i w:val="0"/>
                <w:iCs w:val="0"/>
                <w:color w:val="auto"/>
                <w:kern w:val="0"/>
                <w:sz w:val="21"/>
                <w:szCs w:val="21"/>
                <w:highlight w:val="none"/>
                <w:u w:val="none"/>
                <w:lang w:val="en-US" w:eastAsia="zh-CN" w:bidi="ar"/>
              </w:rPr>
              <w:t>加热炉</w:t>
            </w:r>
          </w:p>
        </w:tc>
        <w:tc>
          <w:tcPr>
            <w:tcW w:w="526" w:type="pct"/>
            <w:vAlign w:val="center"/>
          </w:tcPr>
          <w:p w14:paraId="0F528F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台</w:t>
            </w:r>
          </w:p>
        </w:tc>
        <w:tc>
          <w:tcPr>
            <w:tcW w:w="547" w:type="pct"/>
            <w:vAlign w:val="center"/>
          </w:tcPr>
          <w:p w14:paraId="4B5B16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continue"/>
            <w:vAlign w:val="center"/>
          </w:tcPr>
          <w:p w14:paraId="3FD484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059FD43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62" w:type="pct"/>
            <w:vAlign w:val="center"/>
          </w:tcPr>
          <w:p w14:paraId="1FA1F0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w:t>
            </w:r>
          </w:p>
        </w:tc>
        <w:tc>
          <w:tcPr>
            <w:tcW w:w="1054" w:type="pct"/>
            <w:vMerge w:val="continue"/>
            <w:vAlign w:val="center"/>
          </w:tcPr>
          <w:p w14:paraId="23363C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260403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高压自控流量仪</w:t>
            </w:r>
          </w:p>
        </w:tc>
        <w:tc>
          <w:tcPr>
            <w:tcW w:w="526" w:type="pct"/>
            <w:vAlign w:val="center"/>
          </w:tcPr>
          <w:p w14:paraId="0AB572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592E01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031FA5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599DA35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62" w:type="pct"/>
            <w:vAlign w:val="center"/>
          </w:tcPr>
          <w:p w14:paraId="414CEA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w:t>
            </w:r>
          </w:p>
        </w:tc>
        <w:tc>
          <w:tcPr>
            <w:tcW w:w="1054" w:type="pct"/>
            <w:vMerge w:val="continue"/>
            <w:vAlign w:val="center"/>
          </w:tcPr>
          <w:p w14:paraId="308E86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2F899C48">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可燃气体检测报警仪</w:t>
            </w:r>
          </w:p>
        </w:tc>
        <w:tc>
          <w:tcPr>
            <w:tcW w:w="526" w:type="pct"/>
            <w:vAlign w:val="center"/>
          </w:tcPr>
          <w:p w14:paraId="191C80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562429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1F7479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440F341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62" w:type="pct"/>
            <w:vAlign w:val="center"/>
          </w:tcPr>
          <w:p w14:paraId="1CEFD4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1054" w:type="pct"/>
            <w:vMerge w:val="continue"/>
            <w:vAlign w:val="center"/>
          </w:tcPr>
          <w:p w14:paraId="37B556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12336114">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硫化氢检测报警仪</w:t>
            </w:r>
          </w:p>
        </w:tc>
        <w:tc>
          <w:tcPr>
            <w:tcW w:w="526" w:type="pct"/>
            <w:vAlign w:val="center"/>
          </w:tcPr>
          <w:p w14:paraId="429C39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4B7AE8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15EA3A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484EEFC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462" w:type="pct"/>
            <w:vAlign w:val="center"/>
          </w:tcPr>
          <w:p w14:paraId="09C97E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w:t>
            </w:r>
          </w:p>
        </w:tc>
        <w:tc>
          <w:tcPr>
            <w:tcW w:w="1054" w:type="pct"/>
            <w:vMerge w:val="restart"/>
            <w:vAlign w:val="center"/>
          </w:tcPr>
          <w:p w14:paraId="2EBB1E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TH10298</w:t>
            </w:r>
          </w:p>
        </w:tc>
        <w:tc>
          <w:tcPr>
            <w:tcW w:w="1941" w:type="pct"/>
            <w:vAlign w:val="center"/>
          </w:tcPr>
          <w:p w14:paraId="6B1C88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采油树</w:t>
            </w:r>
          </w:p>
        </w:tc>
        <w:tc>
          <w:tcPr>
            <w:tcW w:w="526" w:type="pct"/>
            <w:vAlign w:val="center"/>
          </w:tcPr>
          <w:p w14:paraId="267E81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座</w:t>
            </w:r>
          </w:p>
        </w:tc>
        <w:tc>
          <w:tcPr>
            <w:tcW w:w="547" w:type="pct"/>
            <w:vAlign w:val="center"/>
          </w:tcPr>
          <w:p w14:paraId="52DF1A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restart"/>
            <w:vAlign w:val="center"/>
          </w:tcPr>
          <w:p w14:paraId="38DEBB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停</w:t>
            </w:r>
            <w:r>
              <w:rPr>
                <w:rFonts w:hint="eastAsia" w:ascii="Times New Roman" w:hAnsi="Times New Roman" w:eastAsia="宋体" w:cs="Times New Roman"/>
                <w:i w:val="0"/>
                <w:iCs w:val="0"/>
                <w:color w:val="auto"/>
                <w:kern w:val="0"/>
                <w:sz w:val="21"/>
                <w:szCs w:val="21"/>
                <w:highlight w:val="none"/>
                <w:u w:val="none"/>
                <w:lang w:val="en-US" w:eastAsia="zh-CN" w:bidi="ar"/>
              </w:rPr>
              <w:t>井</w:t>
            </w:r>
          </w:p>
        </w:tc>
      </w:tr>
      <w:tr w14:paraId="2686BDA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462" w:type="pct"/>
            <w:vAlign w:val="center"/>
          </w:tcPr>
          <w:p w14:paraId="72D366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1054" w:type="pct"/>
            <w:vMerge w:val="continue"/>
            <w:vAlign w:val="center"/>
          </w:tcPr>
          <w:p w14:paraId="558066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76D05A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400kw加热炉</w:t>
            </w:r>
          </w:p>
        </w:tc>
        <w:tc>
          <w:tcPr>
            <w:tcW w:w="526" w:type="pct"/>
            <w:vAlign w:val="center"/>
          </w:tcPr>
          <w:p w14:paraId="02ACA8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台</w:t>
            </w:r>
          </w:p>
        </w:tc>
        <w:tc>
          <w:tcPr>
            <w:tcW w:w="547" w:type="pct"/>
            <w:vAlign w:val="center"/>
          </w:tcPr>
          <w:p w14:paraId="4A9885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continue"/>
            <w:vAlign w:val="center"/>
          </w:tcPr>
          <w:p w14:paraId="16D087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4D9F18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462" w:type="pct"/>
            <w:vAlign w:val="center"/>
          </w:tcPr>
          <w:p w14:paraId="49BEF0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w:t>
            </w:r>
          </w:p>
        </w:tc>
        <w:tc>
          <w:tcPr>
            <w:tcW w:w="1054" w:type="pct"/>
            <w:vMerge w:val="continue"/>
            <w:vAlign w:val="center"/>
          </w:tcPr>
          <w:p w14:paraId="21C564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4E3C1C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高压自控流量仪</w:t>
            </w:r>
          </w:p>
        </w:tc>
        <w:tc>
          <w:tcPr>
            <w:tcW w:w="526" w:type="pct"/>
            <w:vAlign w:val="center"/>
          </w:tcPr>
          <w:p w14:paraId="7DC24E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2CB6ED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0CD05F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5E93A6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462" w:type="pct"/>
            <w:vAlign w:val="center"/>
          </w:tcPr>
          <w:p w14:paraId="56C7EC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w:t>
            </w:r>
          </w:p>
        </w:tc>
        <w:tc>
          <w:tcPr>
            <w:tcW w:w="1054" w:type="pct"/>
            <w:vMerge w:val="continue"/>
            <w:vAlign w:val="center"/>
          </w:tcPr>
          <w:p w14:paraId="79BC50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7575D649">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可燃气体检测报警仪</w:t>
            </w:r>
          </w:p>
        </w:tc>
        <w:tc>
          <w:tcPr>
            <w:tcW w:w="526" w:type="pct"/>
            <w:vAlign w:val="center"/>
          </w:tcPr>
          <w:p w14:paraId="39AA6F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59DD5A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0D9C06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573E76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462" w:type="pct"/>
            <w:vAlign w:val="center"/>
          </w:tcPr>
          <w:p w14:paraId="5CD55B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1054" w:type="pct"/>
            <w:vMerge w:val="continue"/>
            <w:vAlign w:val="center"/>
          </w:tcPr>
          <w:p w14:paraId="42457B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583B3F87">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硫化氢检测报警仪</w:t>
            </w:r>
          </w:p>
        </w:tc>
        <w:tc>
          <w:tcPr>
            <w:tcW w:w="526" w:type="pct"/>
            <w:vAlign w:val="center"/>
          </w:tcPr>
          <w:p w14:paraId="5BC7B5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361EB3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7E594B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7A1799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462" w:type="pct"/>
            <w:vAlign w:val="center"/>
          </w:tcPr>
          <w:p w14:paraId="4C8304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w:t>
            </w:r>
          </w:p>
        </w:tc>
        <w:tc>
          <w:tcPr>
            <w:tcW w:w="1054" w:type="pct"/>
            <w:vMerge w:val="restart"/>
            <w:vAlign w:val="center"/>
          </w:tcPr>
          <w:p w14:paraId="2EAB42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TK872X</w:t>
            </w:r>
          </w:p>
        </w:tc>
        <w:tc>
          <w:tcPr>
            <w:tcW w:w="1941" w:type="pct"/>
            <w:vAlign w:val="center"/>
          </w:tcPr>
          <w:p w14:paraId="7B4107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采油树</w:t>
            </w:r>
          </w:p>
        </w:tc>
        <w:tc>
          <w:tcPr>
            <w:tcW w:w="526" w:type="pct"/>
            <w:vAlign w:val="center"/>
          </w:tcPr>
          <w:p w14:paraId="1A302E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座</w:t>
            </w:r>
          </w:p>
        </w:tc>
        <w:tc>
          <w:tcPr>
            <w:tcW w:w="547" w:type="pct"/>
            <w:vAlign w:val="center"/>
          </w:tcPr>
          <w:p w14:paraId="38C878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restart"/>
            <w:vAlign w:val="center"/>
          </w:tcPr>
          <w:p w14:paraId="612974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生产</w:t>
            </w:r>
          </w:p>
        </w:tc>
      </w:tr>
      <w:tr w14:paraId="3116ED8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462" w:type="pct"/>
            <w:vAlign w:val="center"/>
          </w:tcPr>
          <w:p w14:paraId="21D27B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w:t>
            </w:r>
          </w:p>
        </w:tc>
        <w:tc>
          <w:tcPr>
            <w:tcW w:w="1054" w:type="pct"/>
            <w:vMerge w:val="continue"/>
            <w:vAlign w:val="center"/>
          </w:tcPr>
          <w:p w14:paraId="0EAF51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5BD795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200</w:t>
            </w:r>
            <w:r>
              <w:rPr>
                <w:rFonts w:hint="eastAsia" w:cs="Times New Roman"/>
                <w:i w:val="0"/>
                <w:iCs w:val="0"/>
                <w:color w:val="auto"/>
                <w:kern w:val="0"/>
                <w:sz w:val="21"/>
                <w:szCs w:val="21"/>
                <w:highlight w:val="none"/>
                <w:u w:val="none"/>
                <w:lang w:val="en-US" w:eastAsia="zh-CN" w:bidi="ar"/>
              </w:rPr>
              <w:t>kW</w:t>
            </w:r>
            <w:r>
              <w:rPr>
                <w:rFonts w:hint="eastAsia" w:ascii="Times New Roman" w:hAnsi="Times New Roman" w:eastAsia="宋体" w:cs="Times New Roman"/>
                <w:i w:val="0"/>
                <w:iCs w:val="0"/>
                <w:color w:val="auto"/>
                <w:kern w:val="0"/>
                <w:sz w:val="21"/>
                <w:szCs w:val="21"/>
                <w:highlight w:val="none"/>
                <w:u w:val="none"/>
                <w:lang w:val="en-US" w:eastAsia="zh-CN" w:bidi="ar"/>
              </w:rPr>
              <w:t>加热炉</w:t>
            </w:r>
          </w:p>
        </w:tc>
        <w:tc>
          <w:tcPr>
            <w:tcW w:w="526" w:type="pct"/>
            <w:vAlign w:val="center"/>
          </w:tcPr>
          <w:p w14:paraId="3DD3E8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台</w:t>
            </w:r>
          </w:p>
        </w:tc>
        <w:tc>
          <w:tcPr>
            <w:tcW w:w="547" w:type="pct"/>
            <w:vAlign w:val="center"/>
          </w:tcPr>
          <w:p w14:paraId="2A350B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68" w:type="pct"/>
            <w:vMerge w:val="continue"/>
            <w:vAlign w:val="center"/>
          </w:tcPr>
          <w:p w14:paraId="70BB04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68BFAC6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462" w:type="pct"/>
            <w:vAlign w:val="center"/>
          </w:tcPr>
          <w:p w14:paraId="736038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w:t>
            </w:r>
          </w:p>
        </w:tc>
        <w:tc>
          <w:tcPr>
            <w:tcW w:w="1054" w:type="pct"/>
            <w:vMerge w:val="continue"/>
            <w:vAlign w:val="center"/>
          </w:tcPr>
          <w:p w14:paraId="0A0A7F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0BAC835E">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可燃气体检测报警仪</w:t>
            </w:r>
          </w:p>
        </w:tc>
        <w:tc>
          <w:tcPr>
            <w:tcW w:w="526" w:type="pct"/>
            <w:vAlign w:val="center"/>
          </w:tcPr>
          <w:p w14:paraId="3F0C25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6D8EA6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21274D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4ECDFC6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462" w:type="pct"/>
            <w:vAlign w:val="center"/>
          </w:tcPr>
          <w:p w14:paraId="325AFC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w:t>
            </w:r>
          </w:p>
        </w:tc>
        <w:tc>
          <w:tcPr>
            <w:tcW w:w="1054" w:type="pct"/>
            <w:vMerge w:val="continue"/>
            <w:vAlign w:val="center"/>
          </w:tcPr>
          <w:p w14:paraId="3229A4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941" w:type="pct"/>
            <w:vAlign w:val="center"/>
          </w:tcPr>
          <w:p w14:paraId="6BC9E16B">
            <w:pPr>
              <w:keepNext w:val="0"/>
              <w:keepLines w:val="0"/>
              <w:pageBreakBefore w:val="0"/>
              <w:widowControl/>
              <w:kinsoku/>
              <w:wordWrap/>
              <w:overflowPunct/>
              <w:topLinePunct w:val="0"/>
              <w:autoSpaceDE/>
              <w:autoSpaceDN/>
              <w:bidi w:val="0"/>
              <w:adjustRightInd/>
              <w:snapToGrid/>
              <w:spacing w:line="28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hAnsi="宋体" w:cs="宋体"/>
                <w:color w:val="auto"/>
                <w:spacing w:val="-10"/>
                <w:kern w:val="0"/>
                <w:sz w:val="23"/>
                <w:szCs w:val="23"/>
                <w:highlight w:val="none"/>
              </w:rPr>
              <w:t>硫化氢检测报警仪</w:t>
            </w:r>
          </w:p>
        </w:tc>
        <w:tc>
          <w:tcPr>
            <w:tcW w:w="526" w:type="pct"/>
            <w:vAlign w:val="center"/>
          </w:tcPr>
          <w:p w14:paraId="2C3F21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547" w:type="pct"/>
            <w:vAlign w:val="center"/>
          </w:tcPr>
          <w:p w14:paraId="2E2E85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68" w:type="pct"/>
            <w:vMerge w:val="continue"/>
            <w:vAlign w:val="center"/>
          </w:tcPr>
          <w:p w14:paraId="78172B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bl>
    <w:p w14:paraId="33FBD197">
      <w:pPr>
        <w:pStyle w:val="13"/>
        <w:keepNext w:val="0"/>
        <w:keepLines w:val="0"/>
        <w:pageBreakBefore w:val="0"/>
        <w:widowControl w:val="0"/>
        <w:numPr>
          <w:ilvl w:val="0"/>
          <w:numId w:val="0"/>
        </w:numPr>
        <w:kinsoku/>
        <w:wordWrap/>
        <w:overflowPunct/>
        <w:topLinePunct w:val="0"/>
        <w:autoSpaceDE/>
        <w:autoSpaceDN/>
        <w:bidi w:val="0"/>
        <w:adjustRightInd/>
        <w:snapToGrid/>
        <w:spacing w:before="157" w:beforeLines="50"/>
        <w:textAlignment w:val="auto"/>
        <w:outlineLvl w:val="3"/>
        <w:rPr>
          <w:rFonts w:hint="eastAsia"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b/>
          <w:bCs/>
          <w:snapToGrid w:val="0"/>
          <w:color w:val="auto"/>
          <w:kern w:val="0"/>
          <w:sz w:val="24"/>
          <w:szCs w:val="21"/>
          <w:highlight w:val="none"/>
          <w:lang w:val="en-US" w:eastAsia="zh-CN" w:bidi="ar-SA"/>
        </w:rPr>
        <w:t>3.2.1.3集输系统</w:t>
      </w:r>
    </w:p>
    <w:p w14:paraId="08E10D1B">
      <w:pPr>
        <w:spacing w:line="360" w:lineRule="auto"/>
        <w:ind w:firstLine="480" w:firstLineChars="20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现有工程井场油气经过井场加热炉加热后通过已建集输管线输送至临近计转站，最终输送至</w:t>
      </w:r>
      <w:r>
        <w:rPr>
          <w:rFonts w:hint="eastAsia" w:cs="Times New Roman"/>
          <w:color w:val="auto"/>
          <w:szCs w:val="22"/>
          <w:highlight w:val="none"/>
          <w:lang w:val="en-US" w:eastAsia="zh-CN"/>
        </w:rPr>
        <w:t>三号</w:t>
      </w:r>
      <w:r>
        <w:rPr>
          <w:rFonts w:hint="default" w:ascii="Times New Roman" w:hAnsi="Times New Roman" w:cs="Times New Roman"/>
          <w:color w:val="auto"/>
          <w:szCs w:val="22"/>
          <w:highlight w:val="none"/>
        </w:rPr>
        <w:t>联合站进行处理。井场不涉及油气分离和拉油流程，全部采用管输方式。</w:t>
      </w:r>
    </w:p>
    <w:p w14:paraId="0DD2526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本项目4口侧钻井的集输管线</w:t>
      </w:r>
      <w:r>
        <w:rPr>
          <w:rFonts w:hint="default" w:ascii="Times New Roman" w:hAnsi="Times New Roman" w:eastAsia="宋体" w:cs="Times New Roman"/>
          <w:color w:val="auto"/>
          <w:szCs w:val="22"/>
          <w:highlight w:val="none"/>
        </w:rPr>
        <w:t>现状</w:t>
      </w:r>
      <w:r>
        <w:rPr>
          <w:rFonts w:hint="eastAsia" w:ascii="Times New Roman" w:hAnsi="Times New Roman" w:eastAsia="宋体" w:cs="Times New Roman"/>
          <w:color w:val="auto"/>
          <w:szCs w:val="22"/>
          <w:highlight w:val="none"/>
          <w:lang w:val="en-US" w:eastAsia="zh-CN"/>
        </w:rPr>
        <w:t>如下：</w:t>
      </w:r>
    </w:p>
    <w:p w14:paraId="33E38A1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Cs w:val="24"/>
          <w:highlight w:val="none"/>
        </w:rPr>
      </w:pPr>
      <w:r>
        <w:rPr>
          <w:rFonts w:hint="eastAsia"/>
          <w:color w:val="auto"/>
          <w:szCs w:val="24"/>
          <w:highlight w:val="none"/>
        </w:rPr>
        <w:t>TH10250</w:t>
      </w:r>
      <w:r>
        <w:rPr>
          <w:color w:val="auto"/>
          <w:szCs w:val="24"/>
          <w:highlight w:val="none"/>
        </w:rPr>
        <w:t>井</w:t>
      </w:r>
      <w:r>
        <w:rPr>
          <w:rFonts w:hint="eastAsia"/>
          <w:color w:val="auto"/>
          <w:szCs w:val="24"/>
          <w:highlight w:val="none"/>
        </w:rPr>
        <w:t>单井出油管道为20#钢材质，201</w:t>
      </w:r>
      <w:r>
        <w:rPr>
          <w:rFonts w:hint="eastAsia"/>
          <w:color w:val="auto"/>
          <w:szCs w:val="24"/>
          <w:highlight w:val="none"/>
          <w:lang w:val="en-US" w:eastAsia="zh-CN"/>
        </w:rPr>
        <w:t>3</w:t>
      </w:r>
      <w:r>
        <w:rPr>
          <w:rFonts w:hint="eastAsia"/>
          <w:color w:val="auto"/>
          <w:szCs w:val="24"/>
          <w:highlight w:val="none"/>
        </w:rPr>
        <w:t>年投产，管长</w:t>
      </w:r>
      <w:r>
        <w:rPr>
          <w:rFonts w:hint="eastAsia"/>
          <w:color w:val="auto"/>
          <w:szCs w:val="24"/>
          <w:highlight w:val="none"/>
          <w:lang w:val="en-US" w:eastAsia="zh-CN"/>
        </w:rPr>
        <w:t>3.2</w:t>
      </w:r>
      <w:r>
        <w:rPr>
          <w:rFonts w:hint="eastAsia"/>
          <w:color w:val="auto"/>
          <w:szCs w:val="24"/>
          <w:highlight w:val="none"/>
        </w:rPr>
        <w:t>km，管径DN</w:t>
      </w:r>
      <w:r>
        <w:rPr>
          <w:rFonts w:hint="eastAsia"/>
          <w:color w:val="auto"/>
          <w:szCs w:val="24"/>
          <w:highlight w:val="none"/>
          <w:lang w:val="en-US" w:eastAsia="zh-CN"/>
        </w:rPr>
        <w:t>100</w:t>
      </w:r>
      <w:r>
        <w:rPr>
          <w:rFonts w:hint="eastAsia"/>
          <w:color w:val="auto"/>
          <w:szCs w:val="24"/>
          <w:highlight w:val="none"/>
        </w:rPr>
        <w:t>，201</w:t>
      </w:r>
      <w:r>
        <w:rPr>
          <w:rFonts w:hint="eastAsia"/>
          <w:color w:val="auto"/>
          <w:szCs w:val="24"/>
          <w:highlight w:val="none"/>
          <w:lang w:val="en-US" w:eastAsia="zh-CN"/>
        </w:rPr>
        <w:t>9</w:t>
      </w:r>
      <w:r>
        <w:rPr>
          <w:rFonts w:hint="eastAsia"/>
          <w:color w:val="auto"/>
          <w:szCs w:val="24"/>
          <w:highlight w:val="none"/>
        </w:rPr>
        <w:t>年HTPO内穿插治理，治理后未发生刺漏，单井管线及配套均可利旧。</w:t>
      </w:r>
    </w:p>
    <w:p w14:paraId="214A4BA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Cs w:val="24"/>
          <w:highlight w:val="none"/>
        </w:rPr>
      </w:pPr>
      <w:r>
        <w:rPr>
          <w:rFonts w:hint="eastAsia"/>
          <w:color w:val="auto"/>
          <w:szCs w:val="24"/>
          <w:highlight w:val="none"/>
          <w:lang w:eastAsia="zh-CN"/>
        </w:rPr>
        <w:t>TH10298</w:t>
      </w:r>
      <w:r>
        <w:rPr>
          <w:color w:val="auto"/>
          <w:szCs w:val="24"/>
          <w:highlight w:val="none"/>
        </w:rPr>
        <w:t>井</w:t>
      </w:r>
      <w:r>
        <w:rPr>
          <w:rFonts w:hint="eastAsia"/>
          <w:color w:val="auto"/>
          <w:szCs w:val="24"/>
          <w:highlight w:val="none"/>
        </w:rPr>
        <w:t>单井出油管道为20#钢材质，201</w:t>
      </w:r>
      <w:r>
        <w:rPr>
          <w:rFonts w:hint="eastAsia"/>
          <w:color w:val="auto"/>
          <w:szCs w:val="24"/>
          <w:highlight w:val="none"/>
          <w:lang w:val="en-US" w:eastAsia="zh-CN"/>
        </w:rPr>
        <w:t>4</w:t>
      </w:r>
      <w:r>
        <w:rPr>
          <w:rFonts w:hint="eastAsia"/>
          <w:color w:val="auto"/>
          <w:szCs w:val="24"/>
          <w:highlight w:val="none"/>
        </w:rPr>
        <w:t>年投产，管长</w:t>
      </w:r>
      <w:r>
        <w:rPr>
          <w:rFonts w:hint="eastAsia"/>
          <w:color w:val="auto"/>
          <w:szCs w:val="24"/>
          <w:highlight w:val="none"/>
          <w:lang w:val="en-US" w:eastAsia="zh-CN"/>
        </w:rPr>
        <w:t>6.12</w:t>
      </w:r>
      <w:r>
        <w:rPr>
          <w:rFonts w:hint="eastAsia"/>
          <w:color w:val="auto"/>
          <w:szCs w:val="24"/>
          <w:highlight w:val="none"/>
        </w:rPr>
        <w:t>km，管径DN</w:t>
      </w:r>
      <w:r>
        <w:rPr>
          <w:rFonts w:hint="eastAsia"/>
          <w:color w:val="auto"/>
          <w:szCs w:val="24"/>
          <w:highlight w:val="none"/>
          <w:lang w:val="en-US" w:eastAsia="zh-CN"/>
        </w:rPr>
        <w:t>125</w:t>
      </w:r>
      <w:r>
        <w:rPr>
          <w:rFonts w:hint="eastAsia"/>
          <w:color w:val="auto"/>
          <w:szCs w:val="24"/>
          <w:highlight w:val="none"/>
        </w:rPr>
        <w:t>，201</w:t>
      </w:r>
      <w:r>
        <w:rPr>
          <w:rFonts w:hint="eastAsia"/>
          <w:color w:val="auto"/>
          <w:szCs w:val="24"/>
          <w:highlight w:val="none"/>
          <w:lang w:val="en-US" w:eastAsia="zh-CN"/>
        </w:rPr>
        <w:t>8</w:t>
      </w:r>
      <w:r>
        <w:rPr>
          <w:rFonts w:hint="eastAsia"/>
          <w:color w:val="auto"/>
          <w:szCs w:val="24"/>
          <w:highlight w:val="none"/>
        </w:rPr>
        <w:t>年HTPO内穿插治理，治理后未发生刺漏，单井管线及配套均可利旧。</w:t>
      </w:r>
    </w:p>
    <w:p w14:paraId="12EE39F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Cs w:val="24"/>
          <w:highlight w:val="none"/>
        </w:rPr>
      </w:pPr>
      <w:r>
        <w:rPr>
          <w:rFonts w:hint="eastAsia"/>
          <w:color w:val="auto"/>
          <w:szCs w:val="24"/>
          <w:highlight w:val="none"/>
          <w:lang w:eastAsia="zh-CN"/>
        </w:rPr>
        <w:t>TH10294</w:t>
      </w:r>
      <w:r>
        <w:rPr>
          <w:rFonts w:hint="eastAsia"/>
          <w:color w:val="auto"/>
          <w:szCs w:val="24"/>
          <w:highlight w:val="none"/>
          <w:lang w:val="en-US" w:eastAsia="zh-CN"/>
        </w:rPr>
        <w:t>X</w:t>
      </w:r>
      <w:r>
        <w:rPr>
          <w:color w:val="auto"/>
          <w:szCs w:val="24"/>
          <w:highlight w:val="none"/>
        </w:rPr>
        <w:t>井</w:t>
      </w:r>
      <w:r>
        <w:rPr>
          <w:rFonts w:hint="eastAsia"/>
          <w:color w:val="auto"/>
          <w:szCs w:val="24"/>
          <w:highlight w:val="none"/>
        </w:rPr>
        <w:t>单井出油管道为20#钢材质，201</w:t>
      </w:r>
      <w:r>
        <w:rPr>
          <w:rFonts w:hint="eastAsia"/>
          <w:color w:val="auto"/>
          <w:szCs w:val="24"/>
          <w:highlight w:val="none"/>
          <w:lang w:val="en-US" w:eastAsia="zh-CN"/>
        </w:rPr>
        <w:t>2</w:t>
      </w:r>
      <w:r>
        <w:rPr>
          <w:rFonts w:hint="eastAsia"/>
          <w:color w:val="auto"/>
          <w:szCs w:val="24"/>
          <w:highlight w:val="none"/>
        </w:rPr>
        <w:t>年投产，管长</w:t>
      </w:r>
      <w:r>
        <w:rPr>
          <w:rFonts w:hint="eastAsia"/>
          <w:color w:val="auto"/>
          <w:szCs w:val="24"/>
          <w:highlight w:val="none"/>
          <w:lang w:val="en-US" w:eastAsia="zh-CN"/>
        </w:rPr>
        <w:t>2.91</w:t>
      </w:r>
      <w:r>
        <w:rPr>
          <w:rFonts w:hint="eastAsia"/>
          <w:color w:val="auto"/>
          <w:szCs w:val="24"/>
          <w:highlight w:val="none"/>
        </w:rPr>
        <w:t>km，管径DN</w:t>
      </w:r>
      <w:r>
        <w:rPr>
          <w:rFonts w:hint="eastAsia"/>
          <w:color w:val="auto"/>
          <w:szCs w:val="24"/>
          <w:highlight w:val="none"/>
          <w:lang w:val="en-US" w:eastAsia="zh-CN"/>
        </w:rPr>
        <w:t>100</w:t>
      </w:r>
      <w:r>
        <w:rPr>
          <w:rFonts w:hint="eastAsia"/>
          <w:color w:val="auto"/>
          <w:szCs w:val="24"/>
          <w:highlight w:val="none"/>
        </w:rPr>
        <w:t>，201</w:t>
      </w:r>
      <w:r>
        <w:rPr>
          <w:rFonts w:hint="eastAsia"/>
          <w:color w:val="auto"/>
          <w:szCs w:val="24"/>
          <w:highlight w:val="none"/>
          <w:lang w:val="en-US" w:eastAsia="zh-CN"/>
        </w:rPr>
        <w:t>7</w:t>
      </w:r>
      <w:r>
        <w:rPr>
          <w:rFonts w:hint="eastAsia"/>
          <w:color w:val="auto"/>
          <w:szCs w:val="24"/>
          <w:highlight w:val="none"/>
        </w:rPr>
        <w:t>年HTPO内穿插治理，治理后未发生刺漏，单井管线及配套均可利旧。</w:t>
      </w:r>
    </w:p>
    <w:p w14:paraId="65E271B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Cs w:val="24"/>
          <w:highlight w:val="none"/>
        </w:rPr>
      </w:pPr>
      <w:r>
        <w:rPr>
          <w:rFonts w:hint="eastAsia"/>
          <w:color w:val="auto"/>
          <w:szCs w:val="24"/>
          <w:highlight w:val="none"/>
        </w:rPr>
        <w:t>TK872</w:t>
      </w:r>
      <w:r>
        <w:rPr>
          <w:rFonts w:hint="eastAsia"/>
          <w:color w:val="auto"/>
          <w:szCs w:val="24"/>
          <w:highlight w:val="none"/>
          <w:lang w:val="en-US" w:eastAsia="zh-CN"/>
        </w:rPr>
        <w:t>X</w:t>
      </w:r>
      <w:r>
        <w:rPr>
          <w:color w:val="auto"/>
          <w:szCs w:val="24"/>
          <w:highlight w:val="none"/>
        </w:rPr>
        <w:t>井</w:t>
      </w:r>
      <w:r>
        <w:rPr>
          <w:rFonts w:hint="eastAsia"/>
          <w:color w:val="auto"/>
          <w:szCs w:val="24"/>
          <w:highlight w:val="none"/>
        </w:rPr>
        <w:t>单井出油管道为20#钢材质，201</w:t>
      </w:r>
      <w:r>
        <w:rPr>
          <w:rFonts w:hint="eastAsia"/>
          <w:color w:val="auto"/>
          <w:szCs w:val="24"/>
          <w:highlight w:val="none"/>
          <w:lang w:val="en-US" w:eastAsia="zh-CN"/>
        </w:rPr>
        <w:t>3</w:t>
      </w:r>
      <w:r>
        <w:rPr>
          <w:rFonts w:hint="eastAsia"/>
          <w:color w:val="auto"/>
          <w:szCs w:val="24"/>
          <w:highlight w:val="none"/>
        </w:rPr>
        <w:t>年投产，管长</w:t>
      </w:r>
      <w:r>
        <w:rPr>
          <w:rFonts w:hint="eastAsia"/>
          <w:color w:val="auto"/>
          <w:szCs w:val="24"/>
          <w:highlight w:val="none"/>
          <w:lang w:val="en-US" w:eastAsia="zh-CN"/>
        </w:rPr>
        <w:t>0.72</w:t>
      </w:r>
      <w:r>
        <w:rPr>
          <w:rFonts w:hint="eastAsia"/>
          <w:color w:val="auto"/>
          <w:szCs w:val="24"/>
          <w:highlight w:val="none"/>
        </w:rPr>
        <w:t>km，管径DN</w:t>
      </w:r>
      <w:r>
        <w:rPr>
          <w:rFonts w:hint="eastAsia"/>
          <w:color w:val="auto"/>
          <w:szCs w:val="24"/>
          <w:highlight w:val="none"/>
          <w:lang w:val="en-US" w:eastAsia="zh-CN"/>
        </w:rPr>
        <w:t>80</w:t>
      </w:r>
      <w:r>
        <w:rPr>
          <w:rFonts w:hint="eastAsia"/>
          <w:color w:val="auto"/>
          <w:szCs w:val="24"/>
          <w:highlight w:val="none"/>
        </w:rPr>
        <w:t>，2018年HTPO内穿插治理，治理后未发生刺漏，单井管线及配套均可利旧。</w:t>
      </w:r>
    </w:p>
    <w:p w14:paraId="72B8E096">
      <w:pPr>
        <w:keepNext/>
        <w:keepLines/>
        <w:pageBreakBefore w:val="0"/>
        <w:widowControl/>
        <w:kinsoku/>
        <w:wordWrap/>
        <w:overflowPunct/>
        <w:topLinePunct w:val="0"/>
        <w:autoSpaceDE/>
        <w:autoSpaceDN/>
        <w:bidi w:val="0"/>
        <w:adjustRightInd/>
        <w:snapToGrid/>
        <w:spacing w:before="120" w:after="120" w:line="360" w:lineRule="auto"/>
        <w:textAlignment w:val="auto"/>
        <w:outlineLvl w:val="2"/>
        <w:rPr>
          <w:rFonts w:hint="default" w:ascii="Times New Roman" w:hAnsi="Times New Roman" w:eastAsia="宋体" w:cs="Times New Roman"/>
          <w:b/>
          <w:color w:val="auto"/>
          <w:sz w:val="28"/>
          <w:szCs w:val="22"/>
          <w:highlight w:val="none"/>
        </w:rPr>
      </w:pPr>
      <w:r>
        <w:rPr>
          <w:rFonts w:hint="default" w:ascii="Times New Roman" w:hAnsi="Times New Roman" w:eastAsia="宋体" w:cs="Times New Roman"/>
          <w:b/>
          <w:color w:val="auto"/>
          <w:sz w:val="28"/>
          <w:szCs w:val="22"/>
          <w:highlight w:val="none"/>
        </w:rPr>
        <w:t>3.2.</w:t>
      </w:r>
      <w:r>
        <w:rPr>
          <w:rFonts w:hint="default" w:ascii="Times New Roman" w:hAnsi="Times New Roman" w:eastAsia="宋体" w:cs="Times New Roman"/>
          <w:b/>
          <w:color w:val="auto"/>
          <w:sz w:val="28"/>
          <w:szCs w:val="22"/>
          <w:highlight w:val="none"/>
          <w:lang w:val="en-US" w:eastAsia="zh-CN"/>
        </w:rPr>
        <w:t>2</w:t>
      </w:r>
      <w:r>
        <w:rPr>
          <w:rFonts w:hint="default" w:ascii="Times New Roman" w:hAnsi="Times New Roman" w:eastAsia="宋体" w:cs="Times New Roman"/>
          <w:b/>
          <w:color w:val="auto"/>
          <w:sz w:val="28"/>
          <w:szCs w:val="22"/>
          <w:highlight w:val="none"/>
        </w:rPr>
        <w:t>现有工程手续履行情况</w:t>
      </w:r>
    </w:p>
    <w:p w14:paraId="46FD8D7D">
      <w:pPr>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Cs w:val="22"/>
          <w:highlight w:val="none"/>
          <w:lang w:val="en-US" w:eastAsia="zh-CN"/>
        </w:rPr>
      </w:pPr>
      <w:r>
        <w:rPr>
          <w:rFonts w:hint="eastAsia" w:ascii="Times New Roman" w:hAnsi="Times New Roman" w:eastAsia="宋体" w:cs="Times New Roman"/>
          <w:b/>
          <w:bCs/>
          <w:color w:val="auto"/>
          <w:szCs w:val="22"/>
          <w:highlight w:val="none"/>
          <w:lang w:eastAsia="zh-CN"/>
        </w:rPr>
        <w:t>（</w:t>
      </w:r>
      <w:r>
        <w:rPr>
          <w:rFonts w:hint="eastAsia" w:ascii="Times New Roman" w:hAnsi="Times New Roman" w:eastAsia="宋体" w:cs="Times New Roman"/>
          <w:b/>
          <w:bCs/>
          <w:color w:val="auto"/>
          <w:szCs w:val="22"/>
          <w:highlight w:val="none"/>
          <w:lang w:val="en-US" w:eastAsia="zh-CN"/>
        </w:rPr>
        <w:t>1</w:t>
      </w:r>
      <w:r>
        <w:rPr>
          <w:rFonts w:hint="eastAsia" w:ascii="Times New Roman" w:hAnsi="Times New Roman" w:eastAsia="宋体" w:cs="Times New Roman"/>
          <w:b/>
          <w:bCs/>
          <w:color w:val="auto"/>
          <w:szCs w:val="22"/>
          <w:highlight w:val="none"/>
          <w:lang w:eastAsia="zh-CN"/>
        </w:rPr>
        <w:t>）</w:t>
      </w:r>
      <w:r>
        <w:rPr>
          <w:rFonts w:hint="eastAsia" w:cs="Times New Roman"/>
          <w:b/>
          <w:bCs/>
          <w:color w:val="auto"/>
          <w:szCs w:val="22"/>
          <w:highlight w:val="none"/>
          <w:lang w:val="en-US" w:eastAsia="zh-CN"/>
        </w:rPr>
        <w:t>四</w:t>
      </w:r>
      <w:r>
        <w:rPr>
          <w:rFonts w:hint="eastAsia" w:ascii="Times New Roman" w:hAnsi="Times New Roman" w:eastAsia="宋体" w:cs="Times New Roman"/>
          <w:b/>
          <w:bCs/>
          <w:color w:val="auto"/>
          <w:szCs w:val="22"/>
          <w:highlight w:val="none"/>
          <w:lang w:val="en-US" w:eastAsia="zh-CN"/>
        </w:rPr>
        <w:t>座老井及配套集输管线</w:t>
      </w:r>
    </w:p>
    <w:p w14:paraId="514DE766">
      <w:pPr>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现有</w:t>
      </w:r>
      <w:r>
        <w:rPr>
          <w:rFonts w:hint="eastAsia" w:cs="Times New Roman"/>
          <w:color w:val="auto"/>
          <w:szCs w:val="22"/>
          <w:highlight w:val="none"/>
          <w:lang w:val="en-US" w:eastAsia="zh-CN"/>
        </w:rPr>
        <w:t>四</w:t>
      </w:r>
      <w:r>
        <w:rPr>
          <w:rFonts w:hint="default" w:ascii="Times New Roman" w:hAnsi="Times New Roman" w:cs="Times New Roman"/>
          <w:color w:val="auto"/>
          <w:szCs w:val="22"/>
          <w:highlight w:val="none"/>
        </w:rPr>
        <w:t>座老井</w:t>
      </w:r>
      <w:r>
        <w:rPr>
          <w:rFonts w:hint="eastAsia" w:cs="Times New Roman"/>
          <w:color w:val="auto"/>
          <w:szCs w:val="22"/>
          <w:highlight w:val="none"/>
          <w:lang w:val="en-US" w:eastAsia="zh-CN"/>
        </w:rPr>
        <w:t>及配套集输管线环保</w:t>
      </w:r>
      <w:r>
        <w:rPr>
          <w:rFonts w:hint="default" w:ascii="Times New Roman" w:hAnsi="Times New Roman" w:cs="Times New Roman"/>
          <w:color w:val="auto"/>
          <w:szCs w:val="22"/>
          <w:highlight w:val="none"/>
        </w:rPr>
        <w:t>手续履行情况见表3.2-</w:t>
      </w:r>
      <w:r>
        <w:rPr>
          <w:rFonts w:hint="default" w:ascii="Times New Roman" w:hAnsi="Times New Roman" w:cs="Times New Roman"/>
          <w:color w:val="auto"/>
          <w:szCs w:val="22"/>
          <w:highlight w:val="none"/>
          <w:lang w:val="en-US" w:eastAsia="zh-CN"/>
        </w:rPr>
        <w:t>3</w:t>
      </w:r>
      <w:r>
        <w:rPr>
          <w:rFonts w:hint="default" w:ascii="Times New Roman" w:hAnsi="Times New Roman" w:cs="Times New Roman"/>
          <w:color w:val="auto"/>
          <w:szCs w:val="22"/>
          <w:highlight w:val="none"/>
        </w:rPr>
        <w:t>所示</w:t>
      </w:r>
      <w:r>
        <w:rPr>
          <w:rFonts w:hint="eastAsia" w:cs="Times New Roman"/>
          <w:color w:val="auto"/>
          <w:szCs w:val="22"/>
          <w:highlight w:val="none"/>
          <w:lang w:eastAsia="zh-CN"/>
        </w:rPr>
        <w:t>，</w:t>
      </w:r>
      <w:r>
        <w:rPr>
          <w:rFonts w:hint="eastAsia" w:cs="Times New Roman"/>
          <w:color w:val="auto"/>
          <w:szCs w:val="22"/>
          <w:highlight w:val="none"/>
          <w:lang w:val="en-US" w:eastAsia="zh-CN"/>
        </w:rPr>
        <w:t>环保手续详见附件3~附件6</w:t>
      </w:r>
      <w:r>
        <w:rPr>
          <w:rFonts w:hint="default" w:ascii="Times New Roman" w:hAnsi="Times New Roman" w:cs="Times New Roman"/>
          <w:color w:val="auto"/>
          <w:szCs w:val="22"/>
          <w:highlight w:val="none"/>
        </w:rPr>
        <w:t>。</w:t>
      </w:r>
    </w:p>
    <w:p w14:paraId="0D1DAACF">
      <w:pPr>
        <w:pStyle w:val="58"/>
        <w:spacing w:line="240" w:lineRule="auto"/>
        <w:ind w:firstLine="238"/>
        <w:rPr>
          <w:rFonts w:hint="default" w:ascii="Times New Roman" w:hAnsi="Times New Roman" w:cs="Times New Roman"/>
          <w:bCs/>
          <w:color w:val="auto"/>
          <w:sz w:val="21"/>
          <w:szCs w:val="16"/>
          <w:highlight w:val="none"/>
        </w:rPr>
      </w:pPr>
      <w:r>
        <w:rPr>
          <w:rFonts w:hint="default" w:ascii="Times New Roman" w:hAnsi="Times New Roman" w:cs="Times New Roman"/>
          <w:bCs/>
          <w:color w:val="auto"/>
          <w:sz w:val="21"/>
          <w:szCs w:val="16"/>
          <w:highlight w:val="none"/>
        </w:rPr>
        <w:t>表3.2-</w:t>
      </w:r>
      <w:r>
        <w:rPr>
          <w:rFonts w:hint="default" w:ascii="Times New Roman" w:hAnsi="Times New Roman" w:cs="Times New Roman"/>
          <w:bCs/>
          <w:color w:val="auto"/>
          <w:sz w:val="21"/>
          <w:szCs w:val="16"/>
          <w:highlight w:val="none"/>
          <w:lang w:val="en-US" w:eastAsia="zh-CN"/>
        </w:rPr>
        <w:t>3</w:t>
      </w:r>
      <w:r>
        <w:rPr>
          <w:rFonts w:hint="eastAsia" w:ascii="Times New Roman" w:hAnsi="Times New Roman" w:cs="Times New Roman"/>
          <w:bCs/>
          <w:color w:val="auto"/>
          <w:sz w:val="21"/>
          <w:szCs w:val="16"/>
          <w:highlight w:val="none"/>
          <w:lang w:val="en-US" w:eastAsia="zh-CN"/>
        </w:rPr>
        <w:t xml:space="preserve">  </w:t>
      </w:r>
      <w:r>
        <w:rPr>
          <w:rFonts w:hint="default" w:ascii="Times New Roman" w:hAnsi="Times New Roman" w:cs="Times New Roman"/>
          <w:bCs/>
          <w:color w:val="auto"/>
          <w:sz w:val="21"/>
          <w:szCs w:val="16"/>
          <w:highlight w:val="none"/>
        </w:rPr>
        <w:t>现有老井基本情况一览表环评及验收情况一览表</w:t>
      </w:r>
    </w:p>
    <w:tbl>
      <w:tblPr>
        <w:tblStyle w:val="3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3"/>
        <w:gridCol w:w="1330"/>
        <w:gridCol w:w="2225"/>
        <w:gridCol w:w="2484"/>
        <w:gridCol w:w="2113"/>
      </w:tblGrid>
      <w:tr w14:paraId="7B0D8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BBBF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759" w:type="pct"/>
            <w:tcBorders>
              <w:top w:val="single" w:color="000000" w:sz="8" w:space="0"/>
              <w:left w:val="nil"/>
              <w:bottom w:val="single" w:color="000000" w:sz="8" w:space="0"/>
              <w:right w:val="single" w:color="000000" w:sz="8" w:space="0"/>
            </w:tcBorders>
            <w:shd w:val="clear" w:color="auto" w:fill="auto"/>
            <w:vAlign w:val="center"/>
          </w:tcPr>
          <w:p w14:paraId="017719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工程名称</w:t>
            </w:r>
          </w:p>
        </w:tc>
        <w:tc>
          <w:tcPr>
            <w:tcW w:w="1270" w:type="pct"/>
            <w:tcBorders>
              <w:top w:val="single" w:color="000000" w:sz="8" w:space="0"/>
              <w:left w:val="nil"/>
              <w:bottom w:val="single" w:color="000000" w:sz="8" w:space="0"/>
              <w:right w:val="single" w:color="000000" w:sz="8" w:space="0"/>
            </w:tcBorders>
            <w:shd w:val="clear" w:color="auto" w:fill="auto"/>
            <w:vAlign w:val="center"/>
          </w:tcPr>
          <w:p w14:paraId="64BC7B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所属项目</w:t>
            </w:r>
          </w:p>
        </w:tc>
        <w:tc>
          <w:tcPr>
            <w:tcW w:w="1418" w:type="pct"/>
            <w:tcBorders>
              <w:top w:val="single" w:color="000000" w:sz="8" w:space="0"/>
              <w:left w:val="nil"/>
              <w:bottom w:val="single" w:color="000000" w:sz="8" w:space="0"/>
              <w:right w:val="single" w:color="000000" w:sz="8" w:space="0"/>
            </w:tcBorders>
            <w:shd w:val="clear" w:color="auto" w:fill="auto"/>
            <w:vAlign w:val="center"/>
          </w:tcPr>
          <w:p w14:paraId="49F721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环评文件</w:t>
            </w:r>
          </w:p>
        </w:tc>
        <w:tc>
          <w:tcPr>
            <w:tcW w:w="1206" w:type="pct"/>
            <w:tcBorders>
              <w:top w:val="single" w:color="000000" w:sz="8" w:space="0"/>
              <w:left w:val="nil"/>
              <w:bottom w:val="single" w:color="000000" w:sz="8" w:space="0"/>
              <w:right w:val="single" w:color="000000" w:sz="8" w:space="0"/>
            </w:tcBorders>
            <w:shd w:val="clear" w:color="auto" w:fill="auto"/>
            <w:vAlign w:val="center"/>
          </w:tcPr>
          <w:p w14:paraId="2453BC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验收文件</w:t>
            </w:r>
          </w:p>
        </w:tc>
      </w:tr>
      <w:tr w14:paraId="0A7A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3A97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759" w:type="pct"/>
            <w:tcBorders>
              <w:top w:val="single" w:color="000000" w:sz="8" w:space="0"/>
              <w:left w:val="nil"/>
              <w:bottom w:val="single" w:color="000000" w:sz="8" w:space="0"/>
              <w:right w:val="single" w:color="000000" w:sz="8" w:space="0"/>
            </w:tcBorders>
            <w:shd w:val="clear" w:color="auto" w:fill="auto"/>
            <w:vAlign w:val="center"/>
          </w:tcPr>
          <w:p w14:paraId="32AD84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TK872X井及配套集输管线</w:t>
            </w:r>
          </w:p>
        </w:tc>
        <w:tc>
          <w:tcPr>
            <w:tcW w:w="1270" w:type="pct"/>
            <w:tcBorders>
              <w:top w:val="single" w:color="000000" w:sz="8" w:space="0"/>
              <w:left w:val="nil"/>
              <w:bottom w:val="single" w:color="000000" w:sz="8" w:space="0"/>
              <w:right w:val="single" w:color="000000" w:sz="8" w:space="0"/>
            </w:tcBorders>
            <w:shd w:val="clear" w:color="auto" w:fill="auto"/>
            <w:vAlign w:val="center"/>
          </w:tcPr>
          <w:p w14:paraId="0A36B3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西北油田分公司塔河油田8、11区块环境影响后评价报告书</w:t>
            </w:r>
          </w:p>
        </w:tc>
        <w:tc>
          <w:tcPr>
            <w:tcW w:w="1418" w:type="pct"/>
            <w:tcBorders>
              <w:top w:val="single" w:color="000000" w:sz="8" w:space="0"/>
              <w:left w:val="nil"/>
              <w:bottom w:val="single" w:color="000000" w:sz="8" w:space="0"/>
              <w:right w:val="single" w:color="000000" w:sz="8" w:space="0"/>
            </w:tcBorders>
            <w:shd w:val="clear" w:color="auto" w:fill="auto"/>
            <w:vAlign w:val="center"/>
          </w:tcPr>
          <w:p w14:paraId="1390CC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i w:val="0"/>
                <w:iCs w:val="0"/>
                <w:color w:val="auto"/>
                <w:kern w:val="0"/>
                <w:sz w:val="21"/>
                <w:szCs w:val="21"/>
                <w:highlight w:val="none"/>
                <w:u w:val="none"/>
                <w:lang w:val="en-US" w:eastAsia="zh-CN" w:bidi="ar"/>
              </w:rPr>
              <w:t>年2月</w:t>
            </w:r>
            <w:r>
              <w:rPr>
                <w:rFonts w:hint="eastAsia"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日</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取得新疆维吾尔自治区</w:t>
            </w:r>
            <w:r>
              <w:rPr>
                <w:rFonts w:hint="eastAsia" w:cs="Times New Roman"/>
                <w:i w:val="0"/>
                <w:iCs w:val="0"/>
                <w:color w:val="auto"/>
                <w:kern w:val="0"/>
                <w:sz w:val="21"/>
                <w:szCs w:val="21"/>
                <w:highlight w:val="none"/>
                <w:u w:val="none"/>
                <w:lang w:val="en-US" w:eastAsia="zh-CN" w:bidi="ar"/>
              </w:rPr>
              <w:t>生态环境厅备案意见</w:t>
            </w:r>
            <w:r>
              <w:rPr>
                <w:rFonts w:hint="default" w:ascii="Times New Roman" w:hAnsi="Times New Roman" w:eastAsia="宋体" w:cs="Times New Roman"/>
                <w:i w:val="0"/>
                <w:iCs w:val="0"/>
                <w:color w:val="auto"/>
                <w:kern w:val="0"/>
                <w:sz w:val="21"/>
                <w:szCs w:val="21"/>
                <w:highlight w:val="none"/>
                <w:u w:val="none"/>
                <w:lang w:val="en-US" w:eastAsia="zh-CN" w:bidi="ar"/>
              </w:rPr>
              <w:t>，新环</w:t>
            </w:r>
            <w:r>
              <w:rPr>
                <w:rFonts w:hint="eastAsia" w:cs="Times New Roman"/>
                <w:i w:val="0"/>
                <w:iCs w:val="0"/>
                <w:color w:val="auto"/>
                <w:kern w:val="0"/>
                <w:sz w:val="21"/>
                <w:szCs w:val="21"/>
                <w:highlight w:val="none"/>
                <w:u w:val="none"/>
                <w:lang w:val="en-US" w:eastAsia="zh-CN" w:bidi="ar"/>
              </w:rPr>
              <w:t>环评</w:t>
            </w:r>
            <w:r>
              <w:rPr>
                <w:rFonts w:hint="default" w:ascii="Times New Roman" w:hAnsi="Times New Roman" w:eastAsia="宋体" w:cs="Times New Roman"/>
                <w:i w:val="0"/>
                <w:iCs w:val="0"/>
                <w:color w:val="auto"/>
                <w:kern w:val="0"/>
                <w:sz w:val="21"/>
                <w:szCs w:val="21"/>
                <w:highlight w:val="none"/>
                <w:u w:val="none"/>
                <w:lang w:val="en-US" w:eastAsia="zh-CN" w:bidi="ar"/>
              </w:rPr>
              <w:t>函〔20</w:t>
            </w:r>
            <w:r>
              <w:rPr>
                <w:rFonts w:hint="eastAsia"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i w:val="0"/>
                <w:iCs w:val="0"/>
                <w:color w:val="auto"/>
                <w:kern w:val="0"/>
                <w:sz w:val="21"/>
                <w:szCs w:val="21"/>
                <w:highlight w:val="none"/>
                <w:u w:val="none"/>
                <w:lang w:val="en-US" w:eastAsia="zh-CN" w:bidi="ar"/>
              </w:rPr>
              <w:t>〕16</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号</w:t>
            </w:r>
          </w:p>
        </w:tc>
        <w:tc>
          <w:tcPr>
            <w:tcW w:w="1206" w:type="pct"/>
            <w:tcBorders>
              <w:top w:val="single" w:color="000000" w:sz="8" w:space="0"/>
              <w:left w:val="nil"/>
              <w:bottom w:val="single" w:color="000000" w:sz="8" w:space="0"/>
              <w:right w:val="single" w:color="000000" w:sz="8" w:space="0"/>
            </w:tcBorders>
            <w:shd w:val="clear" w:color="auto" w:fill="auto"/>
            <w:vAlign w:val="center"/>
          </w:tcPr>
          <w:p w14:paraId="4DFA67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i w:val="0"/>
                <w:iCs w:val="0"/>
                <w:color w:val="auto"/>
                <w:kern w:val="0"/>
                <w:sz w:val="21"/>
                <w:szCs w:val="21"/>
                <w:highlight w:val="none"/>
                <w:u w:val="none"/>
                <w:lang w:val="en-US" w:eastAsia="zh-CN" w:bidi="ar"/>
              </w:rPr>
              <w:t>年</w:t>
            </w:r>
            <w:r>
              <w:rPr>
                <w:rFonts w:hint="eastAsia" w:cs="Times New Roman"/>
                <w:i w:val="0"/>
                <w:iCs w:val="0"/>
                <w:color w:val="auto"/>
                <w:kern w:val="0"/>
                <w:sz w:val="21"/>
                <w:szCs w:val="21"/>
                <w:highlight w:val="none"/>
                <w:u w:val="none"/>
                <w:lang w:val="en-US" w:eastAsia="zh-CN" w:bidi="ar"/>
              </w:rPr>
              <w:t>12</w:t>
            </w:r>
            <w:r>
              <w:rPr>
                <w:rFonts w:hint="default" w:ascii="Times New Roman" w:hAnsi="Times New Roman" w:eastAsia="宋体" w:cs="Times New Roman"/>
                <w:i w:val="0"/>
                <w:iCs w:val="0"/>
                <w:color w:val="auto"/>
                <w:kern w:val="0"/>
                <w:sz w:val="21"/>
                <w:szCs w:val="21"/>
                <w:highlight w:val="none"/>
                <w:u w:val="none"/>
                <w:lang w:val="en-US" w:eastAsia="zh-CN" w:bidi="ar"/>
              </w:rPr>
              <w:t>月</w:t>
            </w:r>
            <w:r>
              <w:rPr>
                <w:rFonts w:hint="eastAsia"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日通过自主验收</w:t>
            </w:r>
          </w:p>
        </w:tc>
      </w:tr>
      <w:tr w14:paraId="20EB4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AF6D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2</w:t>
            </w:r>
          </w:p>
        </w:tc>
        <w:tc>
          <w:tcPr>
            <w:tcW w:w="759" w:type="pct"/>
            <w:tcBorders>
              <w:top w:val="single" w:color="000000" w:sz="8" w:space="0"/>
              <w:left w:val="nil"/>
              <w:bottom w:val="single" w:color="000000" w:sz="8" w:space="0"/>
              <w:right w:val="single" w:color="000000" w:sz="8" w:space="0"/>
            </w:tcBorders>
            <w:shd w:val="clear" w:color="auto" w:fill="auto"/>
            <w:vAlign w:val="center"/>
          </w:tcPr>
          <w:p w14:paraId="143C9B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TH10250井及配套集输管线</w:t>
            </w:r>
          </w:p>
        </w:tc>
        <w:tc>
          <w:tcPr>
            <w:tcW w:w="1270" w:type="pct"/>
            <w:tcBorders>
              <w:top w:val="single" w:color="000000" w:sz="8" w:space="0"/>
              <w:left w:val="nil"/>
              <w:bottom w:val="single" w:color="000000" w:sz="8" w:space="0"/>
              <w:right w:val="single" w:color="000000" w:sz="8" w:space="0"/>
            </w:tcBorders>
            <w:shd w:val="clear" w:color="auto" w:fill="auto"/>
            <w:vAlign w:val="center"/>
          </w:tcPr>
          <w:p w14:paraId="512833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塔河油田10区奥陶系油藏低品位储量第四期产能建设项目环境影响报告书</w:t>
            </w:r>
          </w:p>
        </w:tc>
        <w:tc>
          <w:tcPr>
            <w:tcW w:w="1418" w:type="pct"/>
            <w:tcBorders>
              <w:top w:val="single" w:color="000000" w:sz="8" w:space="0"/>
              <w:left w:val="nil"/>
              <w:bottom w:val="single" w:color="000000" w:sz="8" w:space="0"/>
              <w:right w:val="single" w:color="000000" w:sz="8" w:space="0"/>
            </w:tcBorders>
            <w:shd w:val="clear" w:color="auto" w:fill="auto"/>
            <w:vAlign w:val="center"/>
          </w:tcPr>
          <w:p w14:paraId="7BE1B2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2013年6月14日，取得新疆维吾尔自治区环境保护厅批复，</w:t>
            </w:r>
            <w:r>
              <w:rPr>
                <w:rFonts w:hint="default" w:ascii="Times New Roman" w:hAnsi="Times New Roman" w:eastAsia="宋体" w:cs="Times New Roman"/>
                <w:i w:val="0"/>
                <w:iCs w:val="0"/>
                <w:color w:val="auto"/>
                <w:kern w:val="0"/>
                <w:sz w:val="21"/>
                <w:szCs w:val="21"/>
                <w:highlight w:val="none"/>
                <w:u w:val="none"/>
                <w:lang w:val="en-US" w:eastAsia="zh-CN" w:bidi="ar"/>
              </w:rPr>
              <w:t>新环评价函</w:t>
            </w:r>
            <w:r>
              <w:rPr>
                <w:rFonts w:hint="eastAsia" w:cs="Times New Roman"/>
                <w:i w:val="0"/>
                <w:iCs w:val="0"/>
                <w:color w:val="auto"/>
                <w:kern w:val="0"/>
                <w:sz w:val="21"/>
                <w:szCs w:val="21"/>
                <w:highlight w:val="none"/>
                <w:u w:val="none"/>
                <w:lang w:val="en-US" w:eastAsia="zh-CN" w:bidi="ar"/>
              </w:rPr>
              <w:t>〔2013〕</w:t>
            </w:r>
            <w:r>
              <w:rPr>
                <w:rFonts w:hint="default" w:ascii="Times New Roman" w:hAnsi="Times New Roman" w:eastAsia="宋体" w:cs="Times New Roman"/>
                <w:i w:val="0"/>
                <w:iCs w:val="0"/>
                <w:color w:val="auto"/>
                <w:kern w:val="0"/>
                <w:sz w:val="21"/>
                <w:szCs w:val="21"/>
                <w:highlight w:val="none"/>
                <w:u w:val="none"/>
                <w:lang w:val="en-US" w:eastAsia="zh-CN" w:bidi="ar"/>
              </w:rPr>
              <w:t>490号</w:t>
            </w:r>
          </w:p>
        </w:tc>
        <w:tc>
          <w:tcPr>
            <w:tcW w:w="1206" w:type="pct"/>
            <w:tcBorders>
              <w:top w:val="single" w:color="000000" w:sz="8" w:space="0"/>
              <w:left w:val="nil"/>
              <w:bottom w:val="single" w:color="000000" w:sz="8" w:space="0"/>
              <w:right w:val="single" w:color="000000" w:sz="8" w:space="0"/>
            </w:tcBorders>
            <w:shd w:val="clear" w:color="auto" w:fill="auto"/>
            <w:vAlign w:val="center"/>
          </w:tcPr>
          <w:p w14:paraId="647274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2021年11月16日通过自主验收</w:t>
            </w:r>
          </w:p>
        </w:tc>
      </w:tr>
      <w:tr w14:paraId="5860E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4" w:type="pct"/>
            <w:tcBorders>
              <w:top w:val="nil"/>
              <w:left w:val="single" w:color="000000" w:sz="8" w:space="0"/>
              <w:bottom w:val="single" w:color="000000" w:sz="8" w:space="0"/>
              <w:right w:val="single" w:color="000000" w:sz="8" w:space="0"/>
            </w:tcBorders>
            <w:shd w:val="clear" w:color="auto" w:fill="auto"/>
            <w:vAlign w:val="center"/>
          </w:tcPr>
          <w:p w14:paraId="66600F7E">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3</w:t>
            </w:r>
          </w:p>
        </w:tc>
        <w:tc>
          <w:tcPr>
            <w:tcW w:w="759" w:type="pct"/>
            <w:tcBorders>
              <w:top w:val="nil"/>
              <w:left w:val="nil"/>
              <w:bottom w:val="single" w:color="auto" w:sz="4" w:space="0"/>
              <w:right w:val="single" w:color="000000" w:sz="8" w:space="0"/>
            </w:tcBorders>
            <w:shd w:val="clear" w:color="auto" w:fill="auto"/>
            <w:vAlign w:val="center"/>
          </w:tcPr>
          <w:p w14:paraId="69D870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TH10294X井及配套集输管线</w:t>
            </w:r>
          </w:p>
        </w:tc>
        <w:tc>
          <w:tcPr>
            <w:tcW w:w="1270" w:type="pct"/>
            <w:tcBorders>
              <w:top w:val="nil"/>
              <w:left w:val="nil"/>
              <w:bottom w:val="single" w:color="auto" w:sz="4" w:space="0"/>
              <w:right w:val="single" w:color="000000" w:sz="8" w:space="0"/>
            </w:tcBorders>
            <w:shd w:val="clear" w:color="auto" w:fill="auto"/>
            <w:vAlign w:val="center"/>
          </w:tcPr>
          <w:p w14:paraId="2278FC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关于塔河油田10区奥陶系油藏第六期产能建设项目环境影响报告书</w:t>
            </w:r>
          </w:p>
        </w:tc>
        <w:tc>
          <w:tcPr>
            <w:tcW w:w="1418" w:type="pct"/>
            <w:tcBorders>
              <w:top w:val="nil"/>
              <w:left w:val="nil"/>
              <w:bottom w:val="single" w:color="auto" w:sz="4" w:space="0"/>
              <w:right w:val="single" w:color="000000" w:sz="8" w:space="0"/>
            </w:tcBorders>
            <w:shd w:val="clear" w:color="auto" w:fill="auto"/>
            <w:vAlign w:val="center"/>
          </w:tcPr>
          <w:p w14:paraId="48A700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cs="Times New Roman"/>
                <w:i w:val="0"/>
                <w:iCs w:val="0"/>
                <w:color w:val="auto"/>
                <w:kern w:val="0"/>
                <w:sz w:val="21"/>
                <w:szCs w:val="21"/>
                <w:highlight w:val="none"/>
                <w:u w:val="none"/>
                <w:lang w:val="en-US" w:eastAsia="zh-CN" w:bidi="ar"/>
              </w:rPr>
              <w:t>15</w:t>
            </w:r>
            <w:r>
              <w:rPr>
                <w:rFonts w:hint="default" w:ascii="Times New Roman" w:hAnsi="Times New Roman" w:eastAsia="宋体" w:cs="Times New Roman"/>
                <w:i w:val="0"/>
                <w:iCs w:val="0"/>
                <w:color w:val="auto"/>
                <w:kern w:val="0"/>
                <w:sz w:val="21"/>
                <w:szCs w:val="21"/>
                <w:highlight w:val="none"/>
                <w:u w:val="none"/>
                <w:lang w:val="en-US" w:eastAsia="zh-CN" w:bidi="ar"/>
              </w:rPr>
              <w:t>年</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月</w:t>
            </w:r>
            <w:r>
              <w:rPr>
                <w:rFonts w:hint="eastAsia" w:cs="Times New Roman"/>
                <w:i w:val="0"/>
                <w:iCs w:val="0"/>
                <w:color w:val="auto"/>
                <w:kern w:val="0"/>
                <w:sz w:val="21"/>
                <w:szCs w:val="21"/>
                <w:highlight w:val="none"/>
                <w:u w:val="none"/>
                <w:lang w:val="en-US" w:eastAsia="zh-CN" w:bidi="ar"/>
              </w:rPr>
              <w:t>24</w:t>
            </w:r>
            <w:r>
              <w:rPr>
                <w:rFonts w:hint="default" w:ascii="Times New Roman" w:hAnsi="Times New Roman" w:eastAsia="宋体" w:cs="Times New Roman"/>
                <w:i w:val="0"/>
                <w:iCs w:val="0"/>
                <w:color w:val="auto"/>
                <w:kern w:val="0"/>
                <w:sz w:val="21"/>
                <w:szCs w:val="21"/>
                <w:highlight w:val="none"/>
                <w:u w:val="none"/>
                <w:lang w:val="en-US" w:eastAsia="zh-CN" w:bidi="ar"/>
              </w:rPr>
              <w:t>日</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取得新疆维吾尔自治区环境保护</w:t>
            </w:r>
            <w:r>
              <w:rPr>
                <w:rFonts w:hint="eastAsia" w:cs="Times New Roman"/>
                <w:i w:val="0"/>
                <w:iCs w:val="0"/>
                <w:color w:val="auto"/>
                <w:kern w:val="0"/>
                <w:sz w:val="21"/>
                <w:szCs w:val="21"/>
                <w:highlight w:val="none"/>
                <w:u w:val="none"/>
                <w:lang w:val="en-US" w:eastAsia="zh-CN" w:bidi="ar"/>
              </w:rPr>
              <w:t>厅</w:t>
            </w:r>
            <w:r>
              <w:rPr>
                <w:rFonts w:hint="default" w:ascii="Times New Roman" w:hAnsi="Times New Roman" w:eastAsia="宋体" w:cs="Times New Roman"/>
                <w:i w:val="0"/>
                <w:iCs w:val="0"/>
                <w:color w:val="auto"/>
                <w:kern w:val="0"/>
                <w:sz w:val="21"/>
                <w:szCs w:val="21"/>
                <w:highlight w:val="none"/>
                <w:u w:val="none"/>
                <w:lang w:val="en-US" w:eastAsia="zh-CN" w:bidi="ar"/>
              </w:rPr>
              <w:t>批复，新环函</w:t>
            </w:r>
            <w:bookmarkStart w:id="220" w:name="OLE_LINK3"/>
            <w:r>
              <w:rPr>
                <w:rFonts w:hint="eastAsia" w:cs="Times New Roman"/>
                <w:i w:val="0"/>
                <w:iCs w:val="0"/>
                <w:color w:val="auto"/>
                <w:kern w:val="0"/>
                <w:sz w:val="21"/>
                <w:szCs w:val="21"/>
                <w:highlight w:val="none"/>
                <w:u w:val="none"/>
                <w:lang w:val="en-US" w:eastAsia="zh-CN" w:bidi="ar"/>
              </w:rPr>
              <w:t>〔2015〕</w:t>
            </w:r>
            <w:bookmarkEnd w:id="220"/>
            <w:r>
              <w:rPr>
                <w:rFonts w:hint="default" w:ascii="Times New Roman" w:hAnsi="Times New Roman" w:eastAsia="宋体" w:cs="Times New Roman"/>
                <w:i w:val="0"/>
                <w:iCs w:val="0"/>
                <w:color w:val="auto"/>
                <w:kern w:val="0"/>
                <w:sz w:val="21"/>
                <w:szCs w:val="21"/>
                <w:highlight w:val="none"/>
                <w:u w:val="none"/>
                <w:lang w:val="en-US" w:eastAsia="zh-CN" w:bidi="ar"/>
              </w:rPr>
              <w:t>418号</w:t>
            </w:r>
          </w:p>
        </w:tc>
        <w:tc>
          <w:tcPr>
            <w:tcW w:w="1206" w:type="pct"/>
            <w:tcBorders>
              <w:top w:val="nil"/>
              <w:left w:val="nil"/>
              <w:bottom w:val="single" w:color="auto" w:sz="4" w:space="0"/>
              <w:right w:val="single" w:color="000000" w:sz="8" w:space="0"/>
            </w:tcBorders>
            <w:shd w:val="clear" w:color="auto" w:fill="auto"/>
            <w:vAlign w:val="center"/>
          </w:tcPr>
          <w:p w14:paraId="2E2746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cs="Times New Roman"/>
                <w:i w:val="0"/>
                <w:iCs w:val="0"/>
                <w:color w:val="auto"/>
                <w:kern w:val="0"/>
                <w:sz w:val="21"/>
                <w:szCs w:val="21"/>
                <w:highlight w:val="none"/>
                <w:u w:val="none"/>
                <w:lang w:val="en-US" w:eastAsia="zh-CN" w:bidi="ar"/>
              </w:rPr>
              <w:t>19</w:t>
            </w:r>
            <w:r>
              <w:rPr>
                <w:rFonts w:hint="default" w:ascii="Times New Roman" w:hAnsi="Times New Roman" w:eastAsia="宋体" w:cs="Times New Roman"/>
                <w:i w:val="0"/>
                <w:iCs w:val="0"/>
                <w:color w:val="auto"/>
                <w:kern w:val="0"/>
                <w:sz w:val="21"/>
                <w:szCs w:val="21"/>
                <w:highlight w:val="none"/>
                <w:u w:val="none"/>
                <w:lang w:val="en-US" w:eastAsia="zh-CN" w:bidi="ar"/>
              </w:rPr>
              <w:t>年</w:t>
            </w:r>
            <w:r>
              <w:rPr>
                <w:rFonts w:hint="eastAsia"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月</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日通过自主验收</w:t>
            </w:r>
            <w:r>
              <w:rPr>
                <w:rFonts w:hint="eastAsia" w:cs="Times New Roman"/>
                <w:i w:val="0"/>
                <w:iCs w:val="0"/>
                <w:color w:val="auto"/>
                <w:kern w:val="0"/>
                <w:sz w:val="21"/>
                <w:szCs w:val="21"/>
                <w:highlight w:val="none"/>
                <w:u w:val="none"/>
                <w:lang w:val="en-US" w:eastAsia="zh-CN" w:bidi="ar"/>
              </w:rPr>
              <w:t>，西北油安〔2019〕345号</w:t>
            </w:r>
          </w:p>
        </w:tc>
      </w:tr>
      <w:tr w14:paraId="2D654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344" w:type="pct"/>
            <w:tcBorders>
              <w:top w:val="nil"/>
              <w:left w:val="single" w:color="000000" w:sz="8" w:space="0"/>
              <w:bottom w:val="single" w:color="000000" w:sz="8" w:space="0"/>
              <w:right w:val="single" w:color="auto" w:sz="4" w:space="0"/>
            </w:tcBorders>
            <w:shd w:val="clear" w:color="auto" w:fill="auto"/>
            <w:vAlign w:val="center"/>
          </w:tcPr>
          <w:p w14:paraId="469F296B">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w:t>
            </w:r>
          </w:p>
        </w:tc>
        <w:tc>
          <w:tcPr>
            <w:tcW w:w="759" w:type="pct"/>
            <w:tcBorders>
              <w:top w:val="single" w:color="auto" w:sz="4" w:space="0"/>
              <w:left w:val="single" w:color="auto" w:sz="4" w:space="0"/>
              <w:bottom w:val="single" w:color="auto" w:sz="4" w:space="0"/>
              <w:right w:val="single" w:color="auto" w:sz="4" w:space="0"/>
            </w:tcBorders>
            <w:shd w:val="clear" w:color="auto" w:fill="auto"/>
            <w:vAlign w:val="center"/>
          </w:tcPr>
          <w:p w14:paraId="379576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TH10298</w:t>
            </w:r>
            <w:r>
              <w:rPr>
                <w:rFonts w:hint="eastAsia" w:cs="Times New Roman"/>
                <w:i w:val="0"/>
                <w:iCs w:val="0"/>
                <w:color w:val="auto"/>
                <w:kern w:val="0"/>
                <w:sz w:val="21"/>
                <w:szCs w:val="21"/>
                <w:highlight w:val="none"/>
                <w:u w:val="none"/>
                <w:lang w:val="en-US" w:eastAsia="zh-CN" w:bidi="ar"/>
              </w:rPr>
              <w:t>井及配套集输管线</w:t>
            </w:r>
          </w:p>
        </w:tc>
        <w:tc>
          <w:tcPr>
            <w:tcW w:w="1270" w:type="pct"/>
            <w:tcBorders>
              <w:top w:val="single" w:color="auto" w:sz="4" w:space="0"/>
              <w:left w:val="single" w:color="auto" w:sz="4" w:space="0"/>
              <w:bottom w:val="single" w:color="auto" w:sz="4" w:space="0"/>
              <w:right w:val="single" w:color="auto" w:sz="4" w:space="0"/>
            </w:tcBorders>
            <w:shd w:val="clear" w:color="auto" w:fill="auto"/>
            <w:vAlign w:val="center"/>
          </w:tcPr>
          <w:p w14:paraId="0FAD67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塔河油田10区奥陶系油藏2015-2016年产能建设项目环境影响报告书</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14:paraId="7454A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2016</w:t>
            </w:r>
            <w:r>
              <w:rPr>
                <w:rFonts w:hint="default" w:ascii="Times New Roman" w:hAnsi="Times New Roman" w:eastAsia="宋体" w:cs="Times New Roman"/>
                <w:i w:val="0"/>
                <w:iCs w:val="0"/>
                <w:color w:val="auto"/>
                <w:kern w:val="0"/>
                <w:sz w:val="21"/>
                <w:szCs w:val="21"/>
                <w:highlight w:val="none"/>
                <w:u w:val="none"/>
                <w:lang w:val="en-US" w:eastAsia="zh-CN" w:bidi="ar"/>
              </w:rPr>
              <w:t>年</w:t>
            </w:r>
            <w:r>
              <w:rPr>
                <w:rFonts w:hint="eastAsia"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月</w:t>
            </w:r>
            <w:r>
              <w:rPr>
                <w:rFonts w:hint="eastAsia" w:cs="Times New Roman"/>
                <w:i w:val="0"/>
                <w:iCs w:val="0"/>
                <w:color w:val="auto"/>
                <w:kern w:val="0"/>
                <w:sz w:val="21"/>
                <w:szCs w:val="21"/>
                <w:highlight w:val="none"/>
                <w:u w:val="none"/>
                <w:lang w:val="en-US" w:eastAsia="zh-CN" w:bidi="ar"/>
              </w:rPr>
              <w:t>19</w:t>
            </w:r>
            <w:r>
              <w:rPr>
                <w:rFonts w:hint="default" w:ascii="Times New Roman" w:hAnsi="Times New Roman" w:eastAsia="宋体" w:cs="Times New Roman"/>
                <w:i w:val="0"/>
                <w:iCs w:val="0"/>
                <w:color w:val="auto"/>
                <w:kern w:val="0"/>
                <w:sz w:val="21"/>
                <w:szCs w:val="21"/>
                <w:highlight w:val="none"/>
                <w:u w:val="none"/>
                <w:lang w:val="en-US" w:eastAsia="zh-CN" w:bidi="ar"/>
              </w:rPr>
              <w:t>日</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取得新疆维吾尔自治区环境保护厅批复，新环函</w:t>
            </w:r>
            <w:r>
              <w:rPr>
                <w:rFonts w:hint="eastAsia" w:cs="Times New Roman"/>
                <w:i w:val="0"/>
                <w:iCs w:val="0"/>
                <w:color w:val="auto"/>
                <w:kern w:val="0"/>
                <w:sz w:val="21"/>
                <w:szCs w:val="21"/>
                <w:highlight w:val="none"/>
                <w:u w:val="none"/>
                <w:lang w:val="en-US" w:eastAsia="zh-CN" w:bidi="ar"/>
              </w:rPr>
              <w:t>〔2016〕</w:t>
            </w:r>
            <w:r>
              <w:rPr>
                <w:rFonts w:hint="default" w:ascii="Times New Roman" w:hAnsi="Times New Roman" w:eastAsia="宋体" w:cs="Times New Roman"/>
                <w:i w:val="0"/>
                <w:iCs w:val="0"/>
                <w:color w:val="auto"/>
                <w:kern w:val="0"/>
                <w:sz w:val="21"/>
                <w:szCs w:val="21"/>
                <w:highlight w:val="none"/>
                <w:u w:val="none"/>
                <w:lang w:val="en-US" w:eastAsia="zh-CN" w:bidi="ar"/>
              </w:rPr>
              <w:t>930号</w:t>
            </w:r>
          </w:p>
        </w:tc>
        <w:tc>
          <w:tcPr>
            <w:tcW w:w="1206" w:type="pct"/>
            <w:tcBorders>
              <w:top w:val="single" w:color="auto" w:sz="4" w:space="0"/>
              <w:left w:val="single" w:color="auto" w:sz="4" w:space="0"/>
              <w:bottom w:val="single" w:color="auto" w:sz="4" w:space="0"/>
              <w:right w:val="single" w:color="auto" w:sz="4" w:space="0"/>
            </w:tcBorders>
            <w:shd w:val="clear" w:color="auto" w:fill="auto"/>
            <w:vAlign w:val="center"/>
          </w:tcPr>
          <w:p w14:paraId="433957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w:t>
            </w:r>
            <w:r>
              <w:rPr>
                <w:rFonts w:hint="eastAsia"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年1月</w:t>
            </w:r>
            <w:r>
              <w:rPr>
                <w:rFonts w:hint="eastAsia"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日通过</w:t>
            </w:r>
            <w:r>
              <w:rPr>
                <w:rFonts w:hint="eastAsia" w:cs="Times New Roman"/>
                <w:i w:val="0"/>
                <w:iCs w:val="0"/>
                <w:color w:val="auto"/>
                <w:kern w:val="0"/>
                <w:sz w:val="21"/>
                <w:szCs w:val="21"/>
                <w:highlight w:val="none"/>
                <w:u w:val="none"/>
                <w:lang w:val="en-US" w:eastAsia="zh-CN" w:bidi="ar"/>
              </w:rPr>
              <w:t>自主验收</w:t>
            </w:r>
            <w:r>
              <w:rPr>
                <w:rFonts w:hint="default" w:ascii="Times New Roman" w:hAnsi="Times New Roman" w:eastAsia="宋体" w:cs="Times New Roman"/>
                <w:i w:val="0"/>
                <w:iCs w:val="0"/>
                <w:color w:val="auto"/>
                <w:kern w:val="0"/>
                <w:sz w:val="21"/>
                <w:szCs w:val="21"/>
                <w:highlight w:val="none"/>
                <w:u w:val="none"/>
                <w:lang w:val="en-US" w:eastAsia="zh-CN" w:bidi="ar"/>
              </w:rPr>
              <w:t>，油田环验</w:t>
            </w:r>
            <w:r>
              <w:rPr>
                <w:rFonts w:hint="eastAsia" w:cs="Times New Roman"/>
                <w:i w:val="0"/>
                <w:iCs w:val="0"/>
                <w:color w:val="auto"/>
                <w:kern w:val="0"/>
                <w:sz w:val="21"/>
                <w:szCs w:val="21"/>
                <w:highlight w:val="none"/>
                <w:u w:val="none"/>
                <w:lang w:val="en-US" w:eastAsia="zh-CN" w:bidi="ar"/>
              </w:rPr>
              <w:t>〔2019〕</w:t>
            </w:r>
            <w:r>
              <w:rPr>
                <w:rFonts w:hint="default" w:ascii="Times New Roman" w:hAnsi="Times New Roman" w:eastAsia="宋体" w:cs="Times New Roman"/>
                <w:i w:val="0"/>
                <w:iCs w:val="0"/>
                <w:color w:val="auto"/>
                <w:kern w:val="0"/>
                <w:sz w:val="21"/>
                <w:szCs w:val="21"/>
                <w:highlight w:val="none"/>
                <w:u w:val="none"/>
                <w:lang w:val="en-US" w:eastAsia="zh-CN" w:bidi="ar"/>
              </w:rPr>
              <w:t>3号</w:t>
            </w:r>
          </w:p>
        </w:tc>
      </w:tr>
    </w:tbl>
    <w:p w14:paraId="7858F4ED">
      <w:pPr>
        <w:keepNext w:val="0"/>
        <w:keepLines w:val="0"/>
        <w:pageBreakBefore w:val="0"/>
        <w:widowControl/>
        <w:numPr>
          <w:ilvl w:val="0"/>
          <w:numId w:val="2"/>
        </w:numPr>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Cs w:val="22"/>
          <w:highlight w:val="none"/>
          <w:lang w:val="en-US" w:eastAsia="zh-CN"/>
        </w:rPr>
      </w:pPr>
      <w:r>
        <w:rPr>
          <w:rFonts w:hint="eastAsia" w:ascii="Times New Roman" w:hAnsi="Times New Roman" w:eastAsia="宋体" w:cs="Times New Roman"/>
          <w:b/>
          <w:bCs/>
          <w:color w:val="auto"/>
          <w:szCs w:val="22"/>
          <w:highlight w:val="none"/>
          <w:lang w:val="en-US" w:eastAsia="zh-CN"/>
        </w:rPr>
        <w:t>TH102117X</w:t>
      </w:r>
      <w:r>
        <w:rPr>
          <w:rFonts w:hint="eastAsia" w:cs="Times New Roman"/>
          <w:b/>
          <w:bCs/>
          <w:color w:val="auto"/>
          <w:szCs w:val="22"/>
          <w:highlight w:val="none"/>
          <w:lang w:val="en-US" w:eastAsia="zh-CN"/>
        </w:rPr>
        <w:t>井场</w:t>
      </w:r>
    </w:p>
    <w:p w14:paraId="0F1E7E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Cs w:val="22"/>
          <w:highlight w:val="none"/>
          <w:lang w:val="en-US" w:eastAsia="zh-CN"/>
        </w:rPr>
        <w:t>本项目</w:t>
      </w:r>
      <w:r>
        <w:rPr>
          <w:rFonts w:hint="eastAsia" w:ascii="Times New Roman" w:hAnsi="Times New Roman" w:eastAsia="宋体" w:cs="Times New Roman"/>
          <w:color w:val="auto"/>
          <w:szCs w:val="22"/>
          <w:highlight w:val="none"/>
        </w:rPr>
        <w:t>新建TH102117X井</w:t>
      </w:r>
      <w:r>
        <w:rPr>
          <w:rFonts w:hint="eastAsia" w:ascii="Times New Roman" w:hAnsi="Times New Roman" w:eastAsia="宋体" w:cs="Times New Roman"/>
          <w:color w:val="auto"/>
          <w:szCs w:val="22"/>
          <w:highlight w:val="none"/>
          <w:lang w:val="en-US" w:eastAsia="zh-CN"/>
        </w:rPr>
        <w:t>单井</w:t>
      </w:r>
      <w:r>
        <w:rPr>
          <w:rFonts w:hint="eastAsia" w:ascii="Times New Roman" w:hAnsi="Times New Roman" w:eastAsia="宋体" w:cs="Times New Roman"/>
          <w:color w:val="auto"/>
          <w:szCs w:val="22"/>
          <w:highlight w:val="none"/>
        </w:rPr>
        <w:t>集输管</w:t>
      </w:r>
      <w:r>
        <w:rPr>
          <w:rFonts w:hint="eastAsia" w:ascii="Times New Roman" w:hAnsi="Times New Roman" w:eastAsia="宋体" w:cs="Times New Roman"/>
          <w:color w:val="auto"/>
          <w:szCs w:val="22"/>
          <w:highlight w:val="none"/>
          <w:lang w:val="en-US" w:eastAsia="zh-CN"/>
        </w:rPr>
        <w:t>线</w:t>
      </w:r>
      <w:r>
        <w:rPr>
          <w:rFonts w:hint="eastAsia" w:cs="Times New Roman"/>
          <w:color w:val="auto"/>
          <w:szCs w:val="22"/>
          <w:highlight w:val="none"/>
          <w:lang w:val="en-US" w:eastAsia="zh-CN"/>
        </w:rPr>
        <w:t>、掺稀管线、燃料气管线</w:t>
      </w:r>
      <w:r>
        <w:rPr>
          <w:rFonts w:hint="eastAsia" w:ascii="Times New Roman" w:hAnsi="Times New Roman" w:eastAsia="宋体" w:cs="Times New Roman"/>
          <w:color w:val="auto"/>
          <w:szCs w:val="22"/>
          <w:highlight w:val="none"/>
          <w:lang w:eastAsia="zh-CN"/>
        </w:rPr>
        <w:t>。</w:t>
      </w:r>
      <w:r>
        <w:rPr>
          <w:rFonts w:hint="eastAsia" w:ascii="Times New Roman" w:hAnsi="Times New Roman" w:eastAsia="宋体" w:cs="Times New Roman"/>
          <w:color w:val="auto"/>
          <w:szCs w:val="22"/>
          <w:highlight w:val="none"/>
        </w:rPr>
        <w:t>TH102117X井</w:t>
      </w:r>
      <w:r>
        <w:rPr>
          <w:rFonts w:hint="eastAsia" w:ascii="Times New Roman" w:hAnsi="Times New Roman" w:eastAsia="宋体" w:cs="Times New Roman"/>
          <w:color w:val="auto"/>
          <w:szCs w:val="22"/>
          <w:highlight w:val="none"/>
          <w:lang w:val="en-US" w:eastAsia="zh-CN"/>
        </w:rPr>
        <w:t>钻井工程</w:t>
      </w:r>
      <w:r>
        <w:rPr>
          <w:rFonts w:hint="eastAsia" w:cs="Times New Roman"/>
          <w:color w:val="auto"/>
          <w:szCs w:val="22"/>
          <w:highlight w:val="none"/>
          <w:lang w:val="en-US" w:eastAsia="zh-CN"/>
        </w:rPr>
        <w:t>及配套地面集输工程建设</w:t>
      </w:r>
      <w:r>
        <w:rPr>
          <w:rFonts w:hint="eastAsia" w:ascii="Times New Roman" w:hAnsi="Times New Roman" w:eastAsia="宋体" w:cs="Times New Roman"/>
          <w:color w:val="auto"/>
          <w:szCs w:val="22"/>
          <w:highlight w:val="none"/>
          <w:lang w:val="en-US" w:eastAsia="zh-CN"/>
        </w:rPr>
        <w:t>评价内容在《</w:t>
      </w:r>
      <w:r>
        <w:rPr>
          <w:rFonts w:hint="default" w:ascii="Times New Roman" w:hAnsi="Times New Roman" w:eastAsia="宋体" w:cs="Times New Roman"/>
          <w:color w:val="auto"/>
          <w:szCs w:val="22"/>
          <w:highlight w:val="none"/>
        </w:rPr>
        <w:t>塔河油田S48-T707井区2025年产能建设项目环境影响报告书</w:t>
      </w:r>
      <w:r>
        <w:rPr>
          <w:rFonts w:hint="eastAsia" w:ascii="Times New Roman" w:hAnsi="Times New Roman" w:eastAsia="宋体" w:cs="Times New Roman"/>
          <w:color w:val="auto"/>
          <w:szCs w:val="22"/>
          <w:highlight w:val="none"/>
          <w:lang w:val="en-US" w:eastAsia="zh-CN"/>
        </w:rPr>
        <w:t>》中，该环评报告书已取得自治区生态环境厅批复（</w:t>
      </w:r>
      <w:r>
        <w:rPr>
          <w:rFonts w:hint="eastAsia" w:ascii="Times New Roman" w:hAnsi="Times New Roman" w:eastAsia="宋体" w:cs="Times New Roman"/>
          <w:color w:val="auto"/>
          <w:sz w:val="24"/>
          <w:szCs w:val="24"/>
          <w:highlight w:val="none"/>
          <w:lang w:val="en-US" w:eastAsia="zh-CN"/>
        </w:rPr>
        <w:t>新环审</w:t>
      </w:r>
      <w:r>
        <w:rPr>
          <w:rFonts w:hint="default" w:ascii="Times New Roman" w:hAnsi="Times New Roman" w:eastAsia="宋体" w:cs="Times New Roman"/>
          <w:i w:val="0"/>
          <w:iCs w:val="0"/>
          <w:color w:val="auto"/>
          <w:kern w:val="0"/>
          <w:sz w:val="24"/>
          <w:szCs w:val="24"/>
          <w:highlight w:val="none"/>
          <w:u w:val="none"/>
          <w:lang w:val="en-US" w:eastAsia="zh-CN" w:bidi="ar"/>
        </w:rPr>
        <w:t>〔20</w:t>
      </w:r>
      <w:r>
        <w:rPr>
          <w:rFonts w:hint="eastAsia" w:cs="Times New Roman"/>
          <w:i w:val="0"/>
          <w:iCs w:val="0"/>
          <w:color w:val="auto"/>
          <w:kern w:val="0"/>
          <w:sz w:val="24"/>
          <w:szCs w:val="24"/>
          <w:highlight w:val="none"/>
          <w:u w:val="none"/>
          <w:lang w:val="en-US" w:eastAsia="zh-CN" w:bidi="ar"/>
        </w:rPr>
        <w:t>25</w:t>
      </w:r>
      <w:r>
        <w:rPr>
          <w:rFonts w:hint="default" w:ascii="Times New Roman" w:hAnsi="Times New Roman" w:eastAsia="宋体" w:cs="Times New Roman"/>
          <w:i w:val="0"/>
          <w:iCs w:val="0"/>
          <w:color w:val="auto"/>
          <w:kern w:val="0"/>
          <w:sz w:val="24"/>
          <w:szCs w:val="24"/>
          <w:highlight w:val="none"/>
          <w:u w:val="none"/>
          <w:lang w:val="en-US" w:eastAsia="zh-CN" w:bidi="ar"/>
        </w:rPr>
        <w:t>〕</w:t>
      </w:r>
      <w:r>
        <w:rPr>
          <w:rFonts w:hint="eastAsia" w:ascii="Times New Roman" w:hAnsi="Times New Roman" w:eastAsia="宋体" w:cs="Times New Roman"/>
          <w:i w:val="0"/>
          <w:iCs w:val="0"/>
          <w:color w:val="auto"/>
          <w:kern w:val="0"/>
          <w:sz w:val="24"/>
          <w:szCs w:val="24"/>
          <w:highlight w:val="none"/>
          <w:u w:val="none"/>
          <w:lang w:val="en-US" w:eastAsia="zh-CN" w:bidi="ar"/>
        </w:rPr>
        <w:t>50</w:t>
      </w:r>
      <w:r>
        <w:rPr>
          <w:rFonts w:hint="default" w:ascii="Times New Roman" w:hAnsi="Times New Roman" w:eastAsia="宋体" w:cs="Times New Roman"/>
          <w:i w:val="0"/>
          <w:iCs w:val="0"/>
          <w:color w:val="auto"/>
          <w:kern w:val="0"/>
          <w:sz w:val="24"/>
          <w:szCs w:val="24"/>
          <w:highlight w:val="none"/>
          <w:u w:val="none"/>
          <w:lang w:val="en-US" w:eastAsia="zh-CN" w:bidi="ar"/>
        </w:rPr>
        <w:t>号</w:t>
      </w:r>
      <w:r>
        <w:rPr>
          <w:rFonts w:hint="eastAsia" w:cs="Times New Roman"/>
          <w:i w:val="0"/>
          <w:iCs w:val="0"/>
          <w:color w:val="auto"/>
          <w:kern w:val="0"/>
          <w:sz w:val="24"/>
          <w:szCs w:val="24"/>
          <w:highlight w:val="none"/>
          <w:u w:val="none"/>
          <w:lang w:val="en-US" w:eastAsia="zh-CN" w:bidi="ar"/>
        </w:rPr>
        <w:t>，详见附件7</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Cs w:val="22"/>
          <w:highlight w:val="none"/>
        </w:rPr>
        <w:t>TH102117X</w:t>
      </w:r>
      <w:r>
        <w:rPr>
          <w:rFonts w:hint="eastAsia" w:ascii="Times New Roman" w:hAnsi="Times New Roman" w:eastAsia="宋体" w:cs="Times New Roman"/>
          <w:color w:val="auto"/>
          <w:szCs w:val="22"/>
          <w:highlight w:val="none"/>
          <w:lang w:val="en-US" w:eastAsia="zh-CN"/>
        </w:rPr>
        <w:t>井目前已完钻，</w:t>
      </w:r>
      <w:r>
        <w:rPr>
          <w:rFonts w:hint="eastAsia" w:cs="Times New Roman"/>
          <w:color w:val="auto"/>
          <w:sz w:val="24"/>
          <w:szCs w:val="24"/>
          <w:highlight w:val="none"/>
          <w:lang w:val="en-US" w:eastAsia="zh-CN"/>
        </w:rPr>
        <w:t>由于</w:t>
      </w:r>
      <w:r>
        <w:rPr>
          <w:rFonts w:hint="eastAsia" w:ascii="Times New Roman" w:hAnsi="Times New Roman" w:eastAsia="宋体" w:cs="Times New Roman"/>
          <w:color w:val="auto"/>
          <w:szCs w:val="22"/>
          <w:highlight w:val="none"/>
        </w:rPr>
        <w:t>TH102117X</w:t>
      </w:r>
      <w:r>
        <w:rPr>
          <w:rFonts w:hint="eastAsia" w:ascii="Times New Roman" w:hAnsi="Times New Roman" w:eastAsia="宋体" w:cs="Times New Roman"/>
          <w:color w:val="auto"/>
          <w:szCs w:val="22"/>
          <w:highlight w:val="none"/>
          <w:lang w:val="en-US" w:eastAsia="zh-CN"/>
        </w:rPr>
        <w:t>井设计进站发生变化，故将</w:t>
      </w:r>
      <w:r>
        <w:rPr>
          <w:rFonts w:hint="eastAsia" w:ascii="Times New Roman" w:hAnsi="Times New Roman" w:eastAsia="宋体" w:cs="Times New Roman"/>
          <w:color w:val="auto"/>
          <w:szCs w:val="22"/>
          <w:highlight w:val="none"/>
        </w:rPr>
        <w:t>TH102117X井</w:t>
      </w:r>
      <w:r>
        <w:rPr>
          <w:rFonts w:hint="eastAsia" w:ascii="Times New Roman" w:hAnsi="Times New Roman" w:eastAsia="宋体" w:cs="Times New Roman"/>
          <w:color w:val="auto"/>
          <w:szCs w:val="22"/>
          <w:highlight w:val="none"/>
          <w:lang w:val="en-US" w:eastAsia="zh-CN"/>
        </w:rPr>
        <w:t>调整后的配套管线建设内容纳入本次评价。</w:t>
      </w:r>
    </w:p>
    <w:p w14:paraId="3D845D3B">
      <w:pPr>
        <w:keepNext/>
        <w:keepLines/>
        <w:pageBreakBefore w:val="0"/>
        <w:widowControl/>
        <w:kinsoku/>
        <w:wordWrap/>
        <w:overflowPunct/>
        <w:topLinePunct w:val="0"/>
        <w:autoSpaceDE/>
        <w:autoSpaceDN/>
        <w:bidi w:val="0"/>
        <w:adjustRightInd/>
        <w:snapToGrid/>
        <w:spacing w:before="120" w:after="120" w:line="360" w:lineRule="auto"/>
        <w:textAlignment w:val="auto"/>
        <w:outlineLvl w:val="2"/>
        <w:rPr>
          <w:rFonts w:hint="default" w:ascii="Times New Roman" w:hAnsi="Times New Roman" w:eastAsia="宋体" w:cs="Times New Roman"/>
          <w:b/>
          <w:color w:val="auto"/>
          <w:sz w:val="28"/>
          <w:szCs w:val="22"/>
          <w:highlight w:val="none"/>
        </w:rPr>
      </w:pPr>
      <w:r>
        <w:rPr>
          <w:rFonts w:hint="default" w:ascii="Times New Roman" w:hAnsi="Times New Roman" w:eastAsia="宋体" w:cs="Times New Roman"/>
          <w:b/>
          <w:color w:val="auto"/>
          <w:sz w:val="28"/>
          <w:szCs w:val="22"/>
          <w:highlight w:val="none"/>
        </w:rPr>
        <w:t>3.2.</w:t>
      </w:r>
      <w:r>
        <w:rPr>
          <w:rFonts w:hint="default" w:ascii="Times New Roman" w:hAnsi="Times New Roman" w:eastAsia="宋体" w:cs="Times New Roman"/>
          <w:b/>
          <w:color w:val="auto"/>
          <w:sz w:val="28"/>
          <w:szCs w:val="22"/>
          <w:highlight w:val="none"/>
          <w:lang w:val="en-US" w:eastAsia="zh-CN"/>
        </w:rPr>
        <w:t>4</w:t>
      </w:r>
      <w:r>
        <w:rPr>
          <w:rFonts w:hint="default" w:ascii="Times New Roman" w:hAnsi="Times New Roman" w:eastAsia="宋体" w:cs="Times New Roman"/>
          <w:b/>
          <w:color w:val="auto"/>
          <w:sz w:val="28"/>
          <w:szCs w:val="22"/>
          <w:highlight w:val="none"/>
        </w:rPr>
        <w:t>现有工程污染物达标情况</w:t>
      </w:r>
    </w:p>
    <w:p w14:paraId="1E3FA4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现有老井井场现场踏勘期间，</w:t>
      </w:r>
      <w:r>
        <w:rPr>
          <w:rFonts w:hint="eastAsia" w:cs="Times New Roman"/>
          <w:color w:val="auto"/>
          <w:szCs w:val="22"/>
          <w:highlight w:val="none"/>
          <w:lang w:val="en-US" w:eastAsia="zh-CN"/>
        </w:rPr>
        <w:t>TH10294X井和TH10298井</w:t>
      </w:r>
      <w:r>
        <w:rPr>
          <w:rFonts w:hint="default" w:ascii="Times New Roman" w:hAnsi="Times New Roman" w:cs="Times New Roman"/>
          <w:color w:val="auto"/>
          <w:szCs w:val="22"/>
          <w:highlight w:val="none"/>
          <w:lang w:val="en-US" w:eastAsia="zh-CN"/>
        </w:rPr>
        <w:t>处于停井状态</w:t>
      </w:r>
      <w:r>
        <w:rPr>
          <w:rFonts w:hint="eastAsia" w:cs="Times New Roman"/>
          <w:color w:val="auto"/>
          <w:szCs w:val="22"/>
          <w:highlight w:val="none"/>
          <w:lang w:val="en-US" w:eastAsia="zh-CN"/>
        </w:rPr>
        <w:t>，TH10250井和TK872X井处于生产状态。</w:t>
      </w:r>
      <w:r>
        <w:rPr>
          <w:rFonts w:hint="default" w:ascii="Times New Roman" w:hAnsi="Times New Roman" w:cs="Times New Roman"/>
          <w:color w:val="auto"/>
          <w:szCs w:val="22"/>
          <w:highlight w:val="none"/>
        </w:rPr>
        <w:t>结合</w:t>
      </w:r>
      <w:r>
        <w:rPr>
          <w:rFonts w:hint="eastAsia" w:cs="Times New Roman"/>
          <w:color w:val="auto"/>
          <w:szCs w:val="22"/>
          <w:highlight w:val="none"/>
          <w:lang w:val="en-US" w:eastAsia="zh-CN"/>
        </w:rPr>
        <w:t>现场踏勘以及</w:t>
      </w:r>
      <w:r>
        <w:rPr>
          <w:rFonts w:hint="default" w:ascii="Times New Roman" w:hAnsi="Times New Roman" w:cs="Times New Roman"/>
          <w:color w:val="auto"/>
          <w:szCs w:val="22"/>
          <w:highlight w:val="none"/>
        </w:rPr>
        <w:t>西北油田分公司现场工作人员反馈，各井场产生的含油废物和修井过程中产生的废防渗材料均妥善处置，委托有资质单位接收处置，未发生随意丢弃现象</w:t>
      </w:r>
      <w:r>
        <w:rPr>
          <w:rFonts w:hint="eastAsia" w:cs="Times New Roman"/>
          <w:color w:val="auto"/>
          <w:szCs w:val="22"/>
          <w:highlight w:val="none"/>
          <w:lang w:eastAsia="zh-CN"/>
        </w:rPr>
        <w:t>，</w:t>
      </w:r>
      <w:r>
        <w:rPr>
          <w:rFonts w:hint="default" w:ascii="Times New Roman" w:hAnsi="Times New Roman" w:cs="Times New Roman"/>
          <w:color w:val="auto"/>
          <w:szCs w:val="22"/>
          <w:highlight w:val="none"/>
        </w:rPr>
        <w:t>井场无历史遗留废弃物产生。</w:t>
      </w:r>
    </w:p>
    <w:p w14:paraId="5113E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Cs w:val="22"/>
          <w:highlight w:val="none"/>
          <w:lang w:val="en-US" w:eastAsia="zh-CN"/>
        </w:rPr>
      </w:pPr>
      <w:r>
        <w:rPr>
          <w:rFonts w:hint="eastAsia"/>
          <w:color w:val="auto"/>
          <w:highlight w:val="none"/>
          <w:lang w:val="en-US" w:eastAsia="zh-CN"/>
        </w:rPr>
        <w:t>根据现场踏勘，</w:t>
      </w:r>
      <w:r>
        <w:rPr>
          <w:rFonts w:hint="eastAsia" w:ascii="Times New Roman" w:hAnsi="Times New Roman" w:eastAsia="宋体" w:cs="Times New Roman"/>
          <w:color w:val="auto"/>
          <w:szCs w:val="22"/>
          <w:highlight w:val="none"/>
        </w:rPr>
        <w:t>TH102117X井</w:t>
      </w:r>
      <w:r>
        <w:rPr>
          <w:rFonts w:hint="eastAsia" w:cs="Times New Roman"/>
          <w:color w:val="auto"/>
          <w:szCs w:val="22"/>
          <w:highlight w:val="none"/>
          <w:lang w:val="en-US" w:eastAsia="zh-CN"/>
        </w:rPr>
        <w:t>目前已完钻，还未进行压裂作业。根据调查，该井钻井期间钻井废水、钻井废弃泥浆岩屑等按照环评及批复要求进行了治理，待压裂及试油作业完成后，按照环评及批复要求对井场临时占地进行恢复平整。</w:t>
      </w:r>
    </w:p>
    <w:p w14:paraId="2D333F78">
      <w:pPr>
        <w:keepNext/>
        <w:keepLines/>
        <w:pageBreakBefore w:val="0"/>
        <w:widowControl/>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color w:val="auto"/>
          <w:sz w:val="28"/>
          <w:szCs w:val="22"/>
          <w:highlight w:val="none"/>
        </w:rPr>
      </w:pPr>
      <w:r>
        <w:rPr>
          <w:rFonts w:hint="default" w:ascii="Times New Roman" w:hAnsi="Times New Roman" w:eastAsia="宋体" w:cs="Times New Roman"/>
          <w:b/>
          <w:color w:val="auto"/>
          <w:sz w:val="28"/>
          <w:szCs w:val="22"/>
          <w:highlight w:val="none"/>
        </w:rPr>
        <w:t>3.2.</w:t>
      </w:r>
      <w:r>
        <w:rPr>
          <w:rFonts w:hint="default" w:ascii="Times New Roman" w:hAnsi="Times New Roman" w:eastAsia="宋体" w:cs="Times New Roman"/>
          <w:b/>
          <w:color w:val="auto"/>
          <w:sz w:val="28"/>
          <w:szCs w:val="22"/>
          <w:highlight w:val="none"/>
          <w:lang w:val="en-US" w:eastAsia="zh-CN"/>
        </w:rPr>
        <w:t>5</w:t>
      </w:r>
      <w:r>
        <w:rPr>
          <w:rFonts w:hint="default" w:ascii="Times New Roman" w:hAnsi="Times New Roman" w:eastAsia="宋体" w:cs="Times New Roman"/>
          <w:b/>
          <w:color w:val="auto"/>
          <w:sz w:val="28"/>
          <w:szCs w:val="22"/>
          <w:highlight w:val="none"/>
        </w:rPr>
        <w:t>现有</w:t>
      </w:r>
      <w:r>
        <w:rPr>
          <w:rFonts w:hint="default" w:ascii="Times New Roman" w:hAnsi="Times New Roman" w:eastAsia="宋体" w:cs="Times New Roman"/>
          <w:b/>
          <w:color w:val="auto"/>
          <w:sz w:val="28"/>
          <w:szCs w:val="22"/>
          <w:highlight w:val="none"/>
          <w:lang w:val="zh-CN"/>
        </w:rPr>
        <w:t>工程</w:t>
      </w:r>
      <w:r>
        <w:rPr>
          <w:rFonts w:hint="default" w:ascii="Times New Roman" w:hAnsi="Times New Roman" w:eastAsia="宋体" w:cs="Times New Roman"/>
          <w:b/>
          <w:color w:val="auto"/>
          <w:sz w:val="28"/>
          <w:szCs w:val="22"/>
          <w:highlight w:val="none"/>
        </w:rPr>
        <w:t>周边生态恢复情况</w:t>
      </w:r>
    </w:p>
    <w:p w14:paraId="1C4B2EAF">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Cs w:val="22"/>
          <w:highlight w:val="none"/>
          <w:lang w:val="en-US" w:eastAsia="zh-CN"/>
        </w:rPr>
      </w:pPr>
      <w:r>
        <w:rPr>
          <w:rFonts w:hint="eastAsia" w:cs="Times New Roman"/>
          <w:color w:val="auto"/>
          <w:szCs w:val="22"/>
          <w:highlight w:val="none"/>
          <w:lang w:val="en-US" w:eastAsia="zh-CN"/>
        </w:rPr>
        <w:t>本项目4口侧钻</w:t>
      </w:r>
      <w:r>
        <w:rPr>
          <w:rFonts w:hint="default" w:ascii="Times New Roman" w:hAnsi="Times New Roman" w:cs="Times New Roman"/>
          <w:color w:val="auto"/>
          <w:szCs w:val="22"/>
          <w:highlight w:val="none"/>
        </w:rPr>
        <w:t>老井已运行多年，集输管线在埋地敷设后进行了生态恢复措施</w:t>
      </w:r>
      <w:r>
        <w:rPr>
          <w:rFonts w:hint="eastAsia" w:cs="Times New Roman"/>
          <w:color w:val="auto"/>
          <w:szCs w:val="22"/>
          <w:highlight w:val="none"/>
          <w:lang w:eastAsia="zh-CN"/>
        </w:rPr>
        <w:t>。</w:t>
      </w:r>
      <w:r>
        <w:rPr>
          <w:rFonts w:hint="default" w:ascii="Times New Roman" w:hAnsi="Times New Roman" w:cs="Times New Roman"/>
          <w:color w:val="auto"/>
          <w:szCs w:val="22"/>
          <w:highlight w:val="none"/>
        </w:rPr>
        <w:t>根据现场踏勘，井场周围及管线沿线植被已得到恢复，区域老井恢复效果良好。</w:t>
      </w:r>
    </w:p>
    <w:p w14:paraId="7564C412">
      <w:pPr>
        <w:keepNext/>
        <w:keepLines/>
        <w:pageBreakBefore w:val="0"/>
        <w:widowControl/>
        <w:kinsoku/>
        <w:wordWrap/>
        <w:overflowPunct/>
        <w:topLinePunct w:val="0"/>
        <w:autoSpaceDE/>
        <w:autoSpaceDN/>
        <w:bidi w:val="0"/>
        <w:adjustRightInd w:val="0"/>
        <w:snapToGrid w:val="0"/>
        <w:spacing w:before="313" w:beforeLines="100" w:line="360" w:lineRule="auto"/>
        <w:textAlignment w:val="auto"/>
        <w:outlineLvl w:val="2"/>
        <w:rPr>
          <w:rFonts w:hint="default" w:ascii="Times New Roman" w:hAnsi="Times New Roman" w:eastAsia="宋体" w:cs="Times New Roman"/>
          <w:b/>
          <w:color w:val="auto"/>
          <w:sz w:val="28"/>
          <w:szCs w:val="22"/>
          <w:highlight w:val="none"/>
        </w:rPr>
      </w:pPr>
      <w:r>
        <w:rPr>
          <w:rFonts w:hint="default" w:ascii="Times New Roman" w:hAnsi="Times New Roman" w:eastAsia="宋体" w:cs="Times New Roman"/>
          <w:b/>
          <w:color w:val="auto"/>
          <w:sz w:val="28"/>
          <w:szCs w:val="22"/>
          <w:highlight w:val="none"/>
        </w:rPr>
        <w:t>3.2.</w:t>
      </w:r>
      <w:r>
        <w:rPr>
          <w:rFonts w:hint="default" w:ascii="Times New Roman" w:hAnsi="Times New Roman" w:eastAsia="宋体" w:cs="Times New Roman"/>
          <w:b/>
          <w:color w:val="auto"/>
          <w:sz w:val="28"/>
          <w:szCs w:val="22"/>
          <w:highlight w:val="none"/>
          <w:lang w:val="en-US" w:eastAsia="zh-CN"/>
        </w:rPr>
        <w:t>6</w:t>
      </w:r>
      <w:r>
        <w:rPr>
          <w:rFonts w:hint="default" w:ascii="Times New Roman" w:hAnsi="Times New Roman" w:eastAsia="宋体" w:cs="Times New Roman"/>
          <w:b/>
          <w:color w:val="auto"/>
          <w:sz w:val="28"/>
          <w:szCs w:val="22"/>
          <w:highlight w:val="none"/>
        </w:rPr>
        <w:t>现有</w:t>
      </w:r>
      <w:r>
        <w:rPr>
          <w:rFonts w:hint="default" w:ascii="Times New Roman" w:hAnsi="Times New Roman" w:eastAsia="宋体" w:cs="Times New Roman"/>
          <w:b/>
          <w:color w:val="auto"/>
          <w:sz w:val="28"/>
          <w:szCs w:val="22"/>
          <w:highlight w:val="none"/>
          <w:lang w:val="zh-CN"/>
        </w:rPr>
        <w:t>工程污染物</w:t>
      </w:r>
      <w:r>
        <w:rPr>
          <w:rFonts w:hint="default" w:ascii="Times New Roman" w:hAnsi="Times New Roman" w:eastAsia="宋体" w:cs="Times New Roman"/>
          <w:b/>
          <w:color w:val="auto"/>
          <w:sz w:val="28"/>
          <w:szCs w:val="22"/>
          <w:highlight w:val="none"/>
        </w:rPr>
        <w:t>年</w:t>
      </w:r>
      <w:r>
        <w:rPr>
          <w:rFonts w:hint="default" w:ascii="Times New Roman" w:hAnsi="Times New Roman" w:eastAsia="宋体" w:cs="Times New Roman"/>
          <w:b/>
          <w:color w:val="auto"/>
          <w:sz w:val="28"/>
          <w:szCs w:val="22"/>
          <w:highlight w:val="none"/>
          <w:lang w:val="zh-CN"/>
        </w:rPr>
        <w:t>排放量</w:t>
      </w:r>
    </w:p>
    <w:p w14:paraId="23B0CE8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Cs w:val="22"/>
          <w:highlight w:val="none"/>
          <w:lang w:val="zh-CN"/>
        </w:rPr>
      </w:pPr>
      <w:r>
        <w:rPr>
          <w:rFonts w:hint="default" w:ascii="Times New Roman" w:hAnsi="Times New Roman" w:cs="Times New Roman"/>
          <w:color w:val="auto"/>
          <w:szCs w:val="22"/>
          <w:highlight w:val="none"/>
        </w:rPr>
        <w:t>根据采油三厂例行监测报告及后评价开展期间进行的污染源监测数据，</w:t>
      </w:r>
      <w:r>
        <w:rPr>
          <w:rFonts w:hint="eastAsia" w:cs="Times New Roman"/>
          <w:color w:val="auto"/>
          <w:szCs w:val="22"/>
          <w:highlight w:val="none"/>
          <w:lang w:val="en-US" w:eastAsia="zh-CN"/>
        </w:rPr>
        <w:t>统计</w:t>
      </w:r>
      <w:r>
        <w:rPr>
          <w:rFonts w:hint="default" w:ascii="Times New Roman" w:hAnsi="Times New Roman" w:cs="Times New Roman"/>
          <w:color w:val="auto"/>
          <w:szCs w:val="22"/>
          <w:highlight w:val="none"/>
        </w:rPr>
        <w:t>现有</w:t>
      </w:r>
      <w:r>
        <w:rPr>
          <w:rFonts w:hint="eastAsia" w:cs="Times New Roman"/>
          <w:color w:val="auto"/>
          <w:szCs w:val="22"/>
          <w:highlight w:val="none"/>
          <w:lang w:val="en-US" w:eastAsia="zh-CN"/>
        </w:rPr>
        <w:t>4</w:t>
      </w:r>
      <w:r>
        <w:rPr>
          <w:rFonts w:hint="default" w:ascii="Times New Roman" w:hAnsi="Times New Roman" w:cs="Times New Roman"/>
          <w:color w:val="auto"/>
          <w:szCs w:val="22"/>
          <w:highlight w:val="none"/>
        </w:rPr>
        <w:t>口老井正常生产期间污染物年排放情况见表3.2-</w:t>
      </w:r>
      <w:r>
        <w:rPr>
          <w:rFonts w:hint="default" w:ascii="Times New Roman" w:hAnsi="Times New Roman" w:cs="Times New Roman"/>
          <w:color w:val="auto"/>
          <w:szCs w:val="22"/>
          <w:highlight w:val="none"/>
          <w:lang w:val="en-US" w:eastAsia="zh-CN"/>
        </w:rPr>
        <w:t>4</w:t>
      </w:r>
      <w:r>
        <w:rPr>
          <w:rFonts w:hint="default" w:ascii="Times New Roman" w:hAnsi="Times New Roman" w:cs="Times New Roman"/>
          <w:color w:val="auto"/>
          <w:szCs w:val="22"/>
          <w:highlight w:val="none"/>
          <w:lang w:val="zh-CN"/>
        </w:rPr>
        <w:t>。</w:t>
      </w:r>
    </w:p>
    <w:p w14:paraId="7B5DED3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Cs/>
          <w:color w:val="auto"/>
          <w:sz w:val="21"/>
          <w:szCs w:val="16"/>
          <w:highlight w:val="none"/>
          <w:lang w:val="en-US" w:eastAsia="zh-CN" w:bidi="ar-SA"/>
        </w:rPr>
        <w:t>表3.2-4</w:t>
      </w:r>
      <w:r>
        <w:rPr>
          <w:rFonts w:hint="eastAsia" w:eastAsia="黑体" w:cs="Times New Roman"/>
          <w:bCs/>
          <w:color w:val="auto"/>
          <w:sz w:val="21"/>
          <w:szCs w:val="16"/>
          <w:highlight w:val="none"/>
          <w:lang w:val="en-US" w:eastAsia="zh-CN" w:bidi="ar-SA"/>
        </w:rPr>
        <w:t xml:space="preserve">  </w:t>
      </w:r>
      <w:r>
        <w:rPr>
          <w:rFonts w:hint="default" w:ascii="Times New Roman" w:hAnsi="Times New Roman" w:eastAsia="黑体" w:cs="Times New Roman"/>
          <w:bCs/>
          <w:color w:val="auto"/>
          <w:sz w:val="21"/>
          <w:szCs w:val="16"/>
          <w:highlight w:val="none"/>
          <w:lang w:val="en-US" w:eastAsia="zh-CN" w:bidi="ar-SA"/>
        </w:rPr>
        <w:t>现有工程污染物排放情况一览表单位：t/a</w:t>
      </w:r>
    </w:p>
    <w:tbl>
      <w:tblPr>
        <w:tblStyle w:val="60"/>
        <w:tblW w:w="501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48"/>
        <w:gridCol w:w="1001"/>
        <w:gridCol w:w="1003"/>
        <w:gridCol w:w="1003"/>
        <w:gridCol w:w="1151"/>
        <w:gridCol w:w="1001"/>
        <w:gridCol w:w="874"/>
        <w:gridCol w:w="1006"/>
      </w:tblGrid>
      <w:tr w14:paraId="24C3F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901" w:type="pct"/>
            <w:vMerge w:val="restart"/>
            <w:tcBorders>
              <w:top w:val="single" w:color="000000" w:sz="6" w:space="0"/>
              <w:left w:val="single" w:color="000000" w:sz="6" w:space="0"/>
              <w:bottom w:val="nil"/>
            </w:tcBorders>
            <w:vAlign w:val="center"/>
          </w:tcPr>
          <w:p w14:paraId="5D2D52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类别</w:t>
            </w:r>
          </w:p>
        </w:tc>
        <w:tc>
          <w:tcPr>
            <w:tcW w:w="3004" w:type="pct"/>
            <w:gridSpan w:val="5"/>
            <w:tcBorders>
              <w:top w:val="single" w:color="000000" w:sz="6" w:space="0"/>
            </w:tcBorders>
            <w:vAlign w:val="center"/>
          </w:tcPr>
          <w:p w14:paraId="7B5B87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废气</w:t>
            </w:r>
          </w:p>
        </w:tc>
        <w:tc>
          <w:tcPr>
            <w:tcW w:w="509" w:type="pct"/>
            <w:vMerge w:val="restart"/>
            <w:tcBorders>
              <w:top w:val="single" w:color="000000" w:sz="6" w:space="0"/>
              <w:bottom w:val="nil"/>
            </w:tcBorders>
            <w:vAlign w:val="center"/>
          </w:tcPr>
          <w:p w14:paraId="5038AD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585" w:type="pct"/>
            <w:vMerge w:val="restart"/>
            <w:tcBorders>
              <w:top w:val="single" w:color="000000" w:sz="6" w:space="0"/>
              <w:bottom w:val="nil"/>
              <w:right w:val="single" w:color="000000" w:sz="6" w:space="0"/>
            </w:tcBorders>
            <w:vAlign w:val="center"/>
          </w:tcPr>
          <w:p w14:paraId="2476D3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固废</w:t>
            </w:r>
          </w:p>
        </w:tc>
      </w:tr>
      <w:tr w14:paraId="673D6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901" w:type="pct"/>
            <w:vMerge w:val="continue"/>
            <w:tcBorders>
              <w:top w:val="nil"/>
              <w:left w:val="single" w:color="000000" w:sz="6" w:space="0"/>
            </w:tcBorders>
            <w:vAlign w:val="center"/>
          </w:tcPr>
          <w:p w14:paraId="4609F3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83" w:type="pct"/>
            <w:vAlign w:val="center"/>
          </w:tcPr>
          <w:p w14:paraId="27DF6B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84" w:type="pct"/>
            <w:vAlign w:val="center"/>
          </w:tcPr>
          <w:p w14:paraId="02D66C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二氧化硫</w:t>
            </w:r>
          </w:p>
        </w:tc>
        <w:tc>
          <w:tcPr>
            <w:tcW w:w="584" w:type="pct"/>
            <w:vAlign w:val="center"/>
          </w:tcPr>
          <w:p w14:paraId="4F5049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氮氧化物</w:t>
            </w:r>
          </w:p>
        </w:tc>
        <w:tc>
          <w:tcPr>
            <w:tcW w:w="670" w:type="pct"/>
            <w:vAlign w:val="center"/>
          </w:tcPr>
          <w:p w14:paraId="2B2AAA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581" w:type="pct"/>
            <w:vAlign w:val="center"/>
          </w:tcPr>
          <w:p w14:paraId="100E0D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509" w:type="pct"/>
            <w:vMerge w:val="continue"/>
            <w:tcBorders>
              <w:top w:val="nil"/>
            </w:tcBorders>
            <w:vAlign w:val="center"/>
          </w:tcPr>
          <w:p w14:paraId="248A849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85" w:type="pct"/>
            <w:vMerge w:val="continue"/>
            <w:tcBorders>
              <w:top w:val="nil"/>
              <w:right w:val="single" w:color="000000" w:sz="6" w:space="0"/>
            </w:tcBorders>
            <w:vAlign w:val="center"/>
          </w:tcPr>
          <w:p w14:paraId="221AA7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F820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901" w:type="pct"/>
            <w:tcBorders>
              <w:left w:val="single" w:color="000000" w:sz="6" w:space="0"/>
              <w:bottom w:val="single" w:color="000000" w:sz="6" w:space="0"/>
            </w:tcBorders>
            <w:vAlign w:val="center"/>
          </w:tcPr>
          <w:p w14:paraId="1B8488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现有工程排放量</w:t>
            </w:r>
          </w:p>
        </w:tc>
        <w:tc>
          <w:tcPr>
            <w:tcW w:w="583" w:type="pct"/>
            <w:tcBorders>
              <w:bottom w:val="single" w:color="000000" w:sz="6" w:space="0"/>
            </w:tcBorders>
            <w:vAlign w:val="center"/>
          </w:tcPr>
          <w:p w14:paraId="6A3D05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28</w:t>
            </w:r>
          </w:p>
        </w:tc>
        <w:tc>
          <w:tcPr>
            <w:tcW w:w="584" w:type="pct"/>
            <w:tcBorders>
              <w:bottom w:val="single" w:color="000000" w:sz="6" w:space="0"/>
            </w:tcBorders>
            <w:vAlign w:val="center"/>
          </w:tcPr>
          <w:p w14:paraId="505D67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0.13</w:t>
            </w:r>
          </w:p>
        </w:tc>
        <w:tc>
          <w:tcPr>
            <w:tcW w:w="584" w:type="pct"/>
            <w:tcBorders>
              <w:bottom w:val="single" w:color="000000" w:sz="6" w:space="0"/>
            </w:tcBorders>
            <w:vAlign w:val="center"/>
          </w:tcPr>
          <w:p w14:paraId="15D7AD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1.23</w:t>
            </w:r>
          </w:p>
        </w:tc>
        <w:tc>
          <w:tcPr>
            <w:tcW w:w="670" w:type="pct"/>
            <w:tcBorders>
              <w:bottom w:val="single" w:color="000000" w:sz="6" w:space="0"/>
            </w:tcBorders>
            <w:vAlign w:val="center"/>
          </w:tcPr>
          <w:p w14:paraId="62EF97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0.29</w:t>
            </w:r>
          </w:p>
        </w:tc>
        <w:tc>
          <w:tcPr>
            <w:tcW w:w="581" w:type="pct"/>
            <w:tcBorders>
              <w:bottom w:val="single" w:color="000000" w:sz="6" w:space="0"/>
            </w:tcBorders>
            <w:vAlign w:val="center"/>
          </w:tcPr>
          <w:p w14:paraId="528D83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009</w:t>
            </w:r>
          </w:p>
        </w:tc>
        <w:tc>
          <w:tcPr>
            <w:tcW w:w="509" w:type="pct"/>
            <w:tcBorders>
              <w:bottom w:val="single" w:color="000000" w:sz="6" w:space="0"/>
            </w:tcBorders>
            <w:vAlign w:val="center"/>
          </w:tcPr>
          <w:p w14:paraId="470A95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85" w:type="pct"/>
            <w:tcBorders>
              <w:bottom w:val="single" w:color="000000" w:sz="6" w:space="0"/>
              <w:right w:val="single" w:color="000000" w:sz="6" w:space="0"/>
            </w:tcBorders>
            <w:vAlign w:val="center"/>
          </w:tcPr>
          <w:p w14:paraId="3483AC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bl>
    <w:p w14:paraId="4E1EFDA4">
      <w:pPr>
        <w:keepNext/>
        <w:keepLines/>
        <w:pageBreakBefore w:val="0"/>
        <w:widowControl/>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eastAsia="宋体" w:cs="Times New Roman"/>
          <w:b/>
          <w:color w:val="auto"/>
          <w:sz w:val="28"/>
          <w:szCs w:val="22"/>
          <w:highlight w:val="none"/>
        </w:rPr>
      </w:pPr>
      <w:r>
        <w:rPr>
          <w:rFonts w:hint="default" w:ascii="Times New Roman" w:hAnsi="Times New Roman" w:eastAsia="宋体" w:cs="Times New Roman"/>
          <w:b/>
          <w:color w:val="auto"/>
          <w:sz w:val="28"/>
          <w:szCs w:val="22"/>
          <w:highlight w:val="none"/>
        </w:rPr>
        <w:t>3.2.</w:t>
      </w:r>
      <w:r>
        <w:rPr>
          <w:rFonts w:hint="default" w:ascii="Times New Roman" w:hAnsi="Times New Roman" w:eastAsia="宋体" w:cs="Times New Roman"/>
          <w:b/>
          <w:color w:val="auto"/>
          <w:sz w:val="28"/>
          <w:szCs w:val="22"/>
          <w:highlight w:val="none"/>
          <w:lang w:val="en-US" w:eastAsia="zh-CN"/>
        </w:rPr>
        <w:t>7</w:t>
      </w:r>
      <w:r>
        <w:rPr>
          <w:rFonts w:hint="default" w:ascii="Times New Roman" w:hAnsi="Times New Roman" w:eastAsia="宋体" w:cs="Times New Roman"/>
          <w:b/>
          <w:color w:val="auto"/>
          <w:sz w:val="28"/>
          <w:szCs w:val="22"/>
          <w:highlight w:val="none"/>
        </w:rPr>
        <w:t>现有工程环境问题及“以新带老”改进意见</w:t>
      </w:r>
    </w:p>
    <w:p w14:paraId="5257386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本项目</w:t>
      </w:r>
      <w:r>
        <w:rPr>
          <w:rFonts w:hint="default" w:ascii="Times New Roman" w:hAnsi="Times New Roman" w:eastAsia="宋体" w:cs="Times New Roman"/>
          <w:color w:val="auto"/>
          <w:szCs w:val="22"/>
          <w:highlight w:val="none"/>
        </w:rPr>
        <w:t>现有</w:t>
      </w:r>
      <w:r>
        <w:rPr>
          <w:rFonts w:hint="eastAsia" w:ascii="Times New Roman" w:hAnsi="Times New Roman" w:eastAsia="宋体" w:cs="Times New Roman"/>
          <w:color w:val="auto"/>
          <w:szCs w:val="22"/>
          <w:highlight w:val="none"/>
          <w:lang w:val="en-US" w:eastAsia="zh-CN"/>
        </w:rPr>
        <w:t>四口侧钻老</w:t>
      </w:r>
      <w:r>
        <w:rPr>
          <w:rFonts w:hint="default" w:ascii="Times New Roman" w:hAnsi="Times New Roman" w:eastAsia="宋体" w:cs="Times New Roman"/>
          <w:color w:val="auto"/>
          <w:szCs w:val="22"/>
          <w:highlight w:val="none"/>
        </w:rPr>
        <w:t>井</w:t>
      </w:r>
      <w:r>
        <w:rPr>
          <w:rFonts w:hint="eastAsia" w:ascii="Times New Roman" w:hAnsi="Times New Roman" w:eastAsia="宋体" w:cs="Times New Roman"/>
          <w:color w:val="auto"/>
          <w:szCs w:val="22"/>
          <w:highlight w:val="none"/>
          <w:lang w:val="en-US" w:eastAsia="zh-CN"/>
        </w:rPr>
        <w:t>两口处于生产状态，两口处于停井状态，</w:t>
      </w:r>
      <w:r>
        <w:rPr>
          <w:rFonts w:hint="default" w:ascii="Times New Roman" w:hAnsi="Times New Roman" w:eastAsia="宋体" w:cs="Times New Roman"/>
          <w:color w:val="auto"/>
          <w:szCs w:val="22"/>
          <w:highlight w:val="none"/>
        </w:rPr>
        <w:t>现场踏勘期间，</w:t>
      </w:r>
      <w:r>
        <w:rPr>
          <w:rFonts w:hint="eastAsia" w:ascii="Times New Roman" w:hAnsi="Times New Roman" w:eastAsia="宋体" w:cs="Times New Roman"/>
          <w:color w:val="auto"/>
          <w:szCs w:val="22"/>
          <w:highlight w:val="none"/>
          <w:lang w:val="en-US" w:eastAsia="zh-CN"/>
        </w:rPr>
        <w:t>井场及</w:t>
      </w:r>
      <w:r>
        <w:rPr>
          <w:rFonts w:hint="default" w:ascii="Times New Roman" w:hAnsi="Times New Roman" w:eastAsia="宋体" w:cs="Times New Roman"/>
          <w:color w:val="auto"/>
          <w:szCs w:val="22"/>
          <w:highlight w:val="none"/>
        </w:rPr>
        <w:t>周边无历史废弃物及建筑垃圾，现场调查过程中未发现环境问题。</w:t>
      </w:r>
    </w:p>
    <w:p w14:paraId="11B88996">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auto"/>
          <w:highlight w:val="none"/>
          <w:lang w:val="en-US" w:eastAsia="en-US"/>
        </w:rPr>
      </w:pPr>
      <w:bookmarkStart w:id="221" w:name="_Toc29138"/>
      <w:bookmarkStart w:id="222" w:name="_Toc13754"/>
      <w:bookmarkStart w:id="223" w:name="_Toc31985"/>
      <w:r>
        <w:rPr>
          <w:rFonts w:hint="default" w:ascii="Times New Roman" w:hAnsi="Times New Roman" w:eastAsia="宋体" w:cs="Times New Roman"/>
          <w:color w:val="auto"/>
          <w:highlight w:val="none"/>
          <w:lang w:val="en-US" w:eastAsia="en-US"/>
        </w:rPr>
        <w:t>3.</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en-US"/>
        </w:rPr>
        <w:t>工程概况</w:t>
      </w:r>
      <w:bookmarkEnd w:id="221"/>
      <w:bookmarkEnd w:id="222"/>
      <w:bookmarkEnd w:id="223"/>
    </w:p>
    <w:p w14:paraId="2FA3AD45">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224" w:name="_Toc32424"/>
      <w:bookmarkStart w:id="225" w:name="_Toc30189"/>
      <w:bookmarkStart w:id="226" w:name="_Toc1156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.1项目基本情况</w:t>
      </w:r>
      <w:bookmarkEnd w:id="224"/>
      <w:bookmarkEnd w:id="225"/>
      <w:bookmarkEnd w:id="226"/>
    </w:p>
    <w:p w14:paraId="0C1A3CC9">
      <w:pPr>
        <w:pStyle w:val="7"/>
        <w:keepNext/>
        <w:keepLines/>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"3.1.1.1"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项目名称和性质</w:t>
      </w:r>
    </w:p>
    <w:p w14:paraId="036CCA0C">
      <w:pPr>
        <w:pStyle w:val="1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rPr>
        <w:t>项目名称：</w:t>
      </w:r>
      <w:r>
        <w:rPr>
          <w:rFonts w:hint="default" w:ascii="Times New Roman" w:hAnsi="Times New Roman" w:cs="Times New Roman"/>
          <w:color w:val="auto"/>
          <w:sz w:val="24"/>
          <w:szCs w:val="24"/>
          <w:highlight w:val="none"/>
          <w:lang w:val="en-US" w:eastAsia="zh-CN"/>
        </w:rPr>
        <w:t>采油三厂2025年第二期短半径</w:t>
      </w:r>
      <w:r>
        <w:rPr>
          <w:rFonts w:hint="default" w:ascii="Times New Roman" w:hAnsi="Times New Roman" w:cs="Times New Roman"/>
          <w:color w:val="auto"/>
          <w:sz w:val="24"/>
          <w:szCs w:val="24"/>
          <w:highlight w:val="none"/>
        </w:rPr>
        <w:t>侧钻项目</w:t>
      </w:r>
    </w:p>
    <w:p w14:paraId="662CFD09">
      <w:pPr>
        <w:pStyle w:val="1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rPr>
        <w:t>项目性质：改扩建</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spacing w:val="0"/>
          <w:sz w:val="24"/>
          <w:szCs w:val="24"/>
          <w:highlight w:val="none"/>
          <w:lang w:val="en-US" w:eastAsia="zh-CN"/>
        </w:rPr>
        <w:t>滚动开发</w:t>
      </w:r>
      <w:r>
        <w:rPr>
          <w:rFonts w:hint="default" w:ascii="Times New Roman" w:hAnsi="Times New Roman" w:cs="Times New Roman"/>
          <w:color w:val="auto"/>
          <w:spacing w:val="0"/>
          <w:sz w:val="24"/>
          <w:szCs w:val="24"/>
          <w:highlight w:val="none"/>
          <w:lang w:eastAsia="zh-CN"/>
        </w:rPr>
        <w:t>）</w:t>
      </w:r>
    </w:p>
    <w:p w14:paraId="207446DC">
      <w:pPr>
        <w:pStyle w:val="7"/>
        <w:pageBreakBefore w:val="0"/>
        <w:wordWrap/>
        <w:overflowPunct/>
        <w:topLinePunct w:val="0"/>
        <w:bidi w:val="0"/>
        <w:adjustRightInd w:val="0"/>
        <w:snapToGrid w:val="0"/>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.1.2建设地点</w:t>
      </w:r>
    </w:p>
    <w:p w14:paraId="02F0234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pacing w:val="-3"/>
          <w:sz w:val="24"/>
          <w:szCs w:val="24"/>
          <w:highlight w:val="none"/>
        </w:rPr>
      </w:pPr>
      <w:r>
        <w:rPr>
          <w:rFonts w:hint="eastAsia" w:cs="Times New Roman"/>
          <w:color w:val="auto"/>
          <w:sz w:val="24"/>
          <w:szCs w:val="24"/>
          <w:highlight w:val="none"/>
          <w:lang w:val="en-US" w:eastAsia="zh-CN"/>
        </w:rPr>
        <w:t>采油三厂2025年第二期短半径</w:t>
      </w:r>
      <w:r>
        <w:rPr>
          <w:rFonts w:hint="eastAsia" w:ascii="Times New Roman" w:hAnsi="Times New Roman" w:cs="Times New Roman"/>
          <w:color w:val="auto"/>
          <w:sz w:val="24"/>
          <w:szCs w:val="24"/>
          <w:highlight w:val="none"/>
        </w:rPr>
        <w:t>侧钻项目</w:t>
      </w:r>
      <w:r>
        <w:rPr>
          <w:rFonts w:hint="default" w:ascii="Times New Roman" w:hAnsi="Times New Roman" w:cs="Times New Roman"/>
          <w:color w:val="auto"/>
          <w:sz w:val="24"/>
          <w:szCs w:val="24"/>
          <w:highlight w:val="none"/>
        </w:rPr>
        <w:t>位于阿克苏地区库车市境内，地处塔河油田</w:t>
      </w:r>
      <w:r>
        <w:rPr>
          <w:rFonts w:hint="default" w:ascii="Times New Roman" w:hAnsi="Times New Roman" w:cs="Times New Roman"/>
          <w:color w:val="auto"/>
          <w:sz w:val="24"/>
          <w:szCs w:val="24"/>
          <w:highlight w:val="none"/>
          <w:lang w:val="en-US" w:eastAsia="zh-CN"/>
        </w:rPr>
        <w:t>8区、</w:t>
      </w:r>
      <w:r>
        <w:rPr>
          <w:rFonts w:hint="default" w:ascii="Times New Roman" w:hAnsi="Times New Roman" w:eastAsia="宋体" w:cs="Times New Roman"/>
          <w:color w:val="auto"/>
          <w:sz w:val="24"/>
          <w:szCs w:val="24"/>
          <w:highlight w:val="none"/>
        </w:rPr>
        <w:t>塔河油田</w:t>
      </w:r>
      <w:r>
        <w:rPr>
          <w:rFonts w:hint="default"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rPr>
        <w:t>北</w:t>
      </w:r>
      <w:r>
        <w:rPr>
          <w:rFonts w:hint="default" w:ascii="Times New Roman" w:hAnsi="Times New Roman" w:cs="Times New Roman"/>
          <w:color w:val="auto"/>
          <w:sz w:val="24"/>
          <w:szCs w:val="24"/>
          <w:highlight w:val="none"/>
          <w:lang w:val="en-US" w:eastAsia="zh-CN"/>
        </w:rPr>
        <w:t>部</w:t>
      </w:r>
      <w:r>
        <w:rPr>
          <w:rFonts w:hint="default" w:ascii="Times New Roman" w:hAnsi="Times New Roman" w:eastAsia="宋体" w:cs="Times New Roman"/>
          <w:color w:val="auto"/>
          <w:sz w:val="24"/>
          <w:szCs w:val="24"/>
          <w:highlight w:val="none"/>
        </w:rPr>
        <w:t>距</w:t>
      </w:r>
      <w:r>
        <w:rPr>
          <w:rFonts w:hint="default" w:ascii="Times New Roman" w:hAnsi="Times New Roman" w:cs="Times New Roman"/>
          <w:color w:val="auto"/>
          <w:sz w:val="24"/>
          <w:szCs w:val="24"/>
          <w:highlight w:val="none"/>
          <w:lang w:val="en-US" w:eastAsia="zh-CN"/>
        </w:rPr>
        <w:t>库车市</w:t>
      </w:r>
      <w:r>
        <w:rPr>
          <w:rFonts w:hint="default" w:ascii="Times New Roman" w:hAnsi="Times New Roman" w:eastAsia="宋体" w:cs="Times New Roman"/>
          <w:color w:val="auto"/>
          <w:sz w:val="24"/>
          <w:szCs w:val="24"/>
          <w:highlight w:val="none"/>
        </w:rPr>
        <w:t>约</w:t>
      </w:r>
      <w:r>
        <w:rPr>
          <w:rFonts w:hint="default" w:ascii="Times New Roman" w:hAnsi="Times New Roman" w:cs="Times New Roman"/>
          <w:color w:val="auto"/>
          <w:sz w:val="24"/>
          <w:szCs w:val="24"/>
          <w:highlight w:val="none"/>
          <w:lang w:val="en-US" w:eastAsia="zh-CN"/>
        </w:rPr>
        <w:t>7</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km</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隶属于</w:t>
      </w:r>
      <w:r>
        <w:rPr>
          <w:rFonts w:hint="default" w:ascii="Times New Roman" w:hAnsi="Times New Roman" w:cs="Times New Roman"/>
          <w:bCs/>
          <w:color w:val="auto"/>
          <w:sz w:val="24"/>
          <w:szCs w:val="24"/>
          <w:highlight w:val="none"/>
        </w:rPr>
        <w:t>塔河油田</w:t>
      </w:r>
      <w:r>
        <w:rPr>
          <w:rFonts w:hint="default" w:ascii="Times New Roman" w:hAnsi="Times New Roman" w:eastAsia="宋体" w:cs="Times New Roman"/>
          <w:color w:val="auto"/>
          <w:sz w:val="24"/>
          <w:szCs w:val="24"/>
          <w:highlight w:val="none"/>
        </w:rPr>
        <w:t>采油</w:t>
      </w:r>
      <w:r>
        <w:rPr>
          <w:rFonts w:hint="default" w:ascii="Times New Roman" w:hAnsi="Times New Roman"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厂管辖</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pacing w:val="-3"/>
          <w:sz w:val="24"/>
          <w:szCs w:val="24"/>
          <w:highlight w:val="none"/>
        </w:rPr>
        <w:t>地理位置见</w:t>
      </w:r>
      <w:r>
        <w:rPr>
          <w:rFonts w:hint="default" w:ascii="Times New Roman" w:hAnsi="Times New Roman" w:cs="Times New Roman"/>
          <w:color w:val="auto"/>
          <w:spacing w:val="-3"/>
          <w:sz w:val="24"/>
          <w:szCs w:val="24"/>
          <w:highlight w:val="none"/>
          <w:lang w:val="en-US" w:eastAsia="zh-CN"/>
        </w:rPr>
        <w:t>图3.3-1</w:t>
      </w:r>
      <w:r>
        <w:rPr>
          <w:rFonts w:hint="default" w:ascii="Times New Roman" w:hAnsi="Times New Roman" w:cs="Times New Roman"/>
          <w:color w:val="auto"/>
          <w:spacing w:val="-3"/>
          <w:sz w:val="24"/>
          <w:szCs w:val="24"/>
          <w:highlight w:val="none"/>
        </w:rPr>
        <w:t>。</w:t>
      </w:r>
    </w:p>
    <w:p w14:paraId="4CF580C4">
      <w:pPr>
        <w:pStyle w:val="12"/>
        <w:keepNext w:val="0"/>
        <w:keepLines w:val="0"/>
        <w:pageBreakBefore w:val="0"/>
        <w:widowControl w:val="0"/>
        <w:kinsoku/>
        <w:wordWrap/>
        <w:overflowPunct/>
        <w:topLinePunct w:val="0"/>
        <w:autoSpaceDE/>
        <w:autoSpaceDN/>
        <w:bidi w:val="0"/>
        <w:adjustRightInd w:val="0"/>
        <w:snapToGrid w:val="0"/>
        <w:spacing w:before="157" w:beforeLines="50"/>
        <w:jc w:val="both"/>
        <w:textAlignment w:val="auto"/>
        <w:outlineLvl w:val="3"/>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.1.3建设规模</w:t>
      </w:r>
    </w:p>
    <w:p w14:paraId="408BFD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highlight w:val="none"/>
          <w:lang w:eastAsia="zh-CN"/>
        </w:rPr>
        <w:t>本</w:t>
      </w:r>
      <w:r>
        <w:rPr>
          <w:rFonts w:hint="eastAsia" w:ascii="Times New Roman" w:hAnsi="Times New Roman" w:cs="Times New Roman"/>
          <w:color w:val="auto"/>
          <w:kern w:val="0"/>
          <w:highlight w:val="none"/>
          <w:lang w:val="en-US" w:eastAsia="zh-CN"/>
        </w:rPr>
        <w:t>项目</w:t>
      </w:r>
      <w:r>
        <w:rPr>
          <w:rFonts w:hint="default" w:ascii="Times New Roman" w:hAnsi="Times New Roman" w:cs="Times New Roman"/>
          <w:color w:val="auto"/>
          <w:kern w:val="0"/>
          <w:highlight w:val="none"/>
        </w:rPr>
        <w:t>主要建设内容</w:t>
      </w:r>
      <w:r>
        <w:rPr>
          <w:rFonts w:hint="eastAsia" w:ascii="Times New Roman" w:hAnsi="Times New Roman" w:cs="Times New Roman"/>
          <w:color w:val="auto"/>
          <w:kern w:val="0"/>
          <w:highlight w:val="none"/>
          <w:lang w:val="en-US" w:eastAsia="zh-CN"/>
        </w:rPr>
        <w:t>及规模</w:t>
      </w:r>
      <w:r>
        <w:rPr>
          <w:rFonts w:hint="default" w:ascii="Times New Roman" w:hAnsi="Times New Roman" w:cs="Times New Roman"/>
          <w:color w:val="auto"/>
          <w:kern w:val="0"/>
          <w:highlight w:val="none"/>
        </w:rPr>
        <w:t>为：</w:t>
      </w:r>
      <w:r>
        <w:rPr>
          <w:rFonts w:hint="eastAsia"/>
          <w:color w:val="auto"/>
          <w:highlight w:val="none"/>
        </w:rPr>
        <w:t>①</w:t>
      </w:r>
      <w:r>
        <w:rPr>
          <w:rFonts w:hint="eastAsia"/>
          <w:color w:val="auto"/>
          <w:highlight w:val="none"/>
          <w:lang w:val="en-US" w:eastAsia="zh-CN"/>
        </w:rPr>
        <w:t>部署</w:t>
      </w:r>
      <w:r>
        <w:rPr>
          <w:rFonts w:hint="eastAsia"/>
          <w:color w:val="auto"/>
          <w:highlight w:val="none"/>
        </w:rPr>
        <w:t>老井侧钻</w:t>
      </w:r>
      <w:r>
        <w:rPr>
          <w:rFonts w:hint="eastAsia"/>
          <w:color w:val="auto"/>
          <w:highlight w:val="none"/>
          <w:lang w:val="en-US" w:eastAsia="zh-CN"/>
        </w:rPr>
        <w:t>4</w:t>
      </w:r>
      <w:r>
        <w:rPr>
          <w:rFonts w:hint="eastAsia"/>
          <w:color w:val="auto"/>
          <w:highlight w:val="none"/>
        </w:rPr>
        <w:t>口</w:t>
      </w:r>
      <w:r>
        <w:rPr>
          <w:rFonts w:hint="eastAsia"/>
          <w:color w:val="auto"/>
          <w:highlight w:val="none"/>
          <w:lang w:eastAsia="zh-CN"/>
        </w:rPr>
        <w:t>（</w:t>
      </w:r>
      <w:r>
        <w:rPr>
          <w:rFonts w:hint="default" w:ascii="Times New Roman" w:hAnsi="Times New Roman" w:cs="Times New Roman"/>
          <w:color w:val="auto"/>
          <w:spacing w:val="-6"/>
          <w:sz w:val="24"/>
          <w:highlight w:val="none"/>
          <w:lang w:val="en-US" w:eastAsia="zh-CN"/>
        </w:rPr>
        <w:t>TH10294</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、TH10250</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、TH10298</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、TK872</w:t>
      </w:r>
      <w:r>
        <w:rPr>
          <w:rFonts w:hint="eastAsia" w:cs="Times New Roman"/>
          <w:color w:val="auto"/>
          <w:spacing w:val="-6"/>
          <w:sz w:val="24"/>
          <w:highlight w:val="none"/>
          <w:lang w:val="en-US" w:eastAsia="zh-CN"/>
        </w:rPr>
        <w:t>CH</w:t>
      </w:r>
      <w:r>
        <w:rPr>
          <w:rFonts w:hint="eastAsia"/>
          <w:color w:val="auto"/>
          <w:highlight w:val="none"/>
          <w:lang w:eastAsia="zh-CN"/>
        </w:rPr>
        <w:t>），</w:t>
      </w:r>
      <w:r>
        <w:rPr>
          <w:rFonts w:hint="eastAsia"/>
          <w:color w:val="auto"/>
          <w:highlight w:val="none"/>
        </w:rPr>
        <w:t>老井不新增地面设施；②</w:t>
      </w:r>
      <w:bookmarkStart w:id="227" w:name="OLE_LINK5"/>
      <w:r>
        <w:rPr>
          <w:rFonts w:hint="eastAsia"/>
          <w:color w:val="auto"/>
          <w:highlight w:val="none"/>
        </w:rPr>
        <w:t>新建TH102117X井</w:t>
      </w:r>
      <w:bookmarkEnd w:id="227"/>
      <w:r>
        <w:rPr>
          <w:rFonts w:hint="eastAsia"/>
          <w:color w:val="auto"/>
          <w:highlight w:val="none"/>
        </w:rPr>
        <w:t>至T707CH</w:t>
      </w:r>
      <w:r>
        <w:rPr>
          <w:rFonts w:hint="eastAsia"/>
          <w:color w:val="auto"/>
          <w:highlight w:val="none"/>
          <w:lang w:val="en-US" w:eastAsia="zh-CN"/>
        </w:rPr>
        <w:t>井采油管线601</w:t>
      </w:r>
      <w:r>
        <w:rPr>
          <w:rFonts w:hint="eastAsia"/>
          <w:color w:val="auto"/>
          <w:highlight w:val="none"/>
        </w:rPr>
        <w:t>m</w:t>
      </w:r>
      <w:r>
        <w:rPr>
          <w:rFonts w:hint="eastAsia"/>
          <w:color w:val="auto"/>
          <w:highlight w:val="none"/>
          <w:lang w:eastAsia="zh-CN"/>
        </w:rPr>
        <w:t>，</w:t>
      </w:r>
      <w:r>
        <w:rPr>
          <w:rFonts w:hint="eastAsia"/>
          <w:color w:val="auto"/>
          <w:highlight w:val="none"/>
          <w:lang w:val="en-US" w:eastAsia="zh-CN"/>
        </w:rPr>
        <w:t>新建T707CH井场至TH102117X井场掺稀管线601m、燃料气管线601m，三条管线同沟敷设；</w:t>
      </w:r>
      <w:r>
        <w:rPr>
          <w:rFonts w:hint="eastAsia"/>
          <w:color w:val="auto"/>
          <w:sz w:val="24"/>
          <w:szCs w:val="24"/>
          <w:highlight w:val="none"/>
        </w:rPr>
        <w:t>4口</w:t>
      </w:r>
      <w:r>
        <w:rPr>
          <w:rFonts w:hint="eastAsia"/>
          <w:color w:val="auto"/>
          <w:sz w:val="24"/>
          <w:szCs w:val="24"/>
          <w:highlight w:val="none"/>
          <w:lang w:val="en-US" w:eastAsia="zh-CN"/>
        </w:rPr>
        <w:t>侧钻老</w:t>
      </w:r>
      <w:r>
        <w:rPr>
          <w:rFonts w:hint="eastAsia"/>
          <w:color w:val="auto"/>
          <w:sz w:val="24"/>
          <w:szCs w:val="24"/>
          <w:highlight w:val="none"/>
        </w:rPr>
        <w:t>井管线均可利旧</w:t>
      </w:r>
      <w:r>
        <w:rPr>
          <w:rFonts w:hint="eastAsia"/>
          <w:color w:val="auto"/>
          <w:sz w:val="24"/>
          <w:szCs w:val="24"/>
          <w:highlight w:val="none"/>
          <w:lang w:eastAsia="zh-CN"/>
        </w:rPr>
        <w:t>；</w:t>
      </w:r>
      <w:r>
        <w:rPr>
          <w:rFonts w:hint="eastAsia"/>
          <w:color w:val="auto"/>
          <w:highlight w:val="none"/>
        </w:rPr>
        <w:fldChar w:fldCharType="begin"/>
      </w:r>
      <w:r>
        <w:rPr>
          <w:rFonts w:hint="eastAsia"/>
          <w:color w:val="auto"/>
          <w:highlight w:val="none"/>
        </w:rPr>
        <w:instrText xml:space="preserve"> = 3 \* GB3 \* MERGEFORMAT </w:instrText>
      </w:r>
      <w:r>
        <w:rPr>
          <w:rFonts w:hint="eastAsia"/>
          <w:color w:val="auto"/>
          <w:highlight w:val="none"/>
        </w:rPr>
        <w:fldChar w:fldCharType="separate"/>
      </w:r>
      <w:r>
        <w:rPr>
          <w:color w:val="auto"/>
          <w:highlight w:val="none"/>
        </w:rPr>
        <w:t>③</w:t>
      </w:r>
      <w:r>
        <w:rPr>
          <w:rFonts w:hint="eastAsia"/>
          <w:color w:val="auto"/>
          <w:highlight w:val="none"/>
        </w:rPr>
        <w:fldChar w:fldCharType="end"/>
      </w:r>
      <w:r>
        <w:rPr>
          <w:rFonts w:hint="eastAsia"/>
          <w:color w:val="auto"/>
          <w:sz w:val="24"/>
          <w:szCs w:val="24"/>
          <w:highlight w:val="none"/>
        </w:rPr>
        <w:t>本次部署的4口侧钻井地面配套的</w:t>
      </w:r>
      <w:r>
        <w:rPr>
          <w:rFonts w:hint="eastAsia"/>
          <w:color w:val="auto"/>
          <w:sz w:val="24"/>
          <w:szCs w:val="24"/>
          <w:highlight w:val="none"/>
          <w:lang w:val="en-US" w:eastAsia="zh-CN"/>
        </w:rPr>
        <w:t>热力、</w:t>
      </w:r>
      <w:r>
        <w:rPr>
          <w:rFonts w:hint="eastAsia"/>
          <w:color w:val="auto"/>
          <w:sz w:val="24"/>
          <w:szCs w:val="24"/>
          <w:highlight w:val="none"/>
        </w:rPr>
        <w:t>电力、自控、通信均可利旧</w:t>
      </w:r>
      <w:r>
        <w:rPr>
          <w:rFonts w:hint="eastAsia"/>
          <w:color w:val="auto"/>
          <w:highlight w:val="none"/>
        </w:rPr>
        <w:t>。</w:t>
      </w:r>
      <w:r>
        <w:rPr>
          <w:rFonts w:hint="eastAsia" w:cs="Times New Roman"/>
          <w:color w:val="auto"/>
          <w:highlight w:val="none"/>
          <w:lang w:val="en-US" w:eastAsia="zh-CN"/>
        </w:rPr>
        <w:t>侧钻后单井平均产油</w:t>
      </w:r>
      <w:r>
        <w:rPr>
          <w:rFonts w:hint="eastAsia"/>
          <w:color w:val="auto"/>
          <w:szCs w:val="24"/>
          <w:highlight w:val="none"/>
        </w:rPr>
        <w:t>14t/d，</w:t>
      </w:r>
      <w:r>
        <w:rPr>
          <w:rFonts w:hint="eastAsia"/>
          <w:color w:val="auto"/>
          <w:sz w:val="24"/>
          <w:szCs w:val="24"/>
          <w:highlight w:val="none"/>
        </w:rPr>
        <w:t>最高产油1.42万</w:t>
      </w:r>
      <w:r>
        <w:rPr>
          <w:rFonts w:hint="eastAsia"/>
          <w:color w:val="auto"/>
          <w:sz w:val="24"/>
          <w:szCs w:val="24"/>
          <w:highlight w:val="none"/>
          <w:lang w:val="en-US" w:eastAsia="zh-CN"/>
        </w:rPr>
        <w:t>t/a</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油气</w:t>
      </w:r>
      <w:r>
        <w:rPr>
          <w:rFonts w:hint="eastAsia" w:cs="Times New Roman"/>
          <w:color w:val="auto"/>
          <w:highlight w:val="none"/>
          <w:lang w:val="en-US" w:eastAsia="zh-CN"/>
        </w:rPr>
        <w:t>处理</w:t>
      </w:r>
      <w:r>
        <w:rPr>
          <w:rFonts w:hint="default" w:ascii="Times New Roman" w:hAnsi="Times New Roman" w:cs="Times New Roman"/>
          <w:color w:val="auto"/>
          <w:highlight w:val="none"/>
          <w:lang w:val="en-US" w:eastAsia="zh-CN"/>
        </w:rPr>
        <w:t>及</w:t>
      </w:r>
      <w:r>
        <w:rPr>
          <w:rFonts w:hint="eastAsia" w:cs="Times New Roman"/>
          <w:color w:val="auto"/>
          <w:highlight w:val="none"/>
          <w:lang w:val="en-US" w:eastAsia="zh-CN"/>
        </w:rPr>
        <w:t>外输</w:t>
      </w:r>
      <w:r>
        <w:rPr>
          <w:rFonts w:hint="default" w:ascii="Times New Roman" w:hAnsi="Times New Roman" w:cs="Times New Roman"/>
          <w:color w:val="auto"/>
          <w:highlight w:val="none"/>
          <w:lang w:val="en-US" w:eastAsia="zh-CN"/>
        </w:rPr>
        <w:t>均依托已有地面设施。</w:t>
      </w:r>
    </w:p>
    <w:p w14:paraId="33DA81E9">
      <w:pPr>
        <w:pStyle w:val="12"/>
        <w:keepNext w:val="0"/>
        <w:keepLines w:val="0"/>
        <w:pageBreakBefore w:val="0"/>
        <w:widowControl/>
        <w:kinsoku w:val="0"/>
        <w:wordWrap/>
        <w:overflowPunct/>
        <w:topLinePunct w:val="0"/>
        <w:autoSpaceDE w:val="0"/>
        <w:autoSpaceDN w:val="0"/>
        <w:bidi w:val="0"/>
        <w:adjustRightInd w:val="0"/>
        <w:snapToGrid w:val="0"/>
        <w:spacing w:line="360" w:lineRule="auto"/>
        <w:ind w:right="66"/>
        <w:jc w:val="both"/>
        <w:textAlignment w:val="baseline"/>
        <w:outlineLvl w:val="3"/>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.1.4工程组成</w:t>
      </w:r>
    </w:p>
    <w:p w14:paraId="22E1AF8E">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66" w:firstLine="480" w:firstLineChars="200"/>
        <w:jc w:val="both"/>
        <w:textAlignment w:val="baseline"/>
        <w:rPr>
          <w:rFonts w:hint="default" w:ascii="Times New Roman" w:hAnsi="Times New Roman" w:cs="Times New Roman"/>
          <w:color w:val="auto"/>
          <w:highlight w:val="none"/>
        </w:rPr>
      </w:pPr>
      <w:r>
        <w:rPr>
          <w:color w:val="auto"/>
          <w:highlight w:val="none"/>
        </w:rPr>
        <w:t>本项目组成包括</w:t>
      </w:r>
      <w:r>
        <w:rPr>
          <w:rFonts w:hint="eastAsia"/>
          <w:color w:val="auto"/>
          <w:highlight w:val="none"/>
        </w:rPr>
        <w:t>主体工程、公辅工程</w:t>
      </w:r>
      <w:r>
        <w:rPr>
          <w:rFonts w:hint="eastAsia"/>
          <w:color w:val="auto"/>
          <w:highlight w:val="none"/>
          <w:lang w:eastAsia="zh-CN"/>
        </w:rPr>
        <w:t>、</w:t>
      </w:r>
      <w:r>
        <w:rPr>
          <w:rFonts w:hint="eastAsia"/>
          <w:color w:val="auto"/>
          <w:highlight w:val="none"/>
        </w:rPr>
        <w:t>环保工程、</w:t>
      </w:r>
      <w:r>
        <w:rPr>
          <w:rFonts w:hint="eastAsia"/>
          <w:color w:val="auto"/>
          <w:highlight w:val="none"/>
          <w:lang w:val="en-US" w:eastAsia="zh-CN"/>
        </w:rPr>
        <w:t>依托工程</w:t>
      </w:r>
      <w:r>
        <w:rPr>
          <w:color w:val="auto"/>
          <w:highlight w:val="none"/>
        </w:rPr>
        <w:t>等</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highlight w:val="none"/>
        </w:rPr>
        <w:t>工程组成见表3.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14:paraId="1AB84A6F">
      <w:pPr>
        <w:pStyle w:val="1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eastAsia="黑体" w:cs="Times New Roman"/>
          <w:i w:val="0"/>
          <w:iCs w:val="0"/>
          <w:color w:val="auto"/>
          <w:kern w:val="0"/>
          <w:sz w:val="21"/>
          <w:szCs w:val="21"/>
          <w:highlight w:val="none"/>
          <w:u w:val="none"/>
          <w:lang w:val="en-US" w:eastAsia="zh-CN" w:bidi="ar"/>
        </w:rPr>
        <w:t>表3.3-</w:t>
      </w:r>
      <w:r>
        <w:rPr>
          <w:rFonts w:hint="eastAsia" w:eastAsia="黑体" w:cs="Times New Roman"/>
          <w:i w:val="0"/>
          <w:iCs w:val="0"/>
          <w:color w:val="auto"/>
          <w:kern w:val="0"/>
          <w:sz w:val="21"/>
          <w:szCs w:val="21"/>
          <w:highlight w:val="none"/>
          <w:u w:val="none"/>
          <w:lang w:val="en-US" w:eastAsia="zh-CN" w:bidi="ar"/>
        </w:rPr>
        <w:t xml:space="preserve">1  </w:t>
      </w:r>
      <w:r>
        <w:rPr>
          <w:rFonts w:hint="default" w:ascii="Times New Roman" w:hAnsi="Times New Roman" w:eastAsia="黑体" w:cs="Times New Roman"/>
          <w:i w:val="0"/>
          <w:iCs w:val="0"/>
          <w:color w:val="auto"/>
          <w:kern w:val="0"/>
          <w:sz w:val="21"/>
          <w:szCs w:val="21"/>
          <w:highlight w:val="none"/>
          <w:u w:val="none"/>
          <w:lang w:val="en-US" w:eastAsia="zh-CN" w:bidi="ar"/>
        </w:rPr>
        <w:t>工程组成一览表</w:t>
      </w:r>
    </w:p>
    <w:tbl>
      <w:tblPr>
        <w:tblStyle w:val="35"/>
        <w:tblW w:w="506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701"/>
        <w:gridCol w:w="30"/>
        <w:gridCol w:w="88"/>
        <w:gridCol w:w="902"/>
        <w:gridCol w:w="5745"/>
        <w:gridCol w:w="741"/>
      </w:tblGrid>
      <w:tr w14:paraId="5320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377" w:type="pct"/>
            <w:tcBorders>
              <w:top w:val="single" w:color="000000" w:sz="8" w:space="0"/>
              <w:left w:val="single" w:color="000000" w:sz="8" w:space="0"/>
              <w:bottom w:val="single" w:color="auto" w:sz="4" w:space="0"/>
              <w:right w:val="single" w:color="000000" w:sz="8" w:space="0"/>
            </w:tcBorders>
            <w:shd w:val="clear" w:color="auto" w:fill="auto"/>
            <w:vAlign w:val="center"/>
          </w:tcPr>
          <w:p w14:paraId="692A64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工程类别</w:t>
            </w:r>
          </w:p>
        </w:tc>
        <w:tc>
          <w:tcPr>
            <w:tcW w:w="969" w:type="pct"/>
            <w:gridSpan w:val="4"/>
            <w:tcBorders>
              <w:top w:val="single" w:color="000000" w:sz="8" w:space="0"/>
              <w:left w:val="single" w:color="000000" w:sz="8" w:space="0"/>
              <w:bottom w:val="single" w:color="auto" w:sz="4" w:space="0"/>
              <w:right w:val="single" w:color="000000" w:sz="8" w:space="0"/>
            </w:tcBorders>
            <w:shd w:val="clear" w:color="auto" w:fill="auto"/>
            <w:vAlign w:val="center"/>
          </w:tcPr>
          <w:p w14:paraId="19F9D6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工程名称</w:t>
            </w:r>
          </w:p>
        </w:tc>
        <w:tc>
          <w:tcPr>
            <w:tcW w:w="32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62FB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工程内容及规模</w:t>
            </w:r>
          </w:p>
        </w:tc>
        <w:tc>
          <w:tcPr>
            <w:tcW w:w="41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BD25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备注</w:t>
            </w:r>
          </w:p>
        </w:tc>
      </w:tr>
      <w:tr w14:paraId="5F2EF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377" w:type="pct"/>
            <w:vMerge w:val="restart"/>
            <w:tcBorders>
              <w:top w:val="single" w:color="000000" w:sz="8" w:space="0"/>
              <w:left w:val="single" w:color="000000" w:sz="8" w:space="0"/>
              <w:right w:val="single" w:color="000000" w:sz="8" w:space="0"/>
            </w:tcBorders>
            <w:shd w:val="clear" w:color="auto" w:fill="auto"/>
            <w:vAlign w:val="center"/>
          </w:tcPr>
          <w:p w14:paraId="361DB4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主体</w:t>
            </w:r>
          </w:p>
          <w:p w14:paraId="4CB8F8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w:t>
            </w:r>
          </w:p>
        </w:tc>
        <w:tc>
          <w:tcPr>
            <w:tcW w:w="969" w:type="pct"/>
            <w:gridSpan w:val="4"/>
            <w:tcBorders>
              <w:top w:val="single" w:color="000000" w:sz="8" w:space="0"/>
              <w:left w:val="single" w:color="000000" w:sz="8" w:space="0"/>
              <w:bottom w:val="single" w:color="auto" w:sz="4" w:space="0"/>
              <w:right w:val="single" w:color="000000" w:sz="8" w:space="0"/>
            </w:tcBorders>
            <w:shd w:val="clear" w:color="auto" w:fill="auto"/>
            <w:vAlign w:val="center"/>
          </w:tcPr>
          <w:p w14:paraId="315894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钻前工程</w:t>
            </w:r>
          </w:p>
        </w:tc>
        <w:tc>
          <w:tcPr>
            <w:tcW w:w="32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4B2BB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cs="Times New Roman"/>
                <w:i w:val="0"/>
                <w:iCs w:val="0"/>
                <w:color w:val="auto"/>
                <w:kern w:val="0"/>
                <w:sz w:val="21"/>
                <w:szCs w:val="21"/>
                <w:highlight w:val="none"/>
                <w:u w:val="none"/>
                <w:lang w:val="en-US" w:eastAsia="zh-CN" w:bidi="ar"/>
              </w:rPr>
            </w:pPr>
            <w:r>
              <w:rPr>
                <w:rFonts w:hint="eastAsia" w:hAnsi="宋体" w:cs="宋体"/>
                <w:color w:val="auto"/>
                <w:spacing w:val="-10"/>
                <w:sz w:val="23"/>
                <w:szCs w:val="23"/>
                <w:highlight w:val="none"/>
                <w:lang w:val="en-US" w:eastAsia="zh-CN"/>
              </w:rPr>
              <w:t>钻井</w:t>
            </w:r>
            <w:r>
              <w:rPr>
                <w:rFonts w:hint="eastAsia" w:hAnsi="宋体" w:cs="宋体"/>
                <w:color w:val="auto"/>
                <w:spacing w:val="-10"/>
                <w:sz w:val="23"/>
                <w:szCs w:val="23"/>
                <w:highlight w:val="none"/>
              </w:rPr>
              <w:t>设备基础施工</w:t>
            </w:r>
            <w:r>
              <w:rPr>
                <w:rFonts w:hint="eastAsia" w:hAnsi="宋体" w:cs="宋体"/>
                <w:color w:val="auto"/>
                <w:spacing w:val="-10"/>
                <w:sz w:val="23"/>
                <w:szCs w:val="23"/>
                <w:highlight w:val="none"/>
                <w:lang w:val="en-US" w:eastAsia="zh-CN"/>
              </w:rPr>
              <w:t>及安装</w:t>
            </w:r>
            <w:r>
              <w:rPr>
                <w:rFonts w:hint="eastAsia" w:hAnsi="宋体" w:cs="宋体"/>
                <w:color w:val="auto"/>
                <w:spacing w:val="-10"/>
                <w:sz w:val="23"/>
                <w:szCs w:val="23"/>
                <w:highlight w:val="none"/>
              </w:rPr>
              <w:t>、</w:t>
            </w:r>
            <w:r>
              <w:rPr>
                <w:rFonts w:hint="eastAsia" w:hAnsi="宋体" w:cs="宋体"/>
                <w:color w:val="auto"/>
                <w:spacing w:val="-10"/>
                <w:sz w:val="23"/>
                <w:szCs w:val="23"/>
                <w:highlight w:val="none"/>
                <w:lang w:val="en-US" w:eastAsia="zh-CN"/>
              </w:rPr>
              <w:t>岩屑</w:t>
            </w:r>
            <w:r>
              <w:rPr>
                <w:rFonts w:hint="eastAsia" w:hAnsi="宋体" w:cs="宋体"/>
                <w:color w:val="auto"/>
                <w:spacing w:val="-10"/>
                <w:sz w:val="23"/>
                <w:szCs w:val="23"/>
                <w:highlight w:val="none"/>
              </w:rPr>
              <w:t>池体开挖与防渗以及配套的营地建设等</w:t>
            </w:r>
            <w:r>
              <w:rPr>
                <w:rFonts w:hint="eastAsia" w:hAnsi="宋体" w:cs="宋体"/>
                <w:color w:val="auto"/>
                <w:spacing w:val="-10"/>
                <w:sz w:val="23"/>
                <w:szCs w:val="23"/>
                <w:highlight w:val="none"/>
                <w:lang w:eastAsia="zh-CN"/>
              </w:rPr>
              <w:t>；</w:t>
            </w:r>
            <w:r>
              <w:rPr>
                <w:rFonts w:hint="eastAsia" w:hAnsi="宋体" w:cs="宋体"/>
                <w:color w:val="auto"/>
                <w:spacing w:val="-10"/>
                <w:sz w:val="23"/>
                <w:szCs w:val="23"/>
                <w:highlight w:val="none"/>
                <w:lang w:val="en-US" w:eastAsia="zh-CN"/>
              </w:rPr>
              <w:t>4口</w:t>
            </w:r>
            <w:r>
              <w:rPr>
                <w:rFonts w:hint="eastAsia" w:hAnsi="宋体" w:cs="宋体"/>
                <w:color w:val="auto"/>
                <w:spacing w:val="-10"/>
                <w:sz w:val="23"/>
                <w:szCs w:val="23"/>
                <w:highlight w:val="none"/>
              </w:rPr>
              <w:t>侧钻老井依托现有井场道路，不再新建道路。</w:t>
            </w:r>
          </w:p>
        </w:tc>
        <w:tc>
          <w:tcPr>
            <w:tcW w:w="41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2EEA9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hAnsi="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新建/利旧</w:t>
            </w:r>
          </w:p>
        </w:tc>
      </w:tr>
      <w:tr w14:paraId="625C7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377" w:type="pct"/>
            <w:vMerge w:val="continue"/>
            <w:tcBorders>
              <w:left w:val="single" w:color="000000" w:sz="8" w:space="0"/>
              <w:right w:val="single" w:color="000000" w:sz="8" w:space="0"/>
            </w:tcBorders>
            <w:shd w:val="clear" w:color="auto" w:fill="auto"/>
            <w:vAlign w:val="center"/>
          </w:tcPr>
          <w:p w14:paraId="6DBD22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p>
        </w:tc>
        <w:tc>
          <w:tcPr>
            <w:tcW w:w="411" w:type="pct"/>
            <w:gridSpan w:val="2"/>
            <w:tcBorders>
              <w:top w:val="single" w:color="auto" w:sz="4" w:space="0"/>
              <w:left w:val="single" w:color="auto" w:sz="4" w:space="0"/>
              <w:bottom w:val="single" w:color="auto" w:sz="4" w:space="0"/>
              <w:right w:val="single" w:color="000000" w:sz="8" w:space="0"/>
            </w:tcBorders>
            <w:shd w:val="clear" w:color="auto" w:fill="auto"/>
            <w:vAlign w:val="center"/>
          </w:tcPr>
          <w:p w14:paraId="2B9585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钻井工程</w:t>
            </w:r>
          </w:p>
        </w:tc>
        <w:tc>
          <w:tcPr>
            <w:tcW w:w="557" w:type="pct"/>
            <w:gridSpan w:val="2"/>
            <w:tcBorders>
              <w:top w:val="single" w:color="auto" w:sz="4" w:space="0"/>
              <w:left w:val="single" w:color="auto" w:sz="4" w:space="0"/>
              <w:right w:val="single" w:color="auto" w:sz="4" w:space="0"/>
            </w:tcBorders>
            <w:shd w:val="clear" w:color="auto" w:fill="auto"/>
            <w:vAlign w:val="center"/>
          </w:tcPr>
          <w:p w14:paraId="785A6BE9">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老井</w:t>
            </w:r>
          </w:p>
          <w:p w14:paraId="4B60CA38">
            <w:pPr>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rPr>
              <w:t>侧钻</w:t>
            </w:r>
          </w:p>
        </w:tc>
        <w:tc>
          <w:tcPr>
            <w:tcW w:w="3235" w:type="pct"/>
            <w:tcBorders>
              <w:top w:val="nil"/>
              <w:left w:val="single" w:color="auto" w:sz="4" w:space="0"/>
              <w:bottom w:val="single" w:color="auto" w:sz="4" w:space="0"/>
              <w:right w:val="single" w:color="000000" w:sz="8" w:space="0"/>
            </w:tcBorders>
            <w:shd w:val="clear" w:color="auto" w:fill="auto"/>
            <w:vAlign w:val="center"/>
          </w:tcPr>
          <w:p w14:paraId="457A1E1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olor w:val="auto"/>
                <w:sz w:val="21"/>
                <w:szCs w:val="21"/>
                <w:highlight w:val="none"/>
              </w:rPr>
              <w:t>老井侧钻</w:t>
            </w:r>
            <w:r>
              <w:rPr>
                <w:rFonts w:hint="eastAsia"/>
                <w:color w:val="auto"/>
                <w:sz w:val="21"/>
                <w:szCs w:val="21"/>
                <w:highlight w:val="none"/>
                <w:lang w:val="en-US" w:eastAsia="zh-CN"/>
              </w:rPr>
              <w:t>4</w:t>
            </w:r>
            <w:r>
              <w:rPr>
                <w:rFonts w:hint="eastAsia"/>
                <w:color w:val="auto"/>
                <w:sz w:val="21"/>
                <w:szCs w:val="21"/>
                <w:highlight w:val="none"/>
              </w:rPr>
              <w:t>口</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TH10294</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lang w:val="en-US" w:eastAsia="zh-CN"/>
              </w:rPr>
              <w:t>、TH10250</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lang w:val="en-US" w:eastAsia="zh-CN"/>
              </w:rPr>
              <w:t>、TH1029</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lang w:val="en-US" w:eastAsia="zh-CN"/>
              </w:rPr>
              <w:t>8、TK872</w:t>
            </w:r>
            <w:r>
              <w:rPr>
                <w:rFonts w:hint="eastAsia" w:cs="Times New Roman"/>
                <w:color w:val="auto"/>
                <w:sz w:val="21"/>
                <w:szCs w:val="21"/>
                <w:highlight w:val="none"/>
                <w:lang w:val="en-US" w:eastAsia="zh-CN"/>
              </w:rPr>
              <w:t>CH</w:t>
            </w:r>
            <w:r>
              <w:rPr>
                <w:rFonts w:hint="eastAsia"/>
                <w:color w:val="auto"/>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均采用</w:t>
            </w:r>
            <w:r>
              <w:rPr>
                <w:rFonts w:hint="default" w:ascii="Times New Roman" w:hAnsi="Times New Roman" w:cs="Times New Roman"/>
                <w:i w:val="0"/>
                <w:iCs w:val="0"/>
                <w:color w:val="auto"/>
                <w:kern w:val="0"/>
                <w:sz w:val="21"/>
                <w:szCs w:val="21"/>
                <w:highlight w:val="none"/>
                <w:u w:val="none"/>
                <w:lang w:val="en-US" w:eastAsia="zh-CN" w:bidi="ar"/>
              </w:rPr>
              <w:t>开窗</w:t>
            </w:r>
            <w:r>
              <w:rPr>
                <w:rFonts w:hint="eastAsia" w:cs="Times New Roman"/>
                <w:i w:val="0"/>
                <w:iCs w:val="0"/>
                <w:color w:val="auto"/>
                <w:kern w:val="0"/>
                <w:sz w:val="21"/>
                <w:szCs w:val="21"/>
                <w:highlight w:val="none"/>
                <w:u w:val="none"/>
                <w:lang w:val="en-US" w:eastAsia="zh-CN" w:bidi="ar"/>
              </w:rPr>
              <w:t>一</w:t>
            </w:r>
            <w:r>
              <w:rPr>
                <w:rFonts w:hint="default" w:ascii="Times New Roman" w:hAnsi="Times New Roman" w:cs="Times New Roman"/>
                <w:i w:val="0"/>
                <w:iCs w:val="0"/>
                <w:color w:val="auto"/>
                <w:kern w:val="0"/>
                <w:sz w:val="21"/>
                <w:szCs w:val="21"/>
                <w:highlight w:val="none"/>
                <w:u w:val="none"/>
                <w:lang w:val="en-US" w:eastAsia="zh-CN" w:bidi="ar"/>
              </w:rPr>
              <w:t>开井身结构</w:t>
            </w:r>
            <w:r>
              <w:rPr>
                <w:rFonts w:hint="eastAsia" w:cs="Times New Roman"/>
                <w:i w:val="0"/>
                <w:iCs w:val="0"/>
                <w:color w:val="auto"/>
                <w:kern w:val="0"/>
                <w:sz w:val="21"/>
                <w:szCs w:val="21"/>
                <w:highlight w:val="none"/>
                <w:u w:val="none"/>
                <w:lang w:val="en-US" w:eastAsia="zh-CN" w:bidi="ar"/>
              </w:rPr>
              <w:t>，钻井总进尺为2473.1m</w:t>
            </w:r>
            <w:r>
              <w:rPr>
                <w:rFonts w:hint="default" w:ascii="Times New Roman" w:hAnsi="Times New Roman" w:cs="Times New Roman"/>
                <w:i w:val="0"/>
                <w:iCs w:val="0"/>
                <w:color w:val="auto"/>
                <w:kern w:val="0"/>
                <w:sz w:val="21"/>
                <w:szCs w:val="21"/>
                <w:highlight w:val="none"/>
                <w:u w:val="none"/>
                <w:lang w:val="en-US" w:eastAsia="zh-CN" w:bidi="ar"/>
              </w:rPr>
              <w:t>。</w:t>
            </w:r>
          </w:p>
        </w:tc>
        <w:tc>
          <w:tcPr>
            <w:tcW w:w="417" w:type="pct"/>
            <w:tcBorders>
              <w:top w:val="nil"/>
              <w:left w:val="single" w:color="auto" w:sz="4" w:space="0"/>
              <w:bottom w:val="single" w:color="auto" w:sz="4" w:space="0"/>
              <w:right w:val="single" w:color="000000" w:sz="8" w:space="0"/>
            </w:tcBorders>
            <w:shd w:val="clear" w:color="auto" w:fill="auto"/>
            <w:vAlign w:val="center"/>
          </w:tcPr>
          <w:p w14:paraId="4EB2FD1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新建</w:t>
            </w:r>
          </w:p>
        </w:tc>
      </w:tr>
      <w:tr w14:paraId="6CD7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377" w:type="pct"/>
            <w:vMerge w:val="continue"/>
            <w:tcBorders>
              <w:left w:val="single" w:color="000000" w:sz="8" w:space="0"/>
              <w:right w:val="single" w:color="000000" w:sz="8" w:space="0"/>
            </w:tcBorders>
            <w:shd w:val="clear" w:color="auto" w:fill="auto"/>
            <w:vAlign w:val="center"/>
          </w:tcPr>
          <w:p w14:paraId="039716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4064BEE">
            <w:pPr>
              <w:snapToGrid w:val="0"/>
              <w:jc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储层改造</w:t>
            </w:r>
          </w:p>
        </w:tc>
        <w:tc>
          <w:tcPr>
            <w:tcW w:w="3235" w:type="pct"/>
            <w:tcBorders>
              <w:top w:val="single" w:color="auto" w:sz="4" w:space="0"/>
              <w:left w:val="single" w:color="auto" w:sz="4" w:space="0"/>
              <w:bottom w:val="single" w:color="auto" w:sz="4" w:space="0"/>
              <w:right w:val="single" w:color="000000" w:sz="8" w:space="0"/>
            </w:tcBorders>
            <w:shd w:val="clear" w:color="auto" w:fill="auto"/>
            <w:vAlign w:val="center"/>
          </w:tcPr>
          <w:p w14:paraId="2CB366A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eastAsia="宋体"/>
                <w:color w:val="auto"/>
                <w:highlight w:val="none"/>
                <w:lang w:eastAsia="zh-CN"/>
              </w:rPr>
            </w:pPr>
            <w:r>
              <w:rPr>
                <w:rFonts w:hint="eastAsia" w:hAnsi="宋体" w:cs="宋体"/>
                <w:color w:val="auto"/>
                <w:spacing w:val="-10"/>
                <w:sz w:val="23"/>
                <w:szCs w:val="23"/>
                <w:highlight w:val="none"/>
              </w:rPr>
              <w:t>储层改造采用酸化压裂工艺</w:t>
            </w:r>
            <w:r>
              <w:rPr>
                <w:rFonts w:hint="eastAsia" w:hAnsi="宋体" w:cs="宋体"/>
                <w:color w:val="auto"/>
                <w:spacing w:val="-10"/>
                <w:sz w:val="23"/>
                <w:szCs w:val="23"/>
                <w:highlight w:val="none"/>
                <w:lang w:eastAsia="zh-CN"/>
              </w:rPr>
              <w:t>，TH10294CH、TK872CH</w:t>
            </w:r>
            <w:r>
              <w:rPr>
                <w:rFonts w:hint="eastAsia" w:hAnsi="宋体" w:cs="宋体"/>
                <w:color w:val="auto"/>
                <w:spacing w:val="-10"/>
                <w:sz w:val="23"/>
                <w:szCs w:val="23"/>
                <w:highlight w:val="none"/>
                <w:lang w:val="en-US" w:eastAsia="zh-CN"/>
              </w:rPr>
              <w:t>采用</w:t>
            </w:r>
            <w:r>
              <w:rPr>
                <w:rFonts w:hint="eastAsia" w:hAnsi="宋体" w:cs="宋体"/>
                <w:color w:val="auto"/>
                <w:spacing w:val="-10"/>
                <w:sz w:val="23"/>
                <w:szCs w:val="23"/>
                <w:highlight w:val="none"/>
                <w:lang w:eastAsia="zh-CN"/>
              </w:rPr>
              <w:t>酸化</w:t>
            </w:r>
            <w:r>
              <w:rPr>
                <w:rFonts w:hint="eastAsia" w:hAnsi="宋体" w:cs="宋体"/>
                <w:color w:val="auto"/>
                <w:spacing w:val="-10"/>
                <w:sz w:val="23"/>
                <w:szCs w:val="23"/>
                <w:highlight w:val="none"/>
                <w:lang w:val="en-US" w:eastAsia="zh-CN"/>
              </w:rPr>
              <w:t>工艺</w:t>
            </w:r>
            <w:r>
              <w:rPr>
                <w:rFonts w:hint="eastAsia" w:hAnsi="宋体" w:cs="宋体"/>
                <w:color w:val="auto"/>
                <w:spacing w:val="-10"/>
                <w:sz w:val="23"/>
                <w:szCs w:val="23"/>
                <w:highlight w:val="none"/>
                <w:lang w:eastAsia="zh-CN"/>
              </w:rPr>
              <w:t>：TH10250CH</w:t>
            </w:r>
            <w:r>
              <w:rPr>
                <w:rFonts w:hint="eastAsia" w:hAnsi="宋体" w:cs="宋体"/>
                <w:color w:val="auto"/>
                <w:spacing w:val="-10"/>
                <w:sz w:val="23"/>
                <w:szCs w:val="23"/>
                <w:highlight w:val="none"/>
                <w:lang w:val="en-US" w:eastAsia="zh-CN"/>
              </w:rPr>
              <w:t>井采用</w:t>
            </w:r>
            <w:r>
              <w:rPr>
                <w:rFonts w:hint="eastAsia" w:hAnsi="宋体" w:cs="宋体"/>
                <w:color w:val="auto"/>
                <w:spacing w:val="-10"/>
                <w:sz w:val="23"/>
                <w:szCs w:val="23"/>
                <w:highlight w:val="none"/>
                <w:lang w:eastAsia="zh-CN"/>
              </w:rPr>
              <w:t>常规酸压</w:t>
            </w:r>
            <w:r>
              <w:rPr>
                <w:rFonts w:hint="eastAsia" w:hAnsi="宋体" w:cs="宋体"/>
                <w:color w:val="auto"/>
                <w:spacing w:val="-10"/>
                <w:sz w:val="23"/>
                <w:szCs w:val="23"/>
                <w:highlight w:val="none"/>
                <w:lang w:val="en-US" w:eastAsia="zh-CN"/>
              </w:rPr>
              <w:t>工艺；</w:t>
            </w:r>
            <w:r>
              <w:rPr>
                <w:rFonts w:hint="eastAsia" w:hAnsi="宋体" w:cs="宋体"/>
                <w:color w:val="auto"/>
                <w:spacing w:val="-10"/>
                <w:sz w:val="23"/>
                <w:szCs w:val="23"/>
                <w:highlight w:val="none"/>
                <w:lang w:eastAsia="zh-CN"/>
              </w:rPr>
              <w:t>TH10298CH</w:t>
            </w:r>
            <w:r>
              <w:rPr>
                <w:rFonts w:hint="eastAsia" w:hAnsi="宋体" w:cs="宋体"/>
                <w:color w:val="auto"/>
                <w:spacing w:val="-10"/>
                <w:sz w:val="23"/>
                <w:szCs w:val="23"/>
                <w:highlight w:val="none"/>
                <w:lang w:val="en-US" w:eastAsia="zh-CN"/>
              </w:rPr>
              <w:t>采用</w:t>
            </w:r>
            <w:r>
              <w:rPr>
                <w:rFonts w:hint="eastAsia" w:hAnsi="宋体" w:cs="宋体"/>
                <w:color w:val="auto"/>
                <w:spacing w:val="-10"/>
                <w:sz w:val="23"/>
                <w:szCs w:val="23"/>
                <w:highlight w:val="none"/>
                <w:lang w:eastAsia="zh-CN"/>
              </w:rPr>
              <w:t>暂堵分段酸压</w:t>
            </w:r>
            <w:r>
              <w:rPr>
                <w:rFonts w:hint="eastAsia" w:hAnsi="宋体" w:cs="宋体"/>
                <w:color w:val="auto"/>
                <w:spacing w:val="-10"/>
                <w:sz w:val="23"/>
                <w:szCs w:val="23"/>
                <w:highlight w:val="none"/>
                <w:lang w:val="en-US" w:eastAsia="zh-CN"/>
              </w:rPr>
              <w:t>工艺。</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12C5E38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新建</w:t>
            </w:r>
          </w:p>
        </w:tc>
      </w:tr>
      <w:tr w14:paraId="05E26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377" w:type="pct"/>
            <w:vMerge w:val="continue"/>
            <w:tcBorders>
              <w:left w:val="single" w:color="000000" w:sz="8" w:space="0"/>
              <w:right w:val="single" w:color="000000" w:sz="8" w:space="0"/>
            </w:tcBorders>
            <w:shd w:val="clear" w:color="auto" w:fill="auto"/>
            <w:noWrap/>
            <w:vAlign w:val="center"/>
          </w:tcPr>
          <w:p w14:paraId="3FD5B2F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EE1B0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井</w:t>
            </w:r>
            <w:r>
              <w:rPr>
                <w:rFonts w:hint="default" w:ascii="Times New Roman" w:hAnsi="Times New Roman" w:eastAsia="宋体" w:cs="Times New Roman"/>
                <w:i w:val="0"/>
                <w:iCs w:val="0"/>
                <w:color w:val="auto"/>
                <w:kern w:val="0"/>
                <w:sz w:val="21"/>
                <w:szCs w:val="21"/>
                <w:highlight w:val="none"/>
                <w:u w:val="none"/>
                <w:lang w:val="en-US" w:eastAsia="zh-CN" w:bidi="ar"/>
              </w:rPr>
              <w:t>场工程</w:t>
            </w:r>
          </w:p>
        </w:tc>
        <w:tc>
          <w:tcPr>
            <w:tcW w:w="3235" w:type="pct"/>
            <w:tcBorders>
              <w:top w:val="single" w:color="auto" w:sz="4" w:space="0"/>
              <w:left w:val="single" w:color="auto" w:sz="4" w:space="0"/>
              <w:bottom w:val="single" w:color="auto" w:sz="4" w:space="0"/>
              <w:right w:val="single" w:color="auto" w:sz="4" w:space="0"/>
            </w:tcBorders>
            <w:shd w:val="clear" w:color="auto" w:fill="auto"/>
            <w:vAlign w:val="center"/>
          </w:tcPr>
          <w:p w14:paraId="6FA227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4口老井井场不新增地面设施</w:t>
            </w:r>
            <w:r>
              <w:rPr>
                <w:rFonts w:hint="default" w:ascii="Times New Roman" w:hAnsi="Times New Roman" w:cs="Times New Roman"/>
                <w:i w:val="0"/>
                <w:iCs w:val="0"/>
                <w:color w:val="auto"/>
                <w:kern w:val="0"/>
                <w:sz w:val="21"/>
                <w:szCs w:val="21"/>
                <w:highlight w:val="none"/>
                <w:u w:val="none"/>
                <w:lang w:val="en-US" w:eastAsia="zh-CN" w:bidi="ar"/>
              </w:rPr>
              <w:t>。</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3DDB55A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利旧</w:t>
            </w:r>
          </w:p>
        </w:tc>
      </w:tr>
      <w:tr w14:paraId="4EA8A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377" w:type="pct"/>
            <w:vMerge w:val="continue"/>
            <w:tcBorders>
              <w:left w:val="single" w:color="000000" w:sz="8" w:space="0"/>
              <w:right w:val="single" w:color="000000" w:sz="8" w:space="0"/>
            </w:tcBorders>
            <w:shd w:val="clear" w:color="auto" w:fill="auto"/>
            <w:noWrap/>
            <w:vAlign w:val="center"/>
          </w:tcPr>
          <w:p w14:paraId="5B5705E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394" w:type="pct"/>
            <w:vMerge w:val="restart"/>
            <w:tcBorders>
              <w:top w:val="single" w:color="auto" w:sz="4" w:space="0"/>
              <w:left w:val="single" w:color="auto" w:sz="4" w:space="0"/>
              <w:right w:val="single" w:color="auto" w:sz="4" w:space="0"/>
            </w:tcBorders>
            <w:shd w:val="clear" w:color="auto" w:fill="auto"/>
            <w:vAlign w:val="center"/>
          </w:tcPr>
          <w:p w14:paraId="6DA1EFB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油气集输工程</w:t>
            </w:r>
          </w:p>
        </w:tc>
        <w:tc>
          <w:tcPr>
            <w:tcW w:w="57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2D10E8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新建单井管线</w:t>
            </w:r>
          </w:p>
        </w:tc>
        <w:tc>
          <w:tcPr>
            <w:tcW w:w="3235" w:type="pct"/>
            <w:tcBorders>
              <w:top w:val="single" w:color="auto" w:sz="4" w:space="0"/>
              <w:left w:val="single" w:color="000000" w:sz="8" w:space="0"/>
              <w:bottom w:val="single" w:color="auto" w:sz="4" w:space="0"/>
              <w:right w:val="single" w:color="000000" w:sz="8" w:space="0"/>
            </w:tcBorders>
            <w:shd w:val="clear" w:color="auto" w:fill="auto"/>
            <w:vAlign w:val="center"/>
          </w:tcPr>
          <w:p w14:paraId="2E828A65">
            <w:pPr>
              <w:pStyle w:val="32"/>
              <w:keepNext w:val="0"/>
              <w:keepLines w:val="0"/>
              <w:widowControl/>
              <w:suppressLineNumbers w:val="0"/>
              <w:spacing w:beforeAutospacing="1" w:afterAutospacing="1"/>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新建TH102117X井场至T707CH井场</w:t>
            </w:r>
            <w:r>
              <w:rPr>
                <w:rFonts w:hint="eastAsia" w:cs="Times New Roman"/>
                <w:i w:val="0"/>
                <w:iCs w:val="0"/>
                <w:color w:val="auto"/>
                <w:kern w:val="0"/>
                <w:sz w:val="21"/>
                <w:szCs w:val="21"/>
                <w:highlight w:val="none"/>
                <w:u w:val="none"/>
                <w:lang w:val="en-US" w:eastAsia="zh-CN" w:bidi="ar"/>
              </w:rPr>
              <w:t>集输</w:t>
            </w:r>
            <w:r>
              <w:rPr>
                <w:rFonts w:hint="eastAsia" w:ascii="Times New Roman" w:hAnsi="Times New Roman" w:eastAsia="宋体" w:cs="Times New Roman"/>
                <w:i w:val="0"/>
                <w:iCs w:val="0"/>
                <w:color w:val="auto"/>
                <w:kern w:val="0"/>
                <w:sz w:val="21"/>
                <w:szCs w:val="21"/>
                <w:highlight w:val="none"/>
                <w:u w:val="none"/>
                <w:lang w:val="en-US" w:eastAsia="zh-CN" w:bidi="ar"/>
              </w:rPr>
              <w:t>管线</w:t>
            </w:r>
            <w:r>
              <w:rPr>
                <w:rFonts w:hint="eastAsia" w:cs="Times New Roman"/>
                <w:i w:val="0"/>
                <w:iCs w:val="0"/>
                <w:color w:val="auto"/>
                <w:kern w:val="0"/>
                <w:sz w:val="21"/>
                <w:szCs w:val="21"/>
                <w:highlight w:val="none"/>
                <w:u w:val="none"/>
                <w:lang w:val="en-US" w:eastAsia="zh-CN" w:bidi="ar"/>
              </w:rPr>
              <w:t>601</w:t>
            </w:r>
            <w:r>
              <w:rPr>
                <w:rFonts w:hint="eastAsia" w:ascii="Times New Roman" w:hAnsi="Times New Roman" w:eastAsia="宋体" w:cs="Times New Roman"/>
                <w:i w:val="0"/>
                <w:iCs w:val="0"/>
                <w:color w:val="auto"/>
                <w:kern w:val="0"/>
                <w:sz w:val="21"/>
                <w:szCs w:val="21"/>
                <w:highlight w:val="none"/>
                <w:u w:val="none"/>
                <w:lang w:val="en-US" w:eastAsia="zh-CN" w:bidi="ar"/>
              </w:rPr>
              <w:t>m（柔性复合高压输送管RF-Y（S/X）-II-80-6.4</w:t>
            </w: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DN80）</w:t>
            </w: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新建T707CH井场至TH102117X井场掺稀管线</w:t>
            </w:r>
            <w:r>
              <w:rPr>
                <w:rFonts w:hint="eastAsia" w:cs="Times New Roman"/>
                <w:i w:val="0"/>
                <w:iCs w:val="0"/>
                <w:color w:val="auto"/>
                <w:kern w:val="0"/>
                <w:sz w:val="21"/>
                <w:szCs w:val="21"/>
                <w:highlight w:val="none"/>
                <w:u w:val="none"/>
                <w:lang w:val="en-US" w:eastAsia="zh-CN" w:bidi="ar"/>
              </w:rPr>
              <w:t>601</w:t>
            </w:r>
            <w:r>
              <w:rPr>
                <w:rFonts w:hint="eastAsia" w:ascii="Times New Roman" w:hAnsi="Times New Roman" w:eastAsia="宋体" w:cs="Times New Roman"/>
                <w:i w:val="0"/>
                <w:iCs w:val="0"/>
                <w:color w:val="auto"/>
                <w:kern w:val="0"/>
                <w:sz w:val="21"/>
                <w:szCs w:val="21"/>
                <w:highlight w:val="none"/>
                <w:u w:val="none"/>
                <w:lang w:val="en-US" w:eastAsia="zh-CN" w:bidi="ar"/>
              </w:rPr>
              <w:t>m（柔性复合高压输送管RF-Y（S/X）-I-50-25</w:t>
            </w: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DN50）</w:t>
            </w: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新建T707CH井场至TH102117X井场燃料气管线</w:t>
            </w:r>
            <w:r>
              <w:rPr>
                <w:rFonts w:hint="eastAsia" w:cs="Times New Roman"/>
                <w:i w:val="0"/>
                <w:iCs w:val="0"/>
                <w:color w:val="auto"/>
                <w:kern w:val="0"/>
                <w:sz w:val="21"/>
                <w:szCs w:val="21"/>
                <w:highlight w:val="none"/>
                <w:u w:val="none"/>
                <w:lang w:val="en-US" w:eastAsia="zh-CN" w:bidi="ar"/>
              </w:rPr>
              <w:t>601</w:t>
            </w:r>
            <w:r>
              <w:rPr>
                <w:rFonts w:hint="eastAsia" w:ascii="Times New Roman" w:hAnsi="Times New Roman" w:eastAsia="宋体" w:cs="Times New Roman"/>
                <w:i w:val="0"/>
                <w:iCs w:val="0"/>
                <w:color w:val="auto"/>
                <w:kern w:val="0"/>
                <w:sz w:val="21"/>
                <w:szCs w:val="21"/>
                <w:highlight w:val="none"/>
                <w:u w:val="none"/>
                <w:lang w:val="en-US" w:eastAsia="zh-CN" w:bidi="ar"/>
              </w:rPr>
              <w:t>m（D48×4.0 20无缝钢管</w:t>
            </w: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DN40）</w:t>
            </w:r>
            <w:r>
              <w:rPr>
                <w:rFonts w:hint="eastAsia"/>
                <w:color w:val="auto"/>
                <w:highlight w:val="none"/>
                <w:lang w:eastAsia="zh-CN"/>
              </w:rPr>
              <w:t>。</w:t>
            </w:r>
            <w:r>
              <w:rPr>
                <w:rFonts w:hint="eastAsia" w:cs="Times New Roman"/>
                <w:i w:val="0"/>
                <w:iCs w:val="0"/>
                <w:color w:val="auto"/>
                <w:kern w:val="0"/>
                <w:sz w:val="21"/>
                <w:szCs w:val="21"/>
                <w:highlight w:val="none"/>
                <w:u w:val="none"/>
                <w:lang w:val="en-US" w:eastAsia="zh-CN" w:bidi="ar"/>
              </w:rPr>
              <w:t>（三条管线同沟敷设）</w:t>
            </w:r>
          </w:p>
        </w:tc>
        <w:tc>
          <w:tcPr>
            <w:tcW w:w="417" w:type="pct"/>
            <w:tcBorders>
              <w:top w:val="single" w:color="auto" w:sz="4" w:space="0"/>
              <w:left w:val="single" w:color="000000" w:sz="8" w:space="0"/>
              <w:bottom w:val="single" w:color="auto" w:sz="4" w:space="0"/>
              <w:right w:val="single" w:color="000000" w:sz="8" w:space="0"/>
            </w:tcBorders>
            <w:shd w:val="clear" w:color="auto" w:fill="auto"/>
            <w:vAlign w:val="center"/>
          </w:tcPr>
          <w:p w14:paraId="0B360643">
            <w:pPr>
              <w:pStyle w:val="34"/>
              <w:ind w:left="0" w:leftChars="0" w:firstLine="0" w:firstLineChars="0"/>
              <w:jc w:val="both"/>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新建</w:t>
            </w:r>
          </w:p>
        </w:tc>
      </w:tr>
      <w:tr w14:paraId="7A62E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77" w:type="pct"/>
            <w:vMerge w:val="continue"/>
            <w:tcBorders>
              <w:left w:val="single" w:color="000000" w:sz="8" w:space="0"/>
              <w:right w:val="single" w:color="000000" w:sz="8" w:space="0"/>
            </w:tcBorders>
            <w:shd w:val="clear" w:color="auto" w:fill="auto"/>
            <w:noWrap/>
            <w:vAlign w:val="center"/>
          </w:tcPr>
          <w:p w14:paraId="7BBE5D3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394" w:type="pct"/>
            <w:vMerge w:val="continue"/>
            <w:tcBorders>
              <w:left w:val="single" w:color="auto" w:sz="4" w:space="0"/>
              <w:right w:val="single" w:color="auto" w:sz="4" w:space="0"/>
            </w:tcBorders>
            <w:shd w:val="clear" w:color="auto" w:fill="auto"/>
            <w:vAlign w:val="center"/>
          </w:tcPr>
          <w:p w14:paraId="5055814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lang w:val="en-US" w:eastAsia="zh-CN"/>
              </w:rPr>
            </w:pPr>
          </w:p>
        </w:tc>
        <w:tc>
          <w:tcPr>
            <w:tcW w:w="57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90221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利旧</w:t>
            </w:r>
          </w:p>
          <w:p w14:paraId="6CAA1E4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管线</w:t>
            </w:r>
          </w:p>
        </w:tc>
        <w:tc>
          <w:tcPr>
            <w:tcW w:w="3235" w:type="pct"/>
            <w:tcBorders>
              <w:top w:val="single" w:color="auto" w:sz="4" w:space="0"/>
              <w:left w:val="single" w:color="000000" w:sz="8" w:space="0"/>
              <w:bottom w:val="single" w:color="auto" w:sz="4" w:space="0"/>
              <w:right w:val="single" w:color="000000" w:sz="8" w:space="0"/>
            </w:tcBorders>
            <w:shd w:val="clear" w:color="auto" w:fill="auto"/>
            <w:vAlign w:val="center"/>
          </w:tcPr>
          <w:p w14:paraId="4566E6BE">
            <w:pPr>
              <w:keepNext w:val="0"/>
              <w:keepLines w:val="0"/>
              <w:pageBreakBefore w:val="0"/>
              <w:widowControl/>
              <w:kinsoku/>
              <w:wordWrap/>
              <w:overflowPunct/>
              <w:topLinePunct w:val="0"/>
              <w:autoSpaceDE/>
              <w:autoSpaceDN/>
              <w:bidi w:val="0"/>
              <w:adjustRightInd/>
              <w:snapToGrid/>
              <w:spacing w:line="240" w:lineRule="auto"/>
              <w:jc w:val="both"/>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4口老井管线均可利旧，不新增。</w:t>
            </w:r>
          </w:p>
        </w:tc>
        <w:tc>
          <w:tcPr>
            <w:tcW w:w="417" w:type="pct"/>
            <w:tcBorders>
              <w:top w:val="single" w:color="auto" w:sz="4" w:space="0"/>
              <w:left w:val="single" w:color="000000" w:sz="8" w:space="0"/>
              <w:bottom w:val="single" w:color="auto" w:sz="4" w:space="0"/>
              <w:right w:val="single" w:color="auto" w:sz="4" w:space="0"/>
            </w:tcBorders>
            <w:shd w:val="clear" w:color="auto" w:fill="auto"/>
            <w:vAlign w:val="center"/>
          </w:tcPr>
          <w:p w14:paraId="08775B55">
            <w:pPr>
              <w:keepNext w:val="0"/>
              <w:keepLines w:val="0"/>
              <w:pageBreakBefore w:val="0"/>
              <w:widowControl/>
              <w:kinsoku/>
              <w:wordWrap/>
              <w:overflowPunct/>
              <w:topLinePunct w:val="0"/>
              <w:autoSpaceDE/>
              <w:autoSpaceDN/>
              <w:bidi w:val="0"/>
              <w:adjustRightInd/>
              <w:snapToGrid/>
              <w:spacing w:line="240" w:lineRule="auto"/>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利旧</w:t>
            </w:r>
          </w:p>
        </w:tc>
      </w:tr>
      <w:tr w14:paraId="6C9F8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377" w:type="pct"/>
            <w:vMerge w:val="continue"/>
            <w:tcBorders>
              <w:left w:val="single" w:color="000000" w:sz="8" w:space="0"/>
              <w:right w:val="single" w:color="000000" w:sz="8" w:space="0"/>
            </w:tcBorders>
            <w:shd w:val="clear" w:color="auto" w:fill="auto"/>
            <w:noWrap/>
            <w:vAlign w:val="center"/>
          </w:tcPr>
          <w:p w14:paraId="21A97FE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394" w:type="pct"/>
            <w:vMerge w:val="continue"/>
            <w:tcBorders>
              <w:left w:val="single" w:color="auto" w:sz="4" w:space="0"/>
              <w:right w:val="single" w:color="auto" w:sz="4" w:space="0"/>
            </w:tcBorders>
            <w:shd w:val="clear" w:color="auto" w:fill="auto"/>
            <w:vAlign w:val="center"/>
          </w:tcPr>
          <w:p w14:paraId="1418FFA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lang w:val="en-US" w:eastAsia="zh-CN"/>
              </w:rPr>
            </w:pPr>
          </w:p>
        </w:tc>
        <w:tc>
          <w:tcPr>
            <w:tcW w:w="57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15286F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rPr>
              <w:t>燃气加热炉</w:t>
            </w:r>
          </w:p>
        </w:tc>
        <w:tc>
          <w:tcPr>
            <w:tcW w:w="3235" w:type="pct"/>
            <w:tcBorders>
              <w:top w:val="single" w:color="auto" w:sz="4" w:space="0"/>
              <w:left w:val="single" w:color="000000" w:sz="8" w:space="0"/>
              <w:bottom w:val="single" w:color="000000" w:sz="8" w:space="0"/>
              <w:right w:val="single" w:color="000000" w:sz="8" w:space="0"/>
            </w:tcBorders>
            <w:shd w:val="clear" w:color="auto" w:fill="auto"/>
            <w:vAlign w:val="center"/>
          </w:tcPr>
          <w:p w14:paraId="78D5BB41">
            <w:pPr>
              <w:keepNext w:val="0"/>
              <w:keepLines w:val="0"/>
              <w:pageBreakBefore w:val="0"/>
              <w:widowControl/>
              <w:kinsoku/>
              <w:wordWrap/>
              <w:overflowPunct/>
              <w:topLinePunct w:val="0"/>
              <w:autoSpaceDE/>
              <w:autoSpaceDN/>
              <w:bidi w:val="0"/>
              <w:adjustRightInd/>
              <w:snapToGrid/>
              <w:spacing w:line="240" w:lineRule="auto"/>
              <w:jc w:val="both"/>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4口老井井场加热炉均可利旧，不新增</w:t>
            </w:r>
            <w:r>
              <w:rPr>
                <w:rFonts w:hint="default" w:ascii="Times New Roman" w:hAnsi="Times New Roman" w:cs="Times New Roman"/>
                <w:color w:val="auto"/>
                <w:sz w:val="21"/>
                <w:szCs w:val="21"/>
                <w:highlight w:val="none"/>
              </w:rPr>
              <w:t>。</w:t>
            </w:r>
          </w:p>
        </w:tc>
        <w:tc>
          <w:tcPr>
            <w:tcW w:w="417" w:type="pct"/>
            <w:tcBorders>
              <w:top w:val="single" w:color="auto" w:sz="4" w:space="0"/>
              <w:left w:val="single" w:color="000000" w:sz="8" w:space="0"/>
              <w:bottom w:val="single" w:color="000000" w:sz="8" w:space="0"/>
              <w:right w:val="single" w:color="000000" w:sz="8" w:space="0"/>
            </w:tcBorders>
            <w:shd w:val="clear" w:color="auto" w:fill="auto"/>
            <w:vAlign w:val="center"/>
          </w:tcPr>
          <w:p w14:paraId="05DEC61B">
            <w:pPr>
              <w:keepNext w:val="0"/>
              <w:keepLines w:val="0"/>
              <w:pageBreakBefore w:val="0"/>
              <w:widowControl/>
              <w:kinsoku/>
              <w:wordWrap/>
              <w:overflowPunct/>
              <w:topLinePunct w:val="0"/>
              <w:autoSpaceDE/>
              <w:autoSpaceDN/>
              <w:bidi w:val="0"/>
              <w:adjustRightInd/>
              <w:snapToGrid/>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利旧</w:t>
            </w:r>
          </w:p>
        </w:tc>
      </w:tr>
      <w:tr w14:paraId="356D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377" w:type="pct"/>
            <w:vMerge w:val="restart"/>
            <w:tcBorders>
              <w:top w:val="single" w:color="auto" w:sz="4" w:space="0"/>
              <w:left w:val="single" w:color="auto" w:sz="4" w:space="0"/>
              <w:right w:val="single" w:color="auto" w:sz="4" w:space="0"/>
            </w:tcBorders>
            <w:shd w:val="clear" w:color="auto" w:fill="auto"/>
            <w:vAlign w:val="center"/>
          </w:tcPr>
          <w:p w14:paraId="150508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公用工程</w:t>
            </w:r>
          </w:p>
        </w:tc>
        <w:tc>
          <w:tcPr>
            <w:tcW w:w="96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2D160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供电工程</w:t>
            </w:r>
          </w:p>
        </w:tc>
        <w:tc>
          <w:tcPr>
            <w:tcW w:w="3235" w:type="pct"/>
            <w:tcBorders>
              <w:top w:val="nil"/>
              <w:left w:val="single" w:color="000000" w:sz="8" w:space="0"/>
              <w:bottom w:val="single" w:color="000000" w:sz="8" w:space="0"/>
              <w:right w:val="single" w:color="000000" w:sz="8" w:space="0"/>
            </w:tcBorders>
            <w:shd w:val="clear" w:color="auto" w:fill="auto"/>
            <w:vAlign w:val="center"/>
          </w:tcPr>
          <w:p w14:paraId="5EC6FF7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4口侧钻井已建完善的供配电系统，配电设施可利旧，电力专业无新增工作量</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17" w:type="pct"/>
            <w:tcBorders>
              <w:top w:val="nil"/>
              <w:left w:val="single" w:color="000000" w:sz="8" w:space="0"/>
              <w:bottom w:val="single" w:color="000000" w:sz="8" w:space="0"/>
              <w:right w:val="single" w:color="000000" w:sz="8" w:space="0"/>
            </w:tcBorders>
            <w:shd w:val="clear" w:color="auto" w:fill="auto"/>
            <w:vAlign w:val="center"/>
          </w:tcPr>
          <w:p w14:paraId="67B326E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利旧</w:t>
            </w:r>
          </w:p>
        </w:tc>
      </w:tr>
      <w:tr w14:paraId="6D19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jc w:val="center"/>
        </w:trPr>
        <w:tc>
          <w:tcPr>
            <w:tcW w:w="377" w:type="pct"/>
            <w:vMerge w:val="continue"/>
            <w:tcBorders>
              <w:left w:val="single" w:color="auto" w:sz="4" w:space="0"/>
              <w:right w:val="single" w:color="auto" w:sz="4" w:space="0"/>
            </w:tcBorders>
            <w:shd w:val="clear" w:color="auto" w:fill="auto"/>
            <w:vAlign w:val="center"/>
          </w:tcPr>
          <w:p w14:paraId="0FCEA1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6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822A7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供水工程</w:t>
            </w:r>
          </w:p>
        </w:tc>
        <w:tc>
          <w:tcPr>
            <w:tcW w:w="3235" w:type="pct"/>
            <w:tcBorders>
              <w:top w:val="nil"/>
              <w:left w:val="single" w:color="000000" w:sz="8" w:space="0"/>
              <w:bottom w:val="single" w:color="000000" w:sz="8" w:space="0"/>
              <w:right w:val="single" w:color="000000" w:sz="8" w:space="0"/>
            </w:tcBorders>
            <w:shd w:val="clear" w:color="auto" w:fill="auto"/>
            <w:vAlign w:val="center"/>
          </w:tcPr>
          <w:p w14:paraId="6C0C335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依托本项目附近已建供水设施。</w:t>
            </w:r>
          </w:p>
        </w:tc>
        <w:tc>
          <w:tcPr>
            <w:tcW w:w="417" w:type="pct"/>
            <w:tcBorders>
              <w:top w:val="nil"/>
              <w:left w:val="single" w:color="000000" w:sz="8" w:space="0"/>
              <w:bottom w:val="single" w:color="000000" w:sz="8" w:space="0"/>
              <w:right w:val="single" w:color="000000" w:sz="8" w:space="0"/>
            </w:tcBorders>
            <w:shd w:val="clear" w:color="auto" w:fill="auto"/>
            <w:vAlign w:val="center"/>
          </w:tcPr>
          <w:p w14:paraId="699472A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w:t>
            </w:r>
          </w:p>
        </w:tc>
      </w:tr>
      <w:tr w14:paraId="10B19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jc w:val="center"/>
        </w:trPr>
        <w:tc>
          <w:tcPr>
            <w:tcW w:w="377" w:type="pct"/>
            <w:vMerge w:val="continue"/>
            <w:tcBorders>
              <w:left w:val="single" w:color="auto" w:sz="4" w:space="0"/>
              <w:right w:val="single" w:color="auto" w:sz="4" w:space="0"/>
            </w:tcBorders>
            <w:shd w:val="clear" w:color="auto" w:fill="auto"/>
            <w:vAlign w:val="center"/>
          </w:tcPr>
          <w:p w14:paraId="79815BF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single" w:color="auto" w:sz="4" w:space="0"/>
              <w:left w:val="single" w:color="auto" w:sz="4" w:space="0"/>
              <w:bottom w:val="single" w:color="000000" w:sz="8" w:space="0"/>
              <w:right w:val="single" w:color="000000" w:sz="8" w:space="0"/>
            </w:tcBorders>
            <w:shd w:val="clear" w:color="auto" w:fill="auto"/>
            <w:vAlign w:val="center"/>
          </w:tcPr>
          <w:p w14:paraId="609582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通信工程</w:t>
            </w:r>
          </w:p>
        </w:tc>
        <w:tc>
          <w:tcPr>
            <w:tcW w:w="3235" w:type="pct"/>
            <w:tcBorders>
              <w:top w:val="nil"/>
              <w:left w:val="single" w:color="000000" w:sz="8" w:space="0"/>
              <w:bottom w:val="single" w:color="000000" w:sz="8" w:space="0"/>
              <w:right w:val="single" w:color="000000" w:sz="8" w:space="0"/>
            </w:tcBorders>
            <w:shd w:val="clear" w:color="auto" w:fill="auto"/>
            <w:vAlign w:val="center"/>
          </w:tcPr>
          <w:p w14:paraId="06D4274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本次工程利旧原井场视频监控和无线网桥，实现数据、视频远程传输。</w:t>
            </w:r>
          </w:p>
        </w:tc>
        <w:tc>
          <w:tcPr>
            <w:tcW w:w="417" w:type="pct"/>
            <w:tcBorders>
              <w:top w:val="nil"/>
              <w:left w:val="single" w:color="000000" w:sz="8" w:space="0"/>
              <w:bottom w:val="single" w:color="000000" w:sz="8" w:space="0"/>
              <w:right w:val="single" w:color="000000" w:sz="8" w:space="0"/>
            </w:tcBorders>
            <w:shd w:val="clear" w:color="auto" w:fill="auto"/>
            <w:vAlign w:val="center"/>
          </w:tcPr>
          <w:p w14:paraId="30D88A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利旧</w:t>
            </w:r>
          </w:p>
        </w:tc>
      </w:tr>
      <w:tr w14:paraId="139A8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jc w:val="center"/>
        </w:trPr>
        <w:tc>
          <w:tcPr>
            <w:tcW w:w="377" w:type="pct"/>
            <w:vMerge w:val="continue"/>
            <w:tcBorders>
              <w:left w:val="single" w:color="auto" w:sz="4" w:space="0"/>
              <w:right w:val="single" w:color="auto" w:sz="4" w:space="0"/>
            </w:tcBorders>
            <w:shd w:val="clear" w:color="auto" w:fill="auto"/>
            <w:vAlign w:val="center"/>
          </w:tcPr>
          <w:p w14:paraId="6E825F4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single" w:color="auto" w:sz="4" w:space="0"/>
              <w:left w:val="single" w:color="auto" w:sz="4" w:space="0"/>
              <w:bottom w:val="single" w:color="000000" w:sz="8" w:space="0"/>
              <w:right w:val="single" w:color="000000" w:sz="8" w:space="0"/>
            </w:tcBorders>
            <w:shd w:val="clear" w:color="auto" w:fill="auto"/>
            <w:vAlign w:val="center"/>
          </w:tcPr>
          <w:p w14:paraId="69F86D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仪表自控</w:t>
            </w:r>
          </w:p>
        </w:tc>
        <w:tc>
          <w:tcPr>
            <w:tcW w:w="3235" w:type="pct"/>
            <w:tcBorders>
              <w:top w:val="nil"/>
              <w:left w:val="single" w:color="000000" w:sz="8" w:space="0"/>
              <w:bottom w:val="single" w:color="000000" w:sz="8" w:space="0"/>
              <w:right w:val="single" w:color="000000" w:sz="8" w:space="0"/>
            </w:tcBorders>
            <w:shd w:val="clear" w:color="auto" w:fill="auto"/>
            <w:vAlign w:val="center"/>
          </w:tcPr>
          <w:p w14:paraId="0DF4897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本工程4口侧钻井单井仪表自控均可利旧，无需新建。</w:t>
            </w:r>
          </w:p>
        </w:tc>
        <w:tc>
          <w:tcPr>
            <w:tcW w:w="417" w:type="pct"/>
            <w:tcBorders>
              <w:top w:val="nil"/>
              <w:left w:val="single" w:color="000000" w:sz="8" w:space="0"/>
              <w:bottom w:val="single" w:color="000000" w:sz="8" w:space="0"/>
              <w:right w:val="single" w:color="000000" w:sz="8" w:space="0"/>
            </w:tcBorders>
            <w:shd w:val="clear" w:color="auto" w:fill="auto"/>
            <w:vAlign w:val="center"/>
          </w:tcPr>
          <w:p w14:paraId="2E7685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利旧</w:t>
            </w:r>
          </w:p>
        </w:tc>
      </w:tr>
      <w:tr w14:paraId="11CF7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377" w:type="pct"/>
            <w:vMerge w:val="continue"/>
            <w:tcBorders>
              <w:left w:val="single" w:color="auto" w:sz="4" w:space="0"/>
              <w:right w:val="single" w:color="auto" w:sz="4" w:space="0"/>
            </w:tcBorders>
            <w:shd w:val="clear" w:color="auto" w:fill="auto"/>
            <w:vAlign w:val="center"/>
          </w:tcPr>
          <w:p w14:paraId="32EB832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nil"/>
              <w:left w:val="single" w:color="auto" w:sz="4" w:space="0"/>
              <w:bottom w:val="single" w:color="000000" w:sz="8" w:space="0"/>
              <w:right w:val="single" w:color="000000" w:sz="8" w:space="0"/>
            </w:tcBorders>
            <w:shd w:val="clear" w:color="auto" w:fill="auto"/>
            <w:vAlign w:val="center"/>
          </w:tcPr>
          <w:p w14:paraId="475857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防腐工程</w:t>
            </w:r>
          </w:p>
        </w:tc>
        <w:tc>
          <w:tcPr>
            <w:tcW w:w="3235" w:type="pct"/>
            <w:tcBorders>
              <w:top w:val="nil"/>
              <w:left w:val="single" w:color="000000" w:sz="8" w:space="0"/>
              <w:bottom w:val="single" w:color="000000" w:sz="8" w:space="0"/>
              <w:right w:val="single" w:color="000000" w:sz="8" w:space="0"/>
            </w:tcBorders>
            <w:shd w:val="clear" w:color="auto" w:fill="auto"/>
            <w:vAlign w:val="center"/>
          </w:tcPr>
          <w:p w14:paraId="6628E8B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bCs/>
                <w:color w:val="auto"/>
                <w:kern w:val="0"/>
                <w:sz w:val="21"/>
                <w:szCs w:val="21"/>
                <w:highlight w:val="none"/>
                <w:lang w:val="en-US" w:eastAsia="zh-CN"/>
              </w:rPr>
              <w:t>4口老井</w:t>
            </w:r>
            <w:r>
              <w:rPr>
                <w:bCs/>
                <w:color w:val="auto"/>
                <w:kern w:val="0"/>
                <w:sz w:val="21"/>
                <w:szCs w:val="21"/>
                <w:highlight w:val="none"/>
              </w:rPr>
              <w:t>管线均利旧，无新建防腐保温工程</w:t>
            </w:r>
            <w:r>
              <w:rPr>
                <w:rFonts w:hint="eastAsia"/>
                <w:bCs/>
                <w:color w:val="auto"/>
                <w:kern w:val="0"/>
                <w:sz w:val="21"/>
                <w:szCs w:val="21"/>
                <w:highlight w:val="none"/>
                <w:lang w:eastAsia="zh-CN"/>
              </w:rPr>
              <w:t>。</w:t>
            </w:r>
          </w:p>
          <w:p w14:paraId="75C805F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新建</w:t>
            </w:r>
            <w:r>
              <w:rPr>
                <w:rFonts w:hint="eastAsia" w:eastAsia="宋体" w:cs="Times New Roman"/>
                <w:b w:val="0"/>
                <w:i w:val="0"/>
                <w:iCs w:val="0"/>
                <w:color w:val="auto"/>
                <w:kern w:val="0"/>
                <w:sz w:val="21"/>
                <w:szCs w:val="21"/>
                <w:highlight w:val="none"/>
                <w:u w:val="none"/>
                <w:lang w:val="en-US" w:eastAsia="zh-CN" w:bidi="ar"/>
              </w:rPr>
              <w:t>管线</w:t>
            </w:r>
            <w:r>
              <w:rPr>
                <w:rFonts w:hint="eastAsia" w:cs="Times New Roman"/>
                <w:b w:val="0"/>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（1）集油管线采用管线+外防腐（30mm、40mm厚聚氨酯泡沫黄夹克保温）</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（2）燃料气供给管线采用普通级二层PE防腐，补口采用聚乙烯热收缩套。</w:t>
            </w:r>
          </w:p>
        </w:tc>
        <w:tc>
          <w:tcPr>
            <w:tcW w:w="417" w:type="pct"/>
            <w:tcBorders>
              <w:top w:val="nil"/>
              <w:left w:val="single" w:color="000000" w:sz="8" w:space="0"/>
              <w:bottom w:val="single" w:color="000000" w:sz="8" w:space="0"/>
              <w:right w:val="single" w:color="000000" w:sz="8" w:space="0"/>
            </w:tcBorders>
            <w:shd w:val="clear" w:color="auto" w:fill="auto"/>
            <w:vAlign w:val="center"/>
          </w:tcPr>
          <w:p w14:paraId="523B35D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利旧/新建</w:t>
            </w:r>
          </w:p>
        </w:tc>
      </w:tr>
      <w:tr w14:paraId="5D7DC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377" w:type="pct"/>
            <w:vMerge w:val="continue"/>
            <w:tcBorders>
              <w:left w:val="single" w:color="auto" w:sz="4" w:space="0"/>
              <w:bottom w:val="single" w:color="auto" w:sz="4" w:space="0"/>
              <w:right w:val="single" w:color="auto" w:sz="4" w:space="0"/>
            </w:tcBorders>
            <w:shd w:val="clear" w:color="auto" w:fill="auto"/>
            <w:vAlign w:val="center"/>
          </w:tcPr>
          <w:p w14:paraId="710D6A8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nil"/>
              <w:left w:val="single" w:color="auto" w:sz="4" w:space="0"/>
              <w:bottom w:val="single" w:color="auto" w:sz="4" w:space="0"/>
              <w:right w:val="single" w:color="000000" w:sz="8" w:space="0"/>
            </w:tcBorders>
            <w:shd w:val="clear" w:color="auto" w:fill="auto"/>
            <w:vAlign w:val="center"/>
          </w:tcPr>
          <w:p w14:paraId="6A79EB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道路工程</w:t>
            </w:r>
          </w:p>
        </w:tc>
        <w:tc>
          <w:tcPr>
            <w:tcW w:w="3235" w:type="pct"/>
            <w:tcBorders>
              <w:top w:val="nil"/>
              <w:left w:val="single" w:color="000000" w:sz="8" w:space="0"/>
              <w:bottom w:val="single" w:color="auto" w:sz="4" w:space="0"/>
              <w:right w:val="single" w:color="000000" w:sz="8" w:space="0"/>
            </w:tcBorders>
            <w:shd w:val="clear" w:color="auto" w:fill="auto"/>
            <w:vAlign w:val="center"/>
          </w:tcPr>
          <w:p w14:paraId="7E44DA5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利旧</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口井井场路，砂石路面。</w:t>
            </w:r>
          </w:p>
        </w:tc>
        <w:tc>
          <w:tcPr>
            <w:tcW w:w="417" w:type="pct"/>
            <w:tcBorders>
              <w:top w:val="nil"/>
              <w:left w:val="single" w:color="000000" w:sz="8" w:space="0"/>
              <w:bottom w:val="single" w:color="auto" w:sz="4" w:space="0"/>
              <w:right w:val="single" w:color="000000" w:sz="8" w:space="0"/>
            </w:tcBorders>
            <w:shd w:val="clear" w:color="auto" w:fill="auto"/>
            <w:vAlign w:val="center"/>
          </w:tcPr>
          <w:p w14:paraId="550ED56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利旧</w:t>
            </w:r>
          </w:p>
        </w:tc>
      </w:tr>
      <w:tr w14:paraId="09E4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8" w:hRule="atLeast"/>
          <w:jc w:val="center"/>
        </w:trPr>
        <w:tc>
          <w:tcPr>
            <w:tcW w:w="377" w:type="pct"/>
            <w:vMerge w:val="restart"/>
            <w:tcBorders>
              <w:top w:val="single" w:color="auto" w:sz="4" w:space="0"/>
              <w:left w:val="single" w:color="auto" w:sz="4" w:space="0"/>
              <w:right w:val="single" w:color="auto" w:sz="4" w:space="0"/>
            </w:tcBorders>
            <w:shd w:val="clear" w:color="auto" w:fill="auto"/>
            <w:vAlign w:val="center"/>
          </w:tcPr>
          <w:p w14:paraId="2B9973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环保工程</w:t>
            </w:r>
          </w:p>
        </w:tc>
        <w:tc>
          <w:tcPr>
            <w:tcW w:w="969" w:type="pct"/>
            <w:gridSpan w:val="4"/>
            <w:tcBorders>
              <w:top w:val="nil"/>
              <w:left w:val="single" w:color="auto" w:sz="4" w:space="0"/>
              <w:bottom w:val="single" w:color="auto" w:sz="4" w:space="0"/>
              <w:right w:val="single" w:color="000000" w:sz="8" w:space="0"/>
            </w:tcBorders>
            <w:shd w:val="clear" w:color="auto" w:fill="auto"/>
            <w:vAlign w:val="center"/>
          </w:tcPr>
          <w:p w14:paraId="21424C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w:t>
            </w:r>
          </w:p>
        </w:tc>
        <w:tc>
          <w:tcPr>
            <w:tcW w:w="3235" w:type="pct"/>
            <w:tcBorders>
              <w:top w:val="nil"/>
              <w:left w:val="single" w:color="000000" w:sz="8" w:space="0"/>
              <w:bottom w:val="single" w:color="auto" w:sz="4" w:space="0"/>
              <w:right w:val="single" w:color="000000" w:sz="8" w:space="0"/>
            </w:tcBorders>
            <w:shd w:val="clear" w:color="auto" w:fill="auto"/>
            <w:vAlign w:val="center"/>
          </w:tcPr>
          <w:p w14:paraId="3526C16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施工期：废气包括施工扬尘、施工车辆尾气、焊接废气、测试放喷废气、储层改造废气等；施工扬尘采取进出车辆减速慢行、物料苫盖的措施；</w:t>
            </w:r>
            <w:r>
              <w:rPr>
                <w:rFonts w:hint="eastAsia" w:cs="Times New Roman"/>
                <w:i w:val="0"/>
                <w:iCs w:val="0"/>
                <w:color w:val="auto"/>
                <w:kern w:val="0"/>
                <w:sz w:val="21"/>
                <w:szCs w:val="21"/>
                <w:highlight w:val="none"/>
                <w:u w:val="none"/>
                <w:lang w:val="en-US" w:eastAsia="zh-CN" w:bidi="ar"/>
              </w:rPr>
              <w:t>测试</w:t>
            </w:r>
            <w:r>
              <w:rPr>
                <w:rFonts w:hint="default" w:ascii="Times New Roman" w:hAnsi="Times New Roman" w:eastAsia="宋体" w:cs="Times New Roman"/>
                <w:i w:val="0"/>
                <w:iCs w:val="0"/>
                <w:color w:val="auto"/>
                <w:kern w:val="0"/>
                <w:sz w:val="21"/>
                <w:szCs w:val="21"/>
                <w:highlight w:val="none"/>
                <w:u w:val="none"/>
                <w:lang w:val="en-US" w:eastAsia="zh-CN" w:bidi="ar"/>
              </w:rPr>
              <w:t>放喷阶段采取疏散周边作业人员，控制放喷时间的措施。</w:t>
            </w:r>
          </w:p>
          <w:p w14:paraId="2E9AEAC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营运期：废气主要是无组织挥发烃类、硫化氢，密闭输送。</w:t>
            </w:r>
          </w:p>
          <w:p w14:paraId="55D4D3C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退役期：废气主要为施工扬尘，采取洒水抑尘的措施</w:t>
            </w:r>
            <w:r>
              <w:rPr>
                <w:rFonts w:hint="default" w:ascii="Times New Roman" w:hAnsi="Times New Roman" w:cs="Times New Roman"/>
                <w:i w:val="0"/>
                <w:iCs w:val="0"/>
                <w:color w:val="auto"/>
                <w:kern w:val="0"/>
                <w:sz w:val="21"/>
                <w:szCs w:val="21"/>
                <w:highlight w:val="none"/>
                <w:u w:val="none"/>
                <w:lang w:val="en-US" w:eastAsia="zh-CN" w:bidi="ar"/>
              </w:rPr>
              <w:t>。</w:t>
            </w:r>
          </w:p>
        </w:tc>
        <w:tc>
          <w:tcPr>
            <w:tcW w:w="417" w:type="pct"/>
            <w:tcBorders>
              <w:top w:val="nil"/>
              <w:left w:val="single" w:color="000000" w:sz="8" w:space="0"/>
              <w:bottom w:val="single" w:color="auto" w:sz="4" w:space="0"/>
              <w:right w:val="single" w:color="000000" w:sz="8" w:space="0"/>
            </w:tcBorders>
            <w:shd w:val="clear" w:color="auto" w:fill="auto"/>
            <w:vAlign w:val="center"/>
          </w:tcPr>
          <w:p w14:paraId="2277E7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1FFD7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377" w:type="pct"/>
            <w:vMerge w:val="continue"/>
            <w:tcBorders>
              <w:left w:val="single" w:color="auto" w:sz="4" w:space="0"/>
              <w:right w:val="single" w:color="auto" w:sz="4" w:space="0"/>
            </w:tcBorders>
            <w:shd w:val="clear" w:color="auto" w:fill="auto"/>
            <w:vAlign w:val="center"/>
          </w:tcPr>
          <w:p w14:paraId="7B14C0B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E9BA8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3235" w:type="pct"/>
            <w:tcBorders>
              <w:top w:val="single" w:color="auto" w:sz="4" w:space="0"/>
              <w:left w:val="single" w:color="auto" w:sz="4" w:space="0"/>
              <w:bottom w:val="single" w:color="auto" w:sz="4" w:space="0"/>
              <w:right w:val="single" w:color="auto" w:sz="4" w:space="0"/>
            </w:tcBorders>
            <w:shd w:val="clear" w:color="auto" w:fill="auto"/>
            <w:vAlign w:val="center"/>
          </w:tcPr>
          <w:p w14:paraId="6C9427D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期：废水包括钻井废水、酸化压裂返排液、管线试压废水及生活污水。钻井废水连同钻井泥浆、钻井岩屑进入不落地系统进行固液分离，分离后的液体回用于钻井液配备，不对外排放；酸化压裂作业结束后返排的压裂废水收集在酸液罐内，拉运至塔河油田绿色环保站处理；管线试压废水属于清净废水，试压完成后用于区域降尘；生活污水经井场撬装式污水处理站处理后，用于生活区、井场及通井路降尘，不外排地表水环境。</w:t>
            </w:r>
          </w:p>
          <w:p w14:paraId="325398D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营运期：废水包括采出水和井下作业废水，采出水随采出液经集输管线输送至塔河油田三号联合站处理，达标后回注地层，井下作业废水送塔河油田绿色环保站处理。</w:t>
            </w:r>
          </w:p>
          <w:p w14:paraId="1B00F8D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退役期：少量管线冲洗废水产生</w:t>
            </w:r>
            <w:r>
              <w:rPr>
                <w:rFonts w:hint="default" w:ascii="Times New Roman" w:hAnsi="Times New Roman" w:cs="Times New Roman"/>
                <w:i w:val="0"/>
                <w:iCs w:val="0"/>
                <w:color w:val="auto"/>
                <w:kern w:val="0"/>
                <w:sz w:val="21"/>
                <w:szCs w:val="21"/>
                <w:highlight w:val="none"/>
                <w:u w:val="none"/>
                <w:lang w:val="en-US" w:eastAsia="zh-CN" w:bidi="ar"/>
              </w:rPr>
              <w:t>。</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4FF351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2C0A2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jc w:val="center"/>
        </w:trPr>
        <w:tc>
          <w:tcPr>
            <w:tcW w:w="377" w:type="pct"/>
            <w:vMerge w:val="continue"/>
            <w:tcBorders>
              <w:left w:val="single" w:color="auto" w:sz="4" w:space="0"/>
              <w:right w:val="single" w:color="auto" w:sz="4" w:space="0"/>
            </w:tcBorders>
            <w:shd w:val="clear" w:color="auto" w:fill="auto"/>
            <w:vAlign w:val="center"/>
          </w:tcPr>
          <w:p w14:paraId="1176489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single" w:color="auto" w:sz="4" w:space="0"/>
              <w:left w:val="single" w:color="auto" w:sz="4" w:space="0"/>
              <w:bottom w:val="single" w:color="000000" w:sz="8" w:space="0"/>
              <w:right w:val="single" w:color="000000" w:sz="8" w:space="0"/>
            </w:tcBorders>
            <w:shd w:val="clear" w:color="auto" w:fill="auto"/>
            <w:vAlign w:val="center"/>
          </w:tcPr>
          <w:p w14:paraId="13A6A7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噪声</w:t>
            </w:r>
          </w:p>
        </w:tc>
        <w:tc>
          <w:tcPr>
            <w:tcW w:w="3235" w:type="pct"/>
            <w:tcBorders>
              <w:top w:val="single" w:color="auto" w:sz="4" w:space="0"/>
              <w:left w:val="single" w:color="000000" w:sz="8" w:space="0"/>
              <w:bottom w:val="single" w:color="000000" w:sz="8" w:space="0"/>
              <w:right w:val="single" w:color="000000" w:sz="8" w:space="0"/>
            </w:tcBorders>
            <w:shd w:val="clear" w:color="auto" w:fill="auto"/>
            <w:vAlign w:val="center"/>
          </w:tcPr>
          <w:p w14:paraId="35A4D38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施工期：噪声主要为施工机械设备噪声和运输车辆噪声。选用低</w:t>
            </w:r>
            <w:r>
              <w:rPr>
                <w:rFonts w:hint="eastAsia" w:cs="Times New Roman"/>
                <w:i w:val="0"/>
                <w:iCs w:val="0"/>
                <w:color w:val="auto"/>
                <w:kern w:val="0"/>
                <w:sz w:val="21"/>
                <w:szCs w:val="21"/>
                <w:highlight w:val="none"/>
                <w:u w:val="none"/>
                <w:lang w:val="en-US" w:eastAsia="zh-CN" w:bidi="ar"/>
              </w:rPr>
              <w:t>噪声</w:t>
            </w:r>
            <w:r>
              <w:rPr>
                <w:rFonts w:hint="default" w:ascii="Times New Roman" w:hAnsi="Times New Roman" w:eastAsia="宋体" w:cs="Times New Roman"/>
                <w:i w:val="0"/>
                <w:iCs w:val="0"/>
                <w:color w:val="auto"/>
                <w:kern w:val="0"/>
                <w:sz w:val="21"/>
                <w:szCs w:val="21"/>
                <w:highlight w:val="none"/>
                <w:u w:val="none"/>
                <w:lang w:val="en-US" w:eastAsia="zh-CN" w:bidi="ar"/>
              </w:rPr>
              <w:t>施工设备，合理安排作业时间。</w:t>
            </w:r>
          </w:p>
          <w:p w14:paraId="4F1AF14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营运期：选用低噪声设备、基础减振。</w:t>
            </w:r>
          </w:p>
          <w:p w14:paraId="4A6A850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退役期：合理安排作业时间</w:t>
            </w:r>
            <w:r>
              <w:rPr>
                <w:rFonts w:hint="default" w:ascii="Times New Roman" w:hAnsi="Times New Roman" w:cs="Times New Roman"/>
                <w:i w:val="0"/>
                <w:iCs w:val="0"/>
                <w:color w:val="auto"/>
                <w:kern w:val="0"/>
                <w:sz w:val="21"/>
                <w:szCs w:val="21"/>
                <w:highlight w:val="none"/>
                <w:u w:val="none"/>
                <w:lang w:val="en-US" w:eastAsia="zh-CN" w:bidi="ar"/>
              </w:rPr>
              <w:t>。</w:t>
            </w:r>
          </w:p>
        </w:tc>
        <w:tc>
          <w:tcPr>
            <w:tcW w:w="417" w:type="pct"/>
            <w:tcBorders>
              <w:top w:val="single" w:color="auto" w:sz="4" w:space="0"/>
              <w:left w:val="single" w:color="000000" w:sz="8" w:space="0"/>
              <w:bottom w:val="single" w:color="000000" w:sz="8" w:space="0"/>
              <w:right w:val="single" w:color="000000" w:sz="8" w:space="0"/>
            </w:tcBorders>
            <w:shd w:val="clear" w:color="auto" w:fill="auto"/>
            <w:vAlign w:val="center"/>
          </w:tcPr>
          <w:p w14:paraId="717D85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6D98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3" w:hRule="atLeast"/>
          <w:jc w:val="center"/>
        </w:trPr>
        <w:tc>
          <w:tcPr>
            <w:tcW w:w="377" w:type="pct"/>
            <w:vMerge w:val="continue"/>
            <w:tcBorders>
              <w:left w:val="single" w:color="auto" w:sz="4" w:space="0"/>
              <w:right w:val="single" w:color="auto" w:sz="4" w:space="0"/>
            </w:tcBorders>
            <w:shd w:val="clear" w:color="auto" w:fill="auto"/>
            <w:vAlign w:val="center"/>
          </w:tcPr>
          <w:p w14:paraId="569BECC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nil"/>
              <w:left w:val="single" w:color="auto" w:sz="4" w:space="0"/>
              <w:bottom w:val="single" w:color="000000" w:sz="8" w:space="0"/>
              <w:right w:val="single" w:color="000000" w:sz="8" w:space="0"/>
            </w:tcBorders>
            <w:shd w:val="clear" w:color="auto" w:fill="auto"/>
            <w:vAlign w:val="center"/>
          </w:tcPr>
          <w:p w14:paraId="3A59F2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固废</w:t>
            </w:r>
          </w:p>
        </w:tc>
        <w:tc>
          <w:tcPr>
            <w:tcW w:w="3235" w:type="pct"/>
            <w:tcBorders>
              <w:top w:val="nil"/>
              <w:left w:val="single" w:color="000000" w:sz="8" w:space="0"/>
              <w:bottom w:val="single" w:color="000000" w:sz="8" w:space="0"/>
              <w:right w:val="single" w:color="000000" w:sz="8" w:space="0"/>
            </w:tcBorders>
            <w:shd w:val="clear" w:color="auto" w:fill="auto"/>
            <w:vAlign w:val="center"/>
          </w:tcPr>
          <w:p w14:paraId="68E5BF4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期：固废主要为钻井泥浆、钻井岩屑、生活垃圾、施工废料、废机油、废烧碱包装袋、废防渗材料、撬装式污水处理站产生污泥和土石方。施工土方全部用于管沟回填；岩屑随泥浆一同进入不落地系统，分离后的液相回用于钻井液配制，分离后的固相经检测满足《油气田钻井固体废物综合利用污染控制要求》（DB65/T3997-2017）中综合利用污染物限值要求，同时石油烃满足《土壤环境质量建设用地土壤污染风险管控标准（试行）》（GB36600-2018）中表2第二类用地风险筛选值后，用于铺垫油区内的井场、道路等；含油废物和废防渗材料均属危险废物，收集后暂存在井场撬装式危废暂存间内，完井后将由井队联系持有危险废物经营许可证的单位回收处理；施工废料应首先考虑回收利用，不可回收利用部分由库车绿能环保科技有限公司清运处置；撬装式污水处理站产</w:t>
            </w:r>
            <w:r>
              <w:rPr>
                <w:rFonts w:hint="eastAsia" w:cs="Times New Roman"/>
                <w:i w:val="0"/>
                <w:iCs w:val="0"/>
                <w:color w:val="auto"/>
                <w:kern w:val="0"/>
                <w:sz w:val="21"/>
                <w:szCs w:val="21"/>
                <w:highlight w:val="none"/>
                <w:u w:val="none"/>
                <w:lang w:val="en-US" w:eastAsia="zh-CN" w:bidi="ar"/>
              </w:rPr>
              <w:t>生的</w:t>
            </w:r>
            <w:r>
              <w:rPr>
                <w:rFonts w:hint="default" w:ascii="Times New Roman" w:hAnsi="Times New Roman" w:eastAsia="宋体" w:cs="Times New Roman"/>
                <w:i w:val="0"/>
                <w:iCs w:val="0"/>
                <w:color w:val="auto"/>
                <w:kern w:val="0"/>
                <w:sz w:val="21"/>
                <w:szCs w:val="21"/>
                <w:highlight w:val="none"/>
                <w:u w:val="none"/>
                <w:lang w:val="en-US" w:eastAsia="zh-CN" w:bidi="ar"/>
              </w:rPr>
              <w:t>污泥经脱水装置脱水处理后，与生活垃圾</w:t>
            </w:r>
            <w:r>
              <w:rPr>
                <w:rFonts w:hint="eastAsia" w:cs="Times New Roman"/>
                <w:i w:val="0"/>
                <w:iCs w:val="0"/>
                <w:color w:val="auto"/>
                <w:kern w:val="0"/>
                <w:sz w:val="21"/>
                <w:szCs w:val="21"/>
                <w:highlight w:val="none"/>
                <w:u w:val="none"/>
                <w:lang w:val="en-US" w:eastAsia="zh-CN" w:bidi="ar"/>
              </w:rPr>
              <w:t>一同</w:t>
            </w:r>
            <w:r>
              <w:rPr>
                <w:rFonts w:hint="default" w:ascii="Times New Roman" w:hAnsi="Times New Roman" w:eastAsia="宋体" w:cs="Times New Roman"/>
                <w:i w:val="0"/>
                <w:iCs w:val="0"/>
                <w:color w:val="auto"/>
                <w:kern w:val="0"/>
                <w:sz w:val="21"/>
                <w:szCs w:val="21"/>
                <w:highlight w:val="none"/>
                <w:u w:val="none"/>
                <w:lang w:val="en-US" w:eastAsia="zh-CN" w:bidi="ar"/>
              </w:rPr>
              <w:t>由库车绿能环保科技有限公司拉运处置。</w:t>
            </w:r>
          </w:p>
          <w:p w14:paraId="1CBF3DC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营运期：营运期固体废物主要为落地油、清管废渣、废防渗材料，属于危险废物，由持有危险废物经营许可证的单位接收处置。</w:t>
            </w:r>
          </w:p>
          <w:p w14:paraId="182E135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退役期：退役期废弃建筑残渣等收集后送塔河油田绿色环保站妥善处置</w:t>
            </w:r>
            <w:r>
              <w:rPr>
                <w:rFonts w:hint="default" w:ascii="Times New Roman" w:hAnsi="Times New Roman" w:cs="Times New Roman"/>
                <w:color w:val="auto"/>
                <w:kern w:val="0"/>
                <w:sz w:val="21"/>
                <w:szCs w:val="21"/>
                <w:highlight w:val="none"/>
                <w:lang w:bidi="ar"/>
              </w:rPr>
              <w:t>。</w:t>
            </w:r>
          </w:p>
        </w:tc>
        <w:tc>
          <w:tcPr>
            <w:tcW w:w="417" w:type="pct"/>
            <w:tcBorders>
              <w:top w:val="nil"/>
              <w:left w:val="single" w:color="000000" w:sz="8" w:space="0"/>
              <w:bottom w:val="single" w:color="000000" w:sz="8" w:space="0"/>
              <w:right w:val="single" w:color="000000" w:sz="8" w:space="0"/>
            </w:tcBorders>
            <w:shd w:val="clear" w:color="auto" w:fill="auto"/>
            <w:vAlign w:val="center"/>
          </w:tcPr>
          <w:p w14:paraId="42E9E6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18FF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377" w:type="pct"/>
            <w:vMerge w:val="continue"/>
            <w:tcBorders>
              <w:left w:val="single" w:color="auto" w:sz="4" w:space="0"/>
              <w:bottom w:val="single" w:color="auto" w:sz="4" w:space="0"/>
              <w:right w:val="single" w:color="auto" w:sz="4" w:space="0"/>
            </w:tcBorders>
            <w:shd w:val="clear" w:color="auto" w:fill="auto"/>
            <w:vAlign w:val="center"/>
          </w:tcPr>
          <w:p w14:paraId="0586B82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969" w:type="pct"/>
            <w:gridSpan w:val="4"/>
            <w:tcBorders>
              <w:top w:val="nil"/>
              <w:left w:val="single" w:color="auto" w:sz="4" w:space="0"/>
              <w:bottom w:val="single" w:color="auto" w:sz="4" w:space="0"/>
              <w:right w:val="single" w:color="000000" w:sz="8" w:space="0"/>
            </w:tcBorders>
            <w:shd w:val="clear" w:color="auto" w:fill="auto"/>
            <w:vAlign w:val="center"/>
          </w:tcPr>
          <w:p w14:paraId="6B4179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环境风险</w:t>
            </w:r>
          </w:p>
        </w:tc>
        <w:tc>
          <w:tcPr>
            <w:tcW w:w="3235" w:type="pct"/>
            <w:tcBorders>
              <w:top w:val="nil"/>
              <w:left w:val="single" w:color="000000" w:sz="8" w:space="0"/>
              <w:bottom w:val="single" w:color="auto" w:sz="4" w:space="0"/>
              <w:right w:val="single" w:color="000000" w:sz="8" w:space="0"/>
            </w:tcBorders>
            <w:shd w:val="clear" w:color="auto" w:fill="auto"/>
            <w:vAlign w:val="center"/>
          </w:tcPr>
          <w:p w14:paraId="301532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施工期：</w:t>
            </w:r>
            <w:r>
              <w:rPr>
                <w:rFonts w:hint="default" w:ascii="Times New Roman" w:hAnsi="Times New Roman" w:cs="Times New Roman"/>
                <w:i w:val="0"/>
                <w:iCs w:val="0"/>
                <w:color w:val="auto"/>
                <w:kern w:val="0"/>
                <w:sz w:val="21"/>
                <w:szCs w:val="21"/>
                <w:highlight w:val="none"/>
                <w:u w:val="none"/>
                <w:lang w:val="en-US" w:eastAsia="zh-CN" w:bidi="ar"/>
              </w:rPr>
              <w:t>单座</w:t>
            </w:r>
            <w:r>
              <w:rPr>
                <w:rFonts w:hint="default" w:ascii="Times New Roman" w:hAnsi="Times New Roman" w:eastAsia="宋体" w:cs="Times New Roman"/>
                <w:i w:val="0"/>
                <w:iCs w:val="0"/>
                <w:color w:val="auto"/>
                <w:kern w:val="0"/>
                <w:sz w:val="21"/>
                <w:szCs w:val="21"/>
                <w:highlight w:val="none"/>
                <w:u w:val="none"/>
                <w:lang w:val="en-US" w:eastAsia="zh-CN" w:bidi="ar"/>
              </w:rPr>
              <w:t>井场设置2座放喷池</w:t>
            </w:r>
            <w:r>
              <w:rPr>
                <w:rFonts w:hint="default" w:ascii="Times New Roman" w:hAnsi="Times New Roman" w:cs="Times New Roman"/>
                <w:i w:val="0"/>
                <w:iCs w:val="0"/>
                <w:color w:val="auto"/>
                <w:kern w:val="0"/>
                <w:sz w:val="21"/>
                <w:szCs w:val="21"/>
                <w:highlight w:val="none"/>
                <w:u w:val="none"/>
                <w:lang w:val="en-US" w:eastAsia="zh-CN" w:bidi="ar"/>
              </w:rPr>
              <w:t>。</w:t>
            </w:r>
          </w:p>
          <w:p w14:paraId="4AC197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营运期：</w:t>
            </w:r>
            <w:r>
              <w:rPr>
                <w:rFonts w:hint="default" w:ascii="Times New Roman" w:hAnsi="Times New Roman" w:cs="Times New Roman"/>
                <w:color w:val="auto"/>
                <w:kern w:val="0"/>
                <w:sz w:val="21"/>
                <w:szCs w:val="21"/>
                <w:highlight w:val="none"/>
                <w:lang w:bidi="ar"/>
              </w:rPr>
              <w:t>管线上方设置标识，定期巡检，对管线壁厚进行</w:t>
            </w:r>
            <w:r>
              <w:rPr>
                <w:rFonts w:hint="eastAsia" w:cs="Times New Roman"/>
                <w:color w:val="auto"/>
                <w:kern w:val="0"/>
                <w:sz w:val="21"/>
                <w:szCs w:val="21"/>
                <w:highlight w:val="none"/>
                <w:lang w:eastAsia="zh-CN" w:bidi="ar"/>
              </w:rPr>
              <w:t>超声检查</w:t>
            </w:r>
            <w:r>
              <w:rPr>
                <w:rFonts w:hint="default" w:ascii="Times New Roman" w:hAnsi="Times New Roman" w:cs="Times New Roman"/>
                <w:color w:val="auto"/>
                <w:kern w:val="0"/>
                <w:sz w:val="21"/>
                <w:szCs w:val="21"/>
                <w:highlight w:val="none"/>
                <w:lang w:bidi="ar"/>
              </w:rPr>
              <w:t>，井场设置可燃气体报警仪和硫化氢检测仪。纳入采油三厂环境风险应急预案。</w:t>
            </w:r>
          </w:p>
        </w:tc>
        <w:tc>
          <w:tcPr>
            <w:tcW w:w="417" w:type="pct"/>
            <w:tcBorders>
              <w:top w:val="nil"/>
              <w:left w:val="single" w:color="000000" w:sz="8" w:space="0"/>
              <w:bottom w:val="single" w:color="auto" w:sz="4" w:space="0"/>
              <w:right w:val="single" w:color="000000" w:sz="8" w:space="0"/>
            </w:tcBorders>
            <w:shd w:val="clear" w:color="auto" w:fill="auto"/>
            <w:vAlign w:val="center"/>
          </w:tcPr>
          <w:p w14:paraId="1788E1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5B630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3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2068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bookmarkStart w:id="228" w:name="_Toc26363"/>
            <w:bookmarkStart w:id="229" w:name="_Toc15750"/>
            <w:r>
              <w:rPr>
                <w:rFonts w:hint="default" w:ascii="Times New Roman" w:hAnsi="Times New Roman" w:eastAsia="宋体" w:cs="Times New Roman"/>
                <w:i w:val="0"/>
                <w:iCs w:val="0"/>
                <w:color w:val="auto"/>
                <w:kern w:val="0"/>
                <w:sz w:val="21"/>
                <w:szCs w:val="21"/>
                <w:highlight w:val="none"/>
                <w:u w:val="none"/>
                <w:lang w:val="en-US" w:eastAsia="zh-CN" w:bidi="ar"/>
              </w:rPr>
              <w:t>依托工程</w:t>
            </w:r>
          </w:p>
        </w:tc>
        <w:tc>
          <w:tcPr>
            <w:tcW w:w="461" w:type="pct"/>
            <w:gridSpan w:val="3"/>
            <w:tcBorders>
              <w:top w:val="single" w:color="auto" w:sz="4" w:space="0"/>
              <w:left w:val="single" w:color="auto" w:sz="4" w:space="0"/>
              <w:bottom w:val="single" w:color="auto" w:sz="4" w:space="0"/>
              <w:right w:val="single" w:color="000000" w:sz="8" w:space="0"/>
            </w:tcBorders>
            <w:shd w:val="clear" w:color="auto" w:fill="auto"/>
            <w:vAlign w:val="center"/>
          </w:tcPr>
          <w:p w14:paraId="1C3A84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18"/>
                <w:highlight w:val="none"/>
              </w:rPr>
              <w:t>油气处理</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02A5B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塔河油田</w:t>
            </w:r>
            <w:r>
              <w:rPr>
                <w:rFonts w:hint="default" w:ascii="Times New Roman" w:hAnsi="Times New Roman" w:cs="Times New Roman"/>
                <w:i w:val="0"/>
                <w:iCs w:val="0"/>
                <w:color w:val="auto"/>
                <w:kern w:val="0"/>
                <w:sz w:val="21"/>
                <w:szCs w:val="21"/>
                <w:highlight w:val="none"/>
                <w:u w:val="none"/>
                <w:lang w:val="en-US" w:eastAsia="zh-CN" w:bidi="ar"/>
              </w:rPr>
              <w:t>三</w:t>
            </w:r>
            <w:r>
              <w:rPr>
                <w:rFonts w:hint="default" w:ascii="Times New Roman" w:hAnsi="Times New Roman" w:eastAsia="宋体" w:cs="Times New Roman"/>
                <w:i w:val="0"/>
                <w:iCs w:val="0"/>
                <w:color w:val="auto"/>
                <w:kern w:val="0"/>
                <w:sz w:val="21"/>
                <w:szCs w:val="21"/>
                <w:highlight w:val="none"/>
                <w:u w:val="none"/>
                <w:lang w:val="en-US" w:eastAsia="zh-CN" w:bidi="ar"/>
              </w:rPr>
              <w:t>号联合站</w:t>
            </w:r>
          </w:p>
        </w:tc>
        <w:tc>
          <w:tcPr>
            <w:tcW w:w="3235" w:type="pct"/>
            <w:tcBorders>
              <w:top w:val="single" w:color="auto" w:sz="4" w:space="0"/>
              <w:left w:val="single" w:color="auto" w:sz="4" w:space="0"/>
              <w:bottom w:val="single" w:color="auto" w:sz="4" w:space="0"/>
              <w:right w:val="single" w:color="auto" w:sz="4" w:space="0"/>
            </w:tcBorders>
            <w:shd w:val="clear" w:color="auto" w:fill="auto"/>
            <w:vAlign w:val="center"/>
          </w:tcPr>
          <w:p w14:paraId="22E8E8F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18"/>
                <w:highlight w:val="none"/>
                <w:lang w:val="en-US" w:eastAsia="zh-CN"/>
              </w:rPr>
              <w:t>本项目</w:t>
            </w:r>
            <w:r>
              <w:rPr>
                <w:rFonts w:hint="default" w:ascii="Times New Roman" w:hAnsi="Times New Roman" w:cs="Times New Roman"/>
                <w:color w:val="auto"/>
                <w:sz w:val="21"/>
                <w:szCs w:val="18"/>
                <w:highlight w:val="none"/>
              </w:rPr>
              <w:t>油气处理依托塔河油田</w:t>
            </w:r>
            <w:r>
              <w:rPr>
                <w:rFonts w:hint="default" w:ascii="Times New Roman" w:hAnsi="Times New Roman" w:cs="Times New Roman"/>
                <w:color w:val="auto"/>
                <w:sz w:val="21"/>
                <w:szCs w:val="18"/>
                <w:highlight w:val="none"/>
                <w:lang w:val="en-US" w:eastAsia="zh-CN"/>
              </w:rPr>
              <w:t>三</w:t>
            </w:r>
            <w:r>
              <w:rPr>
                <w:rFonts w:hint="default" w:ascii="Times New Roman" w:hAnsi="Times New Roman" w:cs="Times New Roman"/>
                <w:color w:val="auto"/>
                <w:sz w:val="21"/>
                <w:szCs w:val="18"/>
                <w:highlight w:val="none"/>
              </w:rPr>
              <w:t>号联合站处理。三号联合站</w:t>
            </w:r>
            <w:r>
              <w:rPr>
                <w:rFonts w:hint="eastAsia" w:cs="Times New Roman"/>
                <w:color w:val="auto"/>
                <w:sz w:val="21"/>
                <w:szCs w:val="18"/>
                <w:highlight w:val="none"/>
                <w:lang w:val="en-US" w:eastAsia="zh-CN"/>
              </w:rPr>
              <w:t>原油处理站</w:t>
            </w:r>
            <w:r>
              <w:rPr>
                <w:rFonts w:hint="default" w:ascii="Times New Roman" w:hAnsi="Times New Roman" w:cs="Times New Roman"/>
                <w:color w:val="auto"/>
                <w:sz w:val="21"/>
                <w:szCs w:val="18"/>
                <w:highlight w:val="none"/>
                <w:lang w:val="en-US" w:eastAsia="zh-CN"/>
              </w:rPr>
              <w:t>负责</w:t>
            </w:r>
            <w:r>
              <w:rPr>
                <w:rFonts w:hint="default" w:ascii="Times New Roman" w:hAnsi="Times New Roman" w:eastAsia="宋体" w:cs="Times New Roman"/>
                <w:i w:val="0"/>
                <w:iCs w:val="0"/>
                <w:color w:val="auto"/>
                <w:sz w:val="21"/>
                <w:szCs w:val="21"/>
                <w:highlight w:val="none"/>
                <w:u w:val="none"/>
              </w:rPr>
              <w:t>塔河油田8区</w:t>
            </w:r>
            <w:r>
              <w:rPr>
                <w:rFonts w:hint="default" w:ascii="Times New Roman" w:hAnsi="Times New Roman" w:cs="Times New Roman"/>
                <w:i w:val="0"/>
                <w:iCs w:val="0"/>
                <w:color w:val="auto"/>
                <w:sz w:val="21"/>
                <w:szCs w:val="21"/>
                <w:highlight w:val="none"/>
                <w:u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10区</w:t>
            </w:r>
            <w:r>
              <w:rPr>
                <w:rFonts w:hint="default" w:ascii="Times New Roman" w:hAnsi="Times New Roman" w:cs="Times New Roman"/>
                <w:i w:val="0"/>
                <w:iCs w:val="0"/>
                <w:color w:val="auto"/>
                <w:kern w:val="0"/>
                <w:sz w:val="21"/>
                <w:szCs w:val="21"/>
                <w:highlight w:val="none"/>
                <w:u w:val="none"/>
                <w:lang w:val="en-US" w:eastAsia="zh-CN" w:bidi="ar"/>
              </w:rPr>
              <w:t>南</w:t>
            </w:r>
            <w:r>
              <w:rPr>
                <w:rFonts w:hint="default" w:ascii="Times New Roman" w:hAnsi="Times New Roman" w:cs="Times New Roman"/>
                <w:color w:val="auto"/>
                <w:sz w:val="21"/>
                <w:szCs w:val="18"/>
                <w:highlight w:val="none"/>
              </w:rPr>
              <w:t>、</w:t>
            </w:r>
            <w:r>
              <w:rPr>
                <w:rFonts w:hint="default" w:ascii="Times New Roman" w:hAnsi="Times New Roman" w:cs="Times New Roman"/>
                <w:i w:val="0"/>
                <w:iCs w:val="0"/>
                <w:color w:val="auto"/>
                <w:sz w:val="21"/>
                <w:szCs w:val="21"/>
                <w:highlight w:val="none"/>
                <w:u w:val="none"/>
                <w:lang w:eastAsia="zh-CN"/>
              </w:rPr>
              <w:t>托普台区</w:t>
            </w:r>
            <w:r>
              <w:rPr>
                <w:rFonts w:hint="eastAsia" w:cs="Times New Roman"/>
                <w:i w:val="0"/>
                <w:iCs w:val="0"/>
                <w:color w:val="auto"/>
                <w:sz w:val="21"/>
                <w:szCs w:val="21"/>
                <w:highlight w:val="none"/>
                <w:u w:val="none"/>
                <w:lang w:val="en-US" w:eastAsia="zh-CN"/>
              </w:rPr>
              <w:t>油气</w:t>
            </w:r>
            <w:r>
              <w:rPr>
                <w:rFonts w:hint="default" w:ascii="Times New Roman" w:hAnsi="Times New Roman" w:cs="Times New Roman"/>
                <w:i w:val="0"/>
                <w:iCs w:val="0"/>
                <w:color w:val="auto"/>
                <w:sz w:val="21"/>
                <w:szCs w:val="21"/>
                <w:highlight w:val="none"/>
                <w:u w:val="none"/>
                <w:lang w:eastAsia="zh-CN"/>
              </w:rPr>
              <w:t>处理任务</w:t>
            </w:r>
            <w:r>
              <w:rPr>
                <w:rFonts w:hint="eastAsia" w:cs="Times New Roman"/>
                <w:i w:val="0"/>
                <w:iCs w:val="0"/>
                <w:color w:val="auto"/>
                <w:sz w:val="21"/>
                <w:szCs w:val="21"/>
                <w:highlight w:val="none"/>
                <w:u w:val="none"/>
                <w:lang w:eastAsia="zh-CN"/>
              </w:rPr>
              <w:t>。</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30EEE19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color w:val="auto"/>
                <w:sz w:val="21"/>
                <w:szCs w:val="18"/>
                <w:highlight w:val="none"/>
                <w:lang w:val="en-US" w:eastAsia="zh-CN"/>
              </w:rPr>
            </w:pPr>
            <w:r>
              <w:rPr>
                <w:rFonts w:hint="eastAsia" w:cs="Times New Roman"/>
                <w:color w:val="auto"/>
                <w:sz w:val="21"/>
                <w:szCs w:val="18"/>
                <w:highlight w:val="none"/>
                <w:lang w:val="en-US" w:eastAsia="zh-CN"/>
              </w:rPr>
              <w:t>依托</w:t>
            </w:r>
          </w:p>
        </w:tc>
      </w:tr>
      <w:tr w14:paraId="6957F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 w:hRule="atLeast"/>
          <w:jc w:val="center"/>
        </w:trPr>
        <w:tc>
          <w:tcPr>
            <w:tcW w:w="3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C03F2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46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E057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采出水处理</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1E041243">
            <w:pPr>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三</w:t>
            </w:r>
            <w:r>
              <w:rPr>
                <w:rFonts w:hint="default" w:ascii="Times New Roman" w:hAnsi="Times New Roman" w:cs="Times New Roman"/>
                <w:color w:val="auto"/>
                <w:sz w:val="21"/>
                <w:highlight w:val="none"/>
              </w:rPr>
              <w:t>号联合站采出水处理系统</w:t>
            </w:r>
          </w:p>
        </w:tc>
        <w:tc>
          <w:tcPr>
            <w:tcW w:w="3235" w:type="pct"/>
            <w:tcBorders>
              <w:top w:val="single" w:color="auto" w:sz="4" w:space="0"/>
              <w:left w:val="single" w:color="auto" w:sz="4" w:space="0"/>
              <w:bottom w:val="single" w:color="auto" w:sz="4" w:space="0"/>
              <w:right w:val="single" w:color="auto" w:sz="4" w:space="0"/>
            </w:tcBorders>
            <w:shd w:val="clear" w:color="auto" w:fill="auto"/>
            <w:vAlign w:val="center"/>
          </w:tcPr>
          <w:p w14:paraId="38FB96A2">
            <w:pPr>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szCs w:val="18"/>
                <w:highlight w:val="none"/>
                <w:lang w:val="en-US" w:eastAsia="zh-CN"/>
              </w:rPr>
              <w:t>本项目</w:t>
            </w:r>
            <w:r>
              <w:rPr>
                <w:rFonts w:hint="default" w:ascii="Times New Roman" w:hAnsi="Times New Roman" w:cs="Times New Roman"/>
                <w:color w:val="auto"/>
                <w:sz w:val="21"/>
                <w:highlight w:val="none"/>
              </w:rPr>
              <w:t>采出水处理依托</w:t>
            </w:r>
            <w:r>
              <w:rPr>
                <w:rFonts w:hint="default" w:ascii="Times New Roman" w:hAnsi="Times New Roman" w:cs="Times New Roman"/>
                <w:color w:val="auto"/>
                <w:sz w:val="21"/>
                <w:highlight w:val="none"/>
                <w:lang w:val="en-US" w:eastAsia="zh-CN"/>
              </w:rPr>
              <w:t>塔河油田三</w:t>
            </w:r>
            <w:r>
              <w:rPr>
                <w:rFonts w:hint="default" w:ascii="Times New Roman" w:hAnsi="Times New Roman" w:cs="Times New Roman"/>
                <w:color w:val="auto"/>
                <w:sz w:val="21"/>
                <w:highlight w:val="none"/>
              </w:rPr>
              <w:t>号联合站处理。</w:t>
            </w:r>
            <w:r>
              <w:rPr>
                <w:rFonts w:hint="default" w:ascii="Times New Roman" w:hAnsi="Times New Roman" w:cs="Times New Roman"/>
                <w:color w:val="auto"/>
                <w:sz w:val="21"/>
                <w:szCs w:val="18"/>
                <w:highlight w:val="none"/>
              </w:rPr>
              <w:t>分离后的含油污水采用“沉降+压力除油+过滤”工艺处理达标后回注。</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2AD7E231">
            <w:pPr>
              <w:jc w:val="both"/>
              <w:rPr>
                <w:rFonts w:hint="default" w:ascii="Times New Roman" w:hAnsi="Times New Roman" w:cs="Times New Roman"/>
                <w:color w:val="auto"/>
                <w:sz w:val="21"/>
                <w:szCs w:val="18"/>
                <w:highlight w:val="none"/>
                <w:lang w:val="en-US" w:eastAsia="zh-CN"/>
              </w:rPr>
            </w:pPr>
            <w:r>
              <w:rPr>
                <w:rFonts w:hint="eastAsia" w:cs="Times New Roman"/>
                <w:color w:val="auto"/>
                <w:sz w:val="21"/>
                <w:szCs w:val="18"/>
                <w:highlight w:val="none"/>
                <w:lang w:val="en-US" w:eastAsia="zh-CN"/>
              </w:rPr>
              <w:t>依托</w:t>
            </w:r>
          </w:p>
        </w:tc>
      </w:tr>
      <w:tr w14:paraId="5E8FF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377" w:type="pct"/>
            <w:vMerge w:val="continue"/>
            <w:tcBorders>
              <w:top w:val="single" w:color="auto" w:sz="4" w:space="0"/>
              <w:left w:val="single" w:color="auto" w:sz="4" w:space="0"/>
              <w:right w:val="single" w:color="auto" w:sz="4" w:space="0"/>
            </w:tcBorders>
            <w:shd w:val="clear" w:color="auto" w:fill="auto"/>
            <w:vAlign w:val="center"/>
          </w:tcPr>
          <w:p w14:paraId="40FC6D6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46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AB4C6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井下作业废水处理</w:t>
            </w:r>
          </w:p>
        </w:tc>
        <w:tc>
          <w:tcPr>
            <w:tcW w:w="508" w:type="pct"/>
            <w:tcBorders>
              <w:top w:val="single" w:color="auto" w:sz="4" w:space="0"/>
              <w:left w:val="single" w:color="auto" w:sz="4" w:space="0"/>
              <w:right w:val="single" w:color="auto" w:sz="4" w:space="0"/>
            </w:tcBorders>
            <w:shd w:val="clear" w:color="auto" w:fill="auto"/>
            <w:vAlign w:val="center"/>
          </w:tcPr>
          <w:p w14:paraId="7A37A6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塔河油田绿色环保站</w:t>
            </w:r>
          </w:p>
        </w:tc>
        <w:tc>
          <w:tcPr>
            <w:tcW w:w="3235" w:type="pct"/>
            <w:tcBorders>
              <w:top w:val="single" w:color="auto" w:sz="4" w:space="0"/>
              <w:left w:val="single" w:color="auto" w:sz="4" w:space="0"/>
              <w:bottom w:val="single" w:color="auto" w:sz="4" w:space="0"/>
              <w:right w:val="single" w:color="auto" w:sz="4" w:space="0"/>
            </w:tcBorders>
            <w:shd w:val="clear" w:color="auto" w:fill="auto"/>
            <w:vAlign w:val="center"/>
          </w:tcPr>
          <w:p w14:paraId="15B4DF4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18"/>
                <w:highlight w:val="none"/>
                <w:lang w:val="en-US" w:eastAsia="zh-CN"/>
              </w:rPr>
              <w:t>全称</w:t>
            </w:r>
            <w:r>
              <w:rPr>
                <w:rFonts w:hint="default" w:ascii="Times New Roman" w:hAnsi="Times New Roman" w:cs="Times New Roman"/>
                <w:color w:val="auto"/>
                <w:sz w:val="21"/>
                <w:szCs w:val="18"/>
                <w:highlight w:val="none"/>
              </w:rPr>
              <w:t>西北油田分公司油田工程服务中心绿色环保工作站</w:t>
            </w:r>
            <w:r>
              <w:rPr>
                <w:rFonts w:hint="eastAsia" w:ascii="Times New Roman" w:hAnsi="Times New Roman" w:cs="Times New Roman"/>
                <w:color w:val="auto"/>
                <w:sz w:val="21"/>
                <w:szCs w:val="18"/>
                <w:highlight w:val="none"/>
                <w:lang w:eastAsia="zh-CN"/>
              </w:rPr>
              <w:t>，</w:t>
            </w:r>
            <w:r>
              <w:rPr>
                <w:rFonts w:hint="default" w:ascii="Times New Roman" w:hAnsi="Times New Roman" w:cs="Times New Roman"/>
                <w:i w:val="0"/>
                <w:iCs w:val="0"/>
                <w:color w:val="auto"/>
                <w:kern w:val="0"/>
                <w:sz w:val="21"/>
                <w:szCs w:val="21"/>
                <w:highlight w:val="none"/>
                <w:u w:val="none"/>
                <w:lang w:val="en-US" w:eastAsia="zh-CN" w:bidi="ar"/>
              </w:rPr>
              <w:t>本项目</w:t>
            </w:r>
            <w:r>
              <w:rPr>
                <w:rFonts w:hint="default" w:ascii="Times New Roman" w:hAnsi="Times New Roman" w:eastAsia="宋体" w:cs="Times New Roman"/>
                <w:i w:val="0"/>
                <w:iCs w:val="0"/>
                <w:color w:val="auto"/>
                <w:kern w:val="0"/>
                <w:sz w:val="21"/>
                <w:szCs w:val="21"/>
                <w:highlight w:val="none"/>
                <w:u w:val="none"/>
                <w:lang w:val="en-US" w:eastAsia="zh-CN" w:bidi="ar"/>
              </w:rPr>
              <w:t>部分酸化压裂废水、废液依托塔河油田绿色环保站处理。</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5D6DA4E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color w:val="auto"/>
                <w:sz w:val="21"/>
                <w:szCs w:val="18"/>
                <w:highlight w:val="none"/>
                <w:lang w:val="en-US" w:eastAsia="zh-CN"/>
              </w:rPr>
            </w:pPr>
            <w:r>
              <w:rPr>
                <w:rFonts w:hint="eastAsia" w:cs="Times New Roman"/>
                <w:color w:val="auto"/>
                <w:sz w:val="21"/>
                <w:szCs w:val="18"/>
                <w:highlight w:val="none"/>
                <w:lang w:val="en-US" w:eastAsia="zh-CN"/>
              </w:rPr>
              <w:t>依托</w:t>
            </w:r>
          </w:p>
        </w:tc>
      </w:tr>
      <w:tr w14:paraId="456A1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377" w:type="pct"/>
            <w:vMerge w:val="continue"/>
            <w:tcBorders>
              <w:left w:val="single" w:color="auto" w:sz="4" w:space="0"/>
              <w:bottom w:val="single" w:color="auto" w:sz="4" w:space="0"/>
              <w:right w:val="single" w:color="auto" w:sz="4" w:space="0"/>
            </w:tcBorders>
            <w:shd w:val="clear" w:color="auto" w:fill="auto"/>
            <w:vAlign w:val="center"/>
          </w:tcPr>
          <w:p w14:paraId="19F4E4F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461" w:type="pct"/>
            <w:gridSpan w:val="3"/>
            <w:tcBorders>
              <w:top w:val="single" w:color="auto" w:sz="4" w:space="0"/>
              <w:left w:val="single" w:color="auto" w:sz="4" w:space="0"/>
              <w:bottom w:val="single" w:color="auto" w:sz="4" w:space="0"/>
              <w:right w:val="single" w:color="000000" w:sz="8" w:space="0"/>
            </w:tcBorders>
            <w:shd w:val="clear" w:color="auto" w:fill="auto"/>
            <w:vAlign w:val="center"/>
          </w:tcPr>
          <w:p w14:paraId="183E82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固体废弃物处理</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D8D67B5">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塔河油田绿色环保站</w:t>
            </w:r>
          </w:p>
        </w:tc>
        <w:tc>
          <w:tcPr>
            <w:tcW w:w="3235" w:type="pct"/>
            <w:tcBorders>
              <w:top w:val="single" w:color="auto" w:sz="4" w:space="0"/>
              <w:left w:val="single" w:color="auto" w:sz="4" w:space="0"/>
              <w:bottom w:val="single" w:color="auto" w:sz="4" w:space="0"/>
              <w:right w:val="single" w:color="auto" w:sz="4" w:space="0"/>
            </w:tcBorders>
            <w:shd w:val="clear" w:color="auto" w:fill="auto"/>
            <w:vAlign w:val="center"/>
          </w:tcPr>
          <w:p w14:paraId="0B97D629">
            <w:pPr>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lang w:eastAsia="zh-CN"/>
              </w:rPr>
              <w:t>本项目</w:t>
            </w:r>
            <w:r>
              <w:rPr>
                <w:rFonts w:hint="default" w:ascii="Times New Roman" w:hAnsi="Times New Roman" w:cs="Times New Roman"/>
                <w:color w:val="auto"/>
                <w:sz w:val="21"/>
                <w:szCs w:val="18"/>
                <w:highlight w:val="none"/>
              </w:rPr>
              <w:t>产生的含油污泥、受浸土、废液，依托西北油田分公司油田工程服务中心绿色环保工作站处理。油污泥处理系统（主要处理对象为含油量＞5%油泥），设计年处理含油污泥6万m³，有4套5</w:t>
            </w:r>
            <w:r>
              <w:rPr>
                <w:rFonts w:hint="eastAsia" w:cs="Times New Roman"/>
                <w:color w:val="auto"/>
                <w:sz w:val="21"/>
                <w:szCs w:val="18"/>
                <w:highlight w:val="none"/>
                <w:lang w:eastAsia="zh-CN"/>
              </w:rPr>
              <w:t>相分离</w:t>
            </w:r>
            <w:r>
              <w:rPr>
                <w:rFonts w:hint="default" w:ascii="Times New Roman" w:hAnsi="Times New Roman" w:cs="Times New Roman"/>
                <w:color w:val="auto"/>
                <w:sz w:val="21"/>
                <w:szCs w:val="18"/>
                <w:highlight w:val="none"/>
              </w:rPr>
              <w:t>装置；受浸土（主要指含油量＜5%的污油泥）依托中石化西南石油工程有限公司巴州分公司（规模7万吨/a）和阿克苏塔河环保工程有限公司处理（规模15万吨/a）处理；废液处置能力65m</w:t>
            </w:r>
            <w:r>
              <w:rPr>
                <w:rFonts w:hint="default" w:ascii="Times New Roman" w:hAnsi="Times New Roman" w:cs="Times New Roman"/>
                <w:color w:val="auto"/>
                <w:sz w:val="21"/>
                <w:szCs w:val="18"/>
                <w:highlight w:val="none"/>
                <w:vertAlign w:val="superscript"/>
              </w:rPr>
              <w:t>3</w:t>
            </w:r>
            <w:r>
              <w:rPr>
                <w:rFonts w:hint="default" w:ascii="Times New Roman" w:hAnsi="Times New Roman" w:cs="Times New Roman"/>
                <w:color w:val="auto"/>
                <w:sz w:val="21"/>
                <w:szCs w:val="18"/>
                <w:highlight w:val="none"/>
              </w:rPr>
              <w:t>/h，在站内自行处理。</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03C61D8F">
            <w:pPr>
              <w:jc w:val="both"/>
              <w:rPr>
                <w:rFonts w:hint="default" w:ascii="Times New Roman" w:hAnsi="Times New Roman" w:cs="Times New Roman"/>
                <w:color w:val="auto"/>
                <w:sz w:val="21"/>
                <w:szCs w:val="18"/>
                <w:highlight w:val="none"/>
                <w:lang w:val="en-US" w:eastAsia="zh-CN"/>
              </w:rPr>
            </w:pPr>
            <w:r>
              <w:rPr>
                <w:rFonts w:hint="eastAsia" w:cs="Times New Roman"/>
                <w:color w:val="auto"/>
                <w:sz w:val="21"/>
                <w:szCs w:val="18"/>
                <w:highlight w:val="none"/>
                <w:lang w:val="en-US" w:eastAsia="zh-CN"/>
              </w:rPr>
              <w:t>依托</w:t>
            </w:r>
          </w:p>
        </w:tc>
      </w:tr>
    </w:tbl>
    <w:p w14:paraId="03992C9A">
      <w:pPr>
        <w:pStyle w:val="12"/>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right="68"/>
        <w:jc w:val="both"/>
        <w:textAlignment w:val="baseline"/>
        <w:outlineLvl w:val="3"/>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.1.5工程投资</w:t>
      </w:r>
    </w:p>
    <w:p w14:paraId="3DA9E844">
      <w:pPr>
        <w:pStyle w:val="12"/>
        <w:pageBreakBefore w:val="0"/>
        <w:wordWrap/>
        <w:overflowPunct/>
        <w:topLinePunct w:val="0"/>
        <w:bidi w:val="0"/>
        <w:adjustRightInd w:val="0"/>
        <w:snapToGrid w:val="0"/>
        <w:ind w:left="0" w:leftChars="0"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本项目总投资约</w:t>
      </w:r>
      <w:r>
        <w:rPr>
          <w:rFonts w:hint="eastAsia" w:ascii="Times New Roman" w:hAnsi="Times New Roman" w:cs="Times New Roman"/>
          <w:color w:val="auto"/>
          <w:highlight w:val="none"/>
          <w:lang w:val="en-US" w:eastAsia="zh-CN"/>
        </w:rPr>
        <w:t>5408</w:t>
      </w:r>
      <w:r>
        <w:rPr>
          <w:rFonts w:hint="default" w:ascii="Times New Roman" w:hAnsi="Times New Roman" w:cs="Times New Roman"/>
          <w:color w:val="auto"/>
          <w:highlight w:val="none"/>
          <w:lang w:val="en-US" w:eastAsia="zh-CN"/>
        </w:rPr>
        <w:t>万元</w:t>
      </w:r>
      <w:r>
        <w:rPr>
          <w:rFonts w:hint="default" w:ascii="Times New Roman" w:hAnsi="Times New Roman" w:cs="Times New Roman"/>
          <w:color w:val="auto"/>
          <w:highlight w:val="none"/>
        </w:rPr>
        <w:t>。</w:t>
      </w:r>
    </w:p>
    <w:p w14:paraId="7998AAE3">
      <w:pPr>
        <w:pStyle w:val="12"/>
        <w:keepNext w:val="0"/>
        <w:keepLines w:val="0"/>
        <w:pageBreakBefore w:val="0"/>
        <w:widowControl/>
        <w:kinsoku w:val="0"/>
        <w:wordWrap/>
        <w:overflowPunct/>
        <w:topLinePunct w:val="0"/>
        <w:autoSpaceDE w:val="0"/>
        <w:autoSpaceDN w:val="0"/>
        <w:bidi w:val="0"/>
        <w:adjustRightInd w:val="0"/>
        <w:snapToGrid w:val="0"/>
        <w:spacing w:line="360" w:lineRule="auto"/>
        <w:ind w:right="66"/>
        <w:jc w:val="both"/>
        <w:textAlignment w:val="baseline"/>
        <w:outlineLvl w:val="3"/>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.1.6劳动组织及定员</w:t>
      </w:r>
    </w:p>
    <w:p w14:paraId="00C66E25">
      <w:pPr>
        <w:pStyle w:val="12"/>
        <w:pageBreakBefore w:val="0"/>
        <w:wordWrap/>
        <w:overflowPunct/>
        <w:topLinePunct w:val="0"/>
        <w:bidi w:val="0"/>
        <w:adjustRightInd w:val="0"/>
        <w:snapToGrid w:val="0"/>
        <w:ind w:left="0" w:leftChars="0" w:firstLine="480" w:firstLineChars="200"/>
        <w:rPr>
          <w:rFonts w:hint="default" w:ascii="Times New Roman" w:hAnsi="Times New Roman" w:cs="Times New Roman"/>
          <w:color w:val="auto"/>
          <w:highlight w:val="none"/>
        </w:rPr>
        <w:sectPr>
          <w:pgSz w:w="11905" w:h="16838"/>
          <w:pgMar w:top="1446" w:right="1672" w:bottom="1429" w:left="1689" w:header="794" w:footer="1020"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cs="Times New Roman"/>
          <w:color w:val="auto"/>
          <w:highlight w:val="none"/>
          <w:lang w:eastAsia="zh-CN"/>
        </w:rPr>
        <w:t>本项目</w:t>
      </w:r>
      <w:r>
        <w:rPr>
          <w:rFonts w:hint="eastAsia"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rPr>
        <w:t>不新增劳动定员，均依托现有采油三厂</w:t>
      </w:r>
      <w:r>
        <w:rPr>
          <w:rFonts w:hint="eastAsia"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工作人员，井场无人值守。</w:t>
      </w:r>
    </w:p>
    <w:p w14:paraId="1A03ABEE">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.2油气资源概况</w:t>
      </w:r>
      <w:bookmarkEnd w:id="228"/>
      <w:bookmarkEnd w:id="229"/>
    </w:p>
    <w:p w14:paraId="3354638D">
      <w:pPr>
        <w:keepLines/>
        <w:adjustRightInd w:val="0"/>
        <w:snapToGrid w:val="0"/>
        <w:spacing w:line="360" w:lineRule="auto"/>
        <w:jc w:val="both"/>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.2.1区域地质构造</w:t>
      </w:r>
    </w:p>
    <w:p w14:paraId="10B2A035">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塔河油田位于阿克库勒凸起轴部和翼部，奥陶系顶面现今地貌形态整体上表现为由北东向南西倾斜的大型鼻状凸起，形成于海西早期，海西晚期基本定型。主体区T74顶面构造整体上表现为北东高、南西低的趋势，由北向南呈现出岩溶残丘-斜坡-缓坡形态。主体区T74等深度图和褶曲分布图可看出，剥蚀区残丘幅度大，局部构造发育区残丘以相对高、陡残丘为主。</w:t>
      </w:r>
    </w:p>
    <w:p w14:paraId="2F5E430A">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结合投产井生产情况，可划分为5个构造单元：北东部S46-S48鼻状构造高、S62残丘发育区、中部S74-S76长轴断隆、南东部S79-T701构造斜坡、南西部S86-S91断隆缓坡。S46-S48鼻状构造高、S62残丘发育区和S74-S76长轴断隆中北部位于上奥陶剥蚀区，S74-S76长轴断隆南部与S79-T701构造斜坡、S86-S91断隆缓坡位于上奥陶覆盖区。</w:t>
      </w:r>
    </w:p>
    <w:p w14:paraId="21267B2A">
      <w:pPr>
        <w:keepLines/>
        <w:adjustRightInd w:val="0"/>
        <w:snapToGrid w:val="0"/>
        <w:spacing w:line="360" w:lineRule="auto"/>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.2.2区域储层特征</w:t>
      </w:r>
    </w:p>
    <w:p w14:paraId="4035171F">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受到多期构造运动和岩溶作用的影响，塔河地区奥陶系基质物性总体表现相对比较差，储集空间应以溶洞、溶孔、裂缝为主，其中溶洞、溶孔为主要的储集体核心空间，主要受多期次的大规模溶蚀作用形成，形成多个岩溶体系。主要经历了加里东中期表生岩溶、海西早期裸露风化岩溶和埋藏期层状岩溶等三期岩溶作用过程；海西早期裸露风化岩溶是缝洞系统的主要形成时期，该期的古岩溶地貌和古水动力条件是缝洞系统发育的主要影响因素；缝洞系统经历了被不断埋藏所产生的溶蚀和充填改造作用，深部热液作用形成了以层状分布为特征的溶蚀孔洞；塔河油田碳酸盐岩缝洞系统具有类型多样、大小悬殊和分布规律复杂的特点。</w:t>
      </w:r>
    </w:p>
    <w:p w14:paraId="20E5C10B">
      <w:pPr>
        <w:keepLines/>
        <w:spacing w:line="360" w:lineRule="auto"/>
        <w:jc w:val="both"/>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.2.</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流体性质参数</w:t>
      </w:r>
    </w:p>
    <w:p w14:paraId="75F573A5">
      <w:pPr>
        <w:spacing w:line="360" w:lineRule="auto"/>
        <w:ind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塔河油田8</w:t>
      </w:r>
      <w:r>
        <w:rPr>
          <w:rFonts w:hint="default" w:ascii="Times New Roman" w:hAnsi="Times New Roman" w:cs="Times New Roman"/>
          <w:color w:val="auto"/>
          <w:highlight w:val="none"/>
        </w:rPr>
        <w:t>区</w:t>
      </w:r>
    </w:p>
    <w:p w14:paraId="794B5A2D">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塔河油田8</w:t>
      </w:r>
      <w:r>
        <w:rPr>
          <w:rFonts w:hint="default" w:ascii="Times New Roman" w:hAnsi="Times New Roman" w:cs="Times New Roman"/>
          <w:color w:val="auto"/>
          <w:highlight w:val="none"/>
        </w:rPr>
        <w:t>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原油密度介于0.8251～1.0093g/cm³之间，平均为0.9</w:t>
      </w:r>
      <w:r>
        <w:rPr>
          <w:rFonts w:hint="eastAsia" w:cs="Times New Roman"/>
          <w:color w:val="auto"/>
          <w:highlight w:val="none"/>
          <w:lang w:val="en-US" w:eastAsia="zh-CN"/>
        </w:rPr>
        <w:t>47</w:t>
      </w:r>
      <w:r>
        <w:rPr>
          <w:rFonts w:hint="default" w:ascii="Times New Roman" w:hAnsi="Times New Roman" w:cs="Times New Roman"/>
          <w:color w:val="auto"/>
          <w:highlight w:val="none"/>
        </w:rPr>
        <w:t>g/cm³。原油运动</w:t>
      </w:r>
      <w:r>
        <w:rPr>
          <w:rFonts w:hint="eastAsia" w:cs="Times New Roman"/>
          <w:color w:val="auto"/>
          <w:highlight w:val="none"/>
          <w:lang w:eastAsia="zh-CN"/>
        </w:rPr>
        <w:t>黏度</w:t>
      </w:r>
      <w:r>
        <w:rPr>
          <w:rFonts w:hint="default" w:ascii="Times New Roman" w:hAnsi="Times New Roman" w:cs="Times New Roman"/>
          <w:color w:val="auto"/>
          <w:highlight w:val="none"/>
        </w:rPr>
        <w:t>平均为2036mm²·s，既有轻质油、中质油，又有重质油。总体而言，8区原油为低—高</w:t>
      </w:r>
      <w:r>
        <w:rPr>
          <w:rFonts w:hint="eastAsia" w:cs="Times New Roman"/>
          <w:color w:val="auto"/>
          <w:highlight w:val="none"/>
          <w:lang w:eastAsia="zh-CN"/>
        </w:rPr>
        <w:t>黏度</w:t>
      </w:r>
      <w:r>
        <w:rPr>
          <w:rFonts w:hint="default" w:ascii="Times New Roman" w:hAnsi="Times New Roman" w:cs="Times New Roman"/>
          <w:color w:val="auto"/>
          <w:highlight w:val="none"/>
        </w:rPr>
        <w:t>、含盐量高的高蜡、高硫轻质一重质原油。</w:t>
      </w:r>
    </w:p>
    <w:p w14:paraId="17680F54">
      <w:pPr>
        <w:spacing w:line="360" w:lineRule="auto"/>
        <w:ind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塔河油田</w:t>
      </w:r>
      <w:r>
        <w:rPr>
          <w:rFonts w:hint="default" w:ascii="Times New Roman" w:hAnsi="Times New Roman" w:cs="Times New Roman"/>
          <w:color w:val="auto"/>
          <w:highlight w:val="none"/>
        </w:rPr>
        <w:t>10区</w:t>
      </w:r>
    </w:p>
    <w:p w14:paraId="2EA6EFD7">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塔河油田10区原油含蜡、高含硫，南北</w:t>
      </w:r>
      <w:r>
        <w:rPr>
          <w:rFonts w:hint="eastAsia" w:cs="Times New Roman"/>
          <w:color w:val="auto"/>
          <w:highlight w:val="none"/>
          <w:lang w:eastAsia="zh-CN"/>
        </w:rPr>
        <w:t>黏度</w:t>
      </w:r>
      <w:r>
        <w:rPr>
          <w:rFonts w:hint="default" w:ascii="Times New Roman" w:hAnsi="Times New Roman" w:cs="Times New Roman"/>
          <w:color w:val="auto"/>
          <w:highlight w:val="none"/>
        </w:rPr>
        <w:t>差异大，轻、中、重质油均有分布。全区原油密度介于0.8403g/cm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～1.0756g/cm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之间，平均为0</w:t>
      </w:r>
      <w:r>
        <w:rPr>
          <w:rFonts w:hint="eastAsia" w:cs="Times New Roman"/>
          <w:color w:val="auto"/>
          <w:highlight w:val="none"/>
          <w:lang w:val="en-US" w:eastAsia="zh-CN"/>
        </w:rPr>
        <w:t>.924</w:t>
      </w:r>
      <w:r>
        <w:rPr>
          <w:rFonts w:hint="default" w:ascii="Times New Roman" w:hAnsi="Times New Roman" w:cs="Times New Roman"/>
          <w:color w:val="auto"/>
          <w:highlight w:val="none"/>
        </w:rPr>
        <w:t>g/cm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；由于轻、中、重质原油均有分布，原油动力</w:t>
      </w:r>
      <w:r>
        <w:rPr>
          <w:rFonts w:hint="eastAsia" w:cs="Times New Roman"/>
          <w:color w:val="auto"/>
          <w:highlight w:val="none"/>
          <w:lang w:eastAsia="zh-CN"/>
        </w:rPr>
        <w:t>黏度</w:t>
      </w:r>
      <w:r>
        <w:rPr>
          <w:rFonts w:hint="default" w:ascii="Times New Roman" w:hAnsi="Times New Roman" w:cs="Times New Roman"/>
          <w:color w:val="auto"/>
          <w:highlight w:val="none"/>
        </w:rPr>
        <w:t>差别较大，南部轻质油区运动</w:t>
      </w:r>
      <w:r>
        <w:rPr>
          <w:rFonts w:hint="eastAsia" w:cs="Times New Roman"/>
          <w:color w:val="auto"/>
          <w:highlight w:val="none"/>
          <w:lang w:eastAsia="zh-CN"/>
        </w:rPr>
        <w:t>黏度</w:t>
      </w:r>
      <w:r>
        <w:rPr>
          <w:rFonts w:hint="default" w:ascii="Times New Roman" w:hAnsi="Times New Roman" w:cs="Times New Roman"/>
          <w:color w:val="auto"/>
          <w:highlight w:val="none"/>
        </w:rPr>
        <w:t>在100MPa.s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以内，北部重质油区运动</w:t>
      </w:r>
      <w:r>
        <w:rPr>
          <w:rFonts w:hint="eastAsia" w:cs="Times New Roman"/>
          <w:color w:val="auto"/>
          <w:highlight w:val="none"/>
          <w:lang w:eastAsia="zh-CN"/>
        </w:rPr>
        <w:t>黏度</w:t>
      </w:r>
      <w:r>
        <w:rPr>
          <w:rFonts w:hint="default" w:ascii="Times New Roman" w:hAnsi="Times New Roman" w:cs="Times New Roman"/>
          <w:color w:val="auto"/>
          <w:highlight w:val="none"/>
        </w:rPr>
        <w:t>多在10000MPa.s~40000MPa.s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之间，地面流动性较差</w:t>
      </w:r>
      <w:r>
        <w:rPr>
          <w:rFonts w:hint="eastAsia" w:cs="Times New Roman"/>
          <w:color w:val="auto"/>
          <w:highlight w:val="none"/>
          <w:lang w:eastAsia="zh-CN"/>
        </w:rPr>
        <w:t>，</w:t>
      </w:r>
      <w:r>
        <w:rPr>
          <w:rFonts w:hint="default" w:ascii="Times New Roman" w:hAnsi="Times New Roman" w:cs="Times New Roman"/>
          <w:color w:val="auto"/>
          <w:highlight w:val="none"/>
        </w:rPr>
        <w:t>平均含硫</w:t>
      </w:r>
      <w:r>
        <w:rPr>
          <w:rFonts w:hint="eastAsia" w:cs="Times New Roman"/>
          <w:color w:val="auto"/>
          <w:highlight w:val="none"/>
          <w:lang w:val="en-US" w:eastAsia="zh-CN"/>
        </w:rPr>
        <w:t>2.78</w:t>
      </w:r>
      <w:r>
        <w:rPr>
          <w:rFonts w:hint="default" w:ascii="Times New Roman" w:hAnsi="Times New Roman" w:cs="Times New Roman"/>
          <w:color w:val="auto"/>
          <w:highlight w:val="none"/>
        </w:rPr>
        <w:t>%，平均含蜡量为</w:t>
      </w:r>
      <w:r>
        <w:rPr>
          <w:rFonts w:hint="eastAsia" w:cs="Times New Roman"/>
          <w:color w:val="auto"/>
          <w:highlight w:val="none"/>
          <w:lang w:val="en-US" w:eastAsia="zh-CN"/>
        </w:rPr>
        <w:t>2.4</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cs="Times New Roman"/>
          <w:color w:val="auto"/>
          <w:highlight w:val="none"/>
        </w:rPr>
        <w:t>含盐量介于17mg/L～</w:t>
      </w:r>
      <w:r>
        <w:rPr>
          <w:rFonts w:hint="eastAsia" w:cs="Times New Roman"/>
          <w:color w:val="auto"/>
          <w:highlight w:val="none"/>
          <w:lang w:val="en-US" w:eastAsia="zh-CN"/>
        </w:rPr>
        <w:t>56489</w:t>
      </w:r>
      <w:r>
        <w:rPr>
          <w:rFonts w:hint="default" w:ascii="Times New Roman" w:hAnsi="Times New Roman" w:cs="Times New Roman"/>
          <w:color w:val="auto"/>
          <w:highlight w:val="none"/>
        </w:rPr>
        <w:t>mg/L。</w:t>
      </w:r>
    </w:p>
    <w:p w14:paraId="0A5638E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Cs w:val="24"/>
          <w:highlight w:val="none"/>
        </w:rPr>
      </w:pPr>
      <w:r>
        <w:rPr>
          <w:rFonts w:hint="eastAsia"/>
          <w:color w:val="auto"/>
          <w:szCs w:val="24"/>
          <w:highlight w:val="none"/>
          <w:lang w:val="en-US" w:eastAsia="zh-CN"/>
        </w:rPr>
        <w:t>原油物性</w:t>
      </w:r>
      <w:r>
        <w:rPr>
          <w:color w:val="auto"/>
          <w:szCs w:val="24"/>
          <w:highlight w:val="none"/>
        </w:rPr>
        <w:t>见表</w:t>
      </w:r>
      <w:r>
        <w:rPr>
          <w:rFonts w:hint="eastAsia"/>
          <w:color w:val="auto"/>
          <w:szCs w:val="24"/>
          <w:highlight w:val="none"/>
          <w:lang w:val="en-US" w:eastAsia="zh-CN"/>
        </w:rPr>
        <w:t>3.3.2-1</w:t>
      </w:r>
      <w:r>
        <w:rPr>
          <w:color w:val="auto"/>
          <w:szCs w:val="24"/>
          <w:highlight w:val="none"/>
        </w:rPr>
        <w:t>所示。</w:t>
      </w:r>
    </w:p>
    <w:p w14:paraId="21395793">
      <w:pPr>
        <w:adjustRightInd w:val="0"/>
        <w:spacing w:line="276" w:lineRule="auto"/>
        <w:jc w:val="center"/>
        <w:rPr>
          <w:rFonts w:hint="eastAsia" w:eastAsia="黑体"/>
          <w:bCs/>
          <w:color w:val="auto"/>
          <w:sz w:val="21"/>
          <w:szCs w:val="24"/>
          <w:highlight w:val="none"/>
        </w:rPr>
      </w:pPr>
      <w:r>
        <w:rPr>
          <w:rFonts w:hint="eastAsia" w:eastAsia="黑体"/>
          <w:bCs/>
          <w:color w:val="auto"/>
          <w:sz w:val="21"/>
          <w:szCs w:val="24"/>
          <w:highlight w:val="none"/>
        </w:rPr>
        <w:t>表</w:t>
      </w:r>
      <w:r>
        <w:rPr>
          <w:rFonts w:hint="eastAsia" w:eastAsia="黑体"/>
          <w:bCs/>
          <w:color w:val="auto"/>
          <w:sz w:val="21"/>
          <w:szCs w:val="24"/>
          <w:highlight w:val="none"/>
          <w:lang w:val="en-US" w:eastAsia="zh-CN"/>
        </w:rPr>
        <w:t>3.3.2-1</w:t>
      </w:r>
      <w:r>
        <w:rPr>
          <w:rFonts w:hint="eastAsia" w:eastAsia="黑体"/>
          <w:bCs/>
          <w:color w:val="auto"/>
          <w:sz w:val="21"/>
          <w:szCs w:val="24"/>
          <w:highlight w:val="none"/>
        </w:rPr>
        <w:t>原油物性参数表</w:t>
      </w:r>
    </w:p>
    <w:tbl>
      <w:tblPr>
        <w:tblStyle w:val="3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09"/>
        <w:gridCol w:w="1412"/>
        <w:gridCol w:w="1262"/>
        <w:gridCol w:w="2239"/>
        <w:gridCol w:w="1086"/>
        <w:gridCol w:w="1310"/>
      </w:tblGrid>
      <w:tr w14:paraId="07FD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B190855">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区块</w:t>
            </w:r>
          </w:p>
        </w:tc>
        <w:tc>
          <w:tcPr>
            <w:tcW w:w="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2A74D8B">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cs="Times New Roman" w:eastAsiaTheme="minorEastAsia"/>
                <w:color w:val="auto"/>
                <w:kern w:val="24"/>
                <w:sz w:val="21"/>
                <w:szCs w:val="21"/>
                <w:highlight w:val="none"/>
                <w:lang w:val="en-US" w:eastAsia="zh-CN"/>
              </w:rPr>
              <w:t>混合油</w:t>
            </w:r>
            <w:r>
              <w:rPr>
                <w:rFonts w:hint="eastAsia" w:ascii="Times New Roman" w:hAnsi="Times New Roman" w:cs="Times New Roman" w:eastAsiaTheme="minorEastAsia"/>
                <w:color w:val="auto"/>
                <w:kern w:val="24"/>
                <w:sz w:val="21"/>
                <w:szCs w:val="21"/>
                <w:highlight w:val="none"/>
              </w:rPr>
              <w:t>密度（g/c</w:t>
            </w:r>
            <w:r>
              <w:rPr>
                <w:rFonts w:hint="eastAsia" w:cs="Times New Roman" w:eastAsiaTheme="minorEastAsia"/>
                <w:color w:val="auto"/>
                <w:kern w:val="24"/>
                <w:sz w:val="21"/>
                <w:szCs w:val="21"/>
                <w:highlight w:val="none"/>
                <w:lang w:eastAsia="zh-CN"/>
              </w:rPr>
              <w:t>m</w:t>
            </w:r>
            <w:r>
              <w:rPr>
                <w:rFonts w:hint="eastAsia" w:cs="Times New Roman" w:eastAsiaTheme="minorEastAsia"/>
                <w:color w:val="auto"/>
                <w:kern w:val="24"/>
                <w:sz w:val="21"/>
                <w:szCs w:val="21"/>
                <w:highlight w:val="none"/>
                <w:vertAlign w:val="superscript"/>
                <w:lang w:eastAsia="zh-CN"/>
              </w:rPr>
              <w:t>3</w:t>
            </w:r>
            <w:r>
              <w:rPr>
                <w:rFonts w:hint="eastAsia" w:ascii="Times New Roman" w:hAnsi="Times New Roman" w:cs="Times New Roman" w:eastAsiaTheme="minorEastAsia"/>
                <w:color w:val="auto"/>
                <w:kern w:val="24"/>
                <w:sz w:val="21"/>
                <w:szCs w:val="21"/>
                <w:highlight w:val="none"/>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35E3B7E8">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ascii="Times New Roman" w:hAnsi="Times New Roman" w:cs="Times New Roman" w:eastAsiaTheme="minorEastAsia"/>
                <w:color w:val="auto"/>
                <w:kern w:val="24"/>
                <w:sz w:val="21"/>
                <w:szCs w:val="21"/>
                <w:highlight w:val="none"/>
              </w:rPr>
              <w:t>凝固点（℃）</w:t>
            </w:r>
          </w:p>
        </w:tc>
        <w:tc>
          <w:tcPr>
            <w:tcW w:w="1298"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01367B0">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cs="Times New Roman" w:eastAsiaTheme="minorEastAsia"/>
                <w:color w:val="auto"/>
                <w:kern w:val="24"/>
                <w:sz w:val="21"/>
                <w:szCs w:val="21"/>
                <w:highlight w:val="none"/>
                <w:lang w:val="en-US" w:eastAsia="zh-CN"/>
              </w:rPr>
              <w:t>混合油</w:t>
            </w:r>
            <w:r>
              <w:rPr>
                <w:rFonts w:hint="eastAsia" w:cs="Times New Roman" w:eastAsiaTheme="minorEastAsia"/>
                <w:color w:val="auto"/>
                <w:kern w:val="24"/>
                <w:sz w:val="21"/>
                <w:szCs w:val="21"/>
                <w:highlight w:val="none"/>
                <w:lang w:eastAsia="zh-CN"/>
              </w:rPr>
              <w:t>黏度</w:t>
            </w:r>
            <w:r>
              <w:rPr>
                <w:rFonts w:hint="eastAsia" w:ascii="Times New Roman" w:hAnsi="Times New Roman" w:cs="Times New Roman" w:eastAsiaTheme="minorEastAsia"/>
                <w:color w:val="auto"/>
                <w:kern w:val="24"/>
                <w:sz w:val="21"/>
                <w:szCs w:val="21"/>
                <w:highlight w:val="none"/>
              </w:rPr>
              <w:t>（mPa·s/50℃）</w:t>
            </w:r>
          </w:p>
        </w:tc>
        <w:tc>
          <w:tcPr>
            <w:tcW w:w="630"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5663ACEE">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ascii="Times New Roman" w:hAnsi="Times New Roman" w:cs="Times New Roman" w:eastAsiaTheme="minorEastAsia"/>
                <w:color w:val="auto"/>
                <w:kern w:val="24"/>
                <w:sz w:val="21"/>
                <w:szCs w:val="21"/>
                <w:highlight w:val="none"/>
              </w:rPr>
              <w:t>含蜡（%）</w:t>
            </w:r>
          </w:p>
        </w:tc>
        <w:tc>
          <w:tcPr>
            <w:tcW w:w="75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57346518">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ascii="Times New Roman" w:hAnsi="Times New Roman" w:cs="Times New Roman" w:eastAsiaTheme="minorEastAsia"/>
                <w:color w:val="auto"/>
                <w:kern w:val="24"/>
                <w:sz w:val="21"/>
                <w:szCs w:val="21"/>
                <w:highlight w:val="none"/>
              </w:rPr>
              <w:t>原油含硫(%)</w:t>
            </w:r>
          </w:p>
        </w:tc>
      </w:tr>
      <w:tr w14:paraId="3F9F4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681D01">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lang w:val="en-US" w:eastAsia="zh-CN"/>
              </w:rPr>
              <w:t>10区</w:t>
            </w:r>
          </w:p>
        </w:tc>
        <w:tc>
          <w:tcPr>
            <w:tcW w:w="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7DFDF">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lang w:val="en-US" w:eastAsia="zh-CN"/>
              </w:rPr>
            </w:pPr>
            <w:r>
              <w:rPr>
                <w:rFonts w:hint="default" w:ascii="Times New Roman" w:hAnsi="Times New Roman" w:cs="Times New Roman" w:eastAsiaTheme="minorEastAsia"/>
                <w:color w:val="auto"/>
                <w:kern w:val="24"/>
                <w:sz w:val="21"/>
                <w:szCs w:val="21"/>
                <w:highlight w:val="none"/>
              </w:rPr>
              <w:t>0.924</w:t>
            </w:r>
          </w:p>
        </w:tc>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6EB422AB">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20</w:t>
            </w:r>
          </w:p>
        </w:tc>
        <w:tc>
          <w:tcPr>
            <w:tcW w:w="1298"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C2A89EF">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421</w:t>
            </w:r>
          </w:p>
        </w:tc>
        <w:tc>
          <w:tcPr>
            <w:tcW w:w="630"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332F0FB">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2.4</w:t>
            </w:r>
          </w:p>
        </w:tc>
        <w:tc>
          <w:tcPr>
            <w:tcW w:w="75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438F176">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2.78</w:t>
            </w:r>
          </w:p>
        </w:tc>
      </w:tr>
      <w:tr w14:paraId="137AC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4175AD">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lang w:val="en-US" w:eastAsia="zh-CN"/>
              </w:rPr>
              <w:t>8区</w:t>
            </w:r>
          </w:p>
        </w:tc>
        <w:tc>
          <w:tcPr>
            <w:tcW w:w="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CB42E">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0.947</w:t>
            </w:r>
          </w:p>
        </w:tc>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748D48E5">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18</w:t>
            </w:r>
          </w:p>
        </w:tc>
        <w:tc>
          <w:tcPr>
            <w:tcW w:w="1298"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7067D506">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680</w:t>
            </w:r>
          </w:p>
        </w:tc>
        <w:tc>
          <w:tcPr>
            <w:tcW w:w="630"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59312F86">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1.1</w:t>
            </w:r>
          </w:p>
        </w:tc>
        <w:tc>
          <w:tcPr>
            <w:tcW w:w="75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1E23739A">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rPr>
              <w:t>1.49</w:t>
            </w:r>
          </w:p>
        </w:tc>
      </w:tr>
    </w:tbl>
    <w:p w14:paraId="6D155453">
      <w:pPr>
        <w:keepNext w:val="0"/>
        <w:keepLines/>
        <w:pageBreakBefore w:val="0"/>
        <w:widowControl/>
        <w:kinsoku/>
        <w:wordWrap/>
        <w:overflowPunct/>
        <w:topLinePunct w:val="0"/>
        <w:autoSpaceDE/>
        <w:autoSpaceDN/>
        <w:bidi w:val="0"/>
        <w:adjustRightInd w:val="0"/>
        <w:snapToGrid w:val="0"/>
        <w:spacing w:before="157" w:beforeLines="50" w:line="360" w:lineRule="auto"/>
        <w:jc w:val="both"/>
        <w:textAlignment w:val="auto"/>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.2.</w:t>
      </w:r>
      <w:bookmarkStart w:id="230" w:name="_Hlk65162652"/>
      <w:r>
        <w:rPr>
          <w:rFonts w:hint="default" w:ascii="Times New Roman" w:hAnsi="Times New Roman" w:cs="Times New Roman"/>
          <w:b/>
          <w:color w:val="auto"/>
          <w:szCs w:val="22"/>
          <w:highlight w:val="none"/>
          <w:lang w:val="en-US" w:eastAsia="zh-CN"/>
        </w:rPr>
        <w:t>4</w:t>
      </w:r>
      <w:r>
        <w:rPr>
          <w:rFonts w:hint="eastAsia" w:cs="Times New Roman"/>
          <w:b/>
          <w:color w:val="auto"/>
          <w:szCs w:val="22"/>
          <w:highlight w:val="none"/>
          <w:lang w:val="en-US" w:eastAsia="zh-CN"/>
        </w:rPr>
        <w:t>伴生气</w:t>
      </w:r>
      <w:r>
        <w:rPr>
          <w:rFonts w:hint="default" w:ascii="Times New Roman" w:hAnsi="Times New Roman" w:cs="Times New Roman"/>
          <w:b/>
          <w:color w:val="auto"/>
          <w:szCs w:val="22"/>
          <w:highlight w:val="none"/>
        </w:rPr>
        <w:t>物性</w:t>
      </w:r>
      <w:bookmarkEnd w:id="230"/>
    </w:p>
    <w:p w14:paraId="229ABC42">
      <w:pPr>
        <w:keepNext w:val="0"/>
        <w:keepLines w:val="0"/>
        <w:pageBreakBefore w:val="0"/>
        <w:widowControl/>
        <w:numPr>
          <w:ilvl w:val="0"/>
          <w:numId w:val="3"/>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塔河油田8区</w:t>
      </w:r>
    </w:p>
    <w:p w14:paraId="2E2E9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color w:val="auto"/>
          <w:szCs w:val="24"/>
          <w:highlight w:val="none"/>
        </w:rPr>
        <w:t>塔河油田8井区伴生气相对密度平均为0.88</w:t>
      </w:r>
      <w:r>
        <w:rPr>
          <w:rFonts w:hint="eastAsia"/>
          <w:color w:val="auto"/>
          <w:szCs w:val="24"/>
          <w:highlight w:val="none"/>
          <w:lang w:val="en-US" w:eastAsia="zh-CN"/>
        </w:rPr>
        <w:t>1</w:t>
      </w:r>
      <w:r>
        <w:rPr>
          <w:color w:val="auto"/>
          <w:szCs w:val="24"/>
          <w:highlight w:val="none"/>
        </w:rPr>
        <w:t>，氮气平均9.7</w:t>
      </w:r>
      <w:r>
        <w:rPr>
          <w:rFonts w:hint="eastAsia"/>
          <w:color w:val="auto"/>
          <w:szCs w:val="24"/>
          <w:highlight w:val="none"/>
          <w:lang w:val="en-US" w:eastAsia="zh-CN"/>
        </w:rPr>
        <w:t>9</w:t>
      </w:r>
      <w:r>
        <w:rPr>
          <w:color w:val="auto"/>
          <w:szCs w:val="24"/>
          <w:highlight w:val="none"/>
        </w:rPr>
        <w:t>%，二氧化碳平均4.39%，硫化氢平均</w:t>
      </w:r>
      <w:r>
        <w:rPr>
          <w:rFonts w:hint="eastAsia"/>
          <w:color w:val="auto"/>
          <w:szCs w:val="24"/>
          <w:highlight w:val="none"/>
        </w:rPr>
        <w:t>2233.78</w:t>
      </w:r>
      <w:r>
        <w:rPr>
          <w:color w:val="auto"/>
          <w:szCs w:val="24"/>
          <w:highlight w:val="none"/>
        </w:rPr>
        <w:t>mg/m</w:t>
      </w:r>
      <w:r>
        <w:rPr>
          <w:color w:val="auto"/>
          <w:szCs w:val="24"/>
          <w:highlight w:val="none"/>
          <w:vertAlign w:val="superscript"/>
        </w:rPr>
        <w:t>3</w:t>
      </w:r>
      <w:r>
        <w:rPr>
          <w:rFonts w:hint="default" w:ascii="Times New Roman" w:hAnsi="Times New Roman" w:cs="Times New Roman"/>
          <w:color w:val="auto"/>
          <w:highlight w:val="none"/>
          <w:lang w:val="en-US" w:eastAsia="zh-CN"/>
        </w:rPr>
        <w:t>。</w:t>
      </w:r>
    </w:p>
    <w:p w14:paraId="35BB023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（2）塔河油田10区</w:t>
      </w:r>
    </w:p>
    <w:p w14:paraId="5277325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Cs w:val="24"/>
          <w:highlight w:val="none"/>
        </w:rPr>
      </w:pPr>
      <w:r>
        <w:rPr>
          <w:rFonts w:hint="eastAsia"/>
          <w:color w:val="auto"/>
          <w:szCs w:val="24"/>
          <w:highlight w:val="none"/>
          <w:vertAlign w:val="baseline"/>
          <w:lang w:val="en-US" w:eastAsia="zh-CN"/>
        </w:rPr>
        <w:t>塔河油田</w:t>
      </w:r>
      <w:r>
        <w:rPr>
          <w:rFonts w:hint="eastAsia"/>
          <w:color w:val="auto"/>
          <w:szCs w:val="24"/>
          <w:highlight w:val="none"/>
          <w:vertAlign w:val="baseline"/>
          <w:lang w:eastAsia="zh-CN"/>
        </w:rPr>
        <w:t>10区伴生气相对密度平均为0.829，氮气平均15.58%，二氧化碳平均3.86%，硫化氢平均5600mg/m</w:t>
      </w:r>
      <w:r>
        <w:rPr>
          <w:rFonts w:hint="eastAsia"/>
          <w:color w:val="auto"/>
          <w:szCs w:val="24"/>
          <w:highlight w:val="none"/>
          <w:vertAlign w:val="superscript"/>
          <w:lang w:eastAsia="zh-CN"/>
        </w:rPr>
        <w:t>3</w:t>
      </w:r>
      <w:r>
        <w:rPr>
          <w:color w:val="auto"/>
          <w:szCs w:val="24"/>
          <w:highlight w:val="none"/>
        </w:rPr>
        <w:t>。</w:t>
      </w:r>
    </w:p>
    <w:p w14:paraId="5D1E6D9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Cs w:val="24"/>
          <w:highlight w:val="none"/>
        </w:rPr>
      </w:pPr>
      <w:r>
        <w:rPr>
          <w:rFonts w:hint="eastAsia"/>
          <w:color w:val="auto"/>
          <w:szCs w:val="24"/>
          <w:highlight w:val="none"/>
          <w:lang w:val="en-US" w:eastAsia="zh-CN"/>
        </w:rPr>
        <w:t>伴生气物性</w:t>
      </w:r>
      <w:r>
        <w:rPr>
          <w:color w:val="auto"/>
          <w:szCs w:val="24"/>
          <w:highlight w:val="none"/>
        </w:rPr>
        <w:t>见表</w:t>
      </w:r>
      <w:r>
        <w:rPr>
          <w:rFonts w:hint="eastAsia"/>
          <w:color w:val="auto"/>
          <w:szCs w:val="24"/>
          <w:highlight w:val="none"/>
          <w:lang w:val="en-US" w:eastAsia="zh-CN"/>
        </w:rPr>
        <w:t>3.3.2-2</w:t>
      </w:r>
      <w:r>
        <w:rPr>
          <w:color w:val="auto"/>
          <w:szCs w:val="24"/>
          <w:highlight w:val="none"/>
        </w:rPr>
        <w:t>所示。</w:t>
      </w:r>
    </w:p>
    <w:p w14:paraId="0CBB385E">
      <w:pPr>
        <w:adjustRightInd w:val="0"/>
        <w:spacing w:line="276" w:lineRule="auto"/>
        <w:jc w:val="center"/>
        <w:rPr>
          <w:rFonts w:eastAsia="黑体"/>
          <w:bCs/>
          <w:color w:val="auto"/>
          <w:sz w:val="21"/>
          <w:szCs w:val="24"/>
          <w:highlight w:val="none"/>
        </w:rPr>
      </w:pPr>
      <w:r>
        <w:rPr>
          <w:rFonts w:hint="eastAsia" w:eastAsia="黑体"/>
          <w:bCs/>
          <w:color w:val="auto"/>
          <w:sz w:val="21"/>
          <w:szCs w:val="24"/>
          <w:highlight w:val="none"/>
        </w:rPr>
        <w:t>表</w:t>
      </w:r>
      <w:r>
        <w:rPr>
          <w:rFonts w:hint="eastAsia" w:eastAsia="黑体"/>
          <w:bCs/>
          <w:color w:val="auto"/>
          <w:sz w:val="21"/>
          <w:szCs w:val="24"/>
          <w:highlight w:val="none"/>
          <w:lang w:val="en-US" w:eastAsia="zh-CN"/>
        </w:rPr>
        <w:t>3.3.2-2</w:t>
      </w:r>
      <w:r>
        <w:rPr>
          <w:rFonts w:hint="eastAsia" w:eastAsia="黑体"/>
          <w:bCs/>
          <w:color w:val="auto"/>
          <w:sz w:val="21"/>
          <w:szCs w:val="24"/>
          <w:highlight w:val="none"/>
        </w:rPr>
        <w:t>伴生气物性参数表</w:t>
      </w:r>
    </w:p>
    <w:tbl>
      <w:tblPr>
        <w:tblStyle w:val="35"/>
        <w:tblW w:w="4999" w:type="pct"/>
        <w:jc w:val="center"/>
        <w:tblLayout w:type="autofit"/>
        <w:tblCellMar>
          <w:top w:w="0" w:type="dxa"/>
          <w:left w:w="0" w:type="dxa"/>
          <w:bottom w:w="0" w:type="dxa"/>
          <w:right w:w="0" w:type="dxa"/>
        </w:tblCellMar>
      </w:tblPr>
      <w:tblGrid>
        <w:gridCol w:w="1335"/>
        <w:gridCol w:w="980"/>
        <w:gridCol w:w="689"/>
        <w:gridCol w:w="820"/>
        <w:gridCol w:w="820"/>
        <w:gridCol w:w="820"/>
        <w:gridCol w:w="684"/>
        <w:gridCol w:w="689"/>
        <w:gridCol w:w="699"/>
        <w:gridCol w:w="1085"/>
      </w:tblGrid>
      <w:tr w14:paraId="438631AF">
        <w:tblPrEx>
          <w:tblCellMar>
            <w:top w:w="0" w:type="dxa"/>
            <w:left w:w="0" w:type="dxa"/>
            <w:bottom w:w="0" w:type="dxa"/>
            <w:right w:w="0" w:type="dxa"/>
          </w:tblCellMar>
        </w:tblPrEx>
        <w:trPr>
          <w:trHeight w:val="104" w:hRule="atLeast"/>
          <w:jc w:val="center"/>
        </w:trPr>
        <w:tc>
          <w:tcPr>
            <w:tcW w:w="775"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404D5F7">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lang w:eastAsia="zh-CN"/>
              </w:rPr>
            </w:pPr>
            <w:r>
              <w:rPr>
                <w:rFonts w:hint="eastAsia" w:cs="Times New Roman" w:eastAsiaTheme="minorEastAsia"/>
                <w:color w:val="auto"/>
                <w:kern w:val="24"/>
                <w:sz w:val="21"/>
                <w:szCs w:val="21"/>
                <w:highlight w:val="none"/>
                <w:lang w:val="en-US" w:eastAsia="zh-CN"/>
              </w:rPr>
              <w:t>区块</w:t>
            </w:r>
          </w:p>
        </w:tc>
        <w:tc>
          <w:tcPr>
            <w:tcW w:w="569"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63BC377">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相对</w:t>
            </w:r>
          </w:p>
          <w:p w14:paraId="324259C6">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密度</w:t>
            </w:r>
          </w:p>
        </w:tc>
        <w:tc>
          <w:tcPr>
            <w:tcW w:w="3655" w:type="pct"/>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3807668">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体积百分数（%）</w:t>
            </w:r>
          </w:p>
        </w:tc>
      </w:tr>
      <w:tr w14:paraId="31AB9C64">
        <w:tblPrEx>
          <w:tblCellMar>
            <w:top w:w="0" w:type="dxa"/>
            <w:left w:w="0" w:type="dxa"/>
            <w:bottom w:w="0" w:type="dxa"/>
            <w:right w:w="0" w:type="dxa"/>
          </w:tblCellMar>
        </w:tblPrEx>
        <w:trPr>
          <w:trHeight w:val="104" w:hRule="atLeast"/>
          <w:jc w:val="center"/>
        </w:trPr>
        <w:tc>
          <w:tcPr>
            <w:tcW w:w="775" w:type="pct"/>
            <w:vMerge w:val="continue"/>
            <w:tcBorders>
              <w:top w:val="single" w:color="000000" w:sz="8" w:space="0"/>
              <w:left w:val="single" w:color="000000" w:sz="8" w:space="0"/>
              <w:bottom w:val="single" w:color="000000" w:sz="8" w:space="0"/>
              <w:right w:val="single" w:color="000000" w:sz="8" w:space="0"/>
            </w:tcBorders>
            <w:vAlign w:val="center"/>
          </w:tcPr>
          <w:p w14:paraId="366ABFBD">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p>
        </w:tc>
        <w:tc>
          <w:tcPr>
            <w:tcW w:w="569" w:type="pct"/>
            <w:vMerge w:val="continue"/>
            <w:tcBorders>
              <w:top w:val="single" w:color="000000" w:sz="8" w:space="0"/>
              <w:left w:val="single" w:color="000000" w:sz="8" w:space="0"/>
              <w:bottom w:val="single" w:color="000000" w:sz="8" w:space="0"/>
              <w:right w:val="single" w:color="000000" w:sz="8" w:space="0"/>
            </w:tcBorders>
            <w:vAlign w:val="center"/>
          </w:tcPr>
          <w:p w14:paraId="05CB3A63">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A269938">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C</w:t>
            </w:r>
            <w:r>
              <w:rPr>
                <w:rFonts w:hint="default" w:ascii="Times New Roman" w:hAnsi="Times New Roman" w:cs="Times New Roman" w:eastAsiaTheme="minorEastAsia"/>
                <w:color w:val="auto"/>
                <w:kern w:val="24"/>
                <w:sz w:val="21"/>
                <w:szCs w:val="21"/>
                <w:highlight w:val="none"/>
                <w:vertAlign w:val="subscript"/>
              </w:rPr>
              <w:t>1</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B094742">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C</w:t>
            </w:r>
            <w:r>
              <w:rPr>
                <w:rFonts w:hint="default" w:ascii="Times New Roman" w:hAnsi="Times New Roman" w:cs="Times New Roman" w:eastAsiaTheme="minorEastAsia"/>
                <w:color w:val="auto"/>
                <w:kern w:val="24"/>
                <w:sz w:val="21"/>
                <w:szCs w:val="21"/>
                <w:highlight w:val="none"/>
                <w:vertAlign w:val="subscript"/>
              </w:rPr>
              <w:t>2</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68E21FA">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C</w:t>
            </w:r>
            <w:r>
              <w:rPr>
                <w:rFonts w:hint="default" w:ascii="Times New Roman" w:hAnsi="Times New Roman" w:cs="Times New Roman" w:eastAsiaTheme="minorEastAsia"/>
                <w:color w:val="auto"/>
                <w:kern w:val="24"/>
                <w:sz w:val="21"/>
                <w:szCs w:val="21"/>
                <w:highlight w:val="none"/>
                <w:vertAlign w:val="subscript"/>
              </w:rPr>
              <w:t>3</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B46AAF1">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C</w:t>
            </w:r>
            <w:r>
              <w:rPr>
                <w:rFonts w:hint="default" w:ascii="Times New Roman" w:hAnsi="Times New Roman" w:cs="Times New Roman" w:eastAsiaTheme="minorEastAsia"/>
                <w:color w:val="auto"/>
                <w:kern w:val="24"/>
                <w:sz w:val="21"/>
                <w:szCs w:val="21"/>
                <w:highlight w:val="none"/>
                <w:vertAlign w:val="subscript"/>
              </w:rPr>
              <w:t>4</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291A053">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C</w:t>
            </w:r>
            <w:r>
              <w:rPr>
                <w:rFonts w:hint="default" w:ascii="Times New Roman" w:hAnsi="Times New Roman" w:cs="Times New Roman" w:eastAsiaTheme="minorEastAsia"/>
                <w:color w:val="auto"/>
                <w:kern w:val="24"/>
                <w:sz w:val="21"/>
                <w:szCs w:val="21"/>
                <w:highlight w:val="none"/>
                <w:vertAlign w:val="subscript"/>
              </w:rPr>
              <w:t>5</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778B782">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N</w:t>
            </w:r>
            <w:r>
              <w:rPr>
                <w:rFonts w:hint="default" w:ascii="Times New Roman" w:hAnsi="Times New Roman" w:cs="Times New Roman" w:eastAsiaTheme="minorEastAsia"/>
                <w:color w:val="auto"/>
                <w:kern w:val="24"/>
                <w:sz w:val="21"/>
                <w:szCs w:val="21"/>
                <w:highlight w:val="none"/>
                <w:vertAlign w:val="subscript"/>
              </w:rPr>
              <w:t>2</w:t>
            </w:r>
          </w:p>
        </w:tc>
        <w:tc>
          <w:tcPr>
            <w:tcW w:w="40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E52EB6A">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CO</w:t>
            </w:r>
            <w:r>
              <w:rPr>
                <w:rFonts w:hint="default" w:ascii="Times New Roman" w:hAnsi="Times New Roman" w:cs="Times New Roman" w:eastAsiaTheme="minorEastAsia"/>
                <w:color w:val="auto"/>
                <w:kern w:val="24"/>
                <w:sz w:val="21"/>
                <w:szCs w:val="21"/>
                <w:highlight w:val="none"/>
                <w:vertAlign w:val="subscript"/>
              </w:rPr>
              <w:t>2</w:t>
            </w:r>
          </w:p>
        </w:tc>
        <w:tc>
          <w:tcPr>
            <w:tcW w:w="628" w:type="pct"/>
            <w:tcBorders>
              <w:top w:val="single" w:color="000000" w:sz="8" w:space="0"/>
              <w:left w:val="single" w:color="000000" w:sz="8" w:space="0"/>
              <w:bottom w:val="single" w:color="000000" w:sz="8" w:space="0"/>
              <w:right w:val="single" w:color="000000" w:sz="8" w:space="0"/>
            </w:tcBorders>
          </w:tcPr>
          <w:p w14:paraId="29B83870">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ascii="Times New Roman" w:hAnsi="Times New Roman" w:cs="Times New Roman" w:eastAsiaTheme="minorEastAsia"/>
                <w:color w:val="auto"/>
                <w:kern w:val="24"/>
                <w:sz w:val="21"/>
                <w:szCs w:val="21"/>
                <w:highlight w:val="none"/>
              </w:rPr>
              <w:t>H</w:t>
            </w:r>
            <w:r>
              <w:rPr>
                <w:rFonts w:hint="default" w:ascii="Times New Roman" w:hAnsi="Times New Roman" w:cs="Times New Roman" w:eastAsiaTheme="minorEastAsia"/>
                <w:color w:val="auto"/>
                <w:kern w:val="24"/>
                <w:sz w:val="21"/>
                <w:szCs w:val="21"/>
                <w:highlight w:val="none"/>
                <w:vertAlign w:val="subscript"/>
              </w:rPr>
              <w:t>2</w:t>
            </w:r>
            <w:r>
              <w:rPr>
                <w:rFonts w:hint="default" w:ascii="Times New Roman" w:hAnsi="Times New Roman" w:cs="Times New Roman" w:eastAsiaTheme="minorEastAsia"/>
                <w:color w:val="auto"/>
                <w:kern w:val="24"/>
                <w:sz w:val="21"/>
                <w:szCs w:val="21"/>
                <w:highlight w:val="none"/>
              </w:rPr>
              <w:t>Smg/m</w:t>
            </w:r>
            <w:r>
              <w:rPr>
                <w:rFonts w:hint="default" w:ascii="Times New Roman" w:hAnsi="Times New Roman" w:cs="Times New Roman" w:eastAsiaTheme="minorEastAsia"/>
                <w:color w:val="auto"/>
                <w:kern w:val="24"/>
                <w:sz w:val="21"/>
                <w:szCs w:val="21"/>
                <w:highlight w:val="none"/>
                <w:vertAlign w:val="superscript"/>
              </w:rPr>
              <w:t>3</w:t>
            </w:r>
          </w:p>
        </w:tc>
      </w:tr>
      <w:tr w14:paraId="23933198">
        <w:tblPrEx>
          <w:tblCellMar>
            <w:top w:w="0" w:type="dxa"/>
            <w:left w:w="0" w:type="dxa"/>
            <w:bottom w:w="0" w:type="dxa"/>
            <w:right w:w="0" w:type="dxa"/>
          </w:tblCellMar>
        </w:tblPrEx>
        <w:trPr>
          <w:trHeight w:val="104" w:hRule="atLeast"/>
          <w:jc w:val="center"/>
        </w:trPr>
        <w:tc>
          <w:tcPr>
            <w:tcW w:w="775"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89E34A9">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ascii="Times New Roman" w:hAnsi="Times New Roman" w:cs="Times New Roman" w:eastAsiaTheme="minorEastAsia"/>
                <w:color w:val="auto"/>
                <w:kern w:val="24"/>
                <w:sz w:val="21"/>
                <w:szCs w:val="21"/>
                <w:highlight w:val="none"/>
              </w:rPr>
              <w:t>8区</w:t>
            </w:r>
          </w:p>
        </w:tc>
        <w:tc>
          <w:tcPr>
            <w:tcW w:w="56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0215BEB">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0.881</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7B0AFC9">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58.85</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4B6078F">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12.10</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176B502">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8.58</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0478C45">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2.80</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77C6223">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0.72</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1AE7587">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9.79</w:t>
            </w:r>
          </w:p>
        </w:tc>
        <w:tc>
          <w:tcPr>
            <w:tcW w:w="40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6C08942">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4.39</w:t>
            </w:r>
          </w:p>
        </w:tc>
        <w:tc>
          <w:tcPr>
            <w:tcW w:w="628" w:type="pct"/>
            <w:tcBorders>
              <w:top w:val="single" w:color="000000" w:sz="8" w:space="0"/>
              <w:left w:val="single" w:color="000000" w:sz="8" w:space="0"/>
              <w:bottom w:val="single" w:color="000000" w:sz="8" w:space="0"/>
              <w:right w:val="single" w:color="000000" w:sz="8" w:space="0"/>
            </w:tcBorders>
            <w:vAlign w:val="center"/>
          </w:tcPr>
          <w:p w14:paraId="77F9795A">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eastAsia" w:ascii="Times New Roman" w:hAnsi="Times New Roman" w:cs="Times New Roman" w:eastAsiaTheme="minorEastAsia"/>
                <w:color w:val="auto"/>
                <w:kern w:val="24"/>
                <w:sz w:val="21"/>
                <w:szCs w:val="21"/>
                <w:highlight w:val="none"/>
              </w:rPr>
              <w:t>2233.78</w:t>
            </w:r>
          </w:p>
        </w:tc>
      </w:tr>
      <w:tr w14:paraId="182EC5AA">
        <w:tblPrEx>
          <w:tblCellMar>
            <w:top w:w="0" w:type="dxa"/>
            <w:left w:w="0" w:type="dxa"/>
            <w:bottom w:w="0" w:type="dxa"/>
            <w:right w:w="0" w:type="dxa"/>
          </w:tblCellMar>
        </w:tblPrEx>
        <w:trPr>
          <w:trHeight w:val="104" w:hRule="atLeast"/>
          <w:jc w:val="center"/>
        </w:trPr>
        <w:tc>
          <w:tcPr>
            <w:tcW w:w="775"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A4A072D">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rPr>
            </w:pPr>
            <w:r>
              <w:rPr>
                <w:rFonts w:hint="eastAsia" w:ascii="Times New Roman" w:hAnsi="Times New Roman" w:cs="Times New Roman" w:eastAsiaTheme="minorEastAsia"/>
                <w:color w:val="auto"/>
                <w:kern w:val="24"/>
                <w:sz w:val="21"/>
                <w:szCs w:val="21"/>
                <w:highlight w:val="none"/>
                <w:lang w:val="en-US" w:eastAsia="zh-CN"/>
              </w:rPr>
              <w:t>10</w:t>
            </w:r>
            <w:r>
              <w:rPr>
                <w:rFonts w:hint="default" w:ascii="Times New Roman" w:hAnsi="Times New Roman" w:cs="Times New Roman" w:eastAsiaTheme="minorEastAsia"/>
                <w:color w:val="auto"/>
                <w:kern w:val="24"/>
                <w:sz w:val="21"/>
                <w:szCs w:val="21"/>
                <w:highlight w:val="none"/>
              </w:rPr>
              <w:t>区</w:t>
            </w:r>
          </w:p>
        </w:tc>
        <w:tc>
          <w:tcPr>
            <w:tcW w:w="56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9EC0C26">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0.829</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E2CCF06">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60.85</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9B3398C">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9.03</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AA715E6">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4.05</w:t>
            </w:r>
          </w:p>
        </w:tc>
        <w:tc>
          <w:tcPr>
            <w:tcW w:w="47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207018D">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2.26</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7EE7A44">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1.00</w:t>
            </w:r>
          </w:p>
        </w:tc>
        <w:tc>
          <w:tcPr>
            <w:tcW w:w="39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1D066DF">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15.58</w:t>
            </w:r>
          </w:p>
        </w:tc>
        <w:tc>
          <w:tcPr>
            <w:tcW w:w="40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B077643">
            <w:pPr>
              <w:widowControl/>
              <w:adjustRightInd w:val="0"/>
              <w:snapToGrid w:val="0"/>
              <w:spacing w:line="240" w:lineRule="auto"/>
              <w:jc w:val="center"/>
              <w:textAlignment w:val="center"/>
              <w:rPr>
                <w:rFonts w:hint="default"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3.86</w:t>
            </w:r>
          </w:p>
        </w:tc>
        <w:tc>
          <w:tcPr>
            <w:tcW w:w="628" w:type="pct"/>
            <w:tcBorders>
              <w:top w:val="single" w:color="000000" w:sz="8" w:space="0"/>
              <w:left w:val="single" w:color="000000" w:sz="8" w:space="0"/>
              <w:bottom w:val="single" w:color="000000" w:sz="8" w:space="0"/>
              <w:right w:val="single" w:color="000000" w:sz="8" w:space="0"/>
            </w:tcBorders>
            <w:vAlign w:val="center"/>
          </w:tcPr>
          <w:p w14:paraId="39885002">
            <w:pPr>
              <w:widowControl/>
              <w:adjustRightInd w:val="0"/>
              <w:snapToGrid w:val="0"/>
              <w:spacing w:line="240" w:lineRule="auto"/>
              <w:jc w:val="center"/>
              <w:textAlignment w:val="center"/>
              <w:rPr>
                <w:rFonts w:hint="eastAsia" w:ascii="Times New Roman" w:hAnsi="Times New Roman" w:cs="Times New Roman" w:eastAsiaTheme="minorEastAsia"/>
                <w:color w:val="auto"/>
                <w:kern w:val="24"/>
                <w:sz w:val="21"/>
                <w:szCs w:val="21"/>
                <w:highlight w:val="none"/>
              </w:rPr>
            </w:pPr>
            <w:r>
              <w:rPr>
                <w:rFonts w:hint="default" w:ascii="Times New Roman" w:hAnsi="Times New Roman" w:cs="Times New Roman" w:eastAsiaTheme="minorEastAsia"/>
                <w:color w:val="auto"/>
                <w:kern w:val="24"/>
                <w:sz w:val="21"/>
                <w:szCs w:val="21"/>
                <w:highlight w:val="none"/>
              </w:rPr>
              <w:t>5600</w:t>
            </w:r>
          </w:p>
        </w:tc>
      </w:tr>
    </w:tbl>
    <w:p w14:paraId="6AC1E96D">
      <w:pPr>
        <w:keepNext w:val="0"/>
        <w:keepLines/>
        <w:pageBreakBefore w:val="0"/>
        <w:widowControl/>
        <w:kinsoku/>
        <w:wordWrap/>
        <w:overflowPunct/>
        <w:topLinePunct w:val="0"/>
        <w:autoSpaceDE/>
        <w:autoSpaceDN/>
        <w:bidi w:val="0"/>
        <w:adjustRightInd w:val="0"/>
        <w:snapToGrid w:val="0"/>
        <w:spacing w:before="157" w:beforeLines="50" w:line="360" w:lineRule="auto"/>
        <w:jc w:val="both"/>
        <w:textAlignment w:val="auto"/>
        <w:outlineLvl w:val="3"/>
        <w:rPr>
          <w:rFonts w:hint="default" w:ascii="Times New Roman" w:hAnsi="Times New Roman" w:cs="Times New Roman"/>
          <w:color w:val="auto"/>
          <w:sz w:val="24"/>
          <w:highlight w:val="none"/>
          <w:lang w:eastAsia="zh-CN"/>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.2.</w:t>
      </w:r>
      <w:r>
        <w:rPr>
          <w:rFonts w:hint="default" w:ascii="Times New Roman" w:hAnsi="Times New Roman" w:cs="Times New Roman"/>
          <w:b/>
          <w:color w:val="auto"/>
          <w:szCs w:val="22"/>
          <w:highlight w:val="none"/>
          <w:lang w:val="en-US" w:eastAsia="zh-CN"/>
        </w:rPr>
        <w:t>5</w:t>
      </w:r>
      <w:r>
        <w:rPr>
          <w:rFonts w:hint="eastAsia" w:cs="Times New Roman"/>
          <w:b/>
          <w:color w:val="auto"/>
          <w:szCs w:val="22"/>
          <w:highlight w:val="none"/>
          <w:lang w:val="en-US" w:eastAsia="zh-CN"/>
        </w:rPr>
        <w:t>地层水物性</w:t>
      </w:r>
    </w:p>
    <w:p w14:paraId="0B9AEEC3">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塔河油田8区</w:t>
      </w:r>
    </w:p>
    <w:p w14:paraId="5FF5B5DB">
      <w:pPr>
        <w:keepNext w:val="0"/>
        <w:keepLines w:val="0"/>
        <w:pageBreakBefore w:val="0"/>
        <w:widowControl/>
        <w:kinsoku/>
        <w:wordWrap/>
        <w:overflowPunct/>
        <w:topLinePunct w:val="0"/>
        <w:autoSpaceDE/>
        <w:autoSpaceDN/>
        <w:bidi w:val="0"/>
        <w:spacing w:line="360" w:lineRule="auto"/>
        <w:ind w:firstLine="480" w:firstLineChars="200"/>
        <w:textAlignment w:val="auto"/>
        <w:rPr>
          <w:bCs/>
          <w:color w:val="auto"/>
          <w:szCs w:val="24"/>
          <w:highlight w:val="none"/>
          <w:lang w:val="zh-CN"/>
        </w:rPr>
      </w:pPr>
      <w:r>
        <w:rPr>
          <w:rFonts w:hint="default" w:ascii="Times New Roman" w:hAnsi="Times New Roman" w:cs="Times New Roman"/>
          <w:color w:val="auto"/>
          <w:highlight w:val="none"/>
          <w:lang w:val="en-US" w:eastAsia="zh-CN"/>
        </w:rPr>
        <w:t>塔河油田8区地层水的pH值平均5.5，呈弱酸性，为CaCl</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型水。</w:t>
      </w:r>
      <w:r>
        <w:rPr>
          <w:bCs/>
          <w:color w:val="auto"/>
          <w:szCs w:val="24"/>
          <w:highlight w:val="none"/>
          <w:lang w:val="zh-CN"/>
        </w:rPr>
        <w:t>平均地层水密度为1.141g/cm</w:t>
      </w:r>
      <w:r>
        <w:rPr>
          <w:bCs/>
          <w:color w:val="auto"/>
          <w:szCs w:val="24"/>
          <w:highlight w:val="none"/>
          <w:vertAlign w:val="superscript"/>
          <w:lang w:val="zh-CN"/>
        </w:rPr>
        <w:t>3</w:t>
      </w:r>
      <w:r>
        <w:rPr>
          <w:bCs/>
          <w:color w:val="auto"/>
          <w:szCs w:val="24"/>
          <w:highlight w:val="none"/>
          <w:lang w:val="zh-CN"/>
        </w:rPr>
        <w:t>，pH值为6.3；总矿化度为218033mg/L，Cl</w:t>
      </w:r>
      <w:r>
        <w:rPr>
          <w:bCs/>
          <w:color w:val="auto"/>
          <w:szCs w:val="24"/>
          <w:highlight w:val="none"/>
          <w:vertAlign w:val="superscript"/>
          <w:lang w:val="zh-CN"/>
        </w:rPr>
        <w:t>-</w:t>
      </w:r>
      <w:r>
        <w:rPr>
          <w:bCs/>
          <w:color w:val="auto"/>
          <w:szCs w:val="24"/>
          <w:highlight w:val="none"/>
          <w:lang w:val="zh-CN"/>
        </w:rPr>
        <w:t>为133522mg/L</w:t>
      </w:r>
      <w:r>
        <w:rPr>
          <w:rFonts w:hint="eastAsia"/>
          <w:bCs/>
          <w:color w:val="auto"/>
          <w:szCs w:val="24"/>
          <w:highlight w:val="none"/>
          <w:lang w:val="zh-CN"/>
        </w:rPr>
        <w:t>，</w:t>
      </w:r>
      <w:r>
        <w:rPr>
          <w:bCs/>
          <w:color w:val="auto"/>
          <w:szCs w:val="24"/>
          <w:highlight w:val="none"/>
          <w:lang w:val="zh-CN"/>
        </w:rPr>
        <w:t>属封闭环境下的高矿化度地层水。</w:t>
      </w:r>
    </w:p>
    <w:p w14:paraId="165DA6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（2）塔河油田10区</w:t>
      </w:r>
    </w:p>
    <w:p w14:paraId="2440370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塔河油田10区地层水矿化度介于133662mg/L～232236mg/L之间，平均为178950mg/L。矿化度较主体区低，处于封闭的高矿化度CaCl</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型水。</w:t>
      </w:r>
    </w:p>
    <w:p w14:paraId="091E9A9D">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eastAsia="宋体" w:cs="Times New Roman"/>
          <w:b/>
          <w:bCs w:val="0"/>
          <w:color w:val="auto"/>
          <w:sz w:val="28"/>
          <w:szCs w:val="28"/>
          <w:highlight w:val="none"/>
          <w:lang w:val="en-US" w:eastAsia="zh-CN"/>
        </w:rPr>
      </w:pPr>
      <w:bookmarkStart w:id="231" w:name="_Toc8410"/>
      <w:bookmarkStart w:id="232" w:name="_Toc286"/>
      <w:r>
        <w:rPr>
          <w:rFonts w:hint="default" w:ascii="Times New Roman" w:hAnsi="Times New Roman" w:eastAsia="宋体" w:cs="Times New Roman"/>
          <w:b/>
          <w:bCs w:val="0"/>
          <w:color w:val="auto"/>
          <w:sz w:val="28"/>
          <w:szCs w:val="28"/>
          <w:highlight w:val="none"/>
          <w:lang w:val="en-US" w:eastAsia="zh-CN"/>
        </w:rPr>
        <w:t>3.</w:t>
      </w:r>
      <w:r>
        <w:rPr>
          <w:rFonts w:hint="default" w:ascii="Times New Roman" w:hAnsi="Times New Roman" w:cs="Times New Roman"/>
          <w:b/>
          <w:bCs w:val="0"/>
          <w:color w:val="auto"/>
          <w:sz w:val="28"/>
          <w:szCs w:val="28"/>
          <w:highlight w:val="none"/>
          <w:lang w:val="en-US" w:eastAsia="zh-CN"/>
        </w:rPr>
        <w:t>3</w:t>
      </w:r>
      <w:r>
        <w:rPr>
          <w:rFonts w:hint="default" w:ascii="Times New Roman" w:hAnsi="Times New Roman" w:eastAsia="宋体" w:cs="Times New Roman"/>
          <w:b/>
          <w:bCs w:val="0"/>
          <w:color w:val="auto"/>
          <w:sz w:val="28"/>
          <w:szCs w:val="28"/>
          <w:highlight w:val="none"/>
          <w:lang w:val="en-US" w:eastAsia="zh-CN"/>
        </w:rPr>
        <w:t>.3总体开发方案</w:t>
      </w:r>
      <w:bookmarkEnd w:id="231"/>
      <w:bookmarkEnd w:id="232"/>
    </w:p>
    <w:p w14:paraId="41DC70DD">
      <w:pPr>
        <w:pStyle w:val="1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bCs/>
          <w:color w:val="auto"/>
          <w:spacing w:val="-3"/>
          <w:sz w:val="24"/>
          <w:szCs w:val="24"/>
          <w:highlight w:val="none"/>
          <w:lang w:eastAsia="zh-CN"/>
        </w:rPr>
      </w:pPr>
      <w:r>
        <w:rPr>
          <w:rFonts w:hint="default" w:ascii="Times New Roman" w:hAnsi="Times New Roman" w:cs="Times New Roman"/>
          <w:b/>
          <w:bCs/>
          <w:color w:val="auto"/>
          <w:spacing w:val="-3"/>
          <w:sz w:val="24"/>
          <w:szCs w:val="24"/>
          <w:highlight w:val="none"/>
          <w:lang w:eastAsia="zh-CN"/>
        </w:rPr>
        <w:t>3.</w:t>
      </w:r>
      <w:r>
        <w:rPr>
          <w:rFonts w:hint="default" w:ascii="Times New Roman" w:hAnsi="Times New Roman" w:cs="Times New Roman"/>
          <w:b/>
          <w:bCs/>
          <w:color w:val="auto"/>
          <w:spacing w:val="-3"/>
          <w:sz w:val="24"/>
          <w:szCs w:val="24"/>
          <w:highlight w:val="none"/>
          <w:lang w:val="en-US" w:eastAsia="zh-CN"/>
        </w:rPr>
        <w:t>3</w:t>
      </w:r>
      <w:r>
        <w:rPr>
          <w:rFonts w:hint="default" w:ascii="Times New Roman" w:hAnsi="Times New Roman" w:cs="Times New Roman"/>
          <w:b/>
          <w:bCs/>
          <w:color w:val="auto"/>
          <w:spacing w:val="-3"/>
          <w:sz w:val="24"/>
          <w:szCs w:val="24"/>
          <w:highlight w:val="none"/>
          <w:lang w:eastAsia="zh-CN"/>
        </w:rPr>
        <w:t>.3.1开发部署</w:t>
      </w:r>
    </w:p>
    <w:p w14:paraId="3A3D0D76">
      <w:pPr>
        <w:pStyle w:val="12"/>
        <w:keepNext w:val="0"/>
        <w:keepLines w:val="0"/>
        <w:pageBreakBefore w:val="0"/>
        <w:widowControl w:val="0"/>
        <w:kinsoku/>
        <w:wordWrap/>
        <w:overflowPunct/>
        <w:topLinePunct w:val="0"/>
        <w:autoSpaceDE/>
        <w:autoSpaceDN/>
        <w:bidi w:val="0"/>
        <w:adjustRightInd w:val="0"/>
        <w:snapToGrid w:val="0"/>
        <w:spacing w:line="360" w:lineRule="auto"/>
        <w:ind w:firstLine="468" w:firstLineChars="200"/>
        <w:textAlignment w:val="auto"/>
        <w:rPr>
          <w:rFonts w:hint="default" w:ascii="Times New Roman" w:hAnsi="Times New Roman" w:cs="Times New Roman"/>
          <w:color w:val="auto"/>
          <w:spacing w:val="-3"/>
          <w:sz w:val="24"/>
          <w:szCs w:val="24"/>
          <w:highlight w:val="none"/>
          <w:lang w:val="en-US" w:eastAsia="zh-CN"/>
        </w:rPr>
      </w:pPr>
      <w:r>
        <w:rPr>
          <w:rFonts w:hint="default" w:ascii="Times New Roman" w:hAnsi="Times New Roman" w:cs="Times New Roman"/>
          <w:color w:val="auto"/>
          <w:spacing w:val="-3"/>
          <w:sz w:val="24"/>
          <w:szCs w:val="24"/>
          <w:highlight w:val="none"/>
          <w:lang w:eastAsia="zh-CN"/>
        </w:rPr>
        <w:t>根据</w:t>
      </w:r>
      <w:r>
        <w:rPr>
          <w:rFonts w:hint="default" w:ascii="Times New Roman" w:hAnsi="Times New Roman" w:cs="Times New Roman"/>
          <w:color w:val="auto"/>
          <w:spacing w:val="-3"/>
          <w:sz w:val="24"/>
          <w:szCs w:val="24"/>
          <w:highlight w:val="none"/>
          <w:lang w:val="en-US" w:eastAsia="zh-CN"/>
        </w:rPr>
        <w:t>本项目</w:t>
      </w:r>
      <w:r>
        <w:rPr>
          <w:rFonts w:hint="default" w:ascii="Times New Roman" w:hAnsi="Times New Roman" w:cs="Times New Roman"/>
          <w:color w:val="auto"/>
          <w:spacing w:val="-3"/>
          <w:sz w:val="24"/>
          <w:szCs w:val="24"/>
          <w:highlight w:val="none"/>
          <w:lang w:eastAsia="zh-CN"/>
        </w:rPr>
        <w:t>的地理位置、油井分布、原油物性及产能规模，并结合现状地面设施能力和原油总体流向，总体布局上，就近充分利用塔河油田三号联合站的原油脱水、污水处理等地面设施能力。油气集输系统采用三级布站方式，即：单井—计转站—联合站。井口不设置脱硫设施，单井原油就近进入已建站场，最终输往已建塔河油田三号联合站进行油气水处理。</w:t>
      </w:r>
      <w:r>
        <w:rPr>
          <w:rFonts w:hint="eastAsia" w:ascii="Times New Roman" w:hAnsi="Times New Roman" w:cs="Times New Roman"/>
          <w:color w:val="auto"/>
          <w:spacing w:val="-3"/>
          <w:sz w:val="24"/>
          <w:szCs w:val="24"/>
          <w:highlight w:val="none"/>
          <w:lang w:val="en-US" w:eastAsia="zh-CN"/>
        </w:rPr>
        <w:t>本项目总体平面布局图见图3.3-2。</w:t>
      </w:r>
    </w:p>
    <w:p w14:paraId="6AF2CB8E">
      <w:pPr>
        <w:keepNext w:val="0"/>
        <w:keepLines w:val="0"/>
        <w:pageBreakBefore w:val="0"/>
        <w:kinsoku/>
        <w:wordWrap/>
        <w:overflowPunct/>
        <w:topLinePunct w:val="0"/>
        <w:autoSpaceDE/>
        <w:autoSpaceDN/>
        <w:bidi w:val="0"/>
        <w:spacing w:line="360" w:lineRule="auto"/>
        <w:ind w:left="33" w:right="61" w:firstLine="476"/>
        <w:jc w:val="both"/>
        <w:textAlignment w:val="auto"/>
        <w:rPr>
          <w:rFonts w:hint="default" w:ascii="Times New Roman" w:hAnsi="Times New Roman" w:cs="Times New Roman"/>
          <w:color w:val="auto"/>
          <w:spacing w:val="-3"/>
          <w:sz w:val="24"/>
          <w:szCs w:val="24"/>
          <w:highlight w:val="none"/>
          <w:lang w:val="en-US" w:eastAsia="zh-CN"/>
        </w:rPr>
      </w:pPr>
      <w:r>
        <w:rPr>
          <w:rFonts w:hint="default" w:ascii="Times New Roman" w:hAnsi="Times New Roman" w:cs="Times New Roman"/>
          <w:color w:val="auto"/>
          <w:spacing w:val="-3"/>
          <w:sz w:val="24"/>
          <w:szCs w:val="24"/>
          <w:highlight w:val="none"/>
          <w:lang w:val="en-US" w:eastAsia="zh-CN"/>
        </w:rPr>
        <w:t>本项目</w:t>
      </w:r>
      <w:r>
        <w:rPr>
          <w:rFonts w:hint="default" w:ascii="Times New Roman" w:hAnsi="Times New Roman" w:cs="Times New Roman"/>
          <w:color w:val="auto"/>
          <w:spacing w:val="-3"/>
          <w:sz w:val="24"/>
          <w:szCs w:val="24"/>
          <w:highlight w:val="none"/>
          <w:lang w:eastAsia="zh-CN"/>
        </w:rPr>
        <w:t>部署</w:t>
      </w:r>
      <w:r>
        <w:rPr>
          <w:rFonts w:hint="eastAsia" w:ascii="Times New Roman" w:hAnsi="Times New Roman" w:cs="Times New Roman"/>
          <w:color w:val="auto"/>
          <w:spacing w:val="-3"/>
          <w:sz w:val="24"/>
          <w:szCs w:val="24"/>
          <w:highlight w:val="none"/>
          <w:lang w:val="en-US" w:eastAsia="zh-CN"/>
        </w:rPr>
        <w:t>4口侧钻</w:t>
      </w:r>
      <w:r>
        <w:rPr>
          <w:rFonts w:hint="default" w:ascii="Times New Roman" w:hAnsi="Times New Roman" w:cs="Times New Roman"/>
          <w:color w:val="auto"/>
          <w:spacing w:val="-3"/>
          <w:sz w:val="24"/>
          <w:szCs w:val="24"/>
          <w:highlight w:val="none"/>
          <w:lang w:eastAsia="zh-CN"/>
        </w:rPr>
        <w:t>井均直接进入已建站场处理，原油、掺稀油、伴生气、燃料气等系统均依托已建系统进行集输</w:t>
      </w:r>
      <w:r>
        <w:rPr>
          <w:rFonts w:hint="eastAsia" w:ascii="Times New Roman" w:hAnsi="Times New Roman" w:cs="Times New Roman"/>
          <w:color w:val="auto"/>
          <w:spacing w:val="-3"/>
          <w:sz w:val="24"/>
          <w:szCs w:val="24"/>
          <w:highlight w:val="none"/>
          <w:lang w:eastAsia="zh-CN"/>
        </w:rPr>
        <w:t>，</w:t>
      </w:r>
      <w:r>
        <w:rPr>
          <w:rFonts w:ascii="宋体" w:hAnsi="宋体" w:eastAsia="宋体" w:cs="宋体"/>
          <w:color w:val="auto"/>
          <w:spacing w:val="-3"/>
          <w:sz w:val="24"/>
          <w:szCs w:val="24"/>
          <w:highlight w:val="none"/>
        </w:rPr>
        <w:t>侧钻井管线</w:t>
      </w:r>
      <w:r>
        <w:rPr>
          <w:rFonts w:ascii="宋体" w:hAnsi="宋体" w:eastAsia="宋体" w:cs="宋体"/>
          <w:color w:val="auto"/>
          <w:spacing w:val="-4"/>
          <w:sz w:val="24"/>
          <w:szCs w:val="24"/>
          <w:highlight w:val="none"/>
        </w:rPr>
        <w:t>依托现有</w:t>
      </w:r>
      <w:r>
        <w:rPr>
          <w:rFonts w:ascii="宋体" w:hAnsi="宋体" w:eastAsia="宋体" w:cs="宋体"/>
          <w:color w:val="auto"/>
          <w:spacing w:val="-6"/>
          <w:sz w:val="24"/>
          <w:szCs w:val="24"/>
          <w:highlight w:val="none"/>
        </w:rPr>
        <w:t>管线。</w:t>
      </w:r>
      <w:r>
        <w:rPr>
          <w:rFonts w:hint="default" w:ascii="Times New Roman" w:hAnsi="Times New Roman" w:cs="Times New Roman"/>
          <w:color w:val="auto"/>
          <w:spacing w:val="-3"/>
          <w:sz w:val="24"/>
          <w:szCs w:val="24"/>
          <w:highlight w:val="none"/>
          <w:lang w:eastAsia="zh-CN"/>
        </w:rPr>
        <w:t>本项目</w:t>
      </w:r>
      <w:r>
        <w:rPr>
          <w:rFonts w:hint="eastAsia" w:cs="Times New Roman"/>
          <w:color w:val="auto"/>
          <w:spacing w:val="-3"/>
          <w:sz w:val="24"/>
          <w:szCs w:val="24"/>
          <w:highlight w:val="none"/>
          <w:lang w:val="en-US" w:eastAsia="zh-CN"/>
        </w:rPr>
        <w:t>侧钻井</w:t>
      </w:r>
      <w:r>
        <w:rPr>
          <w:rFonts w:hint="default" w:ascii="Times New Roman" w:hAnsi="Times New Roman" w:cs="Times New Roman"/>
          <w:color w:val="auto"/>
          <w:spacing w:val="-3"/>
          <w:sz w:val="24"/>
          <w:szCs w:val="24"/>
          <w:highlight w:val="none"/>
          <w:lang w:eastAsia="zh-CN"/>
        </w:rPr>
        <w:t>进站情况一览表</w:t>
      </w:r>
      <w:r>
        <w:rPr>
          <w:rFonts w:hint="default" w:ascii="Times New Roman" w:hAnsi="Times New Roman" w:cs="Times New Roman"/>
          <w:color w:val="auto"/>
          <w:spacing w:val="-3"/>
          <w:sz w:val="24"/>
          <w:szCs w:val="24"/>
          <w:highlight w:val="none"/>
          <w:lang w:val="en-US" w:eastAsia="zh-CN"/>
        </w:rPr>
        <w:t>见表3.3-</w:t>
      </w:r>
      <w:r>
        <w:rPr>
          <w:rFonts w:hint="eastAsia" w:ascii="Times New Roman" w:hAnsi="Times New Roman" w:cs="Times New Roman"/>
          <w:color w:val="auto"/>
          <w:spacing w:val="-3"/>
          <w:sz w:val="24"/>
          <w:szCs w:val="24"/>
          <w:highlight w:val="none"/>
          <w:lang w:val="en-US" w:eastAsia="zh-CN"/>
        </w:rPr>
        <w:t>2</w:t>
      </w:r>
      <w:r>
        <w:rPr>
          <w:rFonts w:hint="default" w:ascii="Times New Roman" w:hAnsi="Times New Roman" w:cs="Times New Roman"/>
          <w:color w:val="auto"/>
          <w:spacing w:val="-3"/>
          <w:sz w:val="24"/>
          <w:szCs w:val="24"/>
          <w:highlight w:val="none"/>
          <w:lang w:val="en-US" w:eastAsia="zh-CN"/>
        </w:rPr>
        <w:t>。</w:t>
      </w:r>
    </w:p>
    <w:p w14:paraId="772F7C10">
      <w:pPr>
        <w:pStyle w:val="44"/>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表3.</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侧钻井</w:t>
      </w:r>
      <w:r>
        <w:rPr>
          <w:rFonts w:hint="default" w:ascii="Times New Roman" w:hAnsi="Times New Roman" w:cs="Times New Roman"/>
          <w:color w:val="auto"/>
          <w:sz w:val="21"/>
          <w:szCs w:val="21"/>
          <w:highlight w:val="none"/>
          <w:lang w:val="en-US" w:eastAsia="zh-CN"/>
        </w:rPr>
        <w:t>进站</w:t>
      </w:r>
      <w:r>
        <w:rPr>
          <w:rFonts w:hint="default" w:ascii="Times New Roman" w:hAnsi="Times New Roman" w:eastAsia="黑体" w:cs="Times New Roman"/>
          <w:color w:val="auto"/>
          <w:sz w:val="21"/>
          <w:szCs w:val="21"/>
          <w:highlight w:val="none"/>
        </w:rPr>
        <w:t>情况一览表</w:t>
      </w:r>
    </w:p>
    <w:tbl>
      <w:tblPr>
        <w:tblStyle w:val="60"/>
        <w:tblW w:w="84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
        <w:gridCol w:w="1375"/>
        <w:gridCol w:w="1640"/>
        <w:gridCol w:w="1640"/>
        <w:gridCol w:w="1249"/>
        <w:gridCol w:w="2031"/>
      </w:tblGrid>
      <w:tr w14:paraId="6FEB2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48" w:type="dxa"/>
            <w:tcBorders>
              <w:left w:val="single" w:color="000000" w:sz="6" w:space="0"/>
            </w:tcBorders>
            <w:vAlign w:val="center"/>
          </w:tcPr>
          <w:p w14:paraId="01E60CB5">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序号</w:t>
            </w:r>
          </w:p>
        </w:tc>
        <w:tc>
          <w:tcPr>
            <w:tcW w:w="1375" w:type="dxa"/>
            <w:vAlign w:val="center"/>
          </w:tcPr>
          <w:p w14:paraId="40BACEED">
            <w:pPr>
              <w:pStyle w:val="42"/>
              <w:keepNext w:val="0"/>
              <w:keepLines w:val="0"/>
              <w:pageBreakBefore w:val="0"/>
              <w:widowControl/>
              <w:kinsoku/>
              <w:wordWrap/>
              <w:overflowPunct/>
              <w:topLinePunct w:val="0"/>
              <w:autoSpaceDE/>
              <w:autoSpaceDN/>
              <w:bidi w:val="0"/>
              <w:adjustRightInd w:val="0"/>
              <w:snapToGrid w:val="0"/>
              <w:spacing w:line="360" w:lineRule="exact"/>
              <w:ind w:right="97"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pacing w:val="-6"/>
                <w:sz w:val="21"/>
                <w:szCs w:val="21"/>
                <w:highlight w:val="none"/>
                <w:lang w:val="en-US" w:eastAsia="zh-CN"/>
              </w:rPr>
              <w:t>侧钻井</w:t>
            </w:r>
            <w:r>
              <w:rPr>
                <w:rFonts w:hint="default" w:ascii="Times New Roman" w:hAnsi="Times New Roman" w:eastAsia="宋体" w:cs="Times New Roman"/>
                <w:color w:val="auto"/>
                <w:spacing w:val="-6"/>
                <w:sz w:val="21"/>
                <w:szCs w:val="21"/>
                <w:highlight w:val="none"/>
              </w:rPr>
              <w:t>名</w:t>
            </w:r>
            <w:r>
              <w:rPr>
                <w:rFonts w:hint="default" w:ascii="Times New Roman" w:hAnsi="Times New Roman" w:eastAsia="宋体" w:cs="Times New Roman"/>
                <w:color w:val="auto"/>
                <w:spacing w:val="1"/>
                <w:sz w:val="21"/>
                <w:szCs w:val="21"/>
                <w:highlight w:val="none"/>
              </w:rPr>
              <w:t>称</w:t>
            </w:r>
          </w:p>
        </w:tc>
        <w:tc>
          <w:tcPr>
            <w:tcW w:w="1640" w:type="dxa"/>
            <w:vAlign w:val="center"/>
          </w:tcPr>
          <w:p w14:paraId="4B6966EC">
            <w:pPr>
              <w:pStyle w:val="42"/>
              <w:keepNext w:val="0"/>
              <w:keepLines w:val="0"/>
              <w:pageBreakBefore w:val="0"/>
              <w:widowControl/>
              <w:kinsoku/>
              <w:wordWrap/>
              <w:overflowPunct/>
              <w:topLinePunct w:val="0"/>
              <w:autoSpaceDE/>
              <w:autoSpaceDN/>
              <w:bidi w:val="0"/>
              <w:adjustRightInd w:val="0"/>
              <w:snapToGrid w:val="0"/>
              <w:spacing w:line="360" w:lineRule="exact"/>
              <w:ind w:right="62" w:rightChars="0"/>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5"/>
                <w:sz w:val="21"/>
                <w:szCs w:val="21"/>
                <w:highlight w:val="none"/>
              </w:rPr>
              <w:t>接入计转</w:t>
            </w:r>
            <w:r>
              <w:rPr>
                <w:rFonts w:hint="default" w:ascii="Times New Roman" w:hAnsi="Times New Roman" w:eastAsia="宋体" w:cs="Times New Roman"/>
                <w:color w:val="auto"/>
                <w:sz w:val="21"/>
                <w:szCs w:val="21"/>
                <w:highlight w:val="none"/>
              </w:rPr>
              <w:t>站</w:t>
            </w:r>
          </w:p>
        </w:tc>
        <w:tc>
          <w:tcPr>
            <w:tcW w:w="1640" w:type="dxa"/>
            <w:vAlign w:val="center"/>
          </w:tcPr>
          <w:p w14:paraId="7407E05F">
            <w:pPr>
              <w:pStyle w:val="42"/>
              <w:keepNext w:val="0"/>
              <w:keepLines w:val="0"/>
              <w:pageBreakBefore w:val="0"/>
              <w:widowControl/>
              <w:kinsoku/>
              <w:wordWrap/>
              <w:overflowPunct/>
              <w:topLinePunct w:val="0"/>
              <w:autoSpaceDE/>
              <w:autoSpaceDN/>
              <w:bidi w:val="0"/>
              <w:adjustRightInd w:val="0"/>
              <w:snapToGrid w:val="0"/>
              <w:spacing w:line="360" w:lineRule="exact"/>
              <w:ind w:right="39" w:rightChars="0"/>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4"/>
                <w:sz w:val="21"/>
                <w:szCs w:val="21"/>
                <w:highlight w:val="none"/>
              </w:rPr>
              <w:t>接入联</w:t>
            </w:r>
            <w:r>
              <w:rPr>
                <w:rFonts w:hint="default" w:ascii="Times New Roman" w:hAnsi="Times New Roman" w:eastAsia="宋体" w:cs="Times New Roman"/>
                <w:color w:val="auto"/>
                <w:sz w:val="21"/>
                <w:szCs w:val="21"/>
                <w:highlight w:val="none"/>
              </w:rPr>
              <w:t>合站</w:t>
            </w:r>
          </w:p>
        </w:tc>
        <w:tc>
          <w:tcPr>
            <w:tcW w:w="1249" w:type="dxa"/>
            <w:vAlign w:val="center"/>
          </w:tcPr>
          <w:p w14:paraId="62488CDB">
            <w:pPr>
              <w:pStyle w:val="42"/>
              <w:keepNext w:val="0"/>
              <w:keepLines w:val="0"/>
              <w:pageBreakBefore w:val="0"/>
              <w:widowControl/>
              <w:kinsoku/>
              <w:wordWrap/>
              <w:overflowPunct/>
              <w:topLinePunct w:val="0"/>
              <w:autoSpaceDE/>
              <w:autoSpaceDN/>
              <w:bidi w:val="0"/>
              <w:adjustRightInd w:val="0"/>
              <w:snapToGrid w:val="0"/>
              <w:spacing w:line="360" w:lineRule="exact"/>
              <w:ind w:right="29" w:right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4"/>
                <w:sz w:val="21"/>
                <w:szCs w:val="21"/>
                <w:highlight w:val="none"/>
              </w:rPr>
              <w:t>所属区</w:t>
            </w:r>
            <w:r>
              <w:rPr>
                <w:rFonts w:hint="default" w:ascii="Times New Roman" w:hAnsi="Times New Roman" w:eastAsia="宋体" w:cs="Times New Roman"/>
                <w:color w:val="auto"/>
                <w:spacing w:val="1"/>
                <w:sz w:val="21"/>
                <w:szCs w:val="21"/>
                <w:highlight w:val="none"/>
              </w:rPr>
              <w:t>块</w:t>
            </w:r>
          </w:p>
        </w:tc>
        <w:tc>
          <w:tcPr>
            <w:tcW w:w="2031" w:type="dxa"/>
            <w:tcBorders>
              <w:right w:val="single" w:color="000000" w:sz="6" w:space="0"/>
            </w:tcBorders>
            <w:vAlign w:val="center"/>
          </w:tcPr>
          <w:p w14:paraId="02C870B5">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1"/>
                <w:sz w:val="21"/>
                <w:szCs w:val="21"/>
                <w:highlight w:val="none"/>
              </w:rPr>
              <w:t>备注</w:t>
            </w:r>
          </w:p>
        </w:tc>
      </w:tr>
      <w:tr w14:paraId="71944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48" w:type="dxa"/>
            <w:tcBorders>
              <w:left w:val="single" w:color="000000" w:sz="6" w:space="0"/>
            </w:tcBorders>
            <w:vAlign w:val="center"/>
          </w:tcPr>
          <w:p w14:paraId="1429398F">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1</w:t>
            </w:r>
          </w:p>
        </w:tc>
        <w:tc>
          <w:tcPr>
            <w:tcW w:w="1375" w:type="dxa"/>
            <w:vAlign w:val="center"/>
          </w:tcPr>
          <w:p w14:paraId="341A94F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9"/>
                <w:sz w:val="21"/>
                <w:szCs w:val="21"/>
                <w:highlight w:val="none"/>
                <w:lang w:val="en-US"/>
              </w:rPr>
            </w:pPr>
            <w:r>
              <w:rPr>
                <w:rFonts w:hint="eastAsia" w:cs="Times New Roman"/>
                <w:i w:val="0"/>
                <w:iCs w:val="0"/>
                <w:color w:val="auto"/>
                <w:kern w:val="0"/>
                <w:sz w:val="21"/>
                <w:szCs w:val="21"/>
                <w:highlight w:val="none"/>
                <w:u w:val="none"/>
                <w:lang w:val="en-US" w:eastAsia="zh-CN" w:bidi="ar"/>
              </w:rPr>
              <w:t>TH10250CH</w:t>
            </w:r>
          </w:p>
        </w:tc>
        <w:tc>
          <w:tcPr>
            <w:tcW w:w="1640" w:type="dxa"/>
            <w:vAlign w:val="center"/>
          </w:tcPr>
          <w:p w14:paraId="3D8078B9">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10-6计转站</w:t>
            </w:r>
          </w:p>
        </w:tc>
        <w:tc>
          <w:tcPr>
            <w:tcW w:w="1640" w:type="dxa"/>
            <w:vAlign w:val="center"/>
          </w:tcPr>
          <w:p w14:paraId="0A45C9DB">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1249" w:type="dxa"/>
            <w:vAlign w:val="center"/>
          </w:tcPr>
          <w:p w14:paraId="1225B449">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w:t>
            </w:r>
            <w:r>
              <w:rPr>
                <w:rFonts w:hint="default" w:ascii="Times New Roman" w:hAnsi="Times New Roman" w:eastAsia="宋体" w:cs="Times New Roman"/>
                <w:color w:val="auto"/>
                <w:spacing w:val="9"/>
                <w:sz w:val="21"/>
                <w:szCs w:val="21"/>
                <w:highlight w:val="none"/>
              </w:rPr>
              <w:t>区</w:t>
            </w:r>
          </w:p>
        </w:tc>
        <w:tc>
          <w:tcPr>
            <w:tcW w:w="2031" w:type="dxa"/>
            <w:tcBorders>
              <w:right w:val="single" w:color="000000" w:sz="6" w:space="0"/>
            </w:tcBorders>
            <w:vAlign w:val="center"/>
          </w:tcPr>
          <w:p w14:paraId="718EF539">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管线已敷设</w:t>
            </w:r>
            <w:r>
              <w:rPr>
                <w:rFonts w:hint="eastAsia" w:ascii="Times New Roman" w:hAnsi="Times New Roman" w:eastAsia="宋体" w:cs="Times New Roman"/>
                <w:color w:val="auto"/>
                <w:spacing w:val="9"/>
                <w:sz w:val="21"/>
                <w:szCs w:val="21"/>
                <w:highlight w:val="none"/>
                <w:lang w:eastAsia="zh-CN"/>
              </w:rPr>
              <w:t>，</w:t>
            </w:r>
            <w:r>
              <w:rPr>
                <w:rFonts w:hint="eastAsia" w:ascii="Times New Roman" w:hAnsi="Times New Roman" w:eastAsia="宋体" w:cs="Times New Roman"/>
                <w:color w:val="auto"/>
                <w:spacing w:val="9"/>
                <w:sz w:val="21"/>
                <w:szCs w:val="21"/>
                <w:highlight w:val="none"/>
                <w:lang w:val="en-US" w:eastAsia="zh-CN"/>
              </w:rPr>
              <w:t>利旧</w:t>
            </w:r>
          </w:p>
        </w:tc>
      </w:tr>
      <w:tr w14:paraId="4C9F4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48" w:type="dxa"/>
            <w:tcBorders>
              <w:left w:val="single" w:color="000000" w:sz="6" w:space="0"/>
            </w:tcBorders>
            <w:vAlign w:val="center"/>
          </w:tcPr>
          <w:p w14:paraId="55770465">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2</w:t>
            </w:r>
          </w:p>
        </w:tc>
        <w:tc>
          <w:tcPr>
            <w:tcW w:w="1375" w:type="dxa"/>
            <w:vAlign w:val="center"/>
          </w:tcPr>
          <w:p w14:paraId="4B6CE9F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9"/>
                <w:sz w:val="21"/>
                <w:szCs w:val="21"/>
                <w:highlight w:val="none"/>
                <w:lang w:val="en-US"/>
              </w:rPr>
            </w:pPr>
            <w:r>
              <w:rPr>
                <w:rFonts w:hint="eastAsia" w:cs="Times New Roman"/>
                <w:i w:val="0"/>
                <w:iCs w:val="0"/>
                <w:color w:val="auto"/>
                <w:kern w:val="0"/>
                <w:sz w:val="21"/>
                <w:szCs w:val="21"/>
                <w:highlight w:val="none"/>
                <w:u w:val="none"/>
                <w:lang w:val="en-US" w:eastAsia="zh-CN" w:bidi="ar"/>
              </w:rPr>
              <w:t>TH10294CH</w:t>
            </w:r>
          </w:p>
        </w:tc>
        <w:tc>
          <w:tcPr>
            <w:tcW w:w="1640" w:type="dxa"/>
            <w:vAlign w:val="center"/>
          </w:tcPr>
          <w:p w14:paraId="3E91B746">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10-6计转站</w:t>
            </w:r>
          </w:p>
        </w:tc>
        <w:tc>
          <w:tcPr>
            <w:tcW w:w="1640" w:type="dxa"/>
            <w:vAlign w:val="center"/>
          </w:tcPr>
          <w:p w14:paraId="7728A896">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1249" w:type="dxa"/>
            <w:vAlign w:val="center"/>
          </w:tcPr>
          <w:p w14:paraId="2F676FC8">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10区</w:t>
            </w:r>
          </w:p>
        </w:tc>
        <w:tc>
          <w:tcPr>
            <w:tcW w:w="2031" w:type="dxa"/>
            <w:tcBorders>
              <w:right w:val="single" w:color="000000" w:sz="6" w:space="0"/>
            </w:tcBorders>
            <w:vAlign w:val="center"/>
          </w:tcPr>
          <w:p w14:paraId="1EF56D9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管线已敷设</w:t>
            </w:r>
            <w:r>
              <w:rPr>
                <w:rFonts w:hint="eastAsia" w:ascii="Times New Roman" w:hAnsi="Times New Roman" w:eastAsia="宋体" w:cs="Times New Roman"/>
                <w:color w:val="auto"/>
                <w:spacing w:val="9"/>
                <w:sz w:val="21"/>
                <w:szCs w:val="21"/>
                <w:highlight w:val="none"/>
                <w:lang w:eastAsia="zh-CN"/>
              </w:rPr>
              <w:t>，</w:t>
            </w:r>
            <w:r>
              <w:rPr>
                <w:rFonts w:hint="eastAsia" w:ascii="Times New Roman" w:hAnsi="Times New Roman" w:eastAsia="宋体" w:cs="Times New Roman"/>
                <w:color w:val="auto"/>
                <w:spacing w:val="9"/>
                <w:sz w:val="21"/>
                <w:szCs w:val="21"/>
                <w:highlight w:val="none"/>
                <w:lang w:val="en-US" w:eastAsia="zh-CN"/>
              </w:rPr>
              <w:t>利旧</w:t>
            </w:r>
          </w:p>
        </w:tc>
      </w:tr>
      <w:tr w14:paraId="24C44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48" w:type="dxa"/>
            <w:tcBorders>
              <w:left w:val="single" w:color="000000" w:sz="6" w:space="0"/>
            </w:tcBorders>
            <w:vAlign w:val="center"/>
          </w:tcPr>
          <w:p w14:paraId="76ED59B3">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3</w:t>
            </w:r>
          </w:p>
        </w:tc>
        <w:tc>
          <w:tcPr>
            <w:tcW w:w="1375" w:type="dxa"/>
            <w:vAlign w:val="center"/>
          </w:tcPr>
          <w:p w14:paraId="5F41F6B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9"/>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TH10298</w:t>
            </w:r>
            <w:r>
              <w:rPr>
                <w:rFonts w:hint="eastAsia" w:eastAsia="宋体" w:cs="Times New Roman"/>
                <w:i w:val="0"/>
                <w:iCs w:val="0"/>
                <w:color w:val="auto"/>
                <w:kern w:val="0"/>
                <w:sz w:val="21"/>
                <w:szCs w:val="21"/>
                <w:highlight w:val="none"/>
                <w:u w:val="none"/>
                <w:lang w:val="en-US" w:eastAsia="zh-CN" w:bidi="ar"/>
              </w:rPr>
              <w:t>CH</w:t>
            </w:r>
          </w:p>
        </w:tc>
        <w:tc>
          <w:tcPr>
            <w:tcW w:w="1640" w:type="dxa"/>
            <w:vAlign w:val="center"/>
          </w:tcPr>
          <w:p w14:paraId="15AB43AE">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10-6计转站</w:t>
            </w:r>
          </w:p>
        </w:tc>
        <w:tc>
          <w:tcPr>
            <w:tcW w:w="1640" w:type="dxa"/>
            <w:vAlign w:val="center"/>
          </w:tcPr>
          <w:p w14:paraId="207992BA">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1249" w:type="dxa"/>
            <w:vAlign w:val="center"/>
          </w:tcPr>
          <w:p w14:paraId="7FFC4960">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9"/>
                <w:sz w:val="21"/>
                <w:szCs w:val="21"/>
                <w:highlight w:val="none"/>
                <w:lang w:val="en-US" w:eastAsia="zh-CN"/>
              </w:rPr>
              <w:t>10</w:t>
            </w:r>
            <w:r>
              <w:rPr>
                <w:rFonts w:hint="default" w:ascii="Times New Roman" w:hAnsi="Times New Roman" w:eastAsia="宋体" w:cs="Times New Roman"/>
                <w:color w:val="auto"/>
                <w:spacing w:val="9"/>
                <w:sz w:val="21"/>
                <w:szCs w:val="21"/>
                <w:highlight w:val="none"/>
              </w:rPr>
              <w:t>区</w:t>
            </w:r>
          </w:p>
        </w:tc>
        <w:tc>
          <w:tcPr>
            <w:tcW w:w="2031" w:type="dxa"/>
            <w:tcBorders>
              <w:right w:val="single" w:color="000000" w:sz="6" w:space="0"/>
            </w:tcBorders>
            <w:vAlign w:val="center"/>
          </w:tcPr>
          <w:p w14:paraId="646577B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管线已敷设</w:t>
            </w:r>
            <w:r>
              <w:rPr>
                <w:rFonts w:hint="eastAsia" w:ascii="Times New Roman" w:hAnsi="Times New Roman" w:eastAsia="宋体" w:cs="Times New Roman"/>
                <w:color w:val="auto"/>
                <w:spacing w:val="9"/>
                <w:sz w:val="21"/>
                <w:szCs w:val="21"/>
                <w:highlight w:val="none"/>
                <w:lang w:eastAsia="zh-CN"/>
              </w:rPr>
              <w:t>，</w:t>
            </w:r>
            <w:r>
              <w:rPr>
                <w:rFonts w:hint="eastAsia" w:ascii="Times New Roman" w:hAnsi="Times New Roman" w:eastAsia="宋体" w:cs="Times New Roman"/>
                <w:color w:val="auto"/>
                <w:spacing w:val="9"/>
                <w:sz w:val="21"/>
                <w:szCs w:val="21"/>
                <w:highlight w:val="none"/>
                <w:lang w:val="en-US" w:eastAsia="zh-CN"/>
              </w:rPr>
              <w:t>利旧</w:t>
            </w:r>
          </w:p>
        </w:tc>
      </w:tr>
      <w:tr w14:paraId="005FC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48" w:type="dxa"/>
            <w:tcBorders>
              <w:left w:val="single" w:color="000000" w:sz="6" w:space="0"/>
            </w:tcBorders>
            <w:vAlign w:val="center"/>
          </w:tcPr>
          <w:p w14:paraId="27ED041C">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4</w:t>
            </w:r>
          </w:p>
        </w:tc>
        <w:tc>
          <w:tcPr>
            <w:tcW w:w="1375" w:type="dxa"/>
            <w:vAlign w:val="center"/>
          </w:tcPr>
          <w:p w14:paraId="6145A1D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9"/>
                <w:sz w:val="21"/>
                <w:szCs w:val="21"/>
                <w:highlight w:val="none"/>
                <w:lang w:val="en-US"/>
              </w:rPr>
            </w:pPr>
            <w:r>
              <w:rPr>
                <w:rFonts w:hint="eastAsia" w:cs="Times New Roman"/>
                <w:i w:val="0"/>
                <w:iCs w:val="0"/>
                <w:color w:val="auto"/>
                <w:kern w:val="0"/>
                <w:sz w:val="21"/>
                <w:szCs w:val="21"/>
                <w:highlight w:val="none"/>
                <w:u w:val="none"/>
                <w:lang w:val="en-US" w:eastAsia="zh-CN" w:bidi="ar"/>
              </w:rPr>
              <w:t>TK872CH</w:t>
            </w:r>
          </w:p>
        </w:tc>
        <w:tc>
          <w:tcPr>
            <w:tcW w:w="1640" w:type="dxa"/>
            <w:vAlign w:val="center"/>
          </w:tcPr>
          <w:p w14:paraId="503A26A8">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8-1</w:t>
            </w:r>
            <w:r>
              <w:rPr>
                <w:rFonts w:hint="default" w:ascii="Times New Roman" w:hAnsi="Times New Roman" w:eastAsia="宋体" w:cs="Times New Roman"/>
                <w:i w:val="0"/>
                <w:iCs w:val="0"/>
                <w:color w:val="auto"/>
                <w:kern w:val="0"/>
                <w:sz w:val="21"/>
                <w:szCs w:val="21"/>
                <w:highlight w:val="none"/>
                <w:u w:val="none"/>
                <w:lang w:val="en-US" w:eastAsia="zh-CN" w:bidi="ar"/>
              </w:rPr>
              <w:t>计转站</w:t>
            </w:r>
          </w:p>
        </w:tc>
        <w:tc>
          <w:tcPr>
            <w:tcW w:w="1640" w:type="dxa"/>
            <w:vAlign w:val="center"/>
          </w:tcPr>
          <w:p w14:paraId="667CDA65">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三号联合站</w:t>
            </w:r>
          </w:p>
        </w:tc>
        <w:tc>
          <w:tcPr>
            <w:tcW w:w="1249" w:type="dxa"/>
            <w:vAlign w:val="center"/>
          </w:tcPr>
          <w:p w14:paraId="7501828A">
            <w:pPr>
              <w:pStyle w:val="42"/>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lang w:val="en-US" w:eastAsia="zh-CN"/>
              </w:rPr>
              <w:t>8</w:t>
            </w:r>
            <w:r>
              <w:rPr>
                <w:rFonts w:hint="default" w:ascii="Times New Roman" w:hAnsi="Times New Roman" w:eastAsia="宋体" w:cs="Times New Roman"/>
                <w:color w:val="auto"/>
                <w:spacing w:val="9"/>
                <w:sz w:val="21"/>
                <w:szCs w:val="21"/>
                <w:highlight w:val="none"/>
              </w:rPr>
              <w:t>区</w:t>
            </w:r>
          </w:p>
        </w:tc>
        <w:tc>
          <w:tcPr>
            <w:tcW w:w="2031" w:type="dxa"/>
            <w:tcBorders>
              <w:right w:val="single" w:color="000000" w:sz="6" w:space="0"/>
            </w:tcBorders>
            <w:vAlign w:val="center"/>
          </w:tcPr>
          <w:p w14:paraId="10F2E22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管线已敷设</w:t>
            </w:r>
            <w:r>
              <w:rPr>
                <w:rFonts w:hint="eastAsia" w:ascii="Times New Roman" w:hAnsi="Times New Roman" w:eastAsia="宋体" w:cs="Times New Roman"/>
                <w:color w:val="auto"/>
                <w:spacing w:val="9"/>
                <w:sz w:val="21"/>
                <w:szCs w:val="21"/>
                <w:highlight w:val="none"/>
                <w:lang w:eastAsia="zh-CN"/>
              </w:rPr>
              <w:t>，</w:t>
            </w:r>
            <w:r>
              <w:rPr>
                <w:rFonts w:hint="eastAsia" w:ascii="Times New Roman" w:hAnsi="Times New Roman" w:eastAsia="宋体" w:cs="Times New Roman"/>
                <w:color w:val="auto"/>
                <w:spacing w:val="9"/>
                <w:sz w:val="21"/>
                <w:szCs w:val="21"/>
                <w:highlight w:val="none"/>
                <w:lang w:val="en-US" w:eastAsia="zh-CN"/>
              </w:rPr>
              <w:t>利旧</w:t>
            </w:r>
          </w:p>
        </w:tc>
      </w:tr>
    </w:tbl>
    <w:p w14:paraId="1603ACDC">
      <w:pPr>
        <w:pStyle w:val="7"/>
        <w:keepNext/>
        <w:keepLines/>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3.3.3.2</w:t>
      </w:r>
      <w:r>
        <w:rPr>
          <w:rFonts w:hint="default" w:ascii="Times New Roman" w:hAnsi="Times New Roman" w:cs="Times New Roman"/>
          <w:color w:val="auto"/>
          <w:highlight w:val="none"/>
        </w:rPr>
        <w:t>开发指标预测</w:t>
      </w:r>
    </w:p>
    <w:p w14:paraId="11E5B2F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Cs w:val="24"/>
          <w:highlight w:val="none"/>
        </w:rPr>
      </w:pPr>
      <w:r>
        <w:rPr>
          <w:rFonts w:hint="eastAsia"/>
          <w:color w:val="auto"/>
          <w:szCs w:val="24"/>
          <w:highlight w:val="none"/>
        </w:rPr>
        <w:t>本</w:t>
      </w:r>
      <w:r>
        <w:rPr>
          <w:rFonts w:hint="eastAsia"/>
          <w:color w:val="auto"/>
          <w:szCs w:val="24"/>
          <w:highlight w:val="none"/>
          <w:lang w:val="en-US" w:eastAsia="zh-CN"/>
        </w:rPr>
        <w:t>项目</w:t>
      </w:r>
      <w:r>
        <w:rPr>
          <w:rFonts w:hint="eastAsia"/>
          <w:color w:val="auto"/>
          <w:szCs w:val="24"/>
          <w:highlight w:val="none"/>
        </w:rPr>
        <w:t>开发部署4口侧钻井，单井初期平均产油14t/d，</w:t>
      </w:r>
      <w:r>
        <w:rPr>
          <w:rFonts w:hint="eastAsia"/>
          <w:color w:val="auto"/>
          <w:sz w:val="24"/>
          <w:szCs w:val="24"/>
          <w:highlight w:val="none"/>
        </w:rPr>
        <w:t>最高产油1.42万</w:t>
      </w:r>
      <w:r>
        <w:rPr>
          <w:rFonts w:hint="eastAsia"/>
          <w:color w:val="auto"/>
          <w:sz w:val="24"/>
          <w:szCs w:val="24"/>
          <w:highlight w:val="none"/>
          <w:lang w:val="en-US" w:eastAsia="zh-CN"/>
        </w:rPr>
        <w:t>t/a，</w:t>
      </w:r>
      <w:r>
        <w:rPr>
          <w:rFonts w:hint="eastAsia"/>
          <w:color w:val="auto"/>
          <w:szCs w:val="24"/>
          <w:highlight w:val="none"/>
        </w:rPr>
        <w:t>气油比60~140m</w:t>
      </w:r>
      <w:r>
        <w:rPr>
          <w:rFonts w:hint="eastAsia"/>
          <w:color w:val="auto"/>
          <w:szCs w:val="24"/>
          <w:highlight w:val="none"/>
          <w:vertAlign w:val="superscript"/>
        </w:rPr>
        <w:t>3</w:t>
      </w:r>
      <w:r>
        <w:rPr>
          <w:rFonts w:hint="eastAsia"/>
          <w:color w:val="auto"/>
          <w:szCs w:val="24"/>
          <w:highlight w:val="none"/>
        </w:rPr>
        <w:t>/t，除TK872CH井外，其余3口井均掺稀，掺稀比1.5，初期含水5%。</w:t>
      </w:r>
      <w:r>
        <w:rPr>
          <w:rFonts w:hint="eastAsia"/>
          <w:color w:val="auto"/>
          <w:szCs w:val="24"/>
          <w:highlight w:val="none"/>
          <w:lang w:val="en-US" w:eastAsia="zh-CN"/>
        </w:rPr>
        <w:t>具体开发指标预测</w:t>
      </w:r>
      <w:r>
        <w:rPr>
          <w:rFonts w:hint="eastAsia"/>
          <w:color w:val="auto"/>
          <w:szCs w:val="24"/>
          <w:highlight w:val="none"/>
        </w:rPr>
        <w:t>见表</w:t>
      </w:r>
      <w:r>
        <w:rPr>
          <w:rFonts w:hint="eastAsia"/>
          <w:color w:val="auto"/>
          <w:szCs w:val="24"/>
          <w:highlight w:val="none"/>
          <w:lang w:val="en-US" w:eastAsia="zh-CN"/>
        </w:rPr>
        <w:t>3.3-3</w:t>
      </w:r>
      <w:r>
        <w:rPr>
          <w:rFonts w:hint="eastAsia"/>
          <w:color w:val="auto"/>
          <w:szCs w:val="24"/>
          <w:highlight w:val="none"/>
        </w:rPr>
        <w:t>。</w:t>
      </w:r>
    </w:p>
    <w:p w14:paraId="07D51C6C">
      <w:pPr>
        <w:adjustRightInd w:val="0"/>
        <w:spacing w:line="276" w:lineRule="auto"/>
        <w:jc w:val="center"/>
        <w:rPr>
          <w:rFonts w:hint="eastAsia" w:eastAsia="黑体"/>
          <w:bCs/>
          <w:color w:val="auto"/>
          <w:sz w:val="21"/>
          <w:szCs w:val="24"/>
          <w:highlight w:val="none"/>
          <w:lang w:eastAsia="zh-CN"/>
        </w:rPr>
      </w:pPr>
      <w:r>
        <w:rPr>
          <w:rFonts w:hint="eastAsia" w:eastAsia="黑体"/>
          <w:bCs/>
          <w:color w:val="auto"/>
          <w:sz w:val="21"/>
          <w:szCs w:val="24"/>
          <w:highlight w:val="none"/>
        </w:rPr>
        <w:t>表</w:t>
      </w:r>
      <w:r>
        <w:rPr>
          <w:rFonts w:hint="eastAsia" w:eastAsia="黑体"/>
          <w:bCs/>
          <w:color w:val="auto"/>
          <w:sz w:val="21"/>
          <w:szCs w:val="24"/>
          <w:highlight w:val="none"/>
          <w:lang w:val="en-US" w:eastAsia="zh-CN"/>
        </w:rPr>
        <w:t xml:space="preserve">3.3-3  </w:t>
      </w:r>
      <w:r>
        <w:rPr>
          <w:rFonts w:hint="eastAsia" w:eastAsia="黑体"/>
          <w:bCs/>
          <w:color w:val="auto"/>
          <w:sz w:val="21"/>
          <w:szCs w:val="24"/>
          <w:highlight w:val="none"/>
        </w:rPr>
        <w:t>部署</w:t>
      </w:r>
      <w:r>
        <w:rPr>
          <w:rFonts w:hint="eastAsia" w:eastAsia="黑体"/>
          <w:bCs/>
          <w:color w:val="auto"/>
          <w:sz w:val="21"/>
          <w:szCs w:val="24"/>
          <w:highlight w:val="none"/>
          <w:lang w:val="en-US" w:eastAsia="zh-CN"/>
        </w:rPr>
        <w:t>侧钻井</w:t>
      </w:r>
      <w:r>
        <w:rPr>
          <w:rFonts w:hint="eastAsia" w:eastAsia="黑体"/>
          <w:bCs/>
          <w:color w:val="auto"/>
          <w:sz w:val="21"/>
          <w:szCs w:val="24"/>
          <w:highlight w:val="none"/>
        </w:rPr>
        <w:t>井指标预测表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724"/>
        <w:gridCol w:w="1725"/>
        <w:gridCol w:w="1725"/>
        <w:gridCol w:w="1725"/>
      </w:tblGrid>
      <w:tr w14:paraId="246D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Pr>
          <w:p w14:paraId="7BD50B9A">
            <w:pPr>
              <w:widowControl w:val="0"/>
              <w:spacing w:line="400" w:lineRule="exact"/>
              <w:ind w:firstLine="420" w:firstLineChars="200"/>
              <w:jc w:val="center"/>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井号</w:t>
            </w:r>
          </w:p>
        </w:tc>
        <w:tc>
          <w:tcPr>
            <w:tcW w:w="1724" w:type="dxa"/>
          </w:tcPr>
          <w:p w14:paraId="31BD214F">
            <w:pPr>
              <w:widowControl w:val="0"/>
              <w:spacing w:line="400" w:lineRule="exact"/>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日产液（t/d）</w:t>
            </w:r>
          </w:p>
        </w:tc>
        <w:tc>
          <w:tcPr>
            <w:tcW w:w="1725" w:type="dxa"/>
          </w:tcPr>
          <w:p w14:paraId="51507502">
            <w:pPr>
              <w:widowControl w:val="0"/>
              <w:spacing w:line="400" w:lineRule="exact"/>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日产油（t/d）</w:t>
            </w:r>
          </w:p>
        </w:tc>
        <w:tc>
          <w:tcPr>
            <w:tcW w:w="1725" w:type="dxa"/>
          </w:tcPr>
          <w:p w14:paraId="6C4C5B06">
            <w:pPr>
              <w:widowControl w:val="0"/>
              <w:spacing w:line="400" w:lineRule="exact"/>
              <w:ind w:firstLine="420" w:firstLineChars="200"/>
              <w:jc w:val="both"/>
              <w:rPr>
                <w:rFonts w:hint="eastAsia" w:eastAsia="宋体" w:cs="宋体"/>
                <w:color w:val="auto"/>
                <w:sz w:val="21"/>
                <w:szCs w:val="21"/>
                <w:highlight w:val="none"/>
                <w:lang w:val="en-US" w:eastAsia="zh-CN"/>
              </w:rPr>
            </w:pPr>
            <w:r>
              <w:rPr>
                <w:rFonts w:hint="eastAsia" w:eastAsia="宋体" w:cs="宋体"/>
                <w:color w:val="auto"/>
                <w:sz w:val="21"/>
                <w:szCs w:val="21"/>
                <w:highlight w:val="none"/>
                <w:lang w:val="en-US" w:eastAsia="zh-CN"/>
              </w:rPr>
              <w:t>含水（%）</w:t>
            </w:r>
          </w:p>
        </w:tc>
        <w:tc>
          <w:tcPr>
            <w:tcW w:w="1725" w:type="dxa"/>
          </w:tcPr>
          <w:p w14:paraId="4CAC70DF">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cs="宋体"/>
                <w:color w:val="auto"/>
                <w:sz w:val="21"/>
                <w:szCs w:val="21"/>
                <w:highlight w:val="none"/>
                <w:lang w:val="en-US" w:eastAsia="zh-CN"/>
              </w:rPr>
              <w:t>气</w:t>
            </w:r>
            <w:r>
              <w:rPr>
                <w:rFonts w:hint="eastAsia" w:eastAsia="宋体" w:cs="宋体"/>
                <w:color w:val="auto"/>
                <w:sz w:val="21"/>
                <w:szCs w:val="21"/>
                <w:highlight w:val="none"/>
                <w:lang w:val="en-US" w:eastAsia="zh-CN"/>
              </w:rPr>
              <w:t>油比</w:t>
            </w:r>
          </w:p>
        </w:tc>
      </w:tr>
      <w:tr w14:paraId="5A4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Pr>
          <w:p w14:paraId="34143F39">
            <w:pPr>
              <w:widowControl w:val="0"/>
              <w:spacing w:line="400" w:lineRule="exact"/>
              <w:jc w:val="center"/>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TH10294CH</w:t>
            </w:r>
          </w:p>
        </w:tc>
        <w:tc>
          <w:tcPr>
            <w:tcW w:w="1724" w:type="dxa"/>
          </w:tcPr>
          <w:p w14:paraId="194B292C">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50</w:t>
            </w:r>
          </w:p>
        </w:tc>
        <w:tc>
          <w:tcPr>
            <w:tcW w:w="1725" w:type="dxa"/>
          </w:tcPr>
          <w:p w14:paraId="2637BB64">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20</w:t>
            </w:r>
          </w:p>
        </w:tc>
        <w:tc>
          <w:tcPr>
            <w:tcW w:w="1725" w:type="dxa"/>
          </w:tcPr>
          <w:p w14:paraId="6EFE0C3A">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60.0</w:t>
            </w:r>
          </w:p>
        </w:tc>
        <w:tc>
          <w:tcPr>
            <w:tcW w:w="1725" w:type="dxa"/>
          </w:tcPr>
          <w:p w14:paraId="3824BF28">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110</w:t>
            </w:r>
          </w:p>
        </w:tc>
      </w:tr>
      <w:tr w14:paraId="1A03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Pr>
          <w:p w14:paraId="61384652">
            <w:pPr>
              <w:widowControl w:val="0"/>
              <w:spacing w:line="400" w:lineRule="exact"/>
              <w:jc w:val="center"/>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TH102598CH</w:t>
            </w:r>
          </w:p>
        </w:tc>
        <w:tc>
          <w:tcPr>
            <w:tcW w:w="1724" w:type="dxa"/>
          </w:tcPr>
          <w:p w14:paraId="6EC09BBC">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40</w:t>
            </w:r>
          </w:p>
        </w:tc>
        <w:tc>
          <w:tcPr>
            <w:tcW w:w="1725" w:type="dxa"/>
          </w:tcPr>
          <w:p w14:paraId="1E81DF6B">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12</w:t>
            </w:r>
          </w:p>
        </w:tc>
        <w:tc>
          <w:tcPr>
            <w:tcW w:w="1725" w:type="dxa"/>
          </w:tcPr>
          <w:p w14:paraId="4026813F">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70.0</w:t>
            </w:r>
          </w:p>
        </w:tc>
        <w:tc>
          <w:tcPr>
            <w:tcW w:w="1725" w:type="dxa"/>
          </w:tcPr>
          <w:p w14:paraId="1B4FD53E">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66</w:t>
            </w:r>
          </w:p>
        </w:tc>
      </w:tr>
      <w:tr w14:paraId="19C3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Pr>
          <w:p w14:paraId="4BA8CB90">
            <w:pPr>
              <w:widowControl w:val="0"/>
              <w:spacing w:line="40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TH10250CH</w:t>
            </w:r>
          </w:p>
        </w:tc>
        <w:tc>
          <w:tcPr>
            <w:tcW w:w="1724" w:type="dxa"/>
          </w:tcPr>
          <w:p w14:paraId="49C23E2F">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40</w:t>
            </w:r>
          </w:p>
        </w:tc>
        <w:tc>
          <w:tcPr>
            <w:tcW w:w="1725" w:type="dxa"/>
          </w:tcPr>
          <w:p w14:paraId="42A05BC1">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15</w:t>
            </w:r>
          </w:p>
        </w:tc>
        <w:tc>
          <w:tcPr>
            <w:tcW w:w="1725" w:type="dxa"/>
          </w:tcPr>
          <w:p w14:paraId="782B81A4">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62.5</w:t>
            </w:r>
          </w:p>
        </w:tc>
        <w:tc>
          <w:tcPr>
            <w:tcW w:w="1725" w:type="dxa"/>
          </w:tcPr>
          <w:p w14:paraId="04B8AC1B">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60</w:t>
            </w:r>
          </w:p>
        </w:tc>
      </w:tr>
      <w:tr w14:paraId="4A0E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Pr>
          <w:p w14:paraId="7850843E">
            <w:pPr>
              <w:widowControl w:val="0"/>
              <w:spacing w:line="40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TK872CH</w:t>
            </w:r>
          </w:p>
        </w:tc>
        <w:tc>
          <w:tcPr>
            <w:tcW w:w="1724" w:type="dxa"/>
          </w:tcPr>
          <w:p w14:paraId="4DCE0E34">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40</w:t>
            </w:r>
          </w:p>
        </w:tc>
        <w:tc>
          <w:tcPr>
            <w:tcW w:w="1725" w:type="dxa"/>
          </w:tcPr>
          <w:p w14:paraId="46664583">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10</w:t>
            </w:r>
          </w:p>
        </w:tc>
        <w:tc>
          <w:tcPr>
            <w:tcW w:w="1725" w:type="dxa"/>
          </w:tcPr>
          <w:p w14:paraId="7EFF1E8A">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75.0</w:t>
            </w:r>
          </w:p>
        </w:tc>
        <w:tc>
          <w:tcPr>
            <w:tcW w:w="1725" w:type="dxa"/>
          </w:tcPr>
          <w:p w14:paraId="068660FA">
            <w:pPr>
              <w:widowControl w:val="0"/>
              <w:spacing w:line="400" w:lineRule="exact"/>
              <w:ind w:firstLine="420" w:firstLineChars="200"/>
              <w:jc w:val="both"/>
              <w:rPr>
                <w:rFonts w:hint="default" w:eastAsia="宋体" w:cs="宋体"/>
                <w:color w:val="auto"/>
                <w:sz w:val="21"/>
                <w:szCs w:val="21"/>
                <w:highlight w:val="none"/>
                <w:lang w:val="en-US" w:eastAsia="zh-CN"/>
              </w:rPr>
            </w:pPr>
            <w:r>
              <w:rPr>
                <w:rFonts w:hint="eastAsia" w:eastAsia="宋体" w:cs="宋体"/>
                <w:color w:val="auto"/>
                <w:sz w:val="21"/>
                <w:szCs w:val="21"/>
                <w:highlight w:val="none"/>
                <w:lang w:val="en-US" w:eastAsia="zh-CN"/>
              </w:rPr>
              <w:t>140</w:t>
            </w:r>
          </w:p>
        </w:tc>
      </w:tr>
    </w:tbl>
    <w:p w14:paraId="6BD00B10">
      <w:pPr>
        <w:pStyle w:val="12"/>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cs="Times New Roman"/>
          <w:b/>
          <w:bCs/>
          <w:color w:val="auto"/>
          <w:sz w:val="28"/>
          <w:szCs w:val="28"/>
          <w:highlight w:val="none"/>
        </w:rPr>
      </w:pPr>
      <w:bookmarkStart w:id="233" w:name="_Toc4470"/>
      <w:bookmarkStart w:id="234" w:name="_Toc9234"/>
      <w:r>
        <w:rPr>
          <w:rFonts w:hint="default" w:ascii="Times New Roman" w:hAnsi="Times New Roman" w:cs="Times New Roman"/>
          <w:b/>
          <w:bCs/>
          <w:color w:val="auto"/>
          <w:sz w:val="28"/>
          <w:szCs w:val="28"/>
          <w:highlight w:val="none"/>
        </w:rPr>
        <w:t>3.</w:t>
      </w:r>
      <w:r>
        <w:rPr>
          <w:rFonts w:hint="default" w:ascii="Times New Roman" w:hAnsi="Times New Roman"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rPr>
        <w:t>.4主体工程</w:t>
      </w:r>
      <w:bookmarkEnd w:id="233"/>
      <w:bookmarkEnd w:id="234"/>
    </w:p>
    <w:p w14:paraId="0E702A28">
      <w:pPr>
        <w:pStyle w:val="12"/>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主体工程包括钻前工程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钻井工程</w:t>
      </w:r>
      <w:r>
        <w:rPr>
          <w:rFonts w:hint="default" w:ascii="Times New Roman" w:hAnsi="Times New Roman" w:cs="Times New Roman"/>
          <w:color w:val="auto"/>
          <w:highlight w:val="none"/>
          <w:lang w:val="en-US" w:eastAsia="zh-CN"/>
        </w:rPr>
        <w:t>、储层改造工程和地面</w:t>
      </w:r>
      <w:r>
        <w:rPr>
          <w:rFonts w:hint="default" w:ascii="Times New Roman" w:hAnsi="Times New Roman" w:cs="Times New Roman"/>
          <w:color w:val="auto"/>
          <w:highlight w:val="none"/>
        </w:rPr>
        <w:t>工程。</w:t>
      </w:r>
    </w:p>
    <w:p w14:paraId="06331BD0">
      <w:pPr>
        <w:pStyle w:val="7"/>
        <w:pageBreakBefore w:val="0"/>
        <w:kinsoku/>
        <w:wordWrap/>
        <w:overflowPunct/>
        <w:topLinePunct w:val="0"/>
        <w:autoSpaceDE/>
        <w:autoSpaceDN/>
        <w:bidi w:val="0"/>
        <w:spacing w:beforeLines="0" w:afterLines="0" w:line="360" w:lineRule="auto"/>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"3.1.5.1"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3.</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.4.1</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钻前工程</w:t>
      </w:r>
    </w:p>
    <w:p w14:paraId="58D1AC5C">
      <w:pPr>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cs="Times New Roman"/>
          <w:color w:val="auto"/>
          <w:highlight w:val="none"/>
        </w:rPr>
      </w:pPr>
      <w:r>
        <w:rPr>
          <w:rFonts w:hint="eastAsia" w:cs="Times New Roman"/>
          <w:color w:val="auto"/>
          <w:highlight w:val="none"/>
          <w:lang w:val="en-US" w:eastAsia="zh-CN"/>
        </w:rPr>
        <w:t>本项目老井侧钻</w:t>
      </w:r>
      <w:r>
        <w:rPr>
          <w:rFonts w:hint="default" w:ascii="Times New Roman" w:hAnsi="Times New Roman" w:cs="Times New Roman"/>
          <w:color w:val="auto"/>
          <w:highlight w:val="none"/>
        </w:rPr>
        <w:t>利用原有道路，钻前工程主要建设内容包括钻井区域地表植被清理、场地平整以及配套的营地建设等，营地一般建设在井场周边</w:t>
      </w:r>
      <w:r>
        <w:rPr>
          <w:rFonts w:hint="default" w:ascii="Times New Roman" w:hAnsi="Times New Roman" w:cs="Times New Roman"/>
          <w:color w:val="auto"/>
          <w:highlight w:val="none"/>
          <w:lang w:val="en-US" w:eastAsia="zh-CN"/>
        </w:rPr>
        <w:t>0.5k</w:t>
      </w:r>
      <w:r>
        <w:rPr>
          <w:rFonts w:hint="default" w:ascii="Times New Roman" w:hAnsi="Times New Roman" w:cs="Times New Roman"/>
          <w:color w:val="auto"/>
          <w:highlight w:val="none"/>
        </w:rPr>
        <w:t>m至1km处，主要分布在主干道周边，营地建设主要为地表植被清理、场地平整、撬装房安装、撬装式污水处理站安装等内容，具体建设内容及工程量</w:t>
      </w:r>
      <w:r>
        <w:rPr>
          <w:rFonts w:hint="default" w:ascii="Times New Roman" w:hAnsi="Times New Roman" w:cs="Times New Roman"/>
          <w:color w:val="auto"/>
          <w:highlight w:val="none"/>
          <w:lang w:val="en-US" w:eastAsia="zh-CN"/>
        </w:rPr>
        <w:t>见</w:t>
      </w: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w:t>
      </w:r>
    </w:p>
    <w:p w14:paraId="151680FF">
      <w:pPr>
        <w:keepNext w:val="0"/>
        <w:keepLines w:val="0"/>
        <w:pageBreakBefore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eastAsia="黑体" w:cs="Times New Roman"/>
          <w:color w:val="auto"/>
          <w:kern w:val="2"/>
          <w:sz w:val="21"/>
          <w:szCs w:val="22"/>
          <w:highlight w:val="none"/>
          <w:lang w:val="en-US" w:eastAsia="zh-CN" w:bidi="ar-SA"/>
        </w:rPr>
      </w:pPr>
      <w:r>
        <w:rPr>
          <w:rFonts w:hint="default" w:ascii="Times New Roman" w:hAnsi="Times New Roman" w:eastAsia="黑体" w:cs="Times New Roman"/>
          <w:color w:val="auto"/>
          <w:kern w:val="2"/>
          <w:sz w:val="21"/>
          <w:szCs w:val="22"/>
          <w:highlight w:val="none"/>
          <w:lang w:val="en-US" w:eastAsia="zh-CN" w:bidi="ar-SA"/>
        </w:rPr>
        <w:t>表3.3-</w:t>
      </w:r>
      <w:r>
        <w:rPr>
          <w:rFonts w:hint="eastAsia" w:eastAsia="黑体" w:cs="Times New Roman"/>
          <w:color w:val="auto"/>
          <w:kern w:val="2"/>
          <w:sz w:val="21"/>
          <w:szCs w:val="22"/>
          <w:highlight w:val="none"/>
          <w:lang w:val="en-US" w:eastAsia="zh-CN" w:bidi="ar-SA"/>
        </w:rPr>
        <w:t xml:space="preserve">4  </w:t>
      </w:r>
      <w:r>
        <w:rPr>
          <w:rFonts w:hint="default" w:ascii="Times New Roman" w:hAnsi="Times New Roman" w:eastAsia="黑体" w:cs="Times New Roman"/>
          <w:color w:val="auto"/>
          <w:kern w:val="2"/>
          <w:sz w:val="21"/>
          <w:szCs w:val="22"/>
          <w:highlight w:val="none"/>
          <w:lang w:val="en-US" w:eastAsia="zh-CN" w:bidi="ar-SA"/>
        </w:rPr>
        <w:t>本项目钻前工程主要工程量一览表</w:t>
      </w:r>
    </w:p>
    <w:tbl>
      <w:tblPr>
        <w:tblStyle w:val="3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75"/>
        <w:gridCol w:w="897"/>
        <w:gridCol w:w="987"/>
        <w:gridCol w:w="493"/>
        <w:gridCol w:w="586"/>
        <w:gridCol w:w="5120"/>
      </w:tblGrid>
      <w:tr w14:paraId="30456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2" w:type="pct"/>
            <w:noWrap w:val="0"/>
            <w:vAlign w:val="center"/>
          </w:tcPr>
          <w:p w14:paraId="41439EAA">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序号</w:t>
            </w:r>
          </w:p>
        </w:tc>
        <w:tc>
          <w:tcPr>
            <w:tcW w:w="530" w:type="pct"/>
            <w:noWrap w:val="0"/>
            <w:vAlign w:val="center"/>
          </w:tcPr>
          <w:p w14:paraId="0B8BB8B7">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名称</w:t>
            </w:r>
          </w:p>
        </w:tc>
        <w:tc>
          <w:tcPr>
            <w:tcW w:w="583" w:type="pct"/>
            <w:noWrap w:val="0"/>
            <w:vAlign w:val="center"/>
          </w:tcPr>
          <w:p w14:paraId="7DB7CD9F">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规格参数</w:t>
            </w:r>
          </w:p>
        </w:tc>
        <w:tc>
          <w:tcPr>
            <w:tcW w:w="291" w:type="pct"/>
            <w:noWrap w:val="0"/>
            <w:vAlign w:val="center"/>
          </w:tcPr>
          <w:p w14:paraId="3D4D2432">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单位</w:t>
            </w:r>
          </w:p>
        </w:tc>
        <w:tc>
          <w:tcPr>
            <w:tcW w:w="346" w:type="pct"/>
            <w:noWrap w:val="0"/>
            <w:vAlign w:val="center"/>
          </w:tcPr>
          <w:p w14:paraId="2A3BB497">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数量</w:t>
            </w:r>
          </w:p>
        </w:tc>
        <w:tc>
          <w:tcPr>
            <w:tcW w:w="3024" w:type="pct"/>
            <w:noWrap w:val="0"/>
            <w:vAlign w:val="center"/>
          </w:tcPr>
          <w:p w14:paraId="4B47858F">
            <w:pPr>
              <w:pStyle w:val="94"/>
              <w:spacing w:line="0" w:lineRule="atLeast"/>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cs="Times New Roman"/>
                <w:color w:val="auto"/>
                <w:spacing w:val="0"/>
                <w:kern w:val="0"/>
                <w:sz w:val="21"/>
                <w:szCs w:val="21"/>
                <w:highlight w:val="none"/>
                <w:lang w:val="en-US" w:eastAsia="zh-CN"/>
              </w:rPr>
              <w:t>备注</w:t>
            </w:r>
          </w:p>
        </w:tc>
      </w:tr>
      <w:tr w14:paraId="0B973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2" w:type="pct"/>
            <w:noWrap w:val="0"/>
            <w:vAlign w:val="center"/>
          </w:tcPr>
          <w:p w14:paraId="797F6DC3">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1</w:t>
            </w:r>
          </w:p>
        </w:tc>
        <w:tc>
          <w:tcPr>
            <w:tcW w:w="530" w:type="pct"/>
            <w:noWrap w:val="0"/>
            <w:vAlign w:val="center"/>
          </w:tcPr>
          <w:p w14:paraId="3476FBF2">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井场</w:t>
            </w:r>
          </w:p>
          <w:p w14:paraId="23017315">
            <w:pPr>
              <w:pStyle w:val="94"/>
              <w:spacing w:line="0" w:lineRule="atLeast"/>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cs="Times New Roman"/>
                <w:color w:val="auto"/>
                <w:spacing w:val="0"/>
                <w:kern w:val="0"/>
                <w:sz w:val="21"/>
                <w:szCs w:val="21"/>
                <w:highlight w:val="none"/>
                <w:lang w:val="en-US" w:eastAsia="zh-CN"/>
              </w:rPr>
              <w:t>占地</w:t>
            </w:r>
          </w:p>
        </w:tc>
        <w:tc>
          <w:tcPr>
            <w:tcW w:w="583" w:type="pct"/>
            <w:noWrap w:val="0"/>
            <w:vAlign w:val="center"/>
          </w:tcPr>
          <w:p w14:paraId="7224B4EF">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长×宽</w:t>
            </w:r>
            <w:r>
              <w:rPr>
                <w:rFonts w:hint="default" w:ascii="Times New Roman" w:hAnsi="Times New Roman" w:cs="Times New Roman"/>
                <w:color w:val="auto"/>
                <w:spacing w:val="0"/>
                <w:kern w:val="0"/>
                <w:sz w:val="21"/>
                <w:szCs w:val="21"/>
                <w:highlight w:val="none"/>
                <w:lang w:eastAsia="zh-CN"/>
              </w:rPr>
              <w:t>（</w:t>
            </w:r>
            <w:r>
              <w:rPr>
                <w:rFonts w:hint="default" w:ascii="Times New Roman" w:hAnsi="Times New Roman" w:cs="Times New Roman"/>
                <w:color w:val="auto"/>
                <w:spacing w:val="0"/>
                <w:kern w:val="0"/>
                <w:sz w:val="21"/>
                <w:szCs w:val="21"/>
                <w:highlight w:val="none"/>
              </w:rPr>
              <w:t>120m</w:t>
            </w:r>
          </w:p>
          <w:p w14:paraId="345B7D99">
            <w:pPr>
              <w:pStyle w:val="94"/>
              <w:spacing w:line="0" w:lineRule="atLeast"/>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cs="Times New Roman"/>
                <w:color w:val="auto"/>
                <w:spacing w:val="0"/>
                <w:kern w:val="0"/>
                <w:sz w:val="21"/>
                <w:szCs w:val="21"/>
                <w:highlight w:val="none"/>
              </w:rPr>
              <w:t>×</w:t>
            </w:r>
            <w:r>
              <w:rPr>
                <w:rFonts w:hint="default" w:ascii="Times New Roman" w:hAnsi="Times New Roman" w:cs="Times New Roman"/>
                <w:color w:val="auto"/>
                <w:spacing w:val="0"/>
                <w:kern w:val="0"/>
                <w:sz w:val="21"/>
                <w:szCs w:val="21"/>
                <w:highlight w:val="none"/>
                <w:lang w:val="en-US" w:eastAsia="zh-CN"/>
              </w:rPr>
              <w:t>11</w:t>
            </w:r>
            <w:r>
              <w:rPr>
                <w:rFonts w:hint="default" w:ascii="Times New Roman" w:hAnsi="Times New Roman" w:cs="Times New Roman"/>
                <w:color w:val="auto"/>
                <w:spacing w:val="0"/>
                <w:kern w:val="0"/>
                <w:sz w:val="21"/>
                <w:szCs w:val="21"/>
                <w:highlight w:val="none"/>
              </w:rPr>
              <w:t>0m</w:t>
            </w:r>
            <w:r>
              <w:rPr>
                <w:rFonts w:hint="default" w:ascii="Times New Roman" w:hAnsi="Times New Roman" w:cs="Times New Roman"/>
                <w:color w:val="auto"/>
                <w:spacing w:val="0"/>
                <w:kern w:val="0"/>
                <w:sz w:val="21"/>
                <w:szCs w:val="21"/>
                <w:highlight w:val="none"/>
                <w:lang w:eastAsia="zh-CN"/>
              </w:rPr>
              <w:t>）</w:t>
            </w:r>
          </w:p>
        </w:tc>
        <w:tc>
          <w:tcPr>
            <w:tcW w:w="291" w:type="pct"/>
            <w:noWrap w:val="0"/>
            <w:vAlign w:val="center"/>
          </w:tcPr>
          <w:p w14:paraId="02D9E7EC">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hm</w:t>
            </w:r>
            <w:r>
              <w:rPr>
                <w:rFonts w:hint="default" w:ascii="Times New Roman" w:hAnsi="Times New Roman" w:cs="Times New Roman"/>
                <w:color w:val="auto"/>
                <w:spacing w:val="0"/>
                <w:kern w:val="0"/>
                <w:sz w:val="21"/>
                <w:szCs w:val="21"/>
                <w:highlight w:val="none"/>
                <w:vertAlign w:val="superscript"/>
              </w:rPr>
              <w:t>2</w:t>
            </w:r>
          </w:p>
        </w:tc>
        <w:tc>
          <w:tcPr>
            <w:tcW w:w="346" w:type="pct"/>
            <w:noWrap w:val="0"/>
            <w:vAlign w:val="center"/>
          </w:tcPr>
          <w:p w14:paraId="065A54CA">
            <w:pPr>
              <w:pStyle w:val="94"/>
              <w:spacing w:line="0" w:lineRule="atLeast"/>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cs="Times New Roman"/>
                <w:color w:val="auto"/>
                <w:spacing w:val="0"/>
                <w:kern w:val="0"/>
                <w:sz w:val="21"/>
                <w:szCs w:val="21"/>
                <w:highlight w:val="none"/>
                <w:lang w:val="en-US" w:eastAsia="zh-CN"/>
              </w:rPr>
              <w:t>3.48</w:t>
            </w:r>
          </w:p>
        </w:tc>
        <w:tc>
          <w:tcPr>
            <w:tcW w:w="3024" w:type="pct"/>
            <w:noWrap w:val="0"/>
            <w:vAlign w:val="center"/>
          </w:tcPr>
          <w:p w14:paraId="6A966129">
            <w:pPr>
              <w:pStyle w:val="94"/>
              <w:spacing w:line="0" w:lineRule="atLeast"/>
              <w:jc w:val="left"/>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cs="Times New Roman"/>
                <w:color w:val="auto"/>
                <w:spacing w:val="0"/>
                <w:sz w:val="21"/>
                <w:szCs w:val="21"/>
                <w:highlight w:val="none"/>
                <w:lang w:eastAsia="zh-CN"/>
              </w:rPr>
              <w:t>本项目</w:t>
            </w:r>
            <w:r>
              <w:rPr>
                <w:rFonts w:hint="default" w:ascii="Times New Roman" w:hAnsi="Times New Roman" w:cs="Times New Roman"/>
                <w:color w:val="auto"/>
                <w:spacing w:val="0"/>
                <w:sz w:val="21"/>
                <w:szCs w:val="21"/>
                <w:highlight w:val="none"/>
              </w:rPr>
              <w:t>计划部署</w:t>
            </w:r>
            <w:r>
              <w:rPr>
                <w:rFonts w:hint="eastAsia" w:ascii="Times New Roman" w:cs="Times New Roman"/>
                <w:color w:val="auto"/>
                <w:spacing w:val="0"/>
                <w:sz w:val="21"/>
                <w:szCs w:val="21"/>
                <w:highlight w:val="none"/>
                <w:lang w:val="en-US" w:eastAsia="zh-CN"/>
              </w:rPr>
              <w:t>4</w:t>
            </w:r>
            <w:r>
              <w:rPr>
                <w:rFonts w:hint="default" w:ascii="Times New Roman" w:hAnsi="Times New Roman" w:cs="Times New Roman"/>
                <w:color w:val="auto"/>
                <w:spacing w:val="0"/>
                <w:sz w:val="21"/>
                <w:szCs w:val="21"/>
                <w:highlight w:val="none"/>
              </w:rPr>
              <w:t>口</w:t>
            </w:r>
            <w:r>
              <w:rPr>
                <w:rFonts w:hint="eastAsia" w:ascii="Times New Roman" w:cs="Times New Roman"/>
                <w:color w:val="auto"/>
                <w:spacing w:val="0"/>
                <w:sz w:val="21"/>
                <w:szCs w:val="21"/>
                <w:highlight w:val="none"/>
                <w:lang w:val="en-US" w:eastAsia="zh-CN"/>
              </w:rPr>
              <w:t>侧钻老</w:t>
            </w:r>
            <w:r>
              <w:rPr>
                <w:rFonts w:hint="default" w:ascii="Times New Roman" w:hAnsi="Times New Roman" w:cs="Times New Roman"/>
                <w:color w:val="auto"/>
                <w:spacing w:val="0"/>
                <w:sz w:val="21"/>
                <w:szCs w:val="21"/>
                <w:highlight w:val="none"/>
              </w:rPr>
              <w:t>井，单个井场规格110m×120m，永久占地面积为4500m</w:t>
            </w:r>
            <w:r>
              <w:rPr>
                <w:rFonts w:hint="default" w:ascii="Times New Roman" w:hAnsi="Times New Roman" w:cs="Times New Roman"/>
                <w:color w:val="auto"/>
                <w:spacing w:val="0"/>
                <w:sz w:val="21"/>
                <w:szCs w:val="21"/>
                <w:highlight w:val="none"/>
                <w:vertAlign w:val="superscript"/>
              </w:rPr>
              <w:t>2</w:t>
            </w:r>
            <w:r>
              <w:rPr>
                <w:rFonts w:hint="default" w:ascii="Times New Roman" w:hAnsi="Times New Roman" w:cs="Times New Roman"/>
                <w:color w:val="auto"/>
                <w:spacing w:val="0"/>
                <w:sz w:val="21"/>
                <w:szCs w:val="21"/>
                <w:highlight w:val="none"/>
              </w:rPr>
              <w:t>（60m×75m），临时占地面积为8700m</w:t>
            </w:r>
            <w:r>
              <w:rPr>
                <w:rFonts w:hint="default" w:ascii="Times New Roman" w:hAnsi="Times New Roman" w:cs="Times New Roman"/>
                <w:color w:val="auto"/>
                <w:spacing w:val="0"/>
                <w:sz w:val="21"/>
                <w:szCs w:val="21"/>
                <w:highlight w:val="none"/>
                <w:vertAlign w:val="superscript"/>
              </w:rPr>
              <w:t>2</w:t>
            </w:r>
            <w:r>
              <w:rPr>
                <w:rFonts w:hint="default" w:ascii="Times New Roman" w:hAnsi="Times New Roman" w:cs="Times New Roman"/>
                <w:color w:val="auto"/>
                <w:spacing w:val="0"/>
                <w:sz w:val="21"/>
                <w:szCs w:val="21"/>
                <w:highlight w:val="none"/>
              </w:rPr>
              <w:t>。</w:t>
            </w:r>
            <w:r>
              <w:rPr>
                <w:rFonts w:hint="eastAsia" w:ascii="Times New Roman" w:cs="Times New Roman"/>
                <w:color w:val="auto"/>
                <w:spacing w:val="0"/>
                <w:sz w:val="21"/>
                <w:szCs w:val="21"/>
                <w:highlight w:val="none"/>
                <w:lang w:val="en-US" w:eastAsia="zh-CN"/>
              </w:rPr>
              <w:t>4</w:t>
            </w:r>
            <w:r>
              <w:rPr>
                <w:rFonts w:hint="default" w:ascii="Times New Roman" w:hAnsi="Times New Roman" w:cs="Times New Roman"/>
                <w:color w:val="auto"/>
                <w:spacing w:val="0"/>
                <w:sz w:val="21"/>
                <w:szCs w:val="21"/>
                <w:highlight w:val="none"/>
              </w:rPr>
              <w:t>口侧钻井仅</w:t>
            </w:r>
            <w:r>
              <w:rPr>
                <w:rFonts w:hint="eastAsia" w:ascii="Times New Roman" w:cs="Times New Roman"/>
                <w:color w:val="auto"/>
                <w:spacing w:val="0"/>
                <w:sz w:val="21"/>
                <w:szCs w:val="21"/>
                <w:highlight w:val="none"/>
                <w:lang w:val="en-US" w:eastAsia="zh-CN"/>
              </w:rPr>
              <w:t>办理钻井期间临时用地，不新增永久占地</w:t>
            </w:r>
            <w:r>
              <w:rPr>
                <w:rFonts w:hint="default" w:ascii="Times New Roman" w:hAnsi="Times New Roman" w:cs="Times New Roman"/>
                <w:color w:val="auto"/>
                <w:spacing w:val="0"/>
                <w:sz w:val="21"/>
                <w:szCs w:val="21"/>
                <w:highlight w:val="none"/>
                <w:lang w:eastAsia="zh-CN"/>
              </w:rPr>
              <w:t>。</w:t>
            </w:r>
          </w:p>
        </w:tc>
      </w:tr>
      <w:tr w14:paraId="44DF8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2" w:type="pct"/>
            <w:noWrap w:val="0"/>
            <w:vAlign w:val="center"/>
          </w:tcPr>
          <w:p w14:paraId="0D623B68">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2</w:t>
            </w:r>
          </w:p>
        </w:tc>
        <w:tc>
          <w:tcPr>
            <w:tcW w:w="530" w:type="pct"/>
            <w:noWrap w:val="0"/>
            <w:vAlign w:val="center"/>
          </w:tcPr>
          <w:p w14:paraId="15480ED2">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钻井</w:t>
            </w:r>
          </w:p>
          <w:p w14:paraId="17BEE54D">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平台</w:t>
            </w:r>
          </w:p>
        </w:tc>
        <w:tc>
          <w:tcPr>
            <w:tcW w:w="583" w:type="pct"/>
            <w:noWrap w:val="0"/>
            <w:vAlign w:val="center"/>
          </w:tcPr>
          <w:p w14:paraId="65B24109">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w:t>
            </w:r>
          </w:p>
        </w:tc>
        <w:tc>
          <w:tcPr>
            <w:tcW w:w="291" w:type="pct"/>
            <w:noWrap w:val="0"/>
            <w:vAlign w:val="center"/>
          </w:tcPr>
          <w:p w14:paraId="0F78FD97">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套</w:t>
            </w:r>
          </w:p>
        </w:tc>
        <w:tc>
          <w:tcPr>
            <w:tcW w:w="346" w:type="pct"/>
            <w:noWrap w:val="0"/>
            <w:vAlign w:val="center"/>
          </w:tcPr>
          <w:p w14:paraId="3C421D83">
            <w:pPr>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4</w:t>
            </w:r>
          </w:p>
        </w:tc>
        <w:tc>
          <w:tcPr>
            <w:tcW w:w="3024" w:type="pct"/>
            <w:noWrap w:val="0"/>
            <w:vAlign w:val="center"/>
          </w:tcPr>
          <w:p w14:paraId="580CF90B">
            <w:pPr>
              <w:pStyle w:val="94"/>
              <w:spacing w:line="0" w:lineRule="atLeast"/>
              <w:jc w:val="lef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新建</w:t>
            </w:r>
          </w:p>
        </w:tc>
      </w:tr>
      <w:tr w14:paraId="639AB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2" w:type="pct"/>
            <w:vMerge w:val="restart"/>
            <w:noWrap w:val="0"/>
            <w:vAlign w:val="center"/>
          </w:tcPr>
          <w:p w14:paraId="67DA1759">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3</w:t>
            </w:r>
          </w:p>
        </w:tc>
        <w:tc>
          <w:tcPr>
            <w:tcW w:w="530" w:type="pct"/>
            <w:noWrap w:val="0"/>
            <w:vAlign w:val="center"/>
          </w:tcPr>
          <w:p w14:paraId="5F61C483">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主放喷池</w:t>
            </w:r>
          </w:p>
        </w:tc>
        <w:tc>
          <w:tcPr>
            <w:tcW w:w="583" w:type="pct"/>
            <w:noWrap w:val="0"/>
            <w:vAlign w:val="center"/>
          </w:tcPr>
          <w:p w14:paraId="3308A350">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100m</w:t>
            </w:r>
            <w:r>
              <w:rPr>
                <w:rFonts w:hint="default" w:ascii="Times New Roman" w:hAnsi="Times New Roman" w:cs="Times New Roman"/>
                <w:color w:val="auto"/>
                <w:spacing w:val="0"/>
                <w:kern w:val="0"/>
                <w:sz w:val="21"/>
                <w:szCs w:val="21"/>
                <w:highlight w:val="none"/>
                <w:vertAlign w:val="superscript"/>
              </w:rPr>
              <w:t>3</w:t>
            </w:r>
          </w:p>
        </w:tc>
        <w:tc>
          <w:tcPr>
            <w:tcW w:w="291" w:type="pct"/>
            <w:noWrap w:val="0"/>
            <w:vAlign w:val="center"/>
          </w:tcPr>
          <w:p w14:paraId="3172AEE1">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座</w:t>
            </w:r>
          </w:p>
        </w:tc>
        <w:tc>
          <w:tcPr>
            <w:tcW w:w="346" w:type="pct"/>
            <w:noWrap w:val="0"/>
            <w:vAlign w:val="center"/>
          </w:tcPr>
          <w:p w14:paraId="07DCCF16">
            <w:pPr>
              <w:adjustRightInd w:val="0"/>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4</w:t>
            </w:r>
          </w:p>
        </w:tc>
        <w:tc>
          <w:tcPr>
            <w:tcW w:w="3024" w:type="pct"/>
            <w:noWrap w:val="0"/>
            <w:vAlign w:val="center"/>
          </w:tcPr>
          <w:p w14:paraId="2BE09A18">
            <w:pPr>
              <w:pStyle w:val="94"/>
              <w:spacing w:line="0" w:lineRule="atLeast"/>
              <w:jc w:val="left"/>
              <w:rPr>
                <w:rFonts w:hint="default" w:ascii="Times New Roman" w:hAnsi="Times New Roman" w:cs="Times New Roman"/>
                <w:color w:val="auto"/>
                <w:spacing w:val="0"/>
                <w:kern w:val="0"/>
                <w:sz w:val="21"/>
                <w:szCs w:val="21"/>
                <w:highlight w:val="none"/>
              </w:rPr>
            </w:pPr>
            <w:r>
              <w:rPr>
                <w:rFonts w:hint="eastAsia" w:ascii="Times New Roman" w:cs="Times New Roman"/>
                <w:color w:val="auto"/>
                <w:spacing w:val="0"/>
                <w:kern w:val="0"/>
                <w:sz w:val="21"/>
                <w:szCs w:val="21"/>
                <w:highlight w:val="none"/>
                <w:lang w:val="en-US" w:eastAsia="zh-CN"/>
              </w:rPr>
              <w:t>利旧，</w:t>
            </w:r>
            <w:r>
              <w:rPr>
                <w:rFonts w:hint="default" w:ascii="Times New Roman" w:hAnsi="Times New Roman" w:cs="Times New Roman"/>
                <w:color w:val="auto"/>
                <w:spacing w:val="0"/>
                <w:kern w:val="0"/>
                <w:sz w:val="21"/>
                <w:szCs w:val="21"/>
                <w:highlight w:val="none"/>
              </w:rPr>
              <w:t>测试放喷过程中放喷出来的污水进行集中存放</w:t>
            </w:r>
          </w:p>
        </w:tc>
      </w:tr>
      <w:tr w14:paraId="49A03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222" w:type="pct"/>
            <w:vMerge w:val="continue"/>
            <w:noWrap w:val="0"/>
            <w:vAlign w:val="center"/>
          </w:tcPr>
          <w:p w14:paraId="1A6AFB72">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p>
        </w:tc>
        <w:tc>
          <w:tcPr>
            <w:tcW w:w="530" w:type="pct"/>
            <w:noWrap w:val="0"/>
            <w:vAlign w:val="center"/>
          </w:tcPr>
          <w:p w14:paraId="75D230F0">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副放喷池</w:t>
            </w:r>
          </w:p>
        </w:tc>
        <w:tc>
          <w:tcPr>
            <w:tcW w:w="583" w:type="pct"/>
            <w:noWrap w:val="0"/>
            <w:vAlign w:val="center"/>
          </w:tcPr>
          <w:p w14:paraId="53943D22">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100m</w:t>
            </w:r>
            <w:r>
              <w:rPr>
                <w:rFonts w:hint="default" w:ascii="Times New Roman" w:hAnsi="Times New Roman" w:cs="Times New Roman"/>
                <w:color w:val="auto"/>
                <w:spacing w:val="0"/>
                <w:kern w:val="0"/>
                <w:sz w:val="21"/>
                <w:szCs w:val="21"/>
                <w:highlight w:val="none"/>
                <w:vertAlign w:val="superscript"/>
              </w:rPr>
              <w:t>3</w:t>
            </w:r>
          </w:p>
        </w:tc>
        <w:tc>
          <w:tcPr>
            <w:tcW w:w="291" w:type="pct"/>
            <w:noWrap w:val="0"/>
            <w:vAlign w:val="center"/>
          </w:tcPr>
          <w:p w14:paraId="2ADC37C0">
            <w:pPr>
              <w:pStyle w:val="104"/>
              <w:adjustRightInd w:val="0"/>
              <w:spacing w:before="0" w:beforeLines="0" w:after="0" w:afterLines="0" w:line="0" w:lineRule="atLeast"/>
              <w:ind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座</w:t>
            </w:r>
          </w:p>
        </w:tc>
        <w:tc>
          <w:tcPr>
            <w:tcW w:w="346" w:type="pct"/>
            <w:noWrap w:val="0"/>
            <w:vAlign w:val="center"/>
          </w:tcPr>
          <w:p w14:paraId="08623865">
            <w:pPr>
              <w:adjustRightInd w:val="0"/>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4</w:t>
            </w:r>
          </w:p>
        </w:tc>
        <w:tc>
          <w:tcPr>
            <w:tcW w:w="3024" w:type="pct"/>
            <w:noWrap w:val="0"/>
            <w:vAlign w:val="center"/>
          </w:tcPr>
          <w:p w14:paraId="0C8F614E">
            <w:pPr>
              <w:pStyle w:val="94"/>
              <w:spacing w:line="0" w:lineRule="atLeast"/>
              <w:jc w:val="left"/>
              <w:rPr>
                <w:rFonts w:hint="default" w:ascii="Times New Roman" w:hAnsi="Times New Roman" w:cs="Times New Roman"/>
                <w:color w:val="auto"/>
                <w:spacing w:val="0"/>
                <w:kern w:val="0"/>
                <w:sz w:val="21"/>
                <w:szCs w:val="21"/>
                <w:highlight w:val="none"/>
              </w:rPr>
            </w:pPr>
            <w:r>
              <w:rPr>
                <w:rFonts w:hint="eastAsia" w:ascii="Times New Roman" w:cs="Times New Roman"/>
                <w:color w:val="auto"/>
                <w:spacing w:val="0"/>
                <w:kern w:val="0"/>
                <w:sz w:val="21"/>
                <w:szCs w:val="21"/>
                <w:highlight w:val="none"/>
                <w:lang w:val="en-US" w:eastAsia="zh-CN"/>
              </w:rPr>
              <w:t>利旧，</w:t>
            </w:r>
            <w:r>
              <w:rPr>
                <w:rFonts w:hint="default" w:ascii="Times New Roman" w:hAnsi="Times New Roman" w:cs="Times New Roman"/>
                <w:color w:val="auto"/>
                <w:spacing w:val="0"/>
                <w:kern w:val="0"/>
                <w:sz w:val="21"/>
                <w:szCs w:val="21"/>
                <w:highlight w:val="none"/>
              </w:rPr>
              <w:t>测试放喷中放喷出来的污水进行集中存放</w:t>
            </w:r>
          </w:p>
        </w:tc>
      </w:tr>
      <w:tr w14:paraId="5555B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2" w:type="pct"/>
            <w:vMerge w:val="restart"/>
            <w:noWrap w:val="0"/>
            <w:vAlign w:val="center"/>
          </w:tcPr>
          <w:p w14:paraId="3FA301AB">
            <w:pPr>
              <w:pStyle w:val="94"/>
              <w:spacing w:line="0" w:lineRule="atLeast"/>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cs="Times New Roman"/>
                <w:color w:val="auto"/>
                <w:spacing w:val="0"/>
                <w:kern w:val="0"/>
                <w:sz w:val="21"/>
                <w:szCs w:val="21"/>
                <w:highlight w:val="none"/>
                <w:lang w:val="en-US" w:eastAsia="zh-CN"/>
              </w:rPr>
              <w:t>4</w:t>
            </w:r>
          </w:p>
        </w:tc>
        <w:tc>
          <w:tcPr>
            <w:tcW w:w="530" w:type="pct"/>
            <w:noWrap w:val="0"/>
            <w:vAlign w:val="center"/>
          </w:tcPr>
          <w:p w14:paraId="36A232FB">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撬装式污水处理站</w:t>
            </w:r>
          </w:p>
        </w:tc>
        <w:tc>
          <w:tcPr>
            <w:tcW w:w="583" w:type="pct"/>
            <w:noWrap w:val="0"/>
            <w:vAlign w:val="center"/>
          </w:tcPr>
          <w:p w14:paraId="03A29903">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处理规模20m</w:t>
            </w:r>
            <w:r>
              <w:rPr>
                <w:rFonts w:hint="default" w:ascii="Times New Roman" w:hAnsi="Times New Roman" w:cs="Times New Roman"/>
                <w:color w:val="auto"/>
                <w:spacing w:val="0"/>
                <w:kern w:val="0"/>
                <w:sz w:val="21"/>
                <w:szCs w:val="21"/>
                <w:highlight w:val="none"/>
                <w:vertAlign w:val="superscript"/>
              </w:rPr>
              <w:t>3</w:t>
            </w:r>
            <w:r>
              <w:rPr>
                <w:rFonts w:hint="default" w:ascii="Times New Roman" w:hAnsi="Times New Roman" w:cs="Times New Roman"/>
                <w:color w:val="auto"/>
                <w:spacing w:val="0"/>
                <w:kern w:val="0"/>
                <w:sz w:val="21"/>
                <w:szCs w:val="21"/>
                <w:highlight w:val="none"/>
              </w:rPr>
              <w:t>/d</w:t>
            </w:r>
          </w:p>
        </w:tc>
        <w:tc>
          <w:tcPr>
            <w:tcW w:w="291" w:type="pct"/>
            <w:noWrap w:val="0"/>
            <w:vAlign w:val="center"/>
          </w:tcPr>
          <w:p w14:paraId="4FF627A5">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座</w:t>
            </w:r>
          </w:p>
        </w:tc>
        <w:tc>
          <w:tcPr>
            <w:tcW w:w="346" w:type="pct"/>
            <w:noWrap w:val="0"/>
            <w:vAlign w:val="center"/>
          </w:tcPr>
          <w:p w14:paraId="3C54EA9E">
            <w:pPr>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4</w:t>
            </w:r>
          </w:p>
        </w:tc>
        <w:tc>
          <w:tcPr>
            <w:tcW w:w="3024" w:type="pct"/>
            <w:noWrap w:val="0"/>
            <w:vAlign w:val="center"/>
          </w:tcPr>
          <w:p w14:paraId="59792E97">
            <w:pPr>
              <w:pStyle w:val="94"/>
              <w:spacing w:line="0" w:lineRule="atLeast"/>
              <w:jc w:val="left"/>
              <w:rPr>
                <w:rFonts w:hint="eastAsia" w:ascii="Times New Roman" w:hAnsi="Times New Roman" w:eastAsia="宋体" w:cs="Times New Roman"/>
                <w:color w:val="auto"/>
                <w:spacing w:val="0"/>
                <w:kern w:val="0"/>
                <w:sz w:val="21"/>
                <w:szCs w:val="21"/>
                <w:highlight w:val="none"/>
                <w:lang w:eastAsia="zh-CN"/>
              </w:rPr>
            </w:pPr>
            <w:r>
              <w:rPr>
                <w:rFonts w:hint="eastAsia" w:ascii="Times New Roman" w:cs="Times New Roman"/>
                <w:color w:val="auto"/>
                <w:spacing w:val="0"/>
                <w:kern w:val="0"/>
                <w:sz w:val="21"/>
                <w:szCs w:val="21"/>
                <w:highlight w:val="none"/>
                <w:lang w:val="en-US" w:eastAsia="zh-CN"/>
              </w:rPr>
              <w:t>新建，</w:t>
            </w:r>
            <w:r>
              <w:rPr>
                <w:rFonts w:hint="default" w:ascii="Times New Roman" w:hAnsi="Times New Roman" w:cs="Times New Roman"/>
                <w:color w:val="auto"/>
                <w:spacing w:val="0"/>
                <w:kern w:val="0"/>
                <w:sz w:val="21"/>
                <w:szCs w:val="21"/>
                <w:highlight w:val="none"/>
              </w:rPr>
              <w:t>包括1套微生物处理系统，1座调节反应池、1套生物降解反应器、1套曝气系统、1套杀菌装置、1套脱色装置</w:t>
            </w:r>
            <w:r>
              <w:rPr>
                <w:rFonts w:hint="eastAsia" w:ascii="Times New Roman" w:cs="Times New Roman"/>
                <w:color w:val="auto"/>
                <w:spacing w:val="0"/>
                <w:kern w:val="0"/>
                <w:sz w:val="21"/>
                <w:szCs w:val="21"/>
                <w:highlight w:val="none"/>
                <w:lang w:eastAsia="zh-CN"/>
              </w:rPr>
              <w:t>。</w:t>
            </w:r>
          </w:p>
        </w:tc>
      </w:tr>
      <w:tr w14:paraId="73C17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2" w:type="pct"/>
            <w:vMerge w:val="continue"/>
            <w:noWrap w:val="0"/>
            <w:vAlign w:val="center"/>
          </w:tcPr>
          <w:p w14:paraId="0996DFA0">
            <w:pPr>
              <w:pStyle w:val="94"/>
              <w:spacing w:line="0" w:lineRule="atLeast"/>
              <w:rPr>
                <w:rFonts w:hint="default" w:ascii="Times New Roman" w:hAnsi="Times New Roman" w:cs="Times New Roman"/>
                <w:color w:val="auto"/>
                <w:spacing w:val="0"/>
                <w:kern w:val="0"/>
                <w:sz w:val="21"/>
                <w:szCs w:val="21"/>
                <w:highlight w:val="none"/>
              </w:rPr>
            </w:pPr>
          </w:p>
        </w:tc>
        <w:tc>
          <w:tcPr>
            <w:tcW w:w="530" w:type="pct"/>
            <w:noWrap w:val="0"/>
            <w:vAlign w:val="center"/>
          </w:tcPr>
          <w:p w14:paraId="272DC225">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活动房</w:t>
            </w:r>
          </w:p>
        </w:tc>
        <w:tc>
          <w:tcPr>
            <w:tcW w:w="583" w:type="pct"/>
            <w:noWrap w:val="0"/>
            <w:vAlign w:val="center"/>
          </w:tcPr>
          <w:p w14:paraId="6A4A4D92">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w:t>
            </w:r>
          </w:p>
        </w:tc>
        <w:tc>
          <w:tcPr>
            <w:tcW w:w="291" w:type="pct"/>
            <w:noWrap w:val="0"/>
            <w:vAlign w:val="center"/>
          </w:tcPr>
          <w:p w14:paraId="76AFB37A">
            <w:pPr>
              <w:pStyle w:val="94"/>
              <w:spacing w:line="0" w:lineRule="atLeast"/>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座</w:t>
            </w:r>
          </w:p>
        </w:tc>
        <w:tc>
          <w:tcPr>
            <w:tcW w:w="346" w:type="pct"/>
            <w:noWrap w:val="0"/>
            <w:vAlign w:val="center"/>
          </w:tcPr>
          <w:p w14:paraId="59425C2B">
            <w:pPr>
              <w:pStyle w:val="94"/>
              <w:spacing w:line="0" w:lineRule="atLeast"/>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cs="Times New Roman"/>
                <w:color w:val="auto"/>
                <w:spacing w:val="0"/>
                <w:kern w:val="0"/>
                <w:sz w:val="21"/>
                <w:szCs w:val="21"/>
                <w:highlight w:val="none"/>
                <w:lang w:val="en-US" w:eastAsia="zh-CN"/>
              </w:rPr>
              <w:t>168</w:t>
            </w:r>
          </w:p>
        </w:tc>
        <w:tc>
          <w:tcPr>
            <w:tcW w:w="3024" w:type="pct"/>
            <w:noWrap w:val="0"/>
            <w:vAlign w:val="center"/>
          </w:tcPr>
          <w:p w14:paraId="36993883">
            <w:pPr>
              <w:pStyle w:val="94"/>
              <w:spacing w:line="0" w:lineRule="atLeast"/>
              <w:jc w:val="left"/>
              <w:rPr>
                <w:rFonts w:hint="eastAsia" w:ascii="Times New Roman" w:hAnsi="Times New Roman" w:eastAsia="宋体" w:cs="Times New Roman"/>
                <w:color w:val="auto"/>
                <w:spacing w:val="0"/>
                <w:kern w:val="0"/>
                <w:sz w:val="21"/>
                <w:szCs w:val="21"/>
                <w:highlight w:val="none"/>
                <w:lang w:eastAsia="zh-CN"/>
              </w:rPr>
            </w:pPr>
            <w:r>
              <w:rPr>
                <w:rFonts w:hint="eastAsia" w:ascii="Times New Roman" w:cs="Times New Roman"/>
                <w:color w:val="auto"/>
                <w:spacing w:val="0"/>
                <w:kern w:val="0"/>
                <w:sz w:val="21"/>
                <w:szCs w:val="21"/>
                <w:highlight w:val="none"/>
                <w:lang w:val="en-US" w:eastAsia="zh-CN"/>
              </w:rPr>
              <w:t>施工</w:t>
            </w:r>
            <w:r>
              <w:rPr>
                <w:rFonts w:hint="default" w:ascii="Times New Roman" w:hAnsi="Times New Roman" w:cs="Times New Roman"/>
                <w:color w:val="auto"/>
                <w:spacing w:val="0"/>
                <w:kern w:val="0"/>
                <w:sz w:val="21"/>
                <w:szCs w:val="21"/>
                <w:highlight w:val="none"/>
              </w:rPr>
              <w:t>人员居住；单座井场</w:t>
            </w:r>
            <w:r>
              <w:rPr>
                <w:rFonts w:hint="eastAsia" w:ascii="Times New Roman" w:cs="Times New Roman"/>
                <w:color w:val="auto"/>
                <w:spacing w:val="0"/>
                <w:kern w:val="0"/>
                <w:sz w:val="21"/>
                <w:szCs w:val="21"/>
                <w:highlight w:val="none"/>
                <w:lang w:val="en-US" w:eastAsia="zh-CN"/>
              </w:rPr>
              <w:t>新建</w:t>
            </w:r>
            <w:r>
              <w:rPr>
                <w:rFonts w:hint="default" w:ascii="Times New Roman" w:hAnsi="Times New Roman" w:cs="Times New Roman"/>
                <w:color w:val="auto"/>
                <w:spacing w:val="0"/>
                <w:kern w:val="0"/>
                <w:sz w:val="21"/>
                <w:szCs w:val="21"/>
                <w:highlight w:val="none"/>
              </w:rPr>
              <w:t>42座活动房</w:t>
            </w:r>
            <w:r>
              <w:rPr>
                <w:rFonts w:hint="eastAsia" w:ascii="Times New Roman" w:cs="Times New Roman"/>
                <w:color w:val="auto"/>
                <w:spacing w:val="0"/>
                <w:kern w:val="0"/>
                <w:sz w:val="21"/>
                <w:szCs w:val="21"/>
                <w:highlight w:val="none"/>
                <w:lang w:eastAsia="zh-CN"/>
              </w:rPr>
              <w:t>。</w:t>
            </w:r>
          </w:p>
        </w:tc>
      </w:tr>
    </w:tbl>
    <w:p w14:paraId="346594E9">
      <w:pPr>
        <w:pStyle w:val="7"/>
        <w:keepNext/>
        <w:keepLines/>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"3.1.5.1"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钻井工程</w:t>
      </w:r>
    </w:p>
    <w:p w14:paraId="6F2583D5">
      <w:pPr>
        <w:spacing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本项目计划部署老井侧钻井</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口</w:t>
      </w:r>
      <w:r>
        <w:rPr>
          <w:rFonts w:hint="eastAsia" w:cs="Times New Roman"/>
          <w:color w:val="auto"/>
          <w:sz w:val="24"/>
          <w:szCs w:val="24"/>
          <w:highlight w:val="none"/>
          <w:lang w:eastAsia="zh-CN"/>
        </w:rPr>
        <w:t>，</w:t>
      </w:r>
      <w:r>
        <w:rPr>
          <w:rFonts w:hint="eastAsia" w:cs="Times New Roman"/>
          <w:i w:val="0"/>
          <w:iCs w:val="0"/>
          <w:color w:val="auto"/>
          <w:kern w:val="0"/>
          <w:sz w:val="24"/>
          <w:szCs w:val="24"/>
          <w:highlight w:val="none"/>
          <w:u w:val="none"/>
          <w:lang w:val="en-US" w:eastAsia="zh-CN" w:bidi="ar"/>
        </w:rPr>
        <w:t>均采用</w:t>
      </w:r>
      <w:r>
        <w:rPr>
          <w:rFonts w:hint="default" w:ascii="Times New Roman" w:hAnsi="Times New Roman" w:cs="Times New Roman"/>
          <w:i w:val="0"/>
          <w:iCs w:val="0"/>
          <w:color w:val="auto"/>
          <w:kern w:val="0"/>
          <w:sz w:val="24"/>
          <w:szCs w:val="24"/>
          <w:highlight w:val="none"/>
          <w:u w:val="none"/>
          <w:lang w:val="en-US" w:eastAsia="zh-CN" w:bidi="ar"/>
        </w:rPr>
        <w:t>开窗</w:t>
      </w:r>
      <w:r>
        <w:rPr>
          <w:rFonts w:hint="eastAsia" w:cs="Times New Roman"/>
          <w:i w:val="0"/>
          <w:iCs w:val="0"/>
          <w:color w:val="auto"/>
          <w:kern w:val="0"/>
          <w:sz w:val="24"/>
          <w:szCs w:val="24"/>
          <w:highlight w:val="none"/>
          <w:u w:val="none"/>
          <w:lang w:val="en-US" w:eastAsia="zh-CN" w:bidi="ar"/>
        </w:rPr>
        <w:t>一</w:t>
      </w:r>
      <w:r>
        <w:rPr>
          <w:rFonts w:hint="default" w:ascii="Times New Roman" w:hAnsi="Times New Roman" w:cs="Times New Roman"/>
          <w:i w:val="0"/>
          <w:iCs w:val="0"/>
          <w:color w:val="auto"/>
          <w:kern w:val="0"/>
          <w:sz w:val="24"/>
          <w:szCs w:val="24"/>
          <w:highlight w:val="none"/>
          <w:u w:val="none"/>
          <w:lang w:val="en-US" w:eastAsia="zh-CN" w:bidi="ar"/>
        </w:rPr>
        <w:t>开井身结构</w:t>
      </w:r>
      <w:r>
        <w:rPr>
          <w:rFonts w:hint="eastAsia" w:cs="Times New Roman"/>
          <w:i w:val="0"/>
          <w:iCs w:val="0"/>
          <w:color w:val="auto"/>
          <w:kern w:val="0"/>
          <w:sz w:val="24"/>
          <w:szCs w:val="24"/>
          <w:highlight w:val="none"/>
          <w:u w:val="none"/>
          <w:lang w:val="en-US" w:eastAsia="zh-CN" w:bidi="ar"/>
        </w:rPr>
        <w:t>，钻井总进尺为2473.1m</w:t>
      </w:r>
      <w:r>
        <w:rPr>
          <w:rFonts w:hint="default" w:ascii="Times New Roman" w:hAnsi="Times New Roman" w:cs="Times New Roman"/>
          <w:i w:val="0"/>
          <w:iCs w:val="0"/>
          <w:color w:val="auto"/>
          <w:kern w:val="0"/>
          <w:sz w:val="24"/>
          <w:szCs w:val="24"/>
          <w:highlight w:val="none"/>
          <w:u w:val="none"/>
          <w:lang w:val="en-US" w:eastAsia="zh-CN" w:bidi="ar"/>
        </w:rPr>
        <w:t>。</w:t>
      </w:r>
    </w:p>
    <w:p w14:paraId="334150A6">
      <w:pPr>
        <w:pStyle w:val="12"/>
        <w:keepNext w:val="0"/>
        <w:keepLines w:val="0"/>
        <w:pageBreakBefore w:val="0"/>
        <w:widowControl/>
        <w:numPr>
          <w:ilvl w:val="0"/>
          <w:numId w:val="5"/>
        </w:numPr>
        <w:kinsoku/>
        <w:wordWrap/>
        <w:overflowPunct/>
        <w:topLinePunct w:val="0"/>
        <w:autoSpaceDE/>
        <w:autoSpaceDN/>
        <w:bidi w:val="0"/>
        <w:adjustRightInd w:val="0"/>
        <w:snapToGrid/>
        <w:ind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井位部署</w:t>
      </w:r>
    </w:p>
    <w:p w14:paraId="377E2763">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本项目4口侧钻井井位部署见表3.3-5。</w:t>
      </w:r>
    </w:p>
    <w:p w14:paraId="6259CE8E">
      <w:pPr>
        <w:pStyle w:val="137"/>
        <w:tabs>
          <w:tab w:val="left" w:pos="0"/>
        </w:tabs>
        <w:snapToGrid/>
        <w:spacing w:line="240" w:lineRule="auto"/>
        <w:ind w:firstLine="440" w:firstLineChars="200"/>
        <w:jc w:val="center"/>
        <w:rPr>
          <w:rFonts w:hint="eastAsia" w:ascii="黑体" w:hAnsi="黑体" w:eastAsia="黑体" w:cs="黑体"/>
          <w:b w:val="0"/>
          <w:color w:val="auto"/>
          <w:spacing w:val="5"/>
          <w:kern w:val="0"/>
          <w:sz w:val="21"/>
          <w:szCs w:val="21"/>
          <w:highlight w:val="none"/>
        </w:rPr>
      </w:pPr>
      <w:r>
        <w:rPr>
          <w:rFonts w:hint="eastAsia" w:ascii="黑体" w:hAnsi="黑体" w:eastAsia="黑体" w:cs="黑体"/>
          <w:b w:val="0"/>
          <w:color w:val="auto"/>
          <w:spacing w:val="5"/>
          <w:kern w:val="0"/>
          <w:sz w:val="21"/>
          <w:szCs w:val="21"/>
          <w:highlight w:val="none"/>
        </w:rPr>
        <w:t>表3.3-</w:t>
      </w:r>
      <w:r>
        <w:rPr>
          <w:rFonts w:hint="eastAsia" w:ascii="黑体" w:hAnsi="黑体" w:eastAsia="黑体" w:cs="黑体"/>
          <w:b w:val="0"/>
          <w:color w:val="auto"/>
          <w:spacing w:val="5"/>
          <w:kern w:val="0"/>
          <w:sz w:val="21"/>
          <w:szCs w:val="21"/>
          <w:highlight w:val="none"/>
          <w:lang w:val="en-US" w:eastAsia="zh-CN"/>
        </w:rPr>
        <w:t xml:space="preserve">5  </w:t>
      </w:r>
      <w:r>
        <w:rPr>
          <w:rFonts w:hint="eastAsia" w:ascii="黑体" w:hAnsi="黑体" w:eastAsia="黑体" w:cs="黑体"/>
          <w:b w:val="0"/>
          <w:color w:val="auto"/>
          <w:spacing w:val="5"/>
          <w:kern w:val="0"/>
          <w:sz w:val="21"/>
          <w:szCs w:val="21"/>
          <w:highlight w:val="none"/>
        </w:rPr>
        <w:t>井位部署一览表</w:t>
      </w:r>
    </w:p>
    <w:tbl>
      <w:tblPr>
        <w:tblStyle w:val="35"/>
        <w:tblW w:w="495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00"/>
        <w:gridCol w:w="1439"/>
        <w:gridCol w:w="1027"/>
        <w:gridCol w:w="1491"/>
        <w:gridCol w:w="1485"/>
        <w:gridCol w:w="708"/>
        <w:gridCol w:w="733"/>
        <w:gridCol w:w="1000"/>
      </w:tblGrid>
      <w:tr w14:paraId="67B22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8" w:type="pct"/>
            <w:vMerge w:val="restart"/>
            <w:shd w:val="clear" w:color="000000" w:fill="auto"/>
            <w:noWrap w:val="0"/>
            <w:vAlign w:val="center"/>
          </w:tcPr>
          <w:p w14:paraId="6D46014B">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序号</w:t>
            </w:r>
          </w:p>
        </w:tc>
        <w:tc>
          <w:tcPr>
            <w:tcW w:w="858" w:type="pct"/>
            <w:vMerge w:val="restart"/>
            <w:shd w:val="clear" w:color="000000" w:fill="auto"/>
            <w:noWrap w:val="0"/>
            <w:vAlign w:val="center"/>
          </w:tcPr>
          <w:p w14:paraId="5495982F">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井号</w:t>
            </w:r>
          </w:p>
        </w:tc>
        <w:tc>
          <w:tcPr>
            <w:tcW w:w="612" w:type="pct"/>
            <w:vMerge w:val="restart"/>
            <w:shd w:val="clear" w:color="000000" w:fill="auto"/>
            <w:noWrap w:val="0"/>
            <w:vAlign w:val="center"/>
          </w:tcPr>
          <w:p w14:paraId="02C0EC7A">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井型</w:t>
            </w:r>
          </w:p>
        </w:tc>
        <w:tc>
          <w:tcPr>
            <w:tcW w:w="1774" w:type="pct"/>
            <w:gridSpan w:val="2"/>
            <w:shd w:val="clear" w:color="000000" w:fill="auto"/>
            <w:noWrap w:val="0"/>
            <w:vAlign w:val="center"/>
          </w:tcPr>
          <w:p w14:paraId="13C536DA">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井口坐标</w:t>
            </w:r>
          </w:p>
        </w:tc>
        <w:tc>
          <w:tcPr>
            <w:tcW w:w="422" w:type="pct"/>
            <w:vMerge w:val="restart"/>
            <w:shd w:val="clear" w:color="000000" w:fill="auto"/>
            <w:noWrap w:val="0"/>
            <w:vAlign w:val="center"/>
          </w:tcPr>
          <w:p w14:paraId="2240FD1A">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所属采油厂</w:t>
            </w:r>
          </w:p>
        </w:tc>
        <w:tc>
          <w:tcPr>
            <w:tcW w:w="437" w:type="pct"/>
            <w:vMerge w:val="restart"/>
            <w:shd w:val="clear" w:color="000000" w:fill="auto"/>
            <w:noWrap w:val="0"/>
            <w:vAlign w:val="center"/>
          </w:tcPr>
          <w:p w14:paraId="53DCCA6D">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所属</w:t>
            </w:r>
          </w:p>
          <w:p w14:paraId="60C909D4">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区块</w:t>
            </w:r>
          </w:p>
        </w:tc>
        <w:tc>
          <w:tcPr>
            <w:tcW w:w="596" w:type="pct"/>
            <w:vMerge w:val="restart"/>
            <w:shd w:val="clear" w:color="000000" w:fill="auto"/>
            <w:noWrap w:val="0"/>
            <w:vAlign w:val="center"/>
          </w:tcPr>
          <w:p w14:paraId="240F2690">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所属行政</w:t>
            </w:r>
          </w:p>
          <w:p w14:paraId="4F7FA000">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区域</w:t>
            </w:r>
          </w:p>
        </w:tc>
      </w:tr>
      <w:tr w14:paraId="6FCED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8" w:type="pct"/>
            <w:vMerge w:val="continue"/>
            <w:shd w:val="clear" w:color="000000" w:fill="auto"/>
            <w:noWrap w:val="0"/>
            <w:vAlign w:val="center"/>
          </w:tcPr>
          <w:p w14:paraId="28BF7105">
            <w:pPr>
              <w:spacing w:line="0" w:lineRule="atLeast"/>
              <w:jc w:val="center"/>
              <w:rPr>
                <w:rFonts w:hint="default" w:ascii="Times New Roman" w:hAnsi="Times New Roman" w:cs="Times New Roman"/>
                <w:color w:val="auto"/>
                <w:spacing w:val="0"/>
                <w:sz w:val="21"/>
                <w:szCs w:val="21"/>
                <w:highlight w:val="none"/>
              </w:rPr>
            </w:pPr>
          </w:p>
        </w:tc>
        <w:tc>
          <w:tcPr>
            <w:tcW w:w="858" w:type="pct"/>
            <w:vMerge w:val="continue"/>
            <w:shd w:val="clear" w:color="000000" w:fill="auto"/>
            <w:noWrap w:val="0"/>
            <w:vAlign w:val="center"/>
          </w:tcPr>
          <w:p w14:paraId="11BCA114">
            <w:pPr>
              <w:spacing w:line="0" w:lineRule="atLeast"/>
              <w:jc w:val="center"/>
              <w:rPr>
                <w:rFonts w:hint="default" w:ascii="Times New Roman" w:hAnsi="Times New Roman" w:cs="Times New Roman"/>
                <w:color w:val="auto"/>
                <w:spacing w:val="0"/>
                <w:sz w:val="21"/>
                <w:szCs w:val="21"/>
                <w:highlight w:val="none"/>
              </w:rPr>
            </w:pPr>
          </w:p>
        </w:tc>
        <w:tc>
          <w:tcPr>
            <w:tcW w:w="612" w:type="pct"/>
            <w:vMerge w:val="continue"/>
            <w:shd w:val="clear" w:color="000000" w:fill="auto"/>
            <w:noWrap w:val="0"/>
            <w:vAlign w:val="center"/>
          </w:tcPr>
          <w:p w14:paraId="5479F556">
            <w:pPr>
              <w:spacing w:line="0" w:lineRule="atLeast"/>
              <w:jc w:val="center"/>
              <w:rPr>
                <w:rFonts w:hint="default" w:ascii="Times New Roman" w:hAnsi="Times New Roman" w:cs="Times New Roman"/>
                <w:color w:val="auto"/>
                <w:spacing w:val="0"/>
                <w:sz w:val="21"/>
                <w:szCs w:val="21"/>
                <w:highlight w:val="none"/>
              </w:rPr>
            </w:pPr>
          </w:p>
        </w:tc>
        <w:tc>
          <w:tcPr>
            <w:tcW w:w="889" w:type="pct"/>
            <w:shd w:val="clear" w:color="000000" w:fill="auto"/>
            <w:noWrap w:val="0"/>
            <w:vAlign w:val="center"/>
          </w:tcPr>
          <w:p w14:paraId="2EBB0C65">
            <w:pPr>
              <w:widowControl/>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X</w:t>
            </w:r>
          </w:p>
        </w:tc>
        <w:tc>
          <w:tcPr>
            <w:tcW w:w="884" w:type="pct"/>
            <w:shd w:val="clear" w:color="000000" w:fill="auto"/>
            <w:noWrap w:val="0"/>
            <w:vAlign w:val="center"/>
          </w:tcPr>
          <w:p w14:paraId="525463E1">
            <w:pPr>
              <w:widowControl/>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Y</w:t>
            </w:r>
          </w:p>
        </w:tc>
        <w:tc>
          <w:tcPr>
            <w:tcW w:w="422" w:type="pct"/>
            <w:vMerge w:val="continue"/>
            <w:shd w:val="clear" w:color="000000" w:fill="auto"/>
            <w:noWrap w:val="0"/>
            <w:vAlign w:val="center"/>
          </w:tcPr>
          <w:p w14:paraId="535F8BDF">
            <w:pPr>
              <w:spacing w:line="0" w:lineRule="atLeast"/>
              <w:jc w:val="center"/>
              <w:rPr>
                <w:rFonts w:hint="default" w:ascii="Times New Roman" w:hAnsi="Times New Roman" w:cs="Times New Roman"/>
                <w:color w:val="auto"/>
                <w:spacing w:val="0"/>
                <w:sz w:val="21"/>
                <w:szCs w:val="21"/>
                <w:highlight w:val="none"/>
              </w:rPr>
            </w:pPr>
          </w:p>
        </w:tc>
        <w:tc>
          <w:tcPr>
            <w:tcW w:w="437" w:type="pct"/>
            <w:vMerge w:val="continue"/>
            <w:shd w:val="clear" w:color="000000" w:fill="auto"/>
            <w:noWrap w:val="0"/>
            <w:vAlign w:val="center"/>
          </w:tcPr>
          <w:p w14:paraId="2D949F4E">
            <w:pPr>
              <w:spacing w:line="0" w:lineRule="atLeast"/>
              <w:jc w:val="center"/>
              <w:rPr>
                <w:rFonts w:hint="default" w:ascii="Times New Roman" w:hAnsi="Times New Roman" w:cs="Times New Roman"/>
                <w:color w:val="auto"/>
                <w:spacing w:val="0"/>
                <w:sz w:val="21"/>
                <w:szCs w:val="21"/>
                <w:highlight w:val="none"/>
              </w:rPr>
            </w:pPr>
          </w:p>
        </w:tc>
        <w:tc>
          <w:tcPr>
            <w:tcW w:w="596" w:type="pct"/>
            <w:vMerge w:val="continue"/>
            <w:shd w:val="clear" w:color="000000" w:fill="auto"/>
            <w:noWrap w:val="0"/>
            <w:vAlign w:val="center"/>
          </w:tcPr>
          <w:p w14:paraId="766B3F9D">
            <w:pPr>
              <w:spacing w:line="0" w:lineRule="atLeast"/>
              <w:jc w:val="center"/>
              <w:rPr>
                <w:rFonts w:hint="default" w:ascii="Times New Roman" w:hAnsi="Times New Roman" w:cs="Times New Roman"/>
                <w:color w:val="auto"/>
                <w:spacing w:val="0"/>
                <w:sz w:val="21"/>
                <w:szCs w:val="21"/>
                <w:highlight w:val="none"/>
              </w:rPr>
            </w:pPr>
          </w:p>
        </w:tc>
      </w:tr>
      <w:tr w14:paraId="26138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8" w:type="pct"/>
            <w:shd w:val="clear" w:color="000000" w:fill="auto"/>
            <w:noWrap w:val="0"/>
            <w:vAlign w:val="center"/>
          </w:tcPr>
          <w:p w14:paraId="633534E8">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1</w:t>
            </w:r>
          </w:p>
        </w:tc>
        <w:tc>
          <w:tcPr>
            <w:tcW w:w="858" w:type="pct"/>
            <w:shd w:val="clear" w:color="000000" w:fill="auto"/>
            <w:noWrap w:val="0"/>
            <w:vAlign w:val="center"/>
          </w:tcPr>
          <w:p w14:paraId="2277E2CA">
            <w:pPr>
              <w:widowControl/>
              <w:spacing w:line="0" w:lineRule="atLeast"/>
              <w:jc w:val="center"/>
              <w:textAlignment w:val="center"/>
              <w:rPr>
                <w:rFonts w:hint="default" w:ascii="Times New Roman" w:hAnsi="Times New Roman" w:cs="Times New Roman"/>
                <w:color w:val="auto"/>
                <w:spacing w:val="0"/>
                <w:sz w:val="21"/>
                <w:szCs w:val="21"/>
                <w:highlight w:val="none"/>
                <w:lang w:val="en-US"/>
              </w:rPr>
            </w:pPr>
            <w:r>
              <w:rPr>
                <w:rFonts w:hint="default" w:ascii="Times New Roman" w:hAnsi="Times New Roman" w:cs="Times New Roman"/>
                <w:color w:val="auto"/>
                <w:spacing w:val="0"/>
                <w:sz w:val="21"/>
                <w:szCs w:val="21"/>
                <w:highlight w:val="none"/>
                <w:lang w:val="en-US" w:eastAsia="zh-CN"/>
              </w:rPr>
              <w:t>TH10294CH</w:t>
            </w:r>
          </w:p>
        </w:tc>
        <w:tc>
          <w:tcPr>
            <w:tcW w:w="612" w:type="pct"/>
            <w:shd w:val="clear" w:color="000000" w:fill="auto"/>
            <w:noWrap w:val="0"/>
            <w:vAlign w:val="center"/>
          </w:tcPr>
          <w:p w14:paraId="2B199C6B">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侧钻井</w:t>
            </w:r>
          </w:p>
        </w:tc>
        <w:tc>
          <w:tcPr>
            <w:tcW w:w="889" w:type="pct"/>
            <w:shd w:val="clear" w:color="000000" w:fill="auto"/>
            <w:noWrap w:val="0"/>
            <w:vAlign w:val="center"/>
          </w:tcPr>
          <w:p w14:paraId="177D87A4">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884" w:type="pct"/>
            <w:shd w:val="clear" w:color="000000" w:fill="auto"/>
            <w:noWrap w:val="0"/>
            <w:vAlign w:val="center"/>
          </w:tcPr>
          <w:p w14:paraId="403211D3">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422" w:type="pct"/>
            <w:shd w:val="clear" w:color="000000" w:fill="auto"/>
            <w:noWrap w:val="0"/>
            <w:vAlign w:val="center"/>
          </w:tcPr>
          <w:p w14:paraId="0CD80051">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三厂</w:t>
            </w:r>
          </w:p>
        </w:tc>
        <w:tc>
          <w:tcPr>
            <w:tcW w:w="437" w:type="pct"/>
            <w:shd w:val="clear" w:color="000000" w:fill="auto"/>
            <w:noWrap w:val="0"/>
            <w:vAlign w:val="center"/>
          </w:tcPr>
          <w:p w14:paraId="604F770C">
            <w:pPr>
              <w:widowControl/>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bidi="ar"/>
              </w:rPr>
              <w:t>10区</w:t>
            </w:r>
          </w:p>
        </w:tc>
        <w:tc>
          <w:tcPr>
            <w:tcW w:w="596" w:type="pct"/>
            <w:shd w:val="clear" w:color="000000" w:fill="auto"/>
            <w:noWrap w:val="0"/>
            <w:vAlign w:val="center"/>
          </w:tcPr>
          <w:p w14:paraId="5A958C64">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库车市</w:t>
            </w:r>
          </w:p>
        </w:tc>
      </w:tr>
      <w:tr w14:paraId="0C831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8" w:type="pct"/>
            <w:shd w:val="clear" w:color="000000" w:fill="auto"/>
            <w:noWrap w:val="0"/>
            <w:vAlign w:val="center"/>
          </w:tcPr>
          <w:p w14:paraId="41B6A5AB">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2</w:t>
            </w:r>
          </w:p>
        </w:tc>
        <w:tc>
          <w:tcPr>
            <w:tcW w:w="858" w:type="pct"/>
            <w:shd w:val="clear" w:color="000000" w:fill="auto"/>
            <w:noWrap w:val="0"/>
            <w:vAlign w:val="center"/>
          </w:tcPr>
          <w:p w14:paraId="6AF19330">
            <w:pPr>
              <w:widowControl/>
              <w:spacing w:line="0" w:lineRule="atLeast"/>
              <w:jc w:val="center"/>
              <w:textAlignment w:val="center"/>
              <w:rPr>
                <w:rFonts w:hint="default" w:ascii="Times New Roman" w:hAnsi="Times New Roman" w:cs="Times New Roman"/>
                <w:color w:val="auto"/>
                <w:spacing w:val="0"/>
                <w:sz w:val="21"/>
                <w:szCs w:val="21"/>
                <w:highlight w:val="none"/>
                <w:lang w:val="en-US"/>
              </w:rPr>
            </w:pPr>
            <w:r>
              <w:rPr>
                <w:rFonts w:hint="default" w:ascii="Times New Roman" w:hAnsi="Times New Roman" w:cs="Times New Roman"/>
                <w:color w:val="auto"/>
                <w:spacing w:val="0"/>
                <w:sz w:val="21"/>
                <w:szCs w:val="21"/>
                <w:highlight w:val="none"/>
                <w:lang w:val="en-US" w:eastAsia="zh-CN"/>
              </w:rPr>
              <w:t>TH10250CH</w:t>
            </w:r>
          </w:p>
        </w:tc>
        <w:tc>
          <w:tcPr>
            <w:tcW w:w="612" w:type="pct"/>
            <w:shd w:val="clear" w:color="000000" w:fill="auto"/>
            <w:noWrap w:val="0"/>
            <w:vAlign w:val="center"/>
          </w:tcPr>
          <w:p w14:paraId="789DC9DC">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侧钻井</w:t>
            </w:r>
          </w:p>
        </w:tc>
        <w:tc>
          <w:tcPr>
            <w:tcW w:w="889" w:type="pct"/>
            <w:shd w:val="clear" w:color="000000" w:fill="auto"/>
            <w:noWrap w:val="0"/>
            <w:vAlign w:val="center"/>
          </w:tcPr>
          <w:p w14:paraId="68CB878C">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884" w:type="pct"/>
            <w:shd w:val="clear" w:color="000000" w:fill="auto"/>
            <w:noWrap w:val="0"/>
            <w:vAlign w:val="center"/>
          </w:tcPr>
          <w:p w14:paraId="1265E504">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422" w:type="pct"/>
            <w:shd w:val="clear" w:color="000000" w:fill="auto"/>
            <w:noWrap w:val="0"/>
            <w:vAlign w:val="center"/>
          </w:tcPr>
          <w:p w14:paraId="3D2FBEC5">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bidi="ar"/>
              </w:rPr>
              <w:t>三</w:t>
            </w:r>
            <w:r>
              <w:rPr>
                <w:rFonts w:hint="default" w:ascii="Times New Roman" w:hAnsi="Times New Roman" w:cs="Times New Roman"/>
                <w:color w:val="auto"/>
                <w:spacing w:val="0"/>
                <w:sz w:val="21"/>
                <w:szCs w:val="21"/>
                <w:highlight w:val="none"/>
                <w:lang w:bidi="ar"/>
              </w:rPr>
              <w:t>厂</w:t>
            </w:r>
          </w:p>
        </w:tc>
        <w:tc>
          <w:tcPr>
            <w:tcW w:w="437" w:type="pct"/>
            <w:shd w:val="clear" w:color="000000" w:fill="auto"/>
            <w:noWrap w:val="0"/>
            <w:vAlign w:val="center"/>
          </w:tcPr>
          <w:p w14:paraId="59BAB015">
            <w:pPr>
              <w:widowControl/>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bidi="ar"/>
              </w:rPr>
              <w:t>10区</w:t>
            </w:r>
          </w:p>
        </w:tc>
        <w:tc>
          <w:tcPr>
            <w:tcW w:w="596" w:type="pct"/>
            <w:shd w:val="clear" w:color="000000" w:fill="auto"/>
            <w:noWrap w:val="0"/>
            <w:vAlign w:val="center"/>
          </w:tcPr>
          <w:p w14:paraId="2302EABB">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库车市</w:t>
            </w:r>
          </w:p>
        </w:tc>
      </w:tr>
      <w:tr w14:paraId="365D9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8" w:type="pct"/>
            <w:shd w:val="clear" w:color="000000" w:fill="auto"/>
            <w:noWrap w:val="0"/>
            <w:vAlign w:val="center"/>
          </w:tcPr>
          <w:p w14:paraId="25EDA084">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3</w:t>
            </w:r>
          </w:p>
        </w:tc>
        <w:tc>
          <w:tcPr>
            <w:tcW w:w="858" w:type="pct"/>
            <w:shd w:val="clear" w:color="000000" w:fill="auto"/>
            <w:noWrap w:val="0"/>
            <w:vAlign w:val="center"/>
          </w:tcPr>
          <w:p w14:paraId="2F225AF7">
            <w:pPr>
              <w:widowControl/>
              <w:spacing w:line="0" w:lineRule="atLeast"/>
              <w:jc w:val="center"/>
              <w:textAlignment w:val="center"/>
              <w:rPr>
                <w:rFonts w:hint="default" w:ascii="Times New Roman" w:hAnsi="Times New Roman" w:cs="Times New Roman"/>
                <w:color w:val="auto"/>
                <w:spacing w:val="0"/>
                <w:sz w:val="21"/>
                <w:szCs w:val="21"/>
                <w:highlight w:val="none"/>
                <w:lang w:val="en-US"/>
              </w:rPr>
            </w:pPr>
            <w:r>
              <w:rPr>
                <w:rFonts w:hint="default" w:ascii="Times New Roman" w:hAnsi="Times New Roman" w:cs="Times New Roman"/>
                <w:color w:val="auto"/>
                <w:spacing w:val="0"/>
                <w:sz w:val="21"/>
                <w:szCs w:val="21"/>
                <w:highlight w:val="none"/>
                <w:lang w:val="en-US" w:eastAsia="zh-CN"/>
              </w:rPr>
              <w:t>TH10298CH</w:t>
            </w:r>
          </w:p>
        </w:tc>
        <w:tc>
          <w:tcPr>
            <w:tcW w:w="612" w:type="pct"/>
            <w:shd w:val="clear" w:color="000000" w:fill="auto"/>
            <w:noWrap w:val="0"/>
            <w:vAlign w:val="center"/>
          </w:tcPr>
          <w:p w14:paraId="46969B48">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侧钻井</w:t>
            </w:r>
          </w:p>
        </w:tc>
        <w:tc>
          <w:tcPr>
            <w:tcW w:w="889" w:type="pct"/>
            <w:shd w:val="clear" w:color="000000" w:fill="auto"/>
            <w:noWrap w:val="0"/>
            <w:vAlign w:val="center"/>
          </w:tcPr>
          <w:p w14:paraId="00251480">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884" w:type="pct"/>
            <w:shd w:val="clear" w:color="000000" w:fill="auto"/>
            <w:noWrap w:val="0"/>
            <w:vAlign w:val="center"/>
          </w:tcPr>
          <w:p w14:paraId="1393C7A5">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422" w:type="pct"/>
            <w:shd w:val="clear" w:color="000000" w:fill="auto"/>
            <w:noWrap w:val="0"/>
            <w:vAlign w:val="center"/>
          </w:tcPr>
          <w:p w14:paraId="55A23B68">
            <w:pPr>
              <w:widowControl/>
              <w:spacing w:line="0" w:lineRule="atLeast"/>
              <w:jc w:val="center"/>
              <w:textAlignment w:val="center"/>
              <w:rPr>
                <w:rFonts w:hint="default" w:ascii="Times New Roman" w:hAnsi="Times New Roman" w:cs="Times New Roman"/>
                <w:color w:val="auto"/>
                <w:spacing w:val="0"/>
                <w:sz w:val="21"/>
                <w:szCs w:val="21"/>
                <w:highlight w:val="none"/>
                <w:lang w:bidi="ar"/>
              </w:rPr>
            </w:pPr>
            <w:r>
              <w:rPr>
                <w:rFonts w:hint="default" w:ascii="Times New Roman" w:hAnsi="Times New Roman" w:cs="Times New Roman"/>
                <w:color w:val="auto"/>
                <w:spacing w:val="0"/>
                <w:sz w:val="21"/>
                <w:szCs w:val="21"/>
                <w:highlight w:val="none"/>
                <w:lang w:bidi="ar"/>
              </w:rPr>
              <w:t>三厂</w:t>
            </w:r>
          </w:p>
        </w:tc>
        <w:tc>
          <w:tcPr>
            <w:tcW w:w="437" w:type="pct"/>
            <w:shd w:val="clear" w:color="000000" w:fill="auto"/>
            <w:noWrap w:val="0"/>
            <w:vAlign w:val="center"/>
          </w:tcPr>
          <w:p w14:paraId="383F704F">
            <w:pPr>
              <w:widowControl/>
              <w:spacing w:line="0" w:lineRule="atLeast"/>
              <w:jc w:val="center"/>
              <w:textAlignment w:val="center"/>
              <w:rPr>
                <w:rFonts w:hint="default" w:ascii="Times New Roman" w:hAnsi="Times New Roman" w:cs="Times New Roman"/>
                <w:color w:val="auto"/>
                <w:spacing w:val="0"/>
                <w:sz w:val="21"/>
                <w:szCs w:val="21"/>
                <w:highlight w:val="none"/>
                <w:lang w:bidi="ar"/>
              </w:rPr>
            </w:pPr>
            <w:r>
              <w:rPr>
                <w:rFonts w:hint="default" w:ascii="Times New Roman" w:hAnsi="Times New Roman" w:cs="Times New Roman"/>
                <w:color w:val="auto"/>
                <w:spacing w:val="0"/>
                <w:sz w:val="21"/>
                <w:szCs w:val="21"/>
                <w:highlight w:val="none"/>
                <w:lang w:bidi="ar"/>
              </w:rPr>
              <w:t>10区</w:t>
            </w:r>
          </w:p>
        </w:tc>
        <w:tc>
          <w:tcPr>
            <w:tcW w:w="596" w:type="pct"/>
            <w:shd w:val="clear" w:color="000000" w:fill="auto"/>
            <w:noWrap w:val="0"/>
            <w:vAlign w:val="center"/>
          </w:tcPr>
          <w:p w14:paraId="37D94BE1">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库车市</w:t>
            </w:r>
          </w:p>
        </w:tc>
      </w:tr>
      <w:tr w14:paraId="2089A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8" w:type="pct"/>
            <w:shd w:val="clear" w:color="000000" w:fill="auto"/>
            <w:noWrap w:val="0"/>
            <w:vAlign w:val="center"/>
          </w:tcPr>
          <w:p w14:paraId="446A2D7D">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4</w:t>
            </w:r>
          </w:p>
        </w:tc>
        <w:tc>
          <w:tcPr>
            <w:tcW w:w="858" w:type="pct"/>
            <w:shd w:val="clear" w:color="000000" w:fill="auto"/>
            <w:noWrap w:val="0"/>
            <w:vAlign w:val="center"/>
          </w:tcPr>
          <w:p w14:paraId="1F0BE214">
            <w:pPr>
              <w:widowControl/>
              <w:spacing w:line="0" w:lineRule="atLeast"/>
              <w:jc w:val="center"/>
              <w:textAlignment w:val="center"/>
              <w:rPr>
                <w:rFonts w:hint="default" w:ascii="Times New Roman" w:hAnsi="Times New Roman" w:cs="Times New Roman"/>
                <w:color w:val="auto"/>
                <w:spacing w:val="0"/>
                <w:sz w:val="21"/>
                <w:szCs w:val="21"/>
                <w:highlight w:val="none"/>
                <w:lang w:val="en-US"/>
              </w:rPr>
            </w:pPr>
            <w:r>
              <w:rPr>
                <w:rFonts w:hint="default" w:ascii="Times New Roman" w:hAnsi="Times New Roman" w:cs="Times New Roman"/>
                <w:color w:val="auto"/>
                <w:spacing w:val="0"/>
                <w:sz w:val="21"/>
                <w:szCs w:val="21"/>
                <w:highlight w:val="none"/>
                <w:lang w:val="en-US" w:eastAsia="zh-CN"/>
              </w:rPr>
              <w:t>TK872CH</w:t>
            </w:r>
          </w:p>
        </w:tc>
        <w:tc>
          <w:tcPr>
            <w:tcW w:w="612" w:type="pct"/>
            <w:shd w:val="clear" w:color="000000" w:fill="auto"/>
            <w:noWrap w:val="0"/>
            <w:vAlign w:val="center"/>
          </w:tcPr>
          <w:p w14:paraId="3F4A080D">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侧钻井</w:t>
            </w:r>
          </w:p>
        </w:tc>
        <w:tc>
          <w:tcPr>
            <w:tcW w:w="889" w:type="pct"/>
            <w:shd w:val="clear" w:color="000000" w:fill="auto"/>
            <w:noWrap w:val="0"/>
            <w:vAlign w:val="center"/>
          </w:tcPr>
          <w:p w14:paraId="211A9E50">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884" w:type="pct"/>
            <w:shd w:val="clear" w:color="000000" w:fill="auto"/>
            <w:noWrap w:val="0"/>
            <w:vAlign w:val="center"/>
          </w:tcPr>
          <w:p w14:paraId="5D9AADCA">
            <w:pPr>
              <w:keepNext w:val="0"/>
              <w:keepLines w:val="0"/>
              <w:widowControl/>
              <w:suppressLineNumbers w:val="0"/>
              <w:jc w:val="center"/>
              <w:textAlignment w:val="center"/>
              <w:rPr>
                <w:rFonts w:hint="default" w:ascii="Times New Roman" w:hAnsi="Times New Roman" w:cs="Times New Roman"/>
                <w:color w:val="auto"/>
                <w:spacing w:val="0"/>
                <w:sz w:val="21"/>
                <w:szCs w:val="21"/>
                <w:highlight w:val="none"/>
              </w:rPr>
            </w:pPr>
          </w:p>
        </w:tc>
        <w:tc>
          <w:tcPr>
            <w:tcW w:w="422" w:type="pct"/>
            <w:shd w:val="clear" w:color="000000" w:fill="auto"/>
            <w:noWrap w:val="0"/>
            <w:vAlign w:val="center"/>
          </w:tcPr>
          <w:p w14:paraId="44182C81">
            <w:pPr>
              <w:widowControl/>
              <w:spacing w:line="0" w:lineRule="atLeast"/>
              <w:jc w:val="center"/>
              <w:textAlignment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bidi="ar"/>
              </w:rPr>
              <w:t>三厂</w:t>
            </w:r>
          </w:p>
        </w:tc>
        <w:tc>
          <w:tcPr>
            <w:tcW w:w="437" w:type="pct"/>
            <w:shd w:val="clear" w:color="000000" w:fill="auto"/>
            <w:noWrap w:val="0"/>
            <w:vAlign w:val="center"/>
          </w:tcPr>
          <w:p w14:paraId="2BA91C46">
            <w:pPr>
              <w:widowControl/>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bidi="ar"/>
              </w:rPr>
              <w:t>8区</w:t>
            </w:r>
          </w:p>
        </w:tc>
        <w:tc>
          <w:tcPr>
            <w:tcW w:w="596" w:type="pct"/>
            <w:shd w:val="clear" w:color="000000" w:fill="auto"/>
            <w:noWrap w:val="0"/>
            <w:vAlign w:val="center"/>
          </w:tcPr>
          <w:p w14:paraId="04786089">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库车市</w:t>
            </w:r>
          </w:p>
        </w:tc>
      </w:tr>
    </w:tbl>
    <w:p w14:paraId="77A40B0F">
      <w:pPr>
        <w:pStyle w:val="12"/>
        <w:keepNext w:val="0"/>
        <w:keepLines w:val="0"/>
        <w:pageBreakBefore w:val="0"/>
        <w:widowControl/>
        <w:numPr>
          <w:ilvl w:val="0"/>
          <w:numId w:val="4"/>
        </w:numPr>
        <w:kinsoku/>
        <w:wordWrap/>
        <w:overflowPunct/>
        <w:topLinePunct w:val="0"/>
        <w:autoSpaceDE/>
        <w:autoSpaceDN/>
        <w:bidi w:val="0"/>
        <w:adjustRightInd w:val="0"/>
        <w:snapToGrid/>
        <w:spacing w:before="157" w:beforeLines="50"/>
        <w:ind w:left="0" w:leftChars="0" w:firstLine="48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井身结构</w:t>
      </w:r>
    </w:p>
    <w:p w14:paraId="4FAA27E0">
      <w:pPr>
        <w:pStyle w:val="12"/>
        <w:bidi w:val="0"/>
        <w:ind w:firstLine="480" w:firstLineChars="200"/>
        <w:jc w:val="both"/>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口老井侧钻</w:t>
      </w:r>
      <w:r>
        <w:rPr>
          <w:rFonts w:hint="eastAsia" w:ascii="Times New Roman" w:hAnsi="Times New Roman" w:cs="Times New Roman"/>
          <w:color w:val="auto"/>
          <w:highlight w:val="none"/>
          <w:lang w:val="en-US" w:eastAsia="zh-CN"/>
        </w:rPr>
        <w:t>均为</w:t>
      </w:r>
      <w:r>
        <w:rPr>
          <w:rFonts w:hint="default" w:ascii="Times New Roman" w:hAnsi="Times New Roman" w:cs="Times New Roman"/>
          <w:color w:val="auto"/>
          <w:highlight w:val="none"/>
          <w:lang w:eastAsia="zh-CN"/>
        </w:rPr>
        <w:t>开窗一开</w:t>
      </w:r>
      <w:r>
        <w:rPr>
          <w:rFonts w:hint="default" w:ascii="Times New Roman" w:hAnsi="Times New Roman" w:cs="Times New Roman"/>
          <w:color w:val="auto"/>
          <w:highlight w:val="none"/>
        </w:rPr>
        <w:t>井身结构</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钻井方案见</w:t>
      </w: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6，井身结构图见</w:t>
      </w:r>
      <w:r>
        <w:rPr>
          <w:rFonts w:hint="default" w:ascii="Times New Roman" w:hAnsi="Times New Roman" w:cs="Times New Roman"/>
          <w:color w:val="auto"/>
          <w:highlight w:val="none"/>
        </w:rPr>
        <w:t>图3.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583221EA">
      <w:pPr>
        <w:pStyle w:val="137"/>
        <w:tabs>
          <w:tab w:val="left" w:pos="0"/>
        </w:tabs>
        <w:snapToGrid/>
        <w:spacing w:line="240" w:lineRule="auto"/>
        <w:ind w:firstLine="440" w:firstLineChars="200"/>
        <w:jc w:val="center"/>
        <w:rPr>
          <w:rFonts w:hint="eastAsia" w:ascii="黑体" w:hAnsi="黑体" w:eastAsia="黑体" w:cs="黑体"/>
          <w:b w:val="0"/>
          <w:color w:val="auto"/>
          <w:spacing w:val="5"/>
          <w:kern w:val="0"/>
          <w:sz w:val="21"/>
          <w:szCs w:val="21"/>
          <w:highlight w:val="none"/>
        </w:rPr>
      </w:pPr>
      <w:r>
        <w:rPr>
          <w:rFonts w:hint="eastAsia" w:ascii="黑体" w:hAnsi="黑体" w:eastAsia="黑体" w:cs="黑体"/>
          <w:b w:val="0"/>
          <w:color w:val="auto"/>
          <w:spacing w:val="5"/>
          <w:kern w:val="0"/>
          <w:sz w:val="21"/>
          <w:szCs w:val="21"/>
          <w:highlight w:val="none"/>
        </w:rPr>
        <w:t>表3.3-</w:t>
      </w:r>
      <w:r>
        <w:rPr>
          <w:rFonts w:hint="eastAsia" w:ascii="黑体" w:hAnsi="黑体" w:eastAsia="黑体" w:cs="黑体"/>
          <w:b w:val="0"/>
          <w:color w:val="auto"/>
          <w:spacing w:val="5"/>
          <w:kern w:val="0"/>
          <w:sz w:val="21"/>
          <w:szCs w:val="21"/>
          <w:highlight w:val="none"/>
          <w:lang w:val="en-US" w:eastAsia="zh-CN"/>
        </w:rPr>
        <w:t>6</w:t>
      </w:r>
      <w:r>
        <w:rPr>
          <w:rFonts w:hint="eastAsia" w:ascii="黑体" w:hAnsi="黑体" w:eastAsia="黑体" w:cs="黑体"/>
          <w:b w:val="0"/>
          <w:color w:val="auto"/>
          <w:spacing w:val="5"/>
          <w:kern w:val="0"/>
          <w:sz w:val="21"/>
          <w:szCs w:val="21"/>
          <w:highlight w:val="none"/>
        </w:rPr>
        <w:t>井位部署一览表</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1168"/>
        <w:gridCol w:w="636"/>
        <w:gridCol w:w="719"/>
        <w:gridCol w:w="914"/>
        <w:gridCol w:w="899"/>
        <w:gridCol w:w="794"/>
        <w:gridCol w:w="688"/>
        <w:gridCol w:w="710"/>
        <w:gridCol w:w="771"/>
      </w:tblGrid>
      <w:tr w14:paraId="627F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4ADA93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井号</w:t>
            </w:r>
          </w:p>
        </w:tc>
        <w:tc>
          <w:tcPr>
            <w:tcW w:w="679" w:type="pct"/>
            <w:vAlign w:val="center"/>
          </w:tcPr>
          <w:p w14:paraId="6D040F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避体需求</w:t>
            </w:r>
          </w:p>
        </w:tc>
        <w:tc>
          <w:tcPr>
            <w:tcW w:w="371" w:type="pct"/>
            <w:vAlign w:val="center"/>
          </w:tcPr>
          <w:p w14:paraId="1D288B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井身结构</w:t>
            </w:r>
          </w:p>
        </w:tc>
        <w:tc>
          <w:tcPr>
            <w:tcW w:w="419" w:type="pct"/>
            <w:vAlign w:val="center"/>
          </w:tcPr>
          <w:p w14:paraId="5D6404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井眼尺寸</w:t>
            </w:r>
          </w:p>
          <w:p w14:paraId="297E13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mm</w:t>
            </w:r>
          </w:p>
        </w:tc>
        <w:tc>
          <w:tcPr>
            <w:tcW w:w="532" w:type="pct"/>
            <w:vAlign w:val="center"/>
          </w:tcPr>
          <w:p w14:paraId="1E3F0A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造斜点</w:t>
            </w:r>
          </w:p>
        </w:tc>
        <w:tc>
          <w:tcPr>
            <w:tcW w:w="511" w:type="pct"/>
            <w:vAlign w:val="center"/>
          </w:tcPr>
          <w:p w14:paraId="78B7D1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完钻</w:t>
            </w:r>
          </w:p>
          <w:p w14:paraId="2DC04F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井深</w:t>
            </w:r>
          </w:p>
          <w:p w14:paraId="5B8118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w:t>
            </w:r>
          </w:p>
        </w:tc>
        <w:tc>
          <w:tcPr>
            <w:tcW w:w="452" w:type="pct"/>
            <w:vAlign w:val="center"/>
          </w:tcPr>
          <w:p w14:paraId="30E504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进尺</w:t>
            </w:r>
          </w:p>
          <w:p w14:paraId="2C8BEF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w:t>
            </w:r>
          </w:p>
        </w:tc>
        <w:tc>
          <w:tcPr>
            <w:tcW w:w="401" w:type="pct"/>
            <w:vAlign w:val="center"/>
          </w:tcPr>
          <w:p w14:paraId="49874C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钻机推荐</w:t>
            </w:r>
          </w:p>
        </w:tc>
        <w:tc>
          <w:tcPr>
            <w:tcW w:w="414" w:type="pct"/>
            <w:vAlign w:val="center"/>
          </w:tcPr>
          <w:p w14:paraId="04D9FF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完井方式</w:t>
            </w:r>
          </w:p>
        </w:tc>
        <w:tc>
          <w:tcPr>
            <w:tcW w:w="449" w:type="pct"/>
            <w:vAlign w:val="center"/>
          </w:tcPr>
          <w:p w14:paraId="30E45A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测录需求</w:t>
            </w:r>
          </w:p>
        </w:tc>
      </w:tr>
      <w:tr w14:paraId="463A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3151A5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TH10294CH</w:t>
            </w:r>
          </w:p>
        </w:tc>
        <w:tc>
          <w:tcPr>
            <w:tcW w:w="679" w:type="pct"/>
            <w:vAlign w:val="center"/>
          </w:tcPr>
          <w:p w14:paraId="2E141C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垂深5735，位移＞338m</w:t>
            </w:r>
          </w:p>
        </w:tc>
        <w:tc>
          <w:tcPr>
            <w:tcW w:w="371" w:type="pct"/>
            <w:vAlign w:val="center"/>
          </w:tcPr>
          <w:p w14:paraId="78A92A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开窗一开</w:t>
            </w:r>
          </w:p>
        </w:tc>
        <w:tc>
          <w:tcPr>
            <w:tcW w:w="419" w:type="pct"/>
            <w:vAlign w:val="center"/>
          </w:tcPr>
          <w:p w14:paraId="70431A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149.2</w:t>
            </w:r>
          </w:p>
        </w:tc>
        <w:tc>
          <w:tcPr>
            <w:tcW w:w="532" w:type="pct"/>
            <w:vAlign w:val="center"/>
          </w:tcPr>
          <w:p w14:paraId="0D0C97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5535m</w:t>
            </w:r>
          </w:p>
          <w:p w14:paraId="16F056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巴楚组</w:t>
            </w:r>
          </w:p>
        </w:tc>
        <w:tc>
          <w:tcPr>
            <w:tcW w:w="511" w:type="pct"/>
            <w:vAlign w:val="center"/>
          </w:tcPr>
          <w:p w14:paraId="3F65EF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6208.80</w:t>
            </w:r>
          </w:p>
        </w:tc>
        <w:tc>
          <w:tcPr>
            <w:tcW w:w="452" w:type="pct"/>
            <w:vAlign w:val="center"/>
          </w:tcPr>
          <w:p w14:paraId="137C1B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673.8</w:t>
            </w:r>
          </w:p>
        </w:tc>
        <w:tc>
          <w:tcPr>
            <w:tcW w:w="401" w:type="pct"/>
            <w:vAlign w:val="center"/>
          </w:tcPr>
          <w:p w14:paraId="386993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50钻机</w:t>
            </w:r>
          </w:p>
        </w:tc>
        <w:tc>
          <w:tcPr>
            <w:tcW w:w="414" w:type="pct"/>
            <w:vAlign w:val="center"/>
          </w:tcPr>
          <w:p w14:paraId="510DB4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衬管完井</w:t>
            </w:r>
          </w:p>
          <w:p w14:paraId="482D97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酸化完井</w:t>
            </w:r>
            <w:r>
              <w:rPr>
                <w:rFonts w:hint="eastAsia" w:cs="Times New Roman"/>
                <w:i w:val="0"/>
                <w:iCs w:val="0"/>
                <w:color w:val="auto"/>
                <w:kern w:val="0"/>
                <w:sz w:val="21"/>
                <w:szCs w:val="21"/>
                <w:highlight w:val="none"/>
                <w:u w:val="none"/>
                <w:lang w:val="en-US" w:eastAsia="zh-CN" w:bidi="ar"/>
              </w:rPr>
              <w:t>)</w:t>
            </w:r>
          </w:p>
        </w:tc>
        <w:tc>
          <w:tcPr>
            <w:tcW w:w="449" w:type="pct"/>
            <w:vAlign w:val="center"/>
          </w:tcPr>
          <w:p w14:paraId="2002B4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地质录井</w:t>
            </w:r>
          </w:p>
          <w:p w14:paraId="5192ED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测静压</w:t>
            </w:r>
          </w:p>
        </w:tc>
      </w:tr>
      <w:tr w14:paraId="792A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4B06BB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TH10250CH</w:t>
            </w:r>
          </w:p>
        </w:tc>
        <w:tc>
          <w:tcPr>
            <w:tcW w:w="679" w:type="pct"/>
            <w:vAlign w:val="center"/>
          </w:tcPr>
          <w:p w14:paraId="5E8E92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垂深5729.5m时位移＞169.95m </w:t>
            </w:r>
          </w:p>
        </w:tc>
        <w:tc>
          <w:tcPr>
            <w:tcW w:w="371" w:type="pct"/>
            <w:vAlign w:val="center"/>
          </w:tcPr>
          <w:p w14:paraId="4127B0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开窗一开</w:t>
            </w:r>
          </w:p>
        </w:tc>
        <w:tc>
          <w:tcPr>
            <w:tcW w:w="419" w:type="pct"/>
            <w:vAlign w:val="center"/>
          </w:tcPr>
          <w:p w14:paraId="1BAD72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149.2</w:t>
            </w:r>
          </w:p>
        </w:tc>
        <w:tc>
          <w:tcPr>
            <w:tcW w:w="532" w:type="pct"/>
            <w:vAlign w:val="center"/>
          </w:tcPr>
          <w:p w14:paraId="2F42D5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5515m</w:t>
            </w:r>
          </w:p>
          <w:p w14:paraId="7323DF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巴楚组</w:t>
            </w:r>
          </w:p>
        </w:tc>
        <w:tc>
          <w:tcPr>
            <w:tcW w:w="511" w:type="pct"/>
            <w:vAlign w:val="center"/>
          </w:tcPr>
          <w:p w14:paraId="34E480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5878.58</w:t>
            </w:r>
          </w:p>
        </w:tc>
        <w:tc>
          <w:tcPr>
            <w:tcW w:w="452" w:type="pct"/>
            <w:vAlign w:val="center"/>
          </w:tcPr>
          <w:p w14:paraId="4D6D45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363.58</w:t>
            </w:r>
          </w:p>
        </w:tc>
        <w:tc>
          <w:tcPr>
            <w:tcW w:w="401" w:type="pct"/>
            <w:vAlign w:val="center"/>
          </w:tcPr>
          <w:p w14:paraId="21A1E9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850修井机</w:t>
            </w:r>
          </w:p>
        </w:tc>
        <w:tc>
          <w:tcPr>
            <w:tcW w:w="414" w:type="pct"/>
            <w:vAlign w:val="center"/>
          </w:tcPr>
          <w:p w14:paraId="384BBE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衬管完井</w:t>
            </w:r>
          </w:p>
          <w:p w14:paraId="04CE4B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酸压完井</w:t>
            </w:r>
            <w:r>
              <w:rPr>
                <w:rFonts w:hint="eastAsia" w:cs="Times New Roman"/>
                <w:i w:val="0"/>
                <w:iCs w:val="0"/>
                <w:color w:val="auto"/>
                <w:kern w:val="0"/>
                <w:sz w:val="21"/>
                <w:szCs w:val="21"/>
                <w:highlight w:val="none"/>
                <w:u w:val="none"/>
                <w:lang w:val="en-US" w:eastAsia="zh-CN" w:bidi="ar"/>
              </w:rPr>
              <w:t>)</w:t>
            </w:r>
          </w:p>
        </w:tc>
        <w:tc>
          <w:tcPr>
            <w:tcW w:w="449" w:type="pct"/>
            <w:vAlign w:val="center"/>
          </w:tcPr>
          <w:p w14:paraId="70B468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地质录井</w:t>
            </w:r>
          </w:p>
          <w:p w14:paraId="4F96A0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测静压</w:t>
            </w:r>
          </w:p>
        </w:tc>
      </w:tr>
      <w:tr w14:paraId="43D3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724798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TH10298CH</w:t>
            </w:r>
          </w:p>
        </w:tc>
        <w:tc>
          <w:tcPr>
            <w:tcW w:w="679" w:type="pct"/>
            <w:vAlign w:val="center"/>
          </w:tcPr>
          <w:p w14:paraId="44B569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w:t>
            </w:r>
          </w:p>
        </w:tc>
        <w:tc>
          <w:tcPr>
            <w:tcW w:w="371" w:type="pct"/>
            <w:vAlign w:val="center"/>
          </w:tcPr>
          <w:p w14:paraId="02A4BF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开窗一开</w:t>
            </w:r>
          </w:p>
        </w:tc>
        <w:tc>
          <w:tcPr>
            <w:tcW w:w="419" w:type="pct"/>
            <w:vAlign w:val="center"/>
          </w:tcPr>
          <w:p w14:paraId="692839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149.2</w:t>
            </w:r>
          </w:p>
        </w:tc>
        <w:tc>
          <w:tcPr>
            <w:tcW w:w="532" w:type="pct"/>
            <w:vAlign w:val="center"/>
          </w:tcPr>
          <w:p w14:paraId="6E2C62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5495m</w:t>
            </w:r>
          </w:p>
          <w:p w14:paraId="0D54B5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巴楚组</w:t>
            </w:r>
          </w:p>
        </w:tc>
        <w:tc>
          <w:tcPr>
            <w:tcW w:w="511" w:type="pct"/>
            <w:vAlign w:val="center"/>
          </w:tcPr>
          <w:p w14:paraId="65FAC0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6272.06</w:t>
            </w:r>
          </w:p>
        </w:tc>
        <w:tc>
          <w:tcPr>
            <w:tcW w:w="452" w:type="pct"/>
            <w:vAlign w:val="center"/>
          </w:tcPr>
          <w:p w14:paraId="40F6FE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777.06</w:t>
            </w:r>
          </w:p>
        </w:tc>
        <w:tc>
          <w:tcPr>
            <w:tcW w:w="401" w:type="pct"/>
            <w:vAlign w:val="center"/>
          </w:tcPr>
          <w:p w14:paraId="703953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50钻机</w:t>
            </w:r>
          </w:p>
        </w:tc>
        <w:tc>
          <w:tcPr>
            <w:tcW w:w="414" w:type="pct"/>
            <w:vAlign w:val="center"/>
          </w:tcPr>
          <w:p w14:paraId="359406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衬管完井</w:t>
            </w:r>
          </w:p>
          <w:p w14:paraId="0820ED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酸压完井</w:t>
            </w:r>
            <w:r>
              <w:rPr>
                <w:rFonts w:hint="eastAsia" w:cs="Times New Roman"/>
                <w:i w:val="0"/>
                <w:iCs w:val="0"/>
                <w:color w:val="auto"/>
                <w:kern w:val="0"/>
                <w:sz w:val="21"/>
                <w:szCs w:val="21"/>
                <w:highlight w:val="none"/>
                <w:u w:val="none"/>
                <w:lang w:val="en-US" w:eastAsia="zh-CN" w:bidi="ar"/>
              </w:rPr>
              <w:t>)</w:t>
            </w:r>
          </w:p>
        </w:tc>
        <w:tc>
          <w:tcPr>
            <w:tcW w:w="449" w:type="pct"/>
            <w:vAlign w:val="center"/>
          </w:tcPr>
          <w:p w14:paraId="5EBD36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一开标准、地质录井</w:t>
            </w:r>
          </w:p>
          <w:p w14:paraId="556109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测静压</w:t>
            </w:r>
          </w:p>
        </w:tc>
      </w:tr>
      <w:tr w14:paraId="3853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71976B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TK872CH</w:t>
            </w:r>
          </w:p>
        </w:tc>
        <w:tc>
          <w:tcPr>
            <w:tcW w:w="679" w:type="pct"/>
            <w:vAlign w:val="center"/>
          </w:tcPr>
          <w:p w14:paraId="0B61E8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垂深5522m时位移＞315m</w:t>
            </w:r>
          </w:p>
        </w:tc>
        <w:tc>
          <w:tcPr>
            <w:tcW w:w="371" w:type="pct"/>
            <w:vAlign w:val="center"/>
          </w:tcPr>
          <w:p w14:paraId="02CA30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开窗一开</w:t>
            </w:r>
          </w:p>
        </w:tc>
        <w:tc>
          <w:tcPr>
            <w:tcW w:w="419" w:type="pct"/>
            <w:vAlign w:val="center"/>
          </w:tcPr>
          <w:p w14:paraId="3D647A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149.2</w:t>
            </w:r>
          </w:p>
        </w:tc>
        <w:tc>
          <w:tcPr>
            <w:tcW w:w="532" w:type="pct"/>
            <w:vAlign w:val="center"/>
          </w:tcPr>
          <w:p w14:paraId="5FA40C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5368m</w:t>
            </w:r>
          </w:p>
          <w:p w14:paraId="165B23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卡拉沙依组</w:t>
            </w:r>
          </w:p>
        </w:tc>
        <w:tc>
          <w:tcPr>
            <w:tcW w:w="511" w:type="pct"/>
            <w:vAlign w:val="center"/>
          </w:tcPr>
          <w:p w14:paraId="6FDF9A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6026.67</w:t>
            </w:r>
          </w:p>
        </w:tc>
        <w:tc>
          <w:tcPr>
            <w:tcW w:w="452" w:type="pct"/>
            <w:vAlign w:val="center"/>
          </w:tcPr>
          <w:p w14:paraId="4F4BCC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658.67</w:t>
            </w:r>
          </w:p>
        </w:tc>
        <w:tc>
          <w:tcPr>
            <w:tcW w:w="401" w:type="pct"/>
            <w:vAlign w:val="center"/>
          </w:tcPr>
          <w:p w14:paraId="024DD0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50钻机</w:t>
            </w:r>
          </w:p>
        </w:tc>
        <w:tc>
          <w:tcPr>
            <w:tcW w:w="414" w:type="pct"/>
            <w:vAlign w:val="center"/>
          </w:tcPr>
          <w:p w14:paraId="023DC6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衬管完井</w:t>
            </w:r>
          </w:p>
          <w:p w14:paraId="06AEBF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酸化完井</w:t>
            </w:r>
            <w:r>
              <w:rPr>
                <w:rFonts w:hint="eastAsia" w:cs="Times New Roman"/>
                <w:i w:val="0"/>
                <w:iCs w:val="0"/>
                <w:color w:val="auto"/>
                <w:kern w:val="0"/>
                <w:sz w:val="21"/>
                <w:szCs w:val="21"/>
                <w:highlight w:val="none"/>
                <w:u w:val="none"/>
                <w:lang w:val="en-US" w:eastAsia="zh-CN" w:bidi="ar"/>
              </w:rPr>
              <w:t>)</w:t>
            </w:r>
          </w:p>
        </w:tc>
        <w:tc>
          <w:tcPr>
            <w:tcW w:w="449" w:type="pct"/>
            <w:vAlign w:val="center"/>
          </w:tcPr>
          <w:p w14:paraId="0432F0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地质录井</w:t>
            </w:r>
          </w:p>
          <w:p w14:paraId="14C9FB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测静压</w:t>
            </w:r>
          </w:p>
        </w:tc>
      </w:tr>
    </w:tbl>
    <w:p w14:paraId="72BB6656">
      <w:pPr>
        <w:pStyle w:val="137"/>
        <w:tabs>
          <w:tab w:val="left" w:pos="0"/>
        </w:tabs>
        <w:snapToGrid/>
        <w:spacing w:line="240" w:lineRule="auto"/>
        <w:ind w:firstLine="440" w:firstLineChars="200"/>
        <w:jc w:val="center"/>
        <w:rPr>
          <w:rFonts w:hint="eastAsia" w:ascii="黑体" w:hAnsi="黑体" w:eastAsia="黑体" w:cs="黑体"/>
          <w:b w:val="0"/>
          <w:color w:val="auto"/>
          <w:spacing w:val="5"/>
          <w:kern w:val="0"/>
          <w:sz w:val="21"/>
          <w:szCs w:val="21"/>
          <w:highlight w:val="none"/>
        </w:rPr>
      </w:pP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37"/>
        <w:gridCol w:w="4419"/>
      </w:tblGrid>
      <w:tr w14:paraId="0A09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7" w:type="dxa"/>
          </w:tcPr>
          <w:p w14:paraId="641F8CC0">
            <w:pPr>
              <w:widowControl w:val="0"/>
              <w:jc w:val="left"/>
              <w:rPr>
                <w:rFonts w:hint="default" w:ascii="Times New Roman" w:hAnsi="Times New Roman" w:cs="Times New Roman"/>
                <w:color w:val="auto"/>
                <w:highlight w:val="none"/>
                <w:vertAlign w:val="baseline"/>
              </w:rPr>
            </w:pPr>
          </w:p>
        </w:tc>
        <w:tc>
          <w:tcPr>
            <w:tcW w:w="4419" w:type="dxa"/>
          </w:tcPr>
          <w:p w14:paraId="1BDE93DE">
            <w:pPr>
              <w:widowControl w:val="0"/>
              <w:jc w:val="center"/>
              <w:rPr>
                <w:rFonts w:hint="eastAsia" w:ascii="Times New Roman" w:hAnsi="Times New Roman" w:eastAsia="宋体" w:cs="Times New Roman"/>
                <w:color w:val="auto"/>
                <w:highlight w:val="none"/>
                <w:vertAlign w:val="baseline"/>
                <w:lang w:eastAsia="zh-CN"/>
              </w:rPr>
            </w:pPr>
          </w:p>
        </w:tc>
      </w:tr>
      <w:tr w14:paraId="52BA5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7" w:type="dxa"/>
          </w:tcPr>
          <w:p w14:paraId="6D357331">
            <w:pPr>
              <w:widowControl w:val="0"/>
              <w:jc w:val="center"/>
              <w:rPr>
                <w:rFonts w:hint="default" w:ascii="Times New Roman" w:hAnsi="Times New Roman" w:eastAsia="黑体" w:cs="Times New Roman"/>
                <w:color w:val="auto"/>
                <w:highlight w:val="none"/>
                <w:vertAlign w:val="baseline"/>
                <w:lang w:val="en-US" w:eastAsia="zh-CN"/>
              </w:rPr>
            </w:pPr>
            <w:r>
              <w:rPr>
                <w:rFonts w:hint="default" w:ascii="Times New Roman" w:hAnsi="Times New Roman" w:eastAsia="黑体" w:cs="Times New Roman"/>
                <w:snapToGrid w:val="0"/>
                <w:color w:val="auto"/>
                <w:sz w:val="21"/>
                <w:highlight w:val="none"/>
              </w:rPr>
              <w:t>TH</w:t>
            </w:r>
            <w:r>
              <w:rPr>
                <w:rFonts w:hint="eastAsia" w:eastAsia="黑体" w:cs="Times New Roman"/>
                <w:snapToGrid w:val="0"/>
                <w:color w:val="auto"/>
                <w:sz w:val="21"/>
                <w:highlight w:val="none"/>
                <w:lang w:val="en-US" w:eastAsia="zh-CN"/>
              </w:rPr>
              <w:t>10294CH</w:t>
            </w:r>
            <w:r>
              <w:rPr>
                <w:rFonts w:hint="default" w:ascii="Times New Roman" w:hAnsi="Times New Roman" w:eastAsia="黑体" w:cs="Times New Roman"/>
                <w:snapToGrid w:val="0"/>
                <w:color w:val="auto"/>
                <w:sz w:val="21"/>
                <w:highlight w:val="none"/>
              </w:rPr>
              <w:t>井身结构</w:t>
            </w:r>
            <w:r>
              <w:rPr>
                <w:rFonts w:hint="default" w:ascii="Times New Roman" w:hAnsi="Times New Roman" w:eastAsia="黑体" w:cs="Times New Roman"/>
                <w:snapToGrid w:val="0"/>
                <w:color w:val="auto"/>
                <w:sz w:val="21"/>
                <w:highlight w:val="none"/>
                <w:lang w:val="en-US" w:eastAsia="zh-CN"/>
              </w:rPr>
              <w:t>图</w:t>
            </w:r>
          </w:p>
        </w:tc>
        <w:tc>
          <w:tcPr>
            <w:tcW w:w="4419" w:type="dxa"/>
          </w:tcPr>
          <w:p w14:paraId="5C9A866D">
            <w:pPr>
              <w:widowControl w:val="0"/>
              <w:jc w:val="center"/>
              <w:rPr>
                <w:rFonts w:hint="default" w:ascii="Times New Roman" w:hAnsi="Times New Roman" w:cs="Times New Roman"/>
                <w:color w:val="auto"/>
                <w:highlight w:val="none"/>
                <w:vertAlign w:val="baseline"/>
              </w:rPr>
            </w:pPr>
            <w:r>
              <w:rPr>
                <w:rFonts w:hint="default" w:ascii="Times New Roman" w:hAnsi="Times New Roman" w:eastAsia="黑体" w:cs="Times New Roman"/>
                <w:snapToGrid w:val="0"/>
                <w:color w:val="auto"/>
                <w:sz w:val="21"/>
                <w:highlight w:val="none"/>
              </w:rPr>
              <w:t>T</w:t>
            </w:r>
            <w:r>
              <w:rPr>
                <w:rFonts w:hint="eastAsia" w:eastAsia="黑体" w:cs="Times New Roman"/>
                <w:snapToGrid w:val="0"/>
                <w:color w:val="auto"/>
                <w:sz w:val="21"/>
                <w:highlight w:val="none"/>
                <w:lang w:val="en-US" w:eastAsia="zh-CN"/>
              </w:rPr>
              <w:t>H10250CH</w:t>
            </w:r>
            <w:r>
              <w:rPr>
                <w:rFonts w:hint="default" w:ascii="Times New Roman" w:hAnsi="Times New Roman" w:eastAsia="黑体" w:cs="Times New Roman"/>
                <w:snapToGrid w:val="0"/>
                <w:color w:val="auto"/>
                <w:sz w:val="21"/>
                <w:highlight w:val="none"/>
              </w:rPr>
              <w:t>井身结构</w:t>
            </w:r>
            <w:r>
              <w:rPr>
                <w:rFonts w:hint="default" w:ascii="Times New Roman" w:hAnsi="Times New Roman" w:eastAsia="黑体" w:cs="Times New Roman"/>
                <w:snapToGrid w:val="0"/>
                <w:color w:val="auto"/>
                <w:sz w:val="21"/>
                <w:highlight w:val="none"/>
                <w:lang w:val="en-US" w:eastAsia="zh-CN"/>
              </w:rPr>
              <w:t>图</w:t>
            </w:r>
          </w:p>
        </w:tc>
      </w:tr>
      <w:tr w14:paraId="245E3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7" w:type="dxa"/>
          </w:tcPr>
          <w:p w14:paraId="78B7B805">
            <w:pPr>
              <w:widowControl w:val="0"/>
              <w:jc w:val="center"/>
              <w:rPr>
                <w:rFonts w:hint="default" w:ascii="Times New Roman" w:hAnsi="Times New Roman" w:cs="Times New Roman"/>
                <w:color w:val="auto"/>
                <w:highlight w:val="none"/>
                <w:vertAlign w:val="baseline"/>
              </w:rPr>
            </w:pPr>
          </w:p>
        </w:tc>
        <w:tc>
          <w:tcPr>
            <w:tcW w:w="4419" w:type="dxa"/>
          </w:tcPr>
          <w:p w14:paraId="449C2974">
            <w:pPr>
              <w:widowControl w:val="0"/>
              <w:jc w:val="center"/>
              <w:rPr>
                <w:rFonts w:hint="default" w:ascii="Times New Roman" w:hAnsi="Times New Roman" w:cs="Times New Roman"/>
                <w:color w:val="auto"/>
                <w:highlight w:val="none"/>
                <w:vertAlign w:val="baseline"/>
              </w:rPr>
            </w:pPr>
          </w:p>
        </w:tc>
      </w:tr>
      <w:tr w14:paraId="70AEC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7" w:type="dxa"/>
          </w:tcPr>
          <w:p w14:paraId="663CF007">
            <w:pPr>
              <w:widowControl w:val="0"/>
              <w:jc w:val="center"/>
              <w:rPr>
                <w:rFonts w:hint="default" w:ascii="Times New Roman" w:hAnsi="Times New Roman" w:cs="Times New Roman"/>
                <w:color w:val="auto"/>
                <w:highlight w:val="none"/>
                <w:vertAlign w:val="baseline"/>
              </w:rPr>
            </w:pPr>
            <w:r>
              <w:rPr>
                <w:rFonts w:hint="eastAsia" w:eastAsia="黑体" w:cs="Times New Roman"/>
                <w:snapToGrid w:val="0"/>
                <w:color w:val="auto"/>
                <w:sz w:val="21"/>
                <w:highlight w:val="none"/>
                <w:lang w:val="en-US" w:eastAsia="zh-CN"/>
              </w:rPr>
              <w:t>TH10298CH</w:t>
            </w:r>
            <w:r>
              <w:rPr>
                <w:rFonts w:hint="default" w:ascii="Times New Roman" w:hAnsi="Times New Roman" w:eastAsia="黑体" w:cs="Times New Roman"/>
                <w:snapToGrid w:val="0"/>
                <w:color w:val="auto"/>
                <w:sz w:val="21"/>
                <w:highlight w:val="none"/>
              </w:rPr>
              <w:t>井身结构</w:t>
            </w:r>
            <w:r>
              <w:rPr>
                <w:rFonts w:hint="default" w:ascii="Times New Roman" w:hAnsi="Times New Roman" w:eastAsia="黑体" w:cs="Times New Roman"/>
                <w:snapToGrid w:val="0"/>
                <w:color w:val="auto"/>
                <w:sz w:val="21"/>
                <w:highlight w:val="none"/>
                <w:lang w:val="en-US" w:eastAsia="zh-CN"/>
              </w:rPr>
              <w:t>图</w:t>
            </w:r>
          </w:p>
        </w:tc>
        <w:tc>
          <w:tcPr>
            <w:tcW w:w="4419" w:type="dxa"/>
          </w:tcPr>
          <w:p w14:paraId="5D132661">
            <w:pPr>
              <w:widowControl w:val="0"/>
              <w:jc w:val="center"/>
              <w:rPr>
                <w:rFonts w:hint="default" w:ascii="Times New Roman" w:hAnsi="Times New Roman" w:cs="Times New Roman"/>
                <w:color w:val="auto"/>
                <w:highlight w:val="none"/>
                <w:vertAlign w:val="baseline"/>
              </w:rPr>
            </w:pPr>
            <w:r>
              <w:rPr>
                <w:rFonts w:hint="default" w:ascii="Times New Roman" w:hAnsi="Times New Roman" w:eastAsia="黑体" w:cs="Times New Roman"/>
                <w:snapToGrid w:val="0"/>
                <w:color w:val="auto"/>
                <w:sz w:val="21"/>
                <w:highlight w:val="none"/>
              </w:rPr>
              <w:t>T</w:t>
            </w:r>
            <w:r>
              <w:rPr>
                <w:rFonts w:hint="eastAsia" w:eastAsia="黑体" w:cs="Times New Roman"/>
                <w:snapToGrid w:val="0"/>
                <w:color w:val="auto"/>
                <w:sz w:val="21"/>
                <w:highlight w:val="none"/>
                <w:lang w:val="en-US" w:eastAsia="zh-CN"/>
              </w:rPr>
              <w:t>K872CH</w:t>
            </w:r>
            <w:r>
              <w:rPr>
                <w:rFonts w:hint="default" w:ascii="Times New Roman" w:hAnsi="Times New Roman" w:eastAsia="黑体" w:cs="Times New Roman"/>
                <w:snapToGrid w:val="0"/>
                <w:color w:val="auto"/>
                <w:sz w:val="21"/>
                <w:highlight w:val="none"/>
              </w:rPr>
              <w:t>井身结构</w:t>
            </w:r>
            <w:r>
              <w:rPr>
                <w:rFonts w:hint="default" w:ascii="Times New Roman" w:hAnsi="Times New Roman" w:eastAsia="黑体" w:cs="Times New Roman"/>
                <w:snapToGrid w:val="0"/>
                <w:color w:val="auto"/>
                <w:sz w:val="21"/>
                <w:highlight w:val="none"/>
                <w:lang w:val="en-US" w:eastAsia="zh-CN"/>
              </w:rPr>
              <w:t>图</w:t>
            </w:r>
          </w:p>
        </w:tc>
      </w:tr>
    </w:tbl>
    <w:p w14:paraId="7213FDA3">
      <w:pPr>
        <w:pStyle w:val="13"/>
        <w:jc w:val="center"/>
        <w:rPr>
          <w:rFonts w:hint="default" w:ascii="Times New Roman" w:hAnsi="Times New Roman" w:cs="Times New Roman"/>
          <w:color w:val="auto"/>
          <w:highlight w:val="none"/>
        </w:rPr>
      </w:pPr>
      <w:r>
        <w:rPr>
          <w:rFonts w:hint="default" w:ascii="Times New Roman" w:hAnsi="Times New Roman" w:eastAsia="黑体" w:cs="Times New Roman"/>
          <w:i w:val="0"/>
          <w:iCs w:val="0"/>
          <w:color w:val="auto"/>
          <w:kern w:val="0"/>
          <w:sz w:val="21"/>
          <w:szCs w:val="21"/>
          <w:highlight w:val="none"/>
          <w:u w:val="none"/>
          <w:lang w:val="en-US" w:eastAsia="zh-CN" w:bidi="ar"/>
        </w:rPr>
        <w:t>图3.3-3</w:t>
      </w:r>
      <w:r>
        <w:rPr>
          <w:rFonts w:hint="eastAsia" w:eastAsia="黑体" w:cs="Times New Roman"/>
          <w:i w:val="0"/>
          <w:iCs w:val="0"/>
          <w:color w:val="auto"/>
          <w:kern w:val="0"/>
          <w:sz w:val="21"/>
          <w:szCs w:val="21"/>
          <w:highlight w:val="none"/>
          <w:u w:val="none"/>
          <w:lang w:val="en-US" w:eastAsia="zh-CN" w:bidi="ar"/>
        </w:rPr>
        <w:t xml:space="preserve">  </w:t>
      </w:r>
      <w:r>
        <w:rPr>
          <w:rFonts w:hint="default" w:ascii="Times New Roman" w:hAnsi="Times New Roman" w:eastAsia="黑体" w:cs="Times New Roman"/>
          <w:snapToGrid w:val="0"/>
          <w:color w:val="auto"/>
          <w:sz w:val="21"/>
          <w:highlight w:val="none"/>
        </w:rPr>
        <w:t>井身结构示意图</w:t>
      </w:r>
    </w:p>
    <w:p w14:paraId="7263AAD0">
      <w:pPr>
        <w:pStyle w:val="12"/>
        <w:bidi w:val="0"/>
        <w:ind w:firstLine="480" w:firstLineChars="200"/>
        <w:jc w:val="both"/>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钻井液</w:t>
      </w:r>
    </w:p>
    <w:p w14:paraId="71165483">
      <w:pPr>
        <w:pStyle w:val="12"/>
        <w:bidi w:val="0"/>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老井侧钻使用KCl聚磺体系泥浆，膨润土(2%～5%)+烧碱(0.2%～0.5%)+磺化酚醛树脂(2%～5%)+磺化褐煤树脂(2%～4%)+防塌剂(2%～5%)+润滑剂(1%～3%)+氯化钾(7%～10%)+加重剂，设计密度1.10～1.30g/cm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w:t>
      </w:r>
    </w:p>
    <w:p w14:paraId="78DAB2C6">
      <w:pPr>
        <w:pStyle w:val="12"/>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固井方案</w:t>
      </w:r>
    </w:p>
    <w:p w14:paraId="2B527116">
      <w:pPr>
        <w:pStyle w:val="12"/>
        <w:bidi w:val="0"/>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一开采用常规密度水泥浆单级全封固井方式。二开采用套管+筛管完井或裸眼完井。根据腐蚀环境，考虑套管头不长期直接接触流体，结合现场实际情况，选择EE级套管头。</w:t>
      </w:r>
    </w:p>
    <w:p w14:paraId="0A75AD17">
      <w:pPr>
        <w:pStyle w:val="13"/>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5</w:t>
      </w:r>
      <w:r>
        <w:rPr>
          <w:rFonts w:hint="default" w:ascii="Times New Roman" w:hAnsi="Times New Roman" w:eastAsia="宋体" w:cs="Times New Roman"/>
          <w:color w:val="auto"/>
          <w:sz w:val="24"/>
          <w:szCs w:val="24"/>
          <w:highlight w:val="none"/>
          <w:lang w:val="en-US" w:eastAsia="zh-CN" w:bidi="ar-SA"/>
        </w:rPr>
        <w:t>）主要设备</w:t>
      </w:r>
      <w:r>
        <w:rPr>
          <w:rFonts w:hint="default" w:ascii="Times New Roman" w:hAnsi="Times New Roman" w:cs="Times New Roman"/>
          <w:color w:val="auto"/>
          <w:highlight w:val="none"/>
        </w:rPr>
        <w:t>设施</w:t>
      </w:r>
    </w:p>
    <w:p w14:paraId="370D8976">
      <w:pPr>
        <w:pStyle w:val="1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钻井工程主要施工设备为机械钻机、运输车、装载机及配套设施，设备设施情况见表3.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w:t>
      </w:r>
    </w:p>
    <w:p w14:paraId="15F0697B">
      <w:pPr>
        <w:pStyle w:val="13"/>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240" w:lineRule="auto"/>
        <w:jc w:val="center"/>
        <w:rPr>
          <w:rFonts w:hint="default" w:ascii="Times New Roman" w:hAnsi="Times New Roman" w:eastAsia="黑体" w:cs="Times New Roman"/>
          <w:snapToGrid w:val="0"/>
          <w:color w:val="auto"/>
          <w:sz w:val="21"/>
          <w:highlight w:val="none"/>
        </w:rPr>
      </w:pPr>
      <w:r>
        <w:rPr>
          <w:rFonts w:hint="default" w:ascii="Times New Roman" w:hAnsi="Times New Roman" w:eastAsia="黑体" w:cs="Times New Roman"/>
          <w:i w:val="0"/>
          <w:iCs w:val="0"/>
          <w:color w:val="auto"/>
          <w:kern w:val="0"/>
          <w:sz w:val="21"/>
          <w:szCs w:val="21"/>
          <w:highlight w:val="none"/>
          <w:u w:val="none"/>
          <w:lang w:val="en-US" w:eastAsia="zh-CN" w:bidi="ar"/>
        </w:rPr>
        <w:t>表3.3</w:t>
      </w:r>
      <w:r>
        <w:rPr>
          <w:rFonts w:hint="eastAsia" w:eastAsia="黑体" w:cs="Times New Roman"/>
          <w:i w:val="0"/>
          <w:iCs w:val="0"/>
          <w:color w:val="auto"/>
          <w:kern w:val="0"/>
          <w:sz w:val="21"/>
          <w:szCs w:val="21"/>
          <w:highlight w:val="none"/>
          <w:u w:val="none"/>
          <w:lang w:val="en-US" w:eastAsia="zh-CN" w:bidi="ar"/>
        </w:rPr>
        <w:t xml:space="preserve">-7  </w:t>
      </w:r>
      <w:r>
        <w:rPr>
          <w:rFonts w:hint="default" w:ascii="Times New Roman" w:hAnsi="Times New Roman" w:eastAsia="黑体" w:cs="Times New Roman"/>
          <w:snapToGrid w:val="0"/>
          <w:color w:val="auto"/>
          <w:sz w:val="21"/>
          <w:highlight w:val="none"/>
        </w:rPr>
        <w:t>单座井场施工所用机械一览表</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063"/>
        <w:gridCol w:w="2534"/>
        <w:gridCol w:w="1171"/>
        <w:gridCol w:w="1085"/>
        <w:gridCol w:w="1607"/>
      </w:tblGrid>
      <w:tr w14:paraId="6EAFA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A977EC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设备或部件名称</w:t>
            </w:r>
          </w:p>
        </w:tc>
        <w:tc>
          <w:tcPr>
            <w:tcW w:w="1497" w:type="pct"/>
            <w:noWrap w:val="0"/>
            <w:vAlign w:val="center"/>
          </w:tcPr>
          <w:p w14:paraId="2747233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规格型号</w:t>
            </w:r>
          </w:p>
        </w:tc>
        <w:tc>
          <w:tcPr>
            <w:tcW w:w="692" w:type="pct"/>
            <w:noWrap w:val="0"/>
            <w:vAlign w:val="center"/>
          </w:tcPr>
          <w:p w14:paraId="260359B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主参数</w:t>
            </w:r>
          </w:p>
        </w:tc>
        <w:tc>
          <w:tcPr>
            <w:tcW w:w="641" w:type="pct"/>
            <w:noWrap w:val="0"/>
            <w:vAlign w:val="center"/>
          </w:tcPr>
          <w:p w14:paraId="31A8BD9E">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单位</w:t>
            </w:r>
          </w:p>
        </w:tc>
        <w:tc>
          <w:tcPr>
            <w:tcW w:w="949" w:type="pct"/>
            <w:noWrap w:val="0"/>
            <w:vAlign w:val="center"/>
          </w:tcPr>
          <w:p w14:paraId="5500790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数量/单座井场</w:t>
            </w:r>
          </w:p>
        </w:tc>
      </w:tr>
      <w:tr w14:paraId="74774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7A049B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机械钻机</w:t>
            </w:r>
          </w:p>
        </w:tc>
        <w:tc>
          <w:tcPr>
            <w:tcW w:w="1497" w:type="pct"/>
            <w:noWrap w:val="0"/>
            <w:vAlign w:val="center"/>
          </w:tcPr>
          <w:p w14:paraId="52253787">
            <w:pPr>
              <w:adjustRightInd w:val="0"/>
              <w:spacing w:line="0" w:lineRule="atLeast"/>
              <w:jc w:val="center"/>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rPr>
              <w:t>ZJ</w:t>
            </w:r>
            <w:r>
              <w:rPr>
                <w:rFonts w:hint="eastAsia" w:cs="Times New Roman"/>
                <w:bCs/>
                <w:color w:val="auto"/>
                <w:spacing w:val="0"/>
                <w:sz w:val="21"/>
                <w:szCs w:val="21"/>
                <w:highlight w:val="none"/>
                <w:lang w:val="en-US" w:eastAsia="zh-CN"/>
              </w:rPr>
              <w:t>5</w:t>
            </w:r>
            <w:r>
              <w:rPr>
                <w:rFonts w:hint="default" w:ascii="Times New Roman" w:hAnsi="Times New Roman" w:eastAsia="宋体" w:cs="Times New Roman"/>
                <w:bCs/>
                <w:color w:val="auto"/>
                <w:spacing w:val="0"/>
                <w:sz w:val="21"/>
                <w:szCs w:val="21"/>
                <w:highlight w:val="none"/>
              </w:rPr>
              <w:t>0钻机</w:t>
            </w:r>
            <w:r>
              <w:rPr>
                <w:rFonts w:hint="eastAsia" w:cs="Times New Roman"/>
                <w:bCs/>
                <w:color w:val="auto"/>
                <w:spacing w:val="0"/>
                <w:sz w:val="21"/>
                <w:szCs w:val="21"/>
                <w:highlight w:val="none"/>
                <w:lang w:val="en-US" w:eastAsia="zh-CN"/>
              </w:rPr>
              <w:t>/850修井机</w:t>
            </w:r>
          </w:p>
        </w:tc>
        <w:tc>
          <w:tcPr>
            <w:tcW w:w="692" w:type="pct"/>
            <w:noWrap w:val="0"/>
            <w:vAlign w:val="center"/>
          </w:tcPr>
          <w:p w14:paraId="53A42A7A">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41" w:type="pct"/>
            <w:noWrap w:val="0"/>
            <w:vAlign w:val="center"/>
          </w:tcPr>
          <w:p w14:paraId="56BFD23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949" w:type="pct"/>
            <w:noWrap w:val="0"/>
            <w:vAlign w:val="center"/>
          </w:tcPr>
          <w:p w14:paraId="77B235F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06E95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647FC8EA">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井架</w:t>
            </w:r>
          </w:p>
        </w:tc>
        <w:tc>
          <w:tcPr>
            <w:tcW w:w="1497" w:type="pct"/>
            <w:noWrap w:val="0"/>
            <w:vAlign w:val="center"/>
          </w:tcPr>
          <w:p w14:paraId="70A7309E">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JJ450/45-X</w:t>
            </w:r>
          </w:p>
        </w:tc>
        <w:tc>
          <w:tcPr>
            <w:tcW w:w="692" w:type="pct"/>
            <w:noWrap w:val="0"/>
            <w:vAlign w:val="center"/>
          </w:tcPr>
          <w:p w14:paraId="176A266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4500</w:t>
            </w:r>
          </w:p>
        </w:tc>
        <w:tc>
          <w:tcPr>
            <w:tcW w:w="641" w:type="pct"/>
            <w:noWrap w:val="0"/>
            <w:vAlign w:val="center"/>
          </w:tcPr>
          <w:p w14:paraId="104CC1F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kN</w:t>
            </w:r>
          </w:p>
        </w:tc>
        <w:tc>
          <w:tcPr>
            <w:tcW w:w="949" w:type="pct"/>
            <w:noWrap w:val="0"/>
            <w:vAlign w:val="center"/>
          </w:tcPr>
          <w:p w14:paraId="2AF69B7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18D37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1D06A83">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底座</w:t>
            </w:r>
          </w:p>
        </w:tc>
        <w:tc>
          <w:tcPr>
            <w:tcW w:w="1497" w:type="pct"/>
            <w:noWrap w:val="0"/>
            <w:vAlign w:val="center"/>
          </w:tcPr>
          <w:p w14:paraId="334B9284">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DZ450/10.5-X</w:t>
            </w:r>
          </w:p>
        </w:tc>
        <w:tc>
          <w:tcPr>
            <w:tcW w:w="692" w:type="pct"/>
            <w:noWrap w:val="0"/>
            <w:vAlign w:val="center"/>
          </w:tcPr>
          <w:p w14:paraId="40C5B0D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4500</w:t>
            </w:r>
          </w:p>
        </w:tc>
        <w:tc>
          <w:tcPr>
            <w:tcW w:w="641" w:type="pct"/>
            <w:noWrap w:val="0"/>
            <w:vAlign w:val="center"/>
          </w:tcPr>
          <w:p w14:paraId="5A27277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kN</w:t>
            </w:r>
          </w:p>
        </w:tc>
        <w:tc>
          <w:tcPr>
            <w:tcW w:w="949" w:type="pct"/>
            <w:noWrap w:val="0"/>
            <w:vAlign w:val="center"/>
          </w:tcPr>
          <w:p w14:paraId="491A1244">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40F4E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A40BA73">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绞车</w:t>
            </w:r>
          </w:p>
        </w:tc>
        <w:tc>
          <w:tcPr>
            <w:tcW w:w="1497" w:type="pct"/>
            <w:noWrap w:val="0"/>
            <w:vAlign w:val="center"/>
          </w:tcPr>
          <w:p w14:paraId="74143A5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JC70LDB</w:t>
            </w:r>
          </w:p>
        </w:tc>
        <w:tc>
          <w:tcPr>
            <w:tcW w:w="692" w:type="pct"/>
            <w:noWrap w:val="0"/>
            <w:vAlign w:val="center"/>
          </w:tcPr>
          <w:p w14:paraId="409043B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1470</w:t>
            </w:r>
          </w:p>
        </w:tc>
        <w:tc>
          <w:tcPr>
            <w:tcW w:w="641" w:type="pct"/>
            <w:noWrap w:val="0"/>
            <w:vAlign w:val="center"/>
          </w:tcPr>
          <w:p w14:paraId="64FE517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kW</w:t>
            </w:r>
          </w:p>
        </w:tc>
        <w:tc>
          <w:tcPr>
            <w:tcW w:w="949" w:type="pct"/>
            <w:noWrap w:val="0"/>
            <w:vAlign w:val="center"/>
          </w:tcPr>
          <w:p w14:paraId="2EFAA3B3">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2B7D9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644577B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天车</w:t>
            </w:r>
          </w:p>
        </w:tc>
        <w:tc>
          <w:tcPr>
            <w:tcW w:w="1497" w:type="pct"/>
            <w:noWrap w:val="0"/>
            <w:vAlign w:val="center"/>
          </w:tcPr>
          <w:p w14:paraId="61FCC0F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TC450</w:t>
            </w:r>
          </w:p>
        </w:tc>
        <w:tc>
          <w:tcPr>
            <w:tcW w:w="692" w:type="pct"/>
            <w:noWrap w:val="0"/>
            <w:vAlign w:val="center"/>
          </w:tcPr>
          <w:p w14:paraId="0747A7C1">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4500</w:t>
            </w:r>
          </w:p>
        </w:tc>
        <w:tc>
          <w:tcPr>
            <w:tcW w:w="641" w:type="pct"/>
            <w:noWrap w:val="0"/>
            <w:vAlign w:val="center"/>
          </w:tcPr>
          <w:p w14:paraId="0BE5336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kN</w:t>
            </w:r>
          </w:p>
        </w:tc>
        <w:tc>
          <w:tcPr>
            <w:tcW w:w="949" w:type="pct"/>
            <w:noWrap w:val="0"/>
            <w:vAlign w:val="center"/>
          </w:tcPr>
          <w:p w14:paraId="1F67921C">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1CC17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41D352CB">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游车/大钩</w:t>
            </w:r>
          </w:p>
        </w:tc>
        <w:tc>
          <w:tcPr>
            <w:tcW w:w="1497" w:type="pct"/>
            <w:noWrap w:val="0"/>
            <w:vAlign w:val="center"/>
          </w:tcPr>
          <w:p w14:paraId="4E9AF95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YC450/DG450</w:t>
            </w:r>
          </w:p>
        </w:tc>
        <w:tc>
          <w:tcPr>
            <w:tcW w:w="692" w:type="pct"/>
            <w:noWrap w:val="0"/>
            <w:vAlign w:val="center"/>
          </w:tcPr>
          <w:p w14:paraId="2710ECA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4500</w:t>
            </w:r>
          </w:p>
        </w:tc>
        <w:tc>
          <w:tcPr>
            <w:tcW w:w="641" w:type="pct"/>
            <w:noWrap w:val="0"/>
            <w:vAlign w:val="center"/>
          </w:tcPr>
          <w:p w14:paraId="039E690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kN</w:t>
            </w:r>
          </w:p>
        </w:tc>
        <w:tc>
          <w:tcPr>
            <w:tcW w:w="949" w:type="pct"/>
            <w:noWrap w:val="0"/>
            <w:vAlign w:val="center"/>
          </w:tcPr>
          <w:p w14:paraId="1D2F9CD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06796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61BEEC22">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水龙头</w:t>
            </w:r>
          </w:p>
        </w:tc>
        <w:tc>
          <w:tcPr>
            <w:tcW w:w="1497" w:type="pct"/>
            <w:noWrap w:val="0"/>
            <w:vAlign w:val="center"/>
          </w:tcPr>
          <w:p w14:paraId="2D838681">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SL450-5</w:t>
            </w:r>
          </w:p>
        </w:tc>
        <w:tc>
          <w:tcPr>
            <w:tcW w:w="692" w:type="pct"/>
            <w:noWrap w:val="0"/>
            <w:vAlign w:val="center"/>
          </w:tcPr>
          <w:p w14:paraId="7784105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4500</w:t>
            </w:r>
          </w:p>
        </w:tc>
        <w:tc>
          <w:tcPr>
            <w:tcW w:w="641" w:type="pct"/>
            <w:noWrap w:val="0"/>
            <w:vAlign w:val="center"/>
          </w:tcPr>
          <w:p w14:paraId="19B78C3C">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kN</w:t>
            </w:r>
          </w:p>
        </w:tc>
        <w:tc>
          <w:tcPr>
            <w:tcW w:w="949" w:type="pct"/>
            <w:noWrap w:val="0"/>
            <w:vAlign w:val="center"/>
          </w:tcPr>
          <w:p w14:paraId="464C1AF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6891D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2F95418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转盘</w:t>
            </w:r>
          </w:p>
        </w:tc>
        <w:tc>
          <w:tcPr>
            <w:tcW w:w="1497" w:type="pct"/>
            <w:noWrap w:val="0"/>
            <w:vAlign w:val="center"/>
          </w:tcPr>
          <w:p w14:paraId="2C9F9B12">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ZP375</w:t>
            </w:r>
          </w:p>
        </w:tc>
        <w:tc>
          <w:tcPr>
            <w:tcW w:w="692" w:type="pct"/>
            <w:noWrap w:val="0"/>
            <w:vAlign w:val="center"/>
          </w:tcPr>
          <w:p w14:paraId="2CDFFE5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5850</w:t>
            </w:r>
          </w:p>
        </w:tc>
        <w:tc>
          <w:tcPr>
            <w:tcW w:w="641" w:type="pct"/>
            <w:noWrap w:val="0"/>
            <w:vAlign w:val="center"/>
          </w:tcPr>
          <w:p w14:paraId="756B8F4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kN</w:t>
            </w:r>
          </w:p>
        </w:tc>
        <w:tc>
          <w:tcPr>
            <w:tcW w:w="949" w:type="pct"/>
            <w:noWrap w:val="0"/>
            <w:vAlign w:val="center"/>
          </w:tcPr>
          <w:p w14:paraId="21ECA7F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1套</w:t>
            </w:r>
          </w:p>
        </w:tc>
      </w:tr>
      <w:tr w14:paraId="60DFD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7503571">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泥浆泵</w:t>
            </w:r>
          </w:p>
        </w:tc>
        <w:tc>
          <w:tcPr>
            <w:tcW w:w="1497" w:type="pct"/>
            <w:noWrap w:val="0"/>
            <w:vAlign w:val="center"/>
          </w:tcPr>
          <w:p w14:paraId="1957EB7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3NB-1600F</w:t>
            </w:r>
          </w:p>
        </w:tc>
        <w:tc>
          <w:tcPr>
            <w:tcW w:w="692" w:type="pct"/>
            <w:noWrap w:val="0"/>
            <w:vAlign w:val="center"/>
          </w:tcPr>
          <w:p w14:paraId="049B1A6C">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1600</w:t>
            </w:r>
          </w:p>
        </w:tc>
        <w:tc>
          <w:tcPr>
            <w:tcW w:w="641" w:type="pct"/>
            <w:noWrap w:val="0"/>
            <w:vAlign w:val="center"/>
          </w:tcPr>
          <w:p w14:paraId="4EE261AA">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HP</w:t>
            </w:r>
          </w:p>
        </w:tc>
        <w:tc>
          <w:tcPr>
            <w:tcW w:w="949" w:type="pct"/>
            <w:noWrap w:val="0"/>
            <w:vAlign w:val="center"/>
          </w:tcPr>
          <w:p w14:paraId="5F71519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2台</w:t>
            </w:r>
          </w:p>
        </w:tc>
      </w:tr>
      <w:tr w14:paraId="05F05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FA98E0E">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循环罐</w:t>
            </w:r>
          </w:p>
        </w:tc>
        <w:tc>
          <w:tcPr>
            <w:tcW w:w="1497" w:type="pct"/>
            <w:noWrap w:val="0"/>
            <w:vAlign w:val="center"/>
          </w:tcPr>
          <w:p w14:paraId="7E7BA1E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92" w:type="pct"/>
            <w:noWrap w:val="0"/>
            <w:vAlign w:val="center"/>
          </w:tcPr>
          <w:p w14:paraId="287349C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60</w:t>
            </w:r>
          </w:p>
        </w:tc>
        <w:tc>
          <w:tcPr>
            <w:tcW w:w="641" w:type="pct"/>
            <w:noWrap w:val="0"/>
            <w:vAlign w:val="center"/>
          </w:tcPr>
          <w:p w14:paraId="1789582B">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w:t>
            </w:r>
            <w:r>
              <w:rPr>
                <w:rFonts w:hint="default" w:ascii="Times New Roman" w:hAnsi="Times New Roman" w:eastAsia="宋体" w:cs="Times New Roman"/>
                <w:bCs/>
                <w:color w:val="auto"/>
                <w:spacing w:val="0"/>
                <w:sz w:val="21"/>
                <w:szCs w:val="21"/>
                <w:highlight w:val="none"/>
                <w:vertAlign w:val="superscript"/>
              </w:rPr>
              <w:t>3</w:t>
            </w:r>
          </w:p>
        </w:tc>
        <w:tc>
          <w:tcPr>
            <w:tcW w:w="949" w:type="pct"/>
            <w:noWrap w:val="0"/>
            <w:vAlign w:val="center"/>
          </w:tcPr>
          <w:p w14:paraId="2E4F29D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7个</w:t>
            </w:r>
          </w:p>
        </w:tc>
      </w:tr>
      <w:tr w14:paraId="7425F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C45167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振动筛</w:t>
            </w:r>
          </w:p>
        </w:tc>
        <w:tc>
          <w:tcPr>
            <w:tcW w:w="1497" w:type="pct"/>
            <w:noWrap w:val="0"/>
            <w:vAlign w:val="center"/>
          </w:tcPr>
          <w:p w14:paraId="29AFDB2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92" w:type="pct"/>
            <w:noWrap w:val="0"/>
            <w:vAlign w:val="center"/>
          </w:tcPr>
          <w:p w14:paraId="341B9CC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41" w:type="pct"/>
            <w:noWrap w:val="0"/>
            <w:vAlign w:val="center"/>
          </w:tcPr>
          <w:p w14:paraId="7A760A9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w:t>
            </w:r>
            <w:r>
              <w:rPr>
                <w:rFonts w:hint="default" w:ascii="Times New Roman" w:hAnsi="Times New Roman" w:eastAsia="宋体" w:cs="Times New Roman"/>
                <w:bCs/>
                <w:color w:val="auto"/>
                <w:spacing w:val="0"/>
                <w:sz w:val="21"/>
                <w:szCs w:val="21"/>
                <w:highlight w:val="none"/>
                <w:vertAlign w:val="superscript"/>
              </w:rPr>
              <w:t>3</w:t>
            </w:r>
            <w:r>
              <w:rPr>
                <w:rFonts w:hint="default" w:ascii="Times New Roman" w:hAnsi="Times New Roman" w:eastAsia="宋体" w:cs="Times New Roman"/>
                <w:bCs/>
                <w:color w:val="auto"/>
                <w:spacing w:val="0"/>
                <w:sz w:val="21"/>
                <w:szCs w:val="21"/>
                <w:highlight w:val="none"/>
              </w:rPr>
              <w:t>/h</w:t>
            </w:r>
          </w:p>
        </w:tc>
        <w:tc>
          <w:tcPr>
            <w:tcW w:w="949" w:type="pct"/>
            <w:noWrap w:val="0"/>
            <w:vAlign w:val="center"/>
          </w:tcPr>
          <w:p w14:paraId="46CF702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2台</w:t>
            </w:r>
          </w:p>
        </w:tc>
      </w:tr>
      <w:tr w14:paraId="053F0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A211C2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除气器</w:t>
            </w:r>
          </w:p>
        </w:tc>
        <w:tc>
          <w:tcPr>
            <w:tcW w:w="1497" w:type="pct"/>
            <w:noWrap w:val="0"/>
            <w:vAlign w:val="center"/>
          </w:tcPr>
          <w:p w14:paraId="676CCA2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ZCQ220</w:t>
            </w:r>
          </w:p>
        </w:tc>
        <w:tc>
          <w:tcPr>
            <w:tcW w:w="692" w:type="pct"/>
            <w:noWrap w:val="0"/>
            <w:vAlign w:val="center"/>
          </w:tcPr>
          <w:p w14:paraId="15E90A5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240</w:t>
            </w:r>
          </w:p>
        </w:tc>
        <w:tc>
          <w:tcPr>
            <w:tcW w:w="641" w:type="pct"/>
            <w:noWrap w:val="0"/>
            <w:vAlign w:val="center"/>
          </w:tcPr>
          <w:p w14:paraId="61A93A0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w:t>
            </w:r>
            <w:r>
              <w:rPr>
                <w:rFonts w:hint="default" w:ascii="Times New Roman" w:hAnsi="Times New Roman" w:eastAsia="宋体" w:cs="Times New Roman"/>
                <w:bCs/>
                <w:color w:val="auto"/>
                <w:spacing w:val="0"/>
                <w:sz w:val="21"/>
                <w:szCs w:val="21"/>
                <w:highlight w:val="none"/>
                <w:vertAlign w:val="superscript"/>
              </w:rPr>
              <w:t>3</w:t>
            </w:r>
            <w:r>
              <w:rPr>
                <w:rFonts w:hint="default" w:ascii="Times New Roman" w:hAnsi="Times New Roman" w:eastAsia="宋体" w:cs="Times New Roman"/>
                <w:bCs/>
                <w:color w:val="auto"/>
                <w:spacing w:val="0"/>
                <w:sz w:val="21"/>
                <w:szCs w:val="21"/>
                <w:highlight w:val="none"/>
              </w:rPr>
              <w:t>/h</w:t>
            </w:r>
          </w:p>
        </w:tc>
        <w:tc>
          <w:tcPr>
            <w:tcW w:w="949" w:type="pct"/>
            <w:noWrap w:val="0"/>
            <w:vAlign w:val="center"/>
          </w:tcPr>
          <w:p w14:paraId="13A020DA">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1台</w:t>
            </w:r>
          </w:p>
        </w:tc>
      </w:tr>
      <w:tr w14:paraId="17688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36D1384">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钻井液清洁器</w:t>
            </w:r>
          </w:p>
        </w:tc>
        <w:tc>
          <w:tcPr>
            <w:tcW w:w="1497" w:type="pct"/>
            <w:noWrap w:val="0"/>
            <w:vAlign w:val="center"/>
          </w:tcPr>
          <w:p w14:paraId="6C01681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CS-250×3/CN100×16</w:t>
            </w:r>
          </w:p>
        </w:tc>
        <w:tc>
          <w:tcPr>
            <w:tcW w:w="692" w:type="pct"/>
            <w:noWrap w:val="0"/>
            <w:vAlign w:val="center"/>
          </w:tcPr>
          <w:p w14:paraId="1620A1AB">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250</w:t>
            </w:r>
          </w:p>
        </w:tc>
        <w:tc>
          <w:tcPr>
            <w:tcW w:w="641" w:type="pct"/>
            <w:noWrap w:val="0"/>
            <w:vAlign w:val="center"/>
          </w:tcPr>
          <w:p w14:paraId="42F78B2E">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w:t>
            </w:r>
            <w:r>
              <w:rPr>
                <w:rFonts w:hint="default" w:ascii="Times New Roman" w:hAnsi="Times New Roman" w:eastAsia="宋体" w:cs="Times New Roman"/>
                <w:bCs/>
                <w:color w:val="auto"/>
                <w:spacing w:val="0"/>
                <w:sz w:val="21"/>
                <w:szCs w:val="21"/>
                <w:highlight w:val="none"/>
                <w:vertAlign w:val="superscript"/>
              </w:rPr>
              <w:t>3</w:t>
            </w:r>
            <w:r>
              <w:rPr>
                <w:rFonts w:hint="default" w:ascii="Times New Roman" w:hAnsi="Times New Roman" w:eastAsia="宋体" w:cs="Times New Roman"/>
                <w:bCs/>
                <w:color w:val="auto"/>
                <w:spacing w:val="0"/>
                <w:sz w:val="21"/>
                <w:szCs w:val="21"/>
                <w:highlight w:val="none"/>
              </w:rPr>
              <w:t>/h</w:t>
            </w:r>
          </w:p>
        </w:tc>
        <w:tc>
          <w:tcPr>
            <w:tcW w:w="949" w:type="pct"/>
            <w:noWrap w:val="0"/>
            <w:vAlign w:val="center"/>
          </w:tcPr>
          <w:p w14:paraId="1E06D103">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1台</w:t>
            </w:r>
          </w:p>
        </w:tc>
      </w:tr>
      <w:tr w14:paraId="10B1A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B7F137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离心机</w:t>
            </w:r>
          </w:p>
        </w:tc>
        <w:tc>
          <w:tcPr>
            <w:tcW w:w="1497" w:type="pct"/>
            <w:noWrap w:val="0"/>
            <w:vAlign w:val="center"/>
          </w:tcPr>
          <w:p w14:paraId="0E56D53B">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GW458-842/GL255-1250</w:t>
            </w:r>
          </w:p>
        </w:tc>
        <w:tc>
          <w:tcPr>
            <w:tcW w:w="692" w:type="pct"/>
            <w:noWrap w:val="0"/>
            <w:vAlign w:val="center"/>
          </w:tcPr>
          <w:p w14:paraId="6C57773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50</w:t>
            </w:r>
          </w:p>
        </w:tc>
        <w:tc>
          <w:tcPr>
            <w:tcW w:w="641" w:type="pct"/>
            <w:noWrap w:val="0"/>
            <w:vAlign w:val="center"/>
          </w:tcPr>
          <w:p w14:paraId="1CA2EE7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w:t>
            </w:r>
            <w:r>
              <w:rPr>
                <w:rFonts w:hint="default" w:ascii="Times New Roman" w:hAnsi="Times New Roman" w:eastAsia="宋体" w:cs="Times New Roman"/>
                <w:bCs/>
                <w:color w:val="auto"/>
                <w:spacing w:val="0"/>
                <w:sz w:val="21"/>
                <w:szCs w:val="21"/>
                <w:highlight w:val="none"/>
                <w:vertAlign w:val="superscript"/>
              </w:rPr>
              <w:t>3</w:t>
            </w:r>
            <w:r>
              <w:rPr>
                <w:rFonts w:hint="default" w:ascii="Times New Roman" w:hAnsi="Times New Roman" w:eastAsia="宋体" w:cs="Times New Roman"/>
                <w:bCs/>
                <w:color w:val="auto"/>
                <w:spacing w:val="0"/>
                <w:sz w:val="21"/>
                <w:szCs w:val="21"/>
                <w:highlight w:val="none"/>
              </w:rPr>
              <w:t>/h</w:t>
            </w:r>
          </w:p>
        </w:tc>
        <w:tc>
          <w:tcPr>
            <w:tcW w:w="949" w:type="pct"/>
            <w:noWrap w:val="0"/>
            <w:vAlign w:val="center"/>
          </w:tcPr>
          <w:p w14:paraId="6B7FB5A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1台</w:t>
            </w:r>
          </w:p>
        </w:tc>
      </w:tr>
      <w:tr w14:paraId="67B62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11F6CDC4">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液气分离器</w:t>
            </w:r>
          </w:p>
        </w:tc>
        <w:tc>
          <w:tcPr>
            <w:tcW w:w="1497" w:type="pct"/>
            <w:noWrap w:val="0"/>
            <w:vAlign w:val="center"/>
          </w:tcPr>
          <w:p w14:paraId="0AC8281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NQF1200/0.7</w:t>
            </w:r>
          </w:p>
        </w:tc>
        <w:tc>
          <w:tcPr>
            <w:tcW w:w="692" w:type="pct"/>
            <w:noWrap w:val="0"/>
            <w:vAlign w:val="center"/>
          </w:tcPr>
          <w:p w14:paraId="41CA114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5000</w:t>
            </w:r>
          </w:p>
        </w:tc>
        <w:tc>
          <w:tcPr>
            <w:tcW w:w="641" w:type="pct"/>
            <w:noWrap w:val="0"/>
            <w:vAlign w:val="center"/>
          </w:tcPr>
          <w:p w14:paraId="6ED2F6EA">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w:t>
            </w:r>
            <w:r>
              <w:rPr>
                <w:rFonts w:hint="default" w:ascii="Times New Roman" w:hAnsi="Times New Roman" w:eastAsia="宋体" w:cs="Times New Roman"/>
                <w:bCs/>
                <w:color w:val="auto"/>
                <w:spacing w:val="0"/>
                <w:sz w:val="21"/>
                <w:szCs w:val="21"/>
                <w:highlight w:val="none"/>
                <w:vertAlign w:val="superscript"/>
              </w:rPr>
              <w:t>3</w:t>
            </w:r>
            <w:r>
              <w:rPr>
                <w:rFonts w:hint="default" w:ascii="Times New Roman" w:hAnsi="Times New Roman" w:eastAsia="宋体" w:cs="Times New Roman"/>
                <w:bCs/>
                <w:color w:val="auto"/>
                <w:spacing w:val="0"/>
                <w:sz w:val="21"/>
                <w:szCs w:val="21"/>
                <w:highlight w:val="none"/>
              </w:rPr>
              <w:t>/h</w:t>
            </w:r>
          </w:p>
        </w:tc>
        <w:tc>
          <w:tcPr>
            <w:tcW w:w="949" w:type="pct"/>
            <w:noWrap w:val="0"/>
            <w:vAlign w:val="center"/>
          </w:tcPr>
          <w:p w14:paraId="6C8196A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1台</w:t>
            </w:r>
          </w:p>
        </w:tc>
      </w:tr>
      <w:tr w14:paraId="304DC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4F9B31A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钻台紧急滑道</w:t>
            </w:r>
          </w:p>
        </w:tc>
        <w:tc>
          <w:tcPr>
            <w:tcW w:w="1497" w:type="pct"/>
            <w:noWrap w:val="0"/>
            <w:vAlign w:val="center"/>
          </w:tcPr>
          <w:p w14:paraId="43DD797C">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92" w:type="pct"/>
            <w:noWrap w:val="0"/>
            <w:vAlign w:val="center"/>
          </w:tcPr>
          <w:p w14:paraId="6C8891F9">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41" w:type="pct"/>
            <w:noWrap w:val="0"/>
            <w:vAlign w:val="center"/>
          </w:tcPr>
          <w:p w14:paraId="533B364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949" w:type="pct"/>
            <w:noWrap w:val="0"/>
            <w:vAlign w:val="center"/>
          </w:tcPr>
          <w:p w14:paraId="128EBBD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按标准配套</w:t>
            </w:r>
          </w:p>
        </w:tc>
      </w:tr>
      <w:tr w14:paraId="4965F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51645F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环形防喷器</w:t>
            </w:r>
          </w:p>
        </w:tc>
        <w:tc>
          <w:tcPr>
            <w:tcW w:w="1497" w:type="pct"/>
            <w:noWrap w:val="0"/>
            <w:vAlign w:val="center"/>
          </w:tcPr>
          <w:p w14:paraId="5EF155B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FH35-35</w:t>
            </w:r>
          </w:p>
        </w:tc>
        <w:tc>
          <w:tcPr>
            <w:tcW w:w="692" w:type="pct"/>
            <w:noWrap w:val="0"/>
            <w:vAlign w:val="center"/>
          </w:tcPr>
          <w:p w14:paraId="4422357A">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35</w:t>
            </w:r>
          </w:p>
        </w:tc>
        <w:tc>
          <w:tcPr>
            <w:tcW w:w="641" w:type="pct"/>
            <w:noWrap w:val="0"/>
            <w:vAlign w:val="center"/>
          </w:tcPr>
          <w:p w14:paraId="085543C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MPa</w:t>
            </w:r>
          </w:p>
        </w:tc>
        <w:tc>
          <w:tcPr>
            <w:tcW w:w="949" w:type="pct"/>
            <w:noWrap w:val="0"/>
            <w:vAlign w:val="center"/>
          </w:tcPr>
          <w:p w14:paraId="11278C1A">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w:t>
            </w:r>
          </w:p>
        </w:tc>
      </w:tr>
      <w:tr w14:paraId="2FE09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41473BA5">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单闸板防喷器</w:t>
            </w:r>
          </w:p>
        </w:tc>
        <w:tc>
          <w:tcPr>
            <w:tcW w:w="1497" w:type="pct"/>
            <w:noWrap w:val="0"/>
            <w:vAlign w:val="center"/>
          </w:tcPr>
          <w:p w14:paraId="5A85AA2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FZ35-70</w:t>
            </w:r>
          </w:p>
        </w:tc>
        <w:tc>
          <w:tcPr>
            <w:tcW w:w="692" w:type="pct"/>
            <w:noWrap w:val="0"/>
            <w:vAlign w:val="center"/>
          </w:tcPr>
          <w:p w14:paraId="3C38AC1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70</w:t>
            </w:r>
          </w:p>
        </w:tc>
        <w:tc>
          <w:tcPr>
            <w:tcW w:w="641" w:type="pct"/>
            <w:noWrap w:val="0"/>
            <w:vAlign w:val="center"/>
          </w:tcPr>
          <w:p w14:paraId="3786FF64">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MPa</w:t>
            </w:r>
          </w:p>
        </w:tc>
        <w:tc>
          <w:tcPr>
            <w:tcW w:w="949" w:type="pct"/>
            <w:noWrap w:val="0"/>
            <w:vAlign w:val="center"/>
          </w:tcPr>
          <w:p w14:paraId="04FBFE1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w:t>
            </w:r>
          </w:p>
        </w:tc>
      </w:tr>
      <w:tr w14:paraId="33F50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A769E2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双闸板防喷器</w:t>
            </w:r>
          </w:p>
        </w:tc>
        <w:tc>
          <w:tcPr>
            <w:tcW w:w="1497" w:type="pct"/>
            <w:noWrap w:val="0"/>
            <w:vAlign w:val="center"/>
          </w:tcPr>
          <w:p w14:paraId="0EB8095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2FZ35-70</w:t>
            </w:r>
          </w:p>
        </w:tc>
        <w:tc>
          <w:tcPr>
            <w:tcW w:w="692" w:type="pct"/>
            <w:noWrap w:val="0"/>
            <w:vAlign w:val="center"/>
          </w:tcPr>
          <w:p w14:paraId="0783C034">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70</w:t>
            </w:r>
          </w:p>
        </w:tc>
        <w:tc>
          <w:tcPr>
            <w:tcW w:w="641" w:type="pct"/>
            <w:noWrap w:val="0"/>
            <w:vAlign w:val="center"/>
          </w:tcPr>
          <w:p w14:paraId="2B1E730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MPa</w:t>
            </w:r>
          </w:p>
        </w:tc>
        <w:tc>
          <w:tcPr>
            <w:tcW w:w="949" w:type="pct"/>
            <w:noWrap w:val="0"/>
            <w:vAlign w:val="center"/>
          </w:tcPr>
          <w:p w14:paraId="4AF82FF3">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2</w:t>
            </w:r>
          </w:p>
        </w:tc>
      </w:tr>
      <w:tr w14:paraId="1DA49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1431A9B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压井管汇</w:t>
            </w:r>
          </w:p>
        </w:tc>
        <w:tc>
          <w:tcPr>
            <w:tcW w:w="1497" w:type="pct"/>
            <w:noWrap w:val="0"/>
            <w:vAlign w:val="center"/>
          </w:tcPr>
          <w:p w14:paraId="11444ED7">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YG78/103-70</w:t>
            </w:r>
          </w:p>
        </w:tc>
        <w:tc>
          <w:tcPr>
            <w:tcW w:w="692" w:type="pct"/>
            <w:noWrap w:val="0"/>
            <w:vAlign w:val="center"/>
          </w:tcPr>
          <w:p w14:paraId="4E5045F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70</w:t>
            </w:r>
          </w:p>
        </w:tc>
        <w:tc>
          <w:tcPr>
            <w:tcW w:w="641" w:type="pct"/>
            <w:noWrap w:val="0"/>
            <w:vAlign w:val="center"/>
          </w:tcPr>
          <w:p w14:paraId="0E64EE5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MPa</w:t>
            </w:r>
          </w:p>
        </w:tc>
        <w:tc>
          <w:tcPr>
            <w:tcW w:w="949" w:type="pct"/>
            <w:noWrap w:val="0"/>
            <w:vAlign w:val="center"/>
          </w:tcPr>
          <w:p w14:paraId="2A61E354">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w:t>
            </w:r>
          </w:p>
        </w:tc>
      </w:tr>
      <w:tr w14:paraId="315F9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401A081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节流管汇</w:t>
            </w:r>
          </w:p>
        </w:tc>
        <w:tc>
          <w:tcPr>
            <w:tcW w:w="1497" w:type="pct"/>
            <w:noWrap w:val="0"/>
            <w:vAlign w:val="center"/>
          </w:tcPr>
          <w:p w14:paraId="5E1E1F41">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JG78/103-70</w:t>
            </w:r>
          </w:p>
        </w:tc>
        <w:tc>
          <w:tcPr>
            <w:tcW w:w="692" w:type="pct"/>
            <w:noWrap w:val="0"/>
            <w:vAlign w:val="center"/>
          </w:tcPr>
          <w:p w14:paraId="0006931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70</w:t>
            </w:r>
          </w:p>
        </w:tc>
        <w:tc>
          <w:tcPr>
            <w:tcW w:w="641" w:type="pct"/>
            <w:noWrap w:val="0"/>
            <w:vAlign w:val="center"/>
          </w:tcPr>
          <w:p w14:paraId="3A67D3A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MPa</w:t>
            </w:r>
          </w:p>
        </w:tc>
        <w:tc>
          <w:tcPr>
            <w:tcW w:w="949" w:type="pct"/>
            <w:noWrap w:val="0"/>
            <w:vAlign w:val="center"/>
          </w:tcPr>
          <w:p w14:paraId="6FF0C5B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w:t>
            </w:r>
          </w:p>
        </w:tc>
      </w:tr>
      <w:tr w14:paraId="07168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88AE5CC">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运输车辆</w:t>
            </w:r>
          </w:p>
        </w:tc>
        <w:tc>
          <w:tcPr>
            <w:tcW w:w="1497" w:type="pct"/>
            <w:noWrap w:val="0"/>
            <w:vAlign w:val="center"/>
          </w:tcPr>
          <w:p w14:paraId="30667756">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92" w:type="pct"/>
            <w:noWrap w:val="0"/>
            <w:vAlign w:val="center"/>
          </w:tcPr>
          <w:p w14:paraId="7EB05E2C">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41" w:type="pct"/>
            <w:noWrap w:val="0"/>
            <w:vAlign w:val="center"/>
          </w:tcPr>
          <w:p w14:paraId="647D27A3">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辆</w:t>
            </w:r>
          </w:p>
        </w:tc>
        <w:tc>
          <w:tcPr>
            <w:tcW w:w="949" w:type="pct"/>
            <w:noWrap w:val="0"/>
            <w:vAlign w:val="center"/>
          </w:tcPr>
          <w:p w14:paraId="4CD7791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10</w:t>
            </w:r>
          </w:p>
        </w:tc>
      </w:tr>
      <w:tr w14:paraId="411D4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1EC0630">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装载机</w:t>
            </w:r>
          </w:p>
        </w:tc>
        <w:tc>
          <w:tcPr>
            <w:tcW w:w="1497" w:type="pct"/>
            <w:noWrap w:val="0"/>
            <w:vAlign w:val="center"/>
          </w:tcPr>
          <w:p w14:paraId="500591B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92" w:type="pct"/>
            <w:noWrap w:val="0"/>
            <w:vAlign w:val="center"/>
          </w:tcPr>
          <w:p w14:paraId="2ECC5FFD">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w:t>
            </w:r>
          </w:p>
        </w:tc>
        <w:tc>
          <w:tcPr>
            <w:tcW w:w="641" w:type="pct"/>
            <w:noWrap w:val="0"/>
            <w:vAlign w:val="center"/>
          </w:tcPr>
          <w:p w14:paraId="45E5E8C8">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辆</w:t>
            </w:r>
          </w:p>
        </w:tc>
        <w:tc>
          <w:tcPr>
            <w:tcW w:w="949" w:type="pct"/>
            <w:noWrap w:val="0"/>
            <w:vAlign w:val="center"/>
          </w:tcPr>
          <w:p w14:paraId="38CECE0F">
            <w:pPr>
              <w:adjustRightInd w:val="0"/>
              <w:spacing w:line="0" w:lineRule="atLeast"/>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2</w:t>
            </w:r>
          </w:p>
        </w:tc>
      </w:tr>
    </w:tbl>
    <w:p w14:paraId="4BADD1B5">
      <w:pPr>
        <w:pStyle w:val="13"/>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240" w:lineRule="auto"/>
        <w:jc w:val="center"/>
        <w:rPr>
          <w:rFonts w:hint="default" w:ascii="Times New Roman" w:hAnsi="Times New Roman" w:eastAsia="黑体" w:cs="Times New Roman"/>
          <w:snapToGrid w:val="0"/>
          <w:color w:val="auto"/>
          <w:sz w:val="21"/>
          <w:highlight w:val="none"/>
        </w:rPr>
      </w:pPr>
    </w:p>
    <w:p w14:paraId="1C231A8D">
      <w:pPr>
        <w:pStyle w:val="13"/>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6</w:t>
      </w:r>
      <w:r>
        <w:rPr>
          <w:rFonts w:hint="default" w:ascii="Times New Roman" w:hAnsi="Times New Roman" w:eastAsia="宋体" w:cs="Times New Roman"/>
          <w:color w:val="auto"/>
          <w:sz w:val="24"/>
          <w:szCs w:val="24"/>
          <w:highlight w:val="none"/>
          <w:lang w:val="en-US" w:eastAsia="zh-CN" w:bidi="ar-SA"/>
        </w:rPr>
        <w:t>）原辅材料</w:t>
      </w:r>
    </w:p>
    <w:p w14:paraId="12165FF8">
      <w:pPr>
        <w:pStyle w:val="1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钻井工程原辅材料消耗主要为钻井液调配、钻井、固井等工艺消耗的水、水泥及防塌润滑剂等，钻井期用电通过附近电网引入。各材料均为袋装，由汽车拉运进场，堆存于场内原辅材料存放区内。由于涉及具体商业机密，本次仅给出钻井液主要成分材料，原材料消耗情况见表3.3-</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w:t>
      </w:r>
    </w:p>
    <w:p w14:paraId="74CF156F">
      <w:pPr>
        <w:pStyle w:val="13"/>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240" w:lineRule="auto"/>
        <w:jc w:val="center"/>
        <w:rPr>
          <w:rFonts w:hint="default" w:ascii="Times New Roman" w:hAnsi="Times New Roman" w:eastAsia="黑体" w:cs="Times New Roman"/>
          <w:snapToGrid w:val="0"/>
          <w:color w:val="auto"/>
          <w:sz w:val="21"/>
          <w:highlight w:val="none"/>
        </w:rPr>
      </w:pPr>
      <w:r>
        <w:rPr>
          <w:rFonts w:hint="default" w:ascii="Times New Roman" w:hAnsi="Times New Roman" w:eastAsia="黑体" w:cs="Times New Roman"/>
          <w:i w:val="0"/>
          <w:iCs w:val="0"/>
          <w:color w:val="auto"/>
          <w:kern w:val="0"/>
          <w:sz w:val="21"/>
          <w:szCs w:val="21"/>
          <w:highlight w:val="none"/>
          <w:u w:val="none"/>
          <w:lang w:val="en-US" w:eastAsia="zh-CN" w:bidi="ar"/>
        </w:rPr>
        <w:t>表3.3-</w:t>
      </w:r>
      <w:r>
        <w:rPr>
          <w:rFonts w:hint="eastAsia" w:eastAsia="黑体" w:cs="Times New Roman"/>
          <w:i w:val="0"/>
          <w:iCs w:val="0"/>
          <w:color w:val="auto"/>
          <w:kern w:val="0"/>
          <w:sz w:val="21"/>
          <w:szCs w:val="21"/>
          <w:highlight w:val="none"/>
          <w:u w:val="none"/>
          <w:lang w:val="en-US" w:eastAsia="zh-CN" w:bidi="ar"/>
        </w:rPr>
        <w:t xml:space="preserve">8  </w:t>
      </w:r>
      <w:r>
        <w:rPr>
          <w:rFonts w:hint="default" w:ascii="Times New Roman" w:hAnsi="Times New Roman" w:eastAsia="黑体" w:cs="Times New Roman"/>
          <w:snapToGrid w:val="0"/>
          <w:color w:val="auto"/>
          <w:sz w:val="21"/>
          <w:highlight w:val="none"/>
        </w:rPr>
        <w:t>井场工程原材料消耗一览表</w:t>
      </w:r>
    </w:p>
    <w:tbl>
      <w:tblPr>
        <w:tblStyle w:val="35"/>
        <w:tblW w:w="50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06"/>
        <w:gridCol w:w="1276"/>
        <w:gridCol w:w="434"/>
        <w:gridCol w:w="526"/>
        <w:gridCol w:w="4746"/>
        <w:gridCol w:w="1180"/>
      </w:tblGrid>
      <w:tr w14:paraId="6F4FC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dxa"/>
            <w:noWrap w:val="0"/>
            <w:vAlign w:val="center"/>
          </w:tcPr>
          <w:p w14:paraId="3B460BBE">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序号</w:t>
            </w:r>
          </w:p>
        </w:tc>
        <w:tc>
          <w:tcPr>
            <w:tcW w:w="1276" w:type="dxa"/>
            <w:noWrap w:val="0"/>
            <w:vAlign w:val="center"/>
          </w:tcPr>
          <w:p w14:paraId="065E3579">
            <w:pPr>
              <w:pStyle w:val="94"/>
              <w:widowControl w:val="0"/>
              <w:adjustRightInd/>
              <w:spacing w:line="0" w:lineRule="atLeast"/>
              <w:rPr>
                <w:rFonts w:hint="eastAsia" w:hAnsi="宋体"/>
                <w:color w:val="auto"/>
                <w:spacing w:val="-10"/>
                <w:sz w:val="23"/>
                <w:szCs w:val="23"/>
                <w:highlight w:val="none"/>
              </w:rPr>
            </w:pPr>
            <w:r>
              <w:rPr>
                <w:rFonts w:hint="eastAsia" w:hAnsi="宋体"/>
                <w:bCs w:val="0"/>
                <w:color w:val="auto"/>
                <w:spacing w:val="-10"/>
                <w:sz w:val="23"/>
                <w:szCs w:val="23"/>
                <w:highlight w:val="none"/>
              </w:rPr>
              <w:t>材料名称</w:t>
            </w:r>
          </w:p>
        </w:tc>
        <w:tc>
          <w:tcPr>
            <w:tcW w:w="434" w:type="dxa"/>
            <w:noWrap w:val="0"/>
            <w:vAlign w:val="center"/>
          </w:tcPr>
          <w:p w14:paraId="72C44B29">
            <w:pPr>
              <w:pStyle w:val="94"/>
              <w:widowControl w:val="0"/>
              <w:adjustRightInd/>
              <w:spacing w:line="0" w:lineRule="atLeast"/>
              <w:rPr>
                <w:rFonts w:hint="eastAsia" w:hAnsi="宋体"/>
                <w:color w:val="auto"/>
                <w:spacing w:val="-10"/>
                <w:sz w:val="23"/>
                <w:szCs w:val="23"/>
                <w:highlight w:val="none"/>
              </w:rPr>
            </w:pPr>
            <w:r>
              <w:rPr>
                <w:rFonts w:hint="eastAsia" w:hAnsi="宋体"/>
                <w:bCs w:val="0"/>
                <w:color w:val="auto"/>
                <w:spacing w:val="-10"/>
                <w:sz w:val="23"/>
                <w:szCs w:val="23"/>
                <w:highlight w:val="none"/>
              </w:rPr>
              <w:t>单位</w:t>
            </w:r>
          </w:p>
        </w:tc>
        <w:tc>
          <w:tcPr>
            <w:tcW w:w="526" w:type="dxa"/>
            <w:noWrap w:val="0"/>
            <w:vAlign w:val="center"/>
          </w:tcPr>
          <w:p w14:paraId="536B4FBD">
            <w:pPr>
              <w:pStyle w:val="94"/>
              <w:widowControl w:val="0"/>
              <w:adjustRightInd/>
              <w:spacing w:line="0" w:lineRule="atLeast"/>
              <w:rPr>
                <w:rFonts w:hint="eastAsia" w:hAnsi="宋体"/>
                <w:color w:val="auto"/>
                <w:spacing w:val="-10"/>
                <w:sz w:val="23"/>
                <w:szCs w:val="23"/>
                <w:highlight w:val="none"/>
              </w:rPr>
            </w:pPr>
            <w:r>
              <w:rPr>
                <w:rFonts w:hint="eastAsia" w:hAnsi="宋体"/>
                <w:bCs w:val="0"/>
                <w:color w:val="auto"/>
                <w:spacing w:val="-10"/>
                <w:sz w:val="23"/>
                <w:szCs w:val="23"/>
                <w:highlight w:val="none"/>
              </w:rPr>
              <w:t>数量</w:t>
            </w:r>
          </w:p>
        </w:tc>
        <w:tc>
          <w:tcPr>
            <w:tcW w:w="4746" w:type="dxa"/>
            <w:noWrap w:val="0"/>
            <w:vAlign w:val="center"/>
          </w:tcPr>
          <w:p w14:paraId="46A5A7BD">
            <w:pPr>
              <w:pStyle w:val="94"/>
              <w:widowControl w:val="0"/>
              <w:spacing w:line="0" w:lineRule="atLeast"/>
              <w:rPr>
                <w:rFonts w:hint="eastAsia" w:hAnsi="宋体"/>
                <w:color w:val="auto"/>
                <w:spacing w:val="-10"/>
                <w:sz w:val="23"/>
                <w:szCs w:val="23"/>
                <w:highlight w:val="none"/>
              </w:rPr>
            </w:pPr>
            <w:r>
              <w:rPr>
                <w:rFonts w:hint="eastAsia" w:hAnsi="宋体"/>
                <w:bCs w:val="0"/>
                <w:color w:val="auto"/>
                <w:spacing w:val="-10"/>
                <w:kern w:val="21"/>
                <w:sz w:val="23"/>
                <w:szCs w:val="23"/>
                <w:highlight w:val="none"/>
              </w:rPr>
              <w:t>理化特性</w:t>
            </w:r>
          </w:p>
        </w:tc>
        <w:tc>
          <w:tcPr>
            <w:tcW w:w="1180" w:type="dxa"/>
            <w:noWrap w:val="0"/>
            <w:vAlign w:val="center"/>
          </w:tcPr>
          <w:p w14:paraId="4AC93536">
            <w:pPr>
              <w:pStyle w:val="94"/>
              <w:widowControl w:val="0"/>
              <w:spacing w:line="0" w:lineRule="atLeast"/>
              <w:rPr>
                <w:rFonts w:hint="eastAsia" w:hAnsi="宋体"/>
                <w:color w:val="auto"/>
                <w:spacing w:val="-10"/>
                <w:sz w:val="23"/>
                <w:szCs w:val="23"/>
                <w:highlight w:val="none"/>
              </w:rPr>
            </w:pPr>
            <w:r>
              <w:rPr>
                <w:rFonts w:hint="eastAsia" w:hAnsi="宋体"/>
                <w:bCs w:val="0"/>
                <w:color w:val="auto"/>
                <w:spacing w:val="-10"/>
                <w:kern w:val="21"/>
                <w:sz w:val="23"/>
                <w:szCs w:val="23"/>
                <w:highlight w:val="none"/>
              </w:rPr>
              <w:t>用途</w:t>
            </w:r>
          </w:p>
        </w:tc>
      </w:tr>
      <w:tr w14:paraId="50686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dxa"/>
            <w:noWrap w:val="0"/>
            <w:vAlign w:val="center"/>
          </w:tcPr>
          <w:p w14:paraId="0A8C59AF">
            <w:pPr>
              <w:pStyle w:val="94"/>
              <w:widowControl w:val="0"/>
              <w:adjustRightInd/>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1</w:t>
            </w:r>
          </w:p>
        </w:tc>
        <w:tc>
          <w:tcPr>
            <w:tcW w:w="1276" w:type="dxa"/>
            <w:noWrap w:val="0"/>
            <w:vAlign w:val="center"/>
          </w:tcPr>
          <w:p w14:paraId="7DC2C78A">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水</w:t>
            </w:r>
          </w:p>
        </w:tc>
        <w:tc>
          <w:tcPr>
            <w:tcW w:w="434" w:type="dxa"/>
            <w:noWrap w:val="0"/>
            <w:vAlign w:val="center"/>
          </w:tcPr>
          <w:p w14:paraId="6C44E5B7">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m</w:t>
            </w:r>
            <w:r>
              <w:rPr>
                <w:rFonts w:hint="eastAsia" w:hAnsi="宋体"/>
                <w:color w:val="auto"/>
                <w:spacing w:val="-10"/>
                <w:sz w:val="23"/>
                <w:szCs w:val="23"/>
                <w:highlight w:val="none"/>
                <w:vertAlign w:val="superscript"/>
              </w:rPr>
              <w:t>3</w:t>
            </w:r>
          </w:p>
        </w:tc>
        <w:tc>
          <w:tcPr>
            <w:tcW w:w="526" w:type="dxa"/>
            <w:noWrap w:val="0"/>
            <w:vAlign w:val="center"/>
          </w:tcPr>
          <w:p w14:paraId="3DC777C1">
            <w:pPr>
              <w:spacing w:line="0" w:lineRule="atLeast"/>
              <w:jc w:val="center"/>
              <w:textAlignment w:val="center"/>
              <w:rPr>
                <w:rFonts w:hAnsi="宋体"/>
                <w:color w:val="auto"/>
                <w:spacing w:val="-10"/>
                <w:sz w:val="23"/>
                <w:szCs w:val="23"/>
                <w:highlight w:val="none"/>
              </w:rPr>
            </w:pPr>
            <w:r>
              <w:rPr>
                <w:rFonts w:hint="eastAsia" w:hAnsi="宋体"/>
                <w:color w:val="auto"/>
                <w:spacing w:val="-10"/>
                <w:sz w:val="23"/>
                <w:szCs w:val="23"/>
                <w:highlight w:val="none"/>
              </w:rPr>
              <w:t>854</w:t>
            </w:r>
          </w:p>
        </w:tc>
        <w:tc>
          <w:tcPr>
            <w:tcW w:w="4746" w:type="dxa"/>
            <w:noWrap w:val="0"/>
            <w:vAlign w:val="center"/>
          </w:tcPr>
          <w:p w14:paraId="01E54271">
            <w:pPr>
              <w:pStyle w:val="94"/>
              <w:widowControl w:val="0"/>
              <w:spacing w:line="0" w:lineRule="atLeast"/>
              <w:rPr>
                <w:rFonts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w:t>
            </w:r>
          </w:p>
        </w:tc>
        <w:tc>
          <w:tcPr>
            <w:tcW w:w="1180" w:type="dxa"/>
            <w:noWrap w:val="0"/>
            <w:vAlign w:val="center"/>
          </w:tcPr>
          <w:p w14:paraId="5F2252EF">
            <w:pPr>
              <w:pStyle w:val="94"/>
              <w:widowControl w:val="0"/>
              <w:spacing w:line="0" w:lineRule="atLeast"/>
              <w:rPr>
                <w:rFonts w:hint="eastAsia" w:hAnsi="宋体"/>
                <w:color w:val="auto"/>
                <w:spacing w:val="-10"/>
                <w:kern w:val="21"/>
                <w:sz w:val="23"/>
                <w:szCs w:val="23"/>
                <w:highlight w:val="none"/>
              </w:rPr>
            </w:pPr>
            <w:r>
              <w:rPr>
                <w:rFonts w:hint="eastAsia" w:hAnsi="宋体"/>
                <w:color w:val="auto"/>
                <w:spacing w:val="-10"/>
                <w:kern w:val="21"/>
                <w:sz w:val="23"/>
                <w:szCs w:val="23"/>
                <w:highlight w:val="none"/>
              </w:rPr>
              <w:t>配制泥浆</w:t>
            </w:r>
          </w:p>
        </w:tc>
      </w:tr>
      <w:tr w14:paraId="7A5E9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35" w:hRule="atLeast"/>
          <w:jc w:val="center"/>
        </w:trPr>
        <w:tc>
          <w:tcPr>
            <w:tcW w:w="406" w:type="dxa"/>
            <w:noWrap w:val="0"/>
            <w:vAlign w:val="center"/>
          </w:tcPr>
          <w:p w14:paraId="618B8A1D">
            <w:pPr>
              <w:pStyle w:val="94"/>
              <w:widowControl w:val="0"/>
              <w:adjustRightInd/>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2</w:t>
            </w:r>
          </w:p>
        </w:tc>
        <w:tc>
          <w:tcPr>
            <w:tcW w:w="1276" w:type="dxa"/>
            <w:noWrap w:val="0"/>
            <w:vAlign w:val="center"/>
          </w:tcPr>
          <w:p w14:paraId="04B32D66">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水泥+硅粉</w:t>
            </w:r>
          </w:p>
        </w:tc>
        <w:tc>
          <w:tcPr>
            <w:tcW w:w="434" w:type="dxa"/>
            <w:noWrap w:val="0"/>
            <w:vAlign w:val="center"/>
          </w:tcPr>
          <w:p w14:paraId="63732C59">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t</w:t>
            </w:r>
          </w:p>
        </w:tc>
        <w:tc>
          <w:tcPr>
            <w:tcW w:w="526" w:type="dxa"/>
            <w:noWrap w:val="0"/>
            <w:vAlign w:val="center"/>
          </w:tcPr>
          <w:p w14:paraId="5A4530D5">
            <w:pPr>
              <w:spacing w:line="0" w:lineRule="atLeast"/>
              <w:jc w:val="center"/>
              <w:textAlignment w:val="center"/>
              <w:rPr>
                <w:rFonts w:hAnsi="宋体"/>
                <w:color w:val="auto"/>
                <w:spacing w:val="-10"/>
                <w:sz w:val="23"/>
                <w:szCs w:val="23"/>
                <w:highlight w:val="none"/>
              </w:rPr>
            </w:pPr>
            <w:r>
              <w:rPr>
                <w:rFonts w:hint="eastAsia" w:hAnsi="宋体" w:cs="宋体"/>
                <w:color w:val="auto"/>
                <w:spacing w:val="-10"/>
                <w:kern w:val="0"/>
                <w:sz w:val="23"/>
                <w:szCs w:val="23"/>
                <w:highlight w:val="none"/>
                <w:lang w:bidi="ar"/>
              </w:rPr>
              <w:t>689</w:t>
            </w:r>
          </w:p>
        </w:tc>
        <w:tc>
          <w:tcPr>
            <w:tcW w:w="4746" w:type="dxa"/>
            <w:noWrap w:val="0"/>
            <w:vAlign w:val="center"/>
          </w:tcPr>
          <w:p w14:paraId="12ADF7F0">
            <w:pPr>
              <w:pStyle w:val="32"/>
              <w:widowControl w:val="0"/>
              <w:adjustRightInd w:val="0"/>
              <w:spacing w:before="0" w:beforeAutospacing="0" w:after="0" w:afterAutospacing="0" w:line="0" w:lineRule="atLeast"/>
              <w:rPr>
                <w:rFonts w:hint="eastAsia" w:cs="Times New Roman"/>
                <w:color w:val="auto"/>
                <w:spacing w:val="-10"/>
                <w:sz w:val="23"/>
                <w:szCs w:val="23"/>
                <w:highlight w:val="none"/>
              </w:rPr>
            </w:pPr>
            <w:r>
              <w:rPr>
                <w:rFonts w:hint="eastAsia"/>
                <w:color w:val="auto"/>
                <w:spacing w:val="-10"/>
                <w:kern w:val="21"/>
                <w:sz w:val="23"/>
                <w:szCs w:val="23"/>
                <w:highlight w:val="none"/>
                <w:lang w:bidi="ar"/>
              </w:rPr>
              <w:t>硅石提炼硅铁后的排放物，为粉状物料，外观颜色为灰绿色，硅粉成分相对稳定，烧失量小，属纯度较高的硅质物料；水泥的主要原料为石灰或</w:t>
            </w:r>
            <w:r>
              <w:rPr>
                <w:rFonts w:hint="eastAsia"/>
                <w:color w:val="auto"/>
                <w:spacing w:val="-10"/>
                <w:kern w:val="21"/>
                <w:sz w:val="23"/>
                <w:szCs w:val="23"/>
                <w:highlight w:val="none"/>
                <w:lang w:bidi="ar"/>
              </w:rPr>
              <w:fldChar w:fldCharType="begin"/>
            </w:r>
            <w:r>
              <w:rPr>
                <w:rFonts w:hint="eastAsia"/>
                <w:color w:val="auto"/>
                <w:spacing w:val="-10"/>
                <w:kern w:val="21"/>
                <w:sz w:val="23"/>
                <w:szCs w:val="23"/>
                <w:highlight w:val="none"/>
                <w:lang w:bidi="ar"/>
              </w:rPr>
              <w:instrText xml:space="preserve"> HYPERLINK "https://baike.sogou.com/lemma/ShowInnerLink.htm?lemmaId=717459&amp;ss_c=ssc.citiao.link" \t "https://baike.sogou.com/_blank" </w:instrText>
            </w:r>
            <w:r>
              <w:rPr>
                <w:rFonts w:hint="eastAsia"/>
                <w:color w:val="auto"/>
                <w:spacing w:val="-10"/>
                <w:kern w:val="21"/>
                <w:sz w:val="23"/>
                <w:szCs w:val="23"/>
                <w:highlight w:val="none"/>
                <w:lang w:bidi="ar"/>
              </w:rPr>
              <w:fldChar w:fldCharType="separate"/>
            </w:r>
            <w:r>
              <w:rPr>
                <w:rFonts w:hint="eastAsia"/>
                <w:color w:val="auto"/>
                <w:spacing w:val="-10"/>
                <w:kern w:val="21"/>
                <w:sz w:val="23"/>
                <w:szCs w:val="23"/>
                <w:highlight w:val="none"/>
                <w:lang w:bidi="ar"/>
              </w:rPr>
              <w:t>硅酸钙</w:t>
            </w:r>
            <w:r>
              <w:rPr>
                <w:rFonts w:hint="eastAsia"/>
                <w:color w:val="auto"/>
                <w:spacing w:val="-10"/>
                <w:kern w:val="21"/>
                <w:sz w:val="23"/>
                <w:szCs w:val="23"/>
                <w:highlight w:val="none"/>
                <w:lang w:bidi="ar"/>
              </w:rPr>
              <w:fldChar w:fldCharType="end"/>
            </w:r>
            <w:r>
              <w:rPr>
                <w:rFonts w:hint="eastAsia"/>
                <w:color w:val="auto"/>
                <w:spacing w:val="-10"/>
                <w:kern w:val="21"/>
                <w:sz w:val="23"/>
                <w:szCs w:val="23"/>
                <w:highlight w:val="none"/>
                <w:lang w:bidi="ar"/>
              </w:rPr>
              <w:t>，硬化</w:t>
            </w:r>
            <w:r>
              <w:rPr>
                <w:color w:val="auto"/>
                <w:spacing w:val="-10"/>
                <w:sz w:val="23"/>
                <w:szCs w:val="23"/>
                <w:highlight w:val="none"/>
              </w:rPr>
              <w:t>后能够抵抗淡水或含盐水的侵蚀</w:t>
            </w:r>
          </w:p>
        </w:tc>
        <w:tc>
          <w:tcPr>
            <w:tcW w:w="1180" w:type="dxa"/>
            <w:noWrap w:val="0"/>
            <w:vAlign w:val="center"/>
          </w:tcPr>
          <w:p w14:paraId="74598591">
            <w:pPr>
              <w:pStyle w:val="32"/>
              <w:widowControl w:val="0"/>
              <w:adjustRightInd w:val="0"/>
              <w:spacing w:before="0" w:beforeAutospacing="0" w:after="0" w:afterAutospacing="0" w:line="0" w:lineRule="atLeast"/>
              <w:jc w:val="center"/>
              <w:rPr>
                <w:rFonts w:hint="eastAsia" w:cs="Times New Roman"/>
                <w:color w:val="auto"/>
                <w:spacing w:val="-10"/>
                <w:sz w:val="23"/>
                <w:szCs w:val="23"/>
                <w:highlight w:val="none"/>
              </w:rPr>
            </w:pPr>
            <w:r>
              <w:rPr>
                <w:rFonts w:hint="eastAsia"/>
                <w:color w:val="auto"/>
                <w:spacing w:val="-10"/>
                <w:kern w:val="21"/>
                <w:sz w:val="23"/>
                <w:szCs w:val="23"/>
                <w:highlight w:val="none"/>
              </w:rPr>
              <w:t>用于固井</w:t>
            </w:r>
          </w:p>
        </w:tc>
      </w:tr>
      <w:tr w14:paraId="3B791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61" w:hRule="atLeast"/>
          <w:jc w:val="center"/>
        </w:trPr>
        <w:tc>
          <w:tcPr>
            <w:tcW w:w="406" w:type="dxa"/>
            <w:noWrap w:val="0"/>
            <w:vAlign w:val="center"/>
          </w:tcPr>
          <w:p w14:paraId="13B2B3CA">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3</w:t>
            </w:r>
          </w:p>
        </w:tc>
        <w:tc>
          <w:tcPr>
            <w:tcW w:w="1276" w:type="dxa"/>
            <w:noWrap w:val="0"/>
            <w:vAlign w:val="center"/>
          </w:tcPr>
          <w:p w14:paraId="35D4837C">
            <w:pPr>
              <w:pStyle w:val="94"/>
              <w:widowControl w:val="0"/>
              <w:adjustRightInd/>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基础材料</w:t>
            </w:r>
          </w:p>
          <w:p w14:paraId="558D23C8">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(膨润土)</w:t>
            </w:r>
          </w:p>
        </w:tc>
        <w:tc>
          <w:tcPr>
            <w:tcW w:w="434" w:type="dxa"/>
            <w:noWrap w:val="0"/>
            <w:vAlign w:val="center"/>
          </w:tcPr>
          <w:p w14:paraId="4AD437DC">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t</w:t>
            </w:r>
          </w:p>
        </w:tc>
        <w:tc>
          <w:tcPr>
            <w:tcW w:w="526" w:type="dxa"/>
            <w:noWrap w:val="0"/>
            <w:vAlign w:val="center"/>
          </w:tcPr>
          <w:p w14:paraId="29C6C1E5">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57</w:t>
            </w:r>
          </w:p>
        </w:tc>
        <w:tc>
          <w:tcPr>
            <w:tcW w:w="4746" w:type="dxa"/>
            <w:noWrap w:val="0"/>
            <w:vAlign w:val="center"/>
          </w:tcPr>
          <w:p w14:paraId="7C8215D0">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也叫坂土，是一种胶性黏土，具有良好的吸附性、膨胀性以及悬浮性</w:t>
            </w:r>
          </w:p>
        </w:tc>
        <w:tc>
          <w:tcPr>
            <w:tcW w:w="1180" w:type="dxa"/>
            <w:noWrap w:val="0"/>
            <w:vAlign w:val="center"/>
          </w:tcPr>
          <w:p w14:paraId="095299ED">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用于配制</w:t>
            </w:r>
          </w:p>
          <w:p w14:paraId="32E49287">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泥浆</w:t>
            </w:r>
          </w:p>
        </w:tc>
      </w:tr>
      <w:tr w14:paraId="2A7DE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61" w:hRule="atLeast"/>
          <w:jc w:val="center"/>
        </w:trPr>
        <w:tc>
          <w:tcPr>
            <w:tcW w:w="406" w:type="dxa"/>
            <w:noWrap w:val="0"/>
            <w:vAlign w:val="center"/>
          </w:tcPr>
          <w:p w14:paraId="4DF561E2">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4</w:t>
            </w:r>
          </w:p>
        </w:tc>
        <w:tc>
          <w:tcPr>
            <w:tcW w:w="1276" w:type="dxa"/>
            <w:noWrap w:val="0"/>
            <w:vAlign w:val="center"/>
          </w:tcPr>
          <w:p w14:paraId="027133AD">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基础材料(Na</w:t>
            </w:r>
            <w:r>
              <w:rPr>
                <w:rFonts w:hint="eastAsia" w:hAnsi="宋体"/>
                <w:color w:val="auto"/>
                <w:spacing w:val="-10"/>
                <w:sz w:val="23"/>
                <w:szCs w:val="23"/>
                <w:highlight w:val="none"/>
                <w:vertAlign w:val="subscript"/>
              </w:rPr>
              <w:t>2</w:t>
            </w:r>
            <w:r>
              <w:rPr>
                <w:rFonts w:hint="eastAsia" w:hAnsi="宋体"/>
                <w:color w:val="auto"/>
                <w:spacing w:val="-10"/>
                <w:sz w:val="23"/>
                <w:szCs w:val="23"/>
                <w:highlight w:val="none"/>
              </w:rPr>
              <w:t>CO</w:t>
            </w:r>
            <w:r>
              <w:rPr>
                <w:rFonts w:hint="eastAsia" w:hAnsi="宋体"/>
                <w:color w:val="auto"/>
                <w:spacing w:val="-10"/>
                <w:sz w:val="23"/>
                <w:szCs w:val="23"/>
                <w:highlight w:val="none"/>
                <w:vertAlign w:val="subscript"/>
              </w:rPr>
              <w:t>3</w:t>
            </w:r>
            <w:r>
              <w:rPr>
                <w:rFonts w:hint="eastAsia" w:hAnsi="宋体"/>
                <w:color w:val="auto"/>
                <w:spacing w:val="-10"/>
                <w:sz w:val="23"/>
                <w:szCs w:val="23"/>
                <w:highlight w:val="none"/>
              </w:rPr>
              <w:t>)</w:t>
            </w:r>
          </w:p>
        </w:tc>
        <w:tc>
          <w:tcPr>
            <w:tcW w:w="434" w:type="dxa"/>
            <w:noWrap w:val="0"/>
            <w:vAlign w:val="center"/>
          </w:tcPr>
          <w:p w14:paraId="7AE115D1">
            <w:pPr>
              <w:pStyle w:val="94"/>
              <w:widowControl w:val="0"/>
              <w:adjustRightInd/>
              <w:spacing w:line="0" w:lineRule="atLeast"/>
              <w:rPr>
                <w:rFonts w:hAnsi="宋体"/>
                <w:color w:val="auto"/>
                <w:spacing w:val="-10"/>
                <w:sz w:val="23"/>
                <w:szCs w:val="23"/>
                <w:highlight w:val="none"/>
              </w:rPr>
            </w:pPr>
            <w:r>
              <w:rPr>
                <w:rFonts w:hint="eastAsia" w:hAnsi="宋体"/>
                <w:color w:val="auto"/>
                <w:spacing w:val="-10"/>
                <w:sz w:val="23"/>
                <w:szCs w:val="23"/>
                <w:highlight w:val="none"/>
              </w:rPr>
              <w:t>t</w:t>
            </w:r>
          </w:p>
        </w:tc>
        <w:tc>
          <w:tcPr>
            <w:tcW w:w="526" w:type="dxa"/>
            <w:noWrap w:val="0"/>
            <w:vAlign w:val="center"/>
          </w:tcPr>
          <w:p w14:paraId="2E49CFCD">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5</w:t>
            </w:r>
          </w:p>
        </w:tc>
        <w:tc>
          <w:tcPr>
            <w:tcW w:w="4746" w:type="dxa"/>
            <w:noWrap w:val="0"/>
            <w:vAlign w:val="center"/>
          </w:tcPr>
          <w:p w14:paraId="46E2C156">
            <w:pPr>
              <w:pStyle w:val="32"/>
              <w:widowControl w:val="0"/>
              <w:adjustRightInd w:val="0"/>
              <w:spacing w:before="0" w:beforeAutospacing="0" w:after="0" w:afterAutospacing="0" w:line="0" w:lineRule="atLeast"/>
              <w:rPr>
                <w:rFonts w:hint="eastAsia"/>
                <w:color w:val="auto"/>
                <w:spacing w:val="-10"/>
                <w:sz w:val="23"/>
                <w:szCs w:val="23"/>
                <w:highlight w:val="none"/>
              </w:rPr>
            </w:pPr>
            <w:r>
              <w:rPr>
                <w:rFonts w:hint="eastAsia"/>
                <w:color w:val="auto"/>
                <w:spacing w:val="-10"/>
                <w:kern w:val="21"/>
                <w:sz w:val="23"/>
                <w:szCs w:val="23"/>
                <w:highlight w:val="none"/>
                <w:lang w:bidi="ar"/>
              </w:rPr>
              <w:t>纯碱，具有高腐蚀性的强碱，一般为白色片状或颗粒，能溶于水生成碱性溶液，也能溶解于甲醇及乙醇</w:t>
            </w:r>
          </w:p>
        </w:tc>
        <w:tc>
          <w:tcPr>
            <w:tcW w:w="1180" w:type="dxa"/>
            <w:noWrap w:val="0"/>
            <w:vAlign w:val="center"/>
          </w:tcPr>
          <w:p w14:paraId="3E74B4A2">
            <w:pPr>
              <w:pStyle w:val="32"/>
              <w:widowControl w:val="0"/>
              <w:adjustRightInd w:val="0"/>
              <w:spacing w:before="0" w:beforeAutospacing="0" w:after="0" w:afterAutospacing="0" w:line="0" w:lineRule="atLeast"/>
              <w:jc w:val="center"/>
              <w:rPr>
                <w:rFonts w:hint="eastAsia"/>
                <w:color w:val="auto"/>
                <w:spacing w:val="-10"/>
                <w:sz w:val="23"/>
                <w:szCs w:val="23"/>
                <w:highlight w:val="none"/>
              </w:rPr>
            </w:pPr>
            <w:r>
              <w:rPr>
                <w:rFonts w:hint="eastAsia"/>
                <w:color w:val="auto"/>
                <w:spacing w:val="-10"/>
                <w:kern w:val="21"/>
                <w:sz w:val="23"/>
                <w:szCs w:val="23"/>
                <w:highlight w:val="none"/>
                <w:lang w:bidi="ar"/>
              </w:rPr>
              <w:t>用于调节钻井液pH值</w:t>
            </w:r>
          </w:p>
        </w:tc>
      </w:tr>
      <w:tr w14:paraId="32C36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6" w:hRule="atLeast"/>
          <w:jc w:val="center"/>
        </w:trPr>
        <w:tc>
          <w:tcPr>
            <w:tcW w:w="406" w:type="dxa"/>
            <w:noWrap w:val="0"/>
            <w:vAlign w:val="center"/>
          </w:tcPr>
          <w:p w14:paraId="62FD1298">
            <w:pPr>
              <w:pStyle w:val="94"/>
              <w:widowControl w:val="0"/>
              <w:adjustRightInd/>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5</w:t>
            </w:r>
          </w:p>
        </w:tc>
        <w:tc>
          <w:tcPr>
            <w:tcW w:w="1276" w:type="dxa"/>
            <w:noWrap w:val="0"/>
            <w:vAlign w:val="center"/>
          </w:tcPr>
          <w:p w14:paraId="2A6EF44B">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烧碱/NaOH</w:t>
            </w:r>
          </w:p>
        </w:tc>
        <w:tc>
          <w:tcPr>
            <w:tcW w:w="434" w:type="dxa"/>
            <w:noWrap w:val="0"/>
            <w:vAlign w:val="center"/>
          </w:tcPr>
          <w:p w14:paraId="0404B61C">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038CFF7C">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10</w:t>
            </w:r>
          </w:p>
        </w:tc>
        <w:tc>
          <w:tcPr>
            <w:tcW w:w="4746" w:type="dxa"/>
            <w:noWrap w:val="0"/>
            <w:vAlign w:val="center"/>
          </w:tcPr>
          <w:p w14:paraId="14B28975">
            <w:pPr>
              <w:pStyle w:val="32"/>
              <w:widowControl w:val="0"/>
              <w:adjustRightInd w:val="0"/>
              <w:spacing w:before="0" w:beforeAutospacing="0" w:after="0" w:afterAutospacing="0" w:line="0" w:lineRule="atLeast"/>
              <w:rPr>
                <w:rFonts w:hint="eastAsia"/>
                <w:color w:val="auto"/>
                <w:spacing w:val="-10"/>
                <w:kern w:val="21"/>
                <w:sz w:val="23"/>
                <w:szCs w:val="23"/>
                <w:highlight w:val="none"/>
                <w:lang w:bidi="ar"/>
              </w:rPr>
            </w:pPr>
            <w:r>
              <w:rPr>
                <w:rFonts w:hint="eastAsia"/>
                <w:color w:val="auto"/>
                <w:spacing w:val="-10"/>
                <w:kern w:val="21"/>
                <w:sz w:val="23"/>
                <w:szCs w:val="23"/>
                <w:highlight w:val="none"/>
                <w:lang w:bidi="ar"/>
              </w:rPr>
              <w:t>烧碱是一种重要的化工基本原料。易溶于水，其水溶液呈碱性。为无色晶体，</w:t>
            </w:r>
            <w:r>
              <w:rPr>
                <w:rFonts w:hint="eastAsia"/>
                <w:color w:val="auto"/>
                <w:spacing w:val="-10"/>
                <w:kern w:val="21"/>
                <w:sz w:val="23"/>
                <w:szCs w:val="23"/>
                <w:highlight w:val="none"/>
                <w:lang w:bidi="ar"/>
              </w:rPr>
              <w:fldChar w:fldCharType="begin"/>
            </w:r>
            <w:r>
              <w:rPr>
                <w:rFonts w:hint="eastAsia"/>
                <w:color w:val="auto"/>
                <w:spacing w:val="-10"/>
                <w:kern w:val="21"/>
                <w:sz w:val="23"/>
                <w:szCs w:val="23"/>
                <w:highlight w:val="none"/>
                <w:lang w:bidi="ar"/>
              </w:rPr>
              <w:instrText xml:space="preserve"> HYPERLINK "https://baike.sogou.com/lemma/ShowInnerLink.htm?lemmaId=262682&amp;ss_c=ssc.citiao.link" \t "https://baike.sogou.com/_blank" </w:instrText>
            </w:r>
            <w:r>
              <w:rPr>
                <w:rFonts w:hint="eastAsia"/>
                <w:color w:val="auto"/>
                <w:spacing w:val="-10"/>
                <w:kern w:val="21"/>
                <w:sz w:val="23"/>
                <w:szCs w:val="23"/>
                <w:highlight w:val="none"/>
                <w:lang w:bidi="ar"/>
              </w:rPr>
              <w:fldChar w:fldCharType="separate"/>
            </w:r>
            <w:r>
              <w:rPr>
                <w:rFonts w:hint="eastAsia"/>
                <w:color w:val="auto"/>
                <w:spacing w:val="-10"/>
                <w:kern w:val="21"/>
                <w:sz w:val="23"/>
                <w:szCs w:val="23"/>
                <w:highlight w:val="none"/>
                <w:lang w:bidi="ar"/>
              </w:rPr>
              <w:t>结晶水</w:t>
            </w:r>
            <w:r>
              <w:rPr>
                <w:rFonts w:hint="eastAsia"/>
                <w:color w:val="auto"/>
                <w:spacing w:val="-10"/>
                <w:kern w:val="21"/>
                <w:sz w:val="23"/>
                <w:szCs w:val="23"/>
                <w:highlight w:val="none"/>
                <w:lang w:bidi="ar"/>
              </w:rPr>
              <w:fldChar w:fldCharType="end"/>
            </w:r>
            <w:r>
              <w:rPr>
                <w:rFonts w:hint="eastAsia"/>
                <w:color w:val="auto"/>
                <w:spacing w:val="-10"/>
                <w:kern w:val="21"/>
                <w:sz w:val="23"/>
                <w:szCs w:val="23"/>
                <w:highlight w:val="none"/>
                <w:lang w:bidi="ar"/>
              </w:rPr>
              <w:t>不稳定，易风化,为</w:t>
            </w:r>
            <w:r>
              <w:rPr>
                <w:rFonts w:hint="eastAsia"/>
                <w:color w:val="auto"/>
                <w:spacing w:val="-10"/>
                <w:kern w:val="21"/>
                <w:sz w:val="23"/>
                <w:szCs w:val="23"/>
                <w:highlight w:val="none"/>
                <w:lang w:bidi="ar"/>
              </w:rPr>
              <w:fldChar w:fldCharType="begin"/>
            </w:r>
            <w:r>
              <w:rPr>
                <w:rFonts w:hint="eastAsia"/>
                <w:color w:val="auto"/>
                <w:spacing w:val="-10"/>
                <w:kern w:val="21"/>
                <w:sz w:val="23"/>
                <w:szCs w:val="23"/>
                <w:highlight w:val="none"/>
                <w:lang w:bidi="ar"/>
              </w:rPr>
              <w:instrText xml:space="preserve"> HYPERLINK "https://baike.sogou.com/lemma/ShowInnerLink.htm?lemmaId=769780&amp;ss_c=ssc.citiao.link" \t "https://baike.sogou.com/_blank" </w:instrText>
            </w:r>
            <w:r>
              <w:rPr>
                <w:rFonts w:hint="eastAsia"/>
                <w:color w:val="auto"/>
                <w:spacing w:val="-10"/>
                <w:kern w:val="21"/>
                <w:sz w:val="23"/>
                <w:szCs w:val="23"/>
                <w:highlight w:val="none"/>
                <w:lang w:bidi="ar"/>
              </w:rPr>
              <w:fldChar w:fldCharType="separate"/>
            </w:r>
            <w:r>
              <w:rPr>
                <w:rFonts w:hint="eastAsia"/>
                <w:color w:val="auto"/>
                <w:spacing w:val="-10"/>
                <w:kern w:val="21"/>
                <w:sz w:val="23"/>
                <w:szCs w:val="23"/>
                <w:highlight w:val="none"/>
                <w:lang w:bidi="ar"/>
              </w:rPr>
              <w:t>强电解质</w:t>
            </w:r>
            <w:r>
              <w:rPr>
                <w:rFonts w:hint="eastAsia"/>
                <w:color w:val="auto"/>
                <w:spacing w:val="-10"/>
                <w:kern w:val="21"/>
                <w:sz w:val="23"/>
                <w:szCs w:val="23"/>
                <w:highlight w:val="none"/>
                <w:lang w:bidi="ar"/>
              </w:rPr>
              <w:fldChar w:fldCharType="end"/>
            </w:r>
            <w:r>
              <w:rPr>
                <w:rFonts w:hint="eastAsia"/>
                <w:color w:val="auto"/>
                <w:spacing w:val="-10"/>
                <w:kern w:val="21"/>
                <w:sz w:val="23"/>
                <w:szCs w:val="23"/>
                <w:highlight w:val="none"/>
                <w:lang w:bidi="ar"/>
              </w:rPr>
              <w:t>，具有盐的通性和热稳定性</w:t>
            </w:r>
          </w:p>
        </w:tc>
        <w:tc>
          <w:tcPr>
            <w:tcW w:w="1180" w:type="dxa"/>
            <w:noWrap w:val="0"/>
            <w:vAlign w:val="center"/>
          </w:tcPr>
          <w:p w14:paraId="695F660A">
            <w:pPr>
              <w:pStyle w:val="32"/>
              <w:widowControl w:val="0"/>
              <w:adjustRightInd w:val="0"/>
              <w:spacing w:before="0" w:beforeAutospacing="0" w:after="0" w:afterAutospacing="0" w:line="0" w:lineRule="atLeast"/>
              <w:jc w:val="center"/>
              <w:rPr>
                <w:rFonts w:hint="eastAsia"/>
                <w:color w:val="auto"/>
                <w:spacing w:val="-10"/>
                <w:sz w:val="23"/>
                <w:szCs w:val="23"/>
                <w:highlight w:val="none"/>
              </w:rPr>
            </w:pPr>
            <w:r>
              <w:rPr>
                <w:rFonts w:hint="eastAsia"/>
                <w:color w:val="auto"/>
                <w:spacing w:val="-10"/>
                <w:kern w:val="21"/>
                <w:sz w:val="23"/>
                <w:szCs w:val="23"/>
                <w:highlight w:val="none"/>
                <w:lang w:bidi="ar"/>
              </w:rPr>
              <w:t>用于调节钻井液pH值</w:t>
            </w:r>
          </w:p>
        </w:tc>
      </w:tr>
      <w:tr w14:paraId="2A577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41" w:hRule="atLeast"/>
          <w:jc w:val="center"/>
        </w:trPr>
        <w:tc>
          <w:tcPr>
            <w:tcW w:w="406" w:type="dxa"/>
            <w:noWrap w:val="0"/>
            <w:vAlign w:val="center"/>
          </w:tcPr>
          <w:p w14:paraId="39739FC9">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6</w:t>
            </w:r>
          </w:p>
        </w:tc>
        <w:tc>
          <w:tcPr>
            <w:tcW w:w="1276" w:type="dxa"/>
            <w:noWrap w:val="0"/>
            <w:vAlign w:val="center"/>
          </w:tcPr>
          <w:p w14:paraId="205197BA">
            <w:pPr>
              <w:spacing w:line="0" w:lineRule="atLeast"/>
              <w:jc w:val="center"/>
              <w:textAlignment w:val="center"/>
              <w:rPr>
                <w:rFonts w:hint="eastAsia" w:hAnsi="宋体"/>
                <w:color w:val="auto"/>
                <w:spacing w:val="-10"/>
                <w:kern w:val="0"/>
                <w:sz w:val="23"/>
                <w:szCs w:val="23"/>
                <w:highlight w:val="none"/>
                <w:lang w:bidi="ar"/>
              </w:rPr>
            </w:pPr>
            <w:r>
              <w:rPr>
                <w:rFonts w:hint="eastAsia" w:hAnsi="宋体"/>
                <w:color w:val="auto"/>
                <w:spacing w:val="-10"/>
                <w:kern w:val="0"/>
                <w:sz w:val="23"/>
                <w:szCs w:val="23"/>
                <w:highlight w:val="none"/>
                <w:lang w:bidi="ar"/>
              </w:rPr>
              <w:t>大分子聚合物/80A51/</w:t>
            </w:r>
          </w:p>
          <w:p w14:paraId="3EA124E4">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NM1-4等</w:t>
            </w:r>
          </w:p>
        </w:tc>
        <w:tc>
          <w:tcPr>
            <w:tcW w:w="434" w:type="dxa"/>
            <w:noWrap w:val="0"/>
            <w:vAlign w:val="center"/>
          </w:tcPr>
          <w:p w14:paraId="342CE6AE">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5A8F9D94">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5</w:t>
            </w:r>
          </w:p>
        </w:tc>
        <w:tc>
          <w:tcPr>
            <w:tcW w:w="4746" w:type="dxa"/>
            <w:noWrap w:val="0"/>
            <w:vAlign w:val="center"/>
          </w:tcPr>
          <w:p w14:paraId="68F94CBD">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丙烯酰胺与丙烯酸钠共聚物，易溶于水，其水溶液呈弱酸性</w:t>
            </w:r>
          </w:p>
        </w:tc>
        <w:tc>
          <w:tcPr>
            <w:tcW w:w="1180" w:type="dxa"/>
            <w:noWrap w:val="0"/>
            <w:vAlign w:val="center"/>
          </w:tcPr>
          <w:p w14:paraId="5520B156">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钻井液处理剂、防塌剂和增稠剂</w:t>
            </w:r>
          </w:p>
        </w:tc>
      </w:tr>
      <w:tr w14:paraId="6F11F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41" w:hRule="atLeast"/>
          <w:jc w:val="center"/>
        </w:trPr>
        <w:tc>
          <w:tcPr>
            <w:tcW w:w="406" w:type="dxa"/>
            <w:noWrap w:val="0"/>
            <w:vAlign w:val="center"/>
          </w:tcPr>
          <w:p w14:paraId="65CB7120">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7</w:t>
            </w:r>
          </w:p>
        </w:tc>
        <w:tc>
          <w:tcPr>
            <w:tcW w:w="1276" w:type="dxa"/>
            <w:noWrap w:val="0"/>
            <w:vAlign w:val="center"/>
          </w:tcPr>
          <w:p w14:paraId="0B84FE59">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羧甲基纤维素/CMC-LV等</w:t>
            </w:r>
          </w:p>
        </w:tc>
        <w:tc>
          <w:tcPr>
            <w:tcW w:w="434" w:type="dxa"/>
            <w:noWrap w:val="0"/>
            <w:vAlign w:val="center"/>
          </w:tcPr>
          <w:p w14:paraId="238682E0">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5947517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3</w:t>
            </w:r>
          </w:p>
        </w:tc>
        <w:tc>
          <w:tcPr>
            <w:tcW w:w="4746" w:type="dxa"/>
            <w:noWrap w:val="0"/>
            <w:vAlign w:val="center"/>
          </w:tcPr>
          <w:p w14:paraId="07B20325">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羧甲基纤维素钠，白色或灰白色粉末，无毒，不溶于乙醇、甲醇等有机溶剂，溶于水，水溶液为透明</w:t>
            </w:r>
            <w:r>
              <w:rPr>
                <w:rFonts w:hint="eastAsia" w:hAnsi="宋体"/>
                <w:color w:val="auto"/>
                <w:spacing w:val="-10"/>
                <w:kern w:val="21"/>
                <w:sz w:val="23"/>
                <w:szCs w:val="23"/>
                <w:highlight w:val="none"/>
                <w:lang w:eastAsia="zh-CN" w:bidi="ar"/>
              </w:rPr>
              <w:t>黏稠</w:t>
            </w:r>
            <w:r>
              <w:rPr>
                <w:rFonts w:hint="eastAsia" w:hAnsi="宋体"/>
                <w:color w:val="auto"/>
                <w:spacing w:val="-10"/>
                <w:kern w:val="21"/>
                <w:sz w:val="23"/>
                <w:szCs w:val="23"/>
                <w:highlight w:val="none"/>
                <w:lang w:bidi="ar"/>
              </w:rPr>
              <w:t>液体，具有较好耐盐性</w:t>
            </w:r>
          </w:p>
        </w:tc>
        <w:tc>
          <w:tcPr>
            <w:tcW w:w="1180" w:type="dxa"/>
            <w:noWrap w:val="0"/>
            <w:vAlign w:val="center"/>
          </w:tcPr>
          <w:p w14:paraId="1A6E0401">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钻井液增</w:t>
            </w:r>
            <w:r>
              <w:rPr>
                <w:rFonts w:hint="eastAsia" w:hAnsi="宋体"/>
                <w:color w:val="auto"/>
                <w:spacing w:val="-10"/>
                <w:kern w:val="21"/>
                <w:sz w:val="23"/>
                <w:szCs w:val="23"/>
                <w:highlight w:val="none"/>
                <w:lang w:eastAsia="zh-CN" w:bidi="ar"/>
              </w:rPr>
              <w:t>黏合</w:t>
            </w:r>
            <w:r>
              <w:rPr>
                <w:rFonts w:hint="eastAsia" w:hAnsi="宋体"/>
                <w:color w:val="auto"/>
                <w:spacing w:val="-10"/>
                <w:kern w:val="21"/>
                <w:sz w:val="23"/>
                <w:szCs w:val="23"/>
                <w:highlight w:val="none"/>
                <w:lang w:bidi="ar"/>
              </w:rPr>
              <w:t>降滤失剂</w:t>
            </w:r>
          </w:p>
        </w:tc>
      </w:tr>
      <w:tr w14:paraId="35AAB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dxa"/>
            <w:noWrap w:val="0"/>
            <w:vAlign w:val="center"/>
          </w:tcPr>
          <w:p w14:paraId="09EF5765">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8</w:t>
            </w:r>
          </w:p>
        </w:tc>
        <w:tc>
          <w:tcPr>
            <w:tcW w:w="1276" w:type="dxa"/>
            <w:noWrap w:val="0"/>
            <w:vAlign w:val="center"/>
          </w:tcPr>
          <w:p w14:paraId="167D8F19">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中分子聚合物/LP++等</w:t>
            </w:r>
          </w:p>
        </w:tc>
        <w:tc>
          <w:tcPr>
            <w:tcW w:w="434" w:type="dxa"/>
            <w:noWrap w:val="0"/>
            <w:vAlign w:val="center"/>
          </w:tcPr>
          <w:p w14:paraId="7112CDD0">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1BF7335C">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4</w:t>
            </w:r>
          </w:p>
        </w:tc>
        <w:tc>
          <w:tcPr>
            <w:tcW w:w="4746" w:type="dxa"/>
            <w:noWrap w:val="0"/>
            <w:vAlign w:val="center"/>
          </w:tcPr>
          <w:p w14:paraId="54566887">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低</w:t>
            </w:r>
            <w:r>
              <w:rPr>
                <w:rFonts w:hint="eastAsia" w:hAnsi="宋体"/>
                <w:color w:val="auto"/>
                <w:spacing w:val="-10"/>
                <w:kern w:val="21"/>
                <w:sz w:val="23"/>
                <w:szCs w:val="23"/>
                <w:highlight w:val="none"/>
                <w:lang w:eastAsia="zh-CN" w:bidi="ar"/>
              </w:rPr>
              <w:t>黏度</w:t>
            </w:r>
            <w:r>
              <w:rPr>
                <w:rFonts w:hint="eastAsia" w:hAnsi="宋体"/>
                <w:color w:val="auto"/>
                <w:spacing w:val="-10"/>
                <w:kern w:val="21"/>
                <w:sz w:val="23"/>
                <w:szCs w:val="23"/>
                <w:highlight w:val="none"/>
                <w:lang w:bidi="ar"/>
              </w:rPr>
              <w:t>乳液聚合物，钻井液稳定剂、</w:t>
            </w:r>
          </w:p>
          <w:p w14:paraId="35C65E01">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增</w:t>
            </w:r>
            <w:r>
              <w:rPr>
                <w:rFonts w:hint="eastAsia" w:hAnsi="宋体"/>
                <w:color w:val="auto"/>
                <w:spacing w:val="-10"/>
                <w:kern w:val="21"/>
                <w:sz w:val="23"/>
                <w:szCs w:val="23"/>
                <w:highlight w:val="none"/>
                <w:lang w:eastAsia="zh-CN" w:bidi="ar"/>
              </w:rPr>
              <w:t>黏合</w:t>
            </w:r>
            <w:r>
              <w:rPr>
                <w:rFonts w:hint="eastAsia" w:hAnsi="宋体"/>
                <w:color w:val="auto"/>
                <w:spacing w:val="-10"/>
                <w:kern w:val="21"/>
                <w:sz w:val="23"/>
                <w:szCs w:val="23"/>
                <w:highlight w:val="none"/>
                <w:lang w:bidi="ar"/>
              </w:rPr>
              <w:t>降滤失剂</w:t>
            </w:r>
          </w:p>
        </w:tc>
        <w:tc>
          <w:tcPr>
            <w:tcW w:w="1180" w:type="dxa"/>
            <w:noWrap w:val="0"/>
            <w:vAlign w:val="center"/>
          </w:tcPr>
          <w:p w14:paraId="6BC116A7">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钻井液降滤</w:t>
            </w:r>
          </w:p>
          <w:p w14:paraId="4B0CA045">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失剂</w:t>
            </w:r>
          </w:p>
        </w:tc>
      </w:tr>
      <w:tr w14:paraId="33EB4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dxa"/>
            <w:noWrap w:val="0"/>
            <w:vAlign w:val="center"/>
          </w:tcPr>
          <w:p w14:paraId="056D3E22">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9</w:t>
            </w:r>
          </w:p>
        </w:tc>
        <w:tc>
          <w:tcPr>
            <w:tcW w:w="1276" w:type="dxa"/>
            <w:noWrap w:val="0"/>
            <w:vAlign w:val="center"/>
          </w:tcPr>
          <w:p w14:paraId="2E5778B2">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小分子聚合物/双聚铵盐NP-2等</w:t>
            </w:r>
          </w:p>
        </w:tc>
        <w:tc>
          <w:tcPr>
            <w:tcW w:w="434" w:type="dxa"/>
            <w:noWrap w:val="0"/>
            <w:vAlign w:val="center"/>
          </w:tcPr>
          <w:p w14:paraId="075A602C">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4B7604E3">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4</w:t>
            </w:r>
          </w:p>
        </w:tc>
        <w:tc>
          <w:tcPr>
            <w:tcW w:w="4746" w:type="dxa"/>
            <w:noWrap w:val="0"/>
            <w:vAlign w:val="center"/>
          </w:tcPr>
          <w:p w14:paraId="59FD81D4">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聚丙烯腈复配铵盐</w:t>
            </w:r>
          </w:p>
        </w:tc>
        <w:tc>
          <w:tcPr>
            <w:tcW w:w="1180" w:type="dxa"/>
            <w:noWrap w:val="0"/>
            <w:vAlign w:val="center"/>
          </w:tcPr>
          <w:p w14:paraId="6088D011">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钻井液降滤</w:t>
            </w:r>
          </w:p>
          <w:p w14:paraId="6411D5E4">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失剂</w:t>
            </w:r>
          </w:p>
        </w:tc>
      </w:tr>
      <w:tr w14:paraId="16620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dxa"/>
            <w:noWrap w:val="0"/>
            <w:vAlign w:val="center"/>
          </w:tcPr>
          <w:p w14:paraId="211945C7">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10</w:t>
            </w:r>
          </w:p>
        </w:tc>
        <w:tc>
          <w:tcPr>
            <w:tcW w:w="1276" w:type="dxa"/>
            <w:noWrap w:val="0"/>
            <w:vAlign w:val="center"/>
          </w:tcPr>
          <w:p w14:paraId="44401B1D">
            <w:pPr>
              <w:spacing w:line="0" w:lineRule="atLeast"/>
              <w:jc w:val="center"/>
              <w:textAlignment w:val="center"/>
              <w:rPr>
                <w:rFonts w:hint="eastAsia" w:hAnsi="宋体"/>
                <w:color w:val="auto"/>
                <w:spacing w:val="-10"/>
                <w:kern w:val="0"/>
                <w:sz w:val="23"/>
                <w:szCs w:val="23"/>
                <w:highlight w:val="none"/>
                <w:lang w:bidi="ar"/>
              </w:rPr>
            </w:pPr>
            <w:r>
              <w:rPr>
                <w:rFonts w:hint="eastAsia" w:hAnsi="宋体"/>
                <w:color w:val="auto"/>
                <w:spacing w:val="-10"/>
                <w:kern w:val="0"/>
                <w:sz w:val="23"/>
                <w:szCs w:val="23"/>
                <w:highlight w:val="none"/>
                <w:lang w:bidi="ar"/>
              </w:rPr>
              <w:t>抗温降滤</w:t>
            </w:r>
          </w:p>
          <w:p w14:paraId="13ADFF53">
            <w:pPr>
              <w:spacing w:line="0" w:lineRule="atLeast"/>
              <w:jc w:val="center"/>
              <w:textAlignment w:val="center"/>
              <w:rPr>
                <w:rFonts w:hint="eastAsia" w:hAnsi="宋体"/>
                <w:color w:val="auto"/>
                <w:spacing w:val="-10"/>
                <w:kern w:val="0"/>
                <w:sz w:val="23"/>
                <w:szCs w:val="23"/>
                <w:highlight w:val="none"/>
                <w:lang w:bidi="ar"/>
              </w:rPr>
            </w:pPr>
            <w:r>
              <w:rPr>
                <w:rFonts w:hint="eastAsia" w:hAnsi="宋体"/>
                <w:color w:val="auto"/>
                <w:spacing w:val="-10"/>
                <w:kern w:val="0"/>
                <w:sz w:val="23"/>
                <w:szCs w:val="23"/>
                <w:highlight w:val="none"/>
                <w:lang w:bidi="ar"/>
              </w:rPr>
              <w:t>失剂/HX-E/</w:t>
            </w:r>
          </w:p>
          <w:p w14:paraId="11D3BE27">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TSH-2等</w:t>
            </w:r>
          </w:p>
        </w:tc>
        <w:tc>
          <w:tcPr>
            <w:tcW w:w="434" w:type="dxa"/>
            <w:noWrap w:val="0"/>
            <w:vAlign w:val="center"/>
          </w:tcPr>
          <w:p w14:paraId="1C6A43F1">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59429B93">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21</w:t>
            </w:r>
          </w:p>
        </w:tc>
        <w:tc>
          <w:tcPr>
            <w:tcW w:w="4746" w:type="dxa"/>
            <w:noWrap w:val="0"/>
            <w:vAlign w:val="center"/>
          </w:tcPr>
          <w:p w14:paraId="1DF4BE54">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树脂类物质，钻井液降滤失剂，可改善泥饼质量，具有抗盐和抗高温特点</w:t>
            </w:r>
          </w:p>
        </w:tc>
        <w:tc>
          <w:tcPr>
            <w:tcW w:w="1180" w:type="dxa"/>
            <w:noWrap w:val="0"/>
            <w:vAlign w:val="center"/>
          </w:tcPr>
          <w:p w14:paraId="41C1DEFF">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钻井液降滤</w:t>
            </w:r>
          </w:p>
          <w:p w14:paraId="7D6FC695">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失剂</w:t>
            </w:r>
          </w:p>
        </w:tc>
      </w:tr>
      <w:tr w14:paraId="5E969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8" w:hRule="atLeast"/>
          <w:jc w:val="center"/>
        </w:trPr>
        <w:tc>
          <w:tcPr>
            <w:tcW w:w="406" w:type="dxa"/>
            <w:noWrap w:val="0"/>
            <w:vAlign w:val="center"/>
          </w:tcPr>
          <w:p w14:paraId="04AE7F3C">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11</w:t>
            </w:r>
          </w:p>
        </w:tc>
        <w:tc>
          <w:tcPr>
            <w:tcW w:w="1276" w:type="dxa"/>
            <w:noWrap w:val="0"/>
            <w:vAlign w:val="center"/>
          </w:tcPr>
          <w:p w14:paraId="5C4EF8EA">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磺化酚醛树脂/SMP-2/3</w:t>
            </w:r>
          </w:p>
        </w:tc>
        <w:tc>
          <w:tcPr>
            <w:tcW w:w="434" w:type="dxa"/>
            <w:noWrap w:val="0"/>
            <w:vAlign w:val="center"/>
          </w:tcPr>
          <w:p w14:paraId="250F3CD2">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0721CAD0">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38</w:t>
            </w:r>
          </w:p>
        </w:tc>
        <w:tc>
          <w:tcPr>
            <w:tcW w:w="4746" w:type="dxa"/>
            <w:noWrap w:val="0"/>
            <w:vAlign w:val="center"/>
          </w:tcPr>
          <w:p w14:paraId="44D888F7">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水溶性树脂，玫瑰红透明色</w:t>
            </w:r>
            <w:r>
              <w:rPr>
                <w:rFonts w:hint="eastAsia" w:hAnsi="宋体"/>
                <w:color w:val="auto"/>
                <w:spacing w:val="-10"/>
                <w:kern w:val="21"/>
                <w:sz w:val="23"/>
                <w:szCs w:val="23"/>
                <w:highlight w:val="none"/>
                <w:lang w:eastAsia="zh-CN" w:bidi="ar"/>
              </w:rPr>
              <w:t>黏稠</w:t>
            </w:r>
            <w:r>
              <w:rPr>
                <w:rFonts w:hint="eastAsia" w:hAnsi="宋体"/>
                <w:color w:val="auto"/>
                <w:spacing w:val="-10"/>
                <w:kern w:val="21"/>
                <w:sz w:val="23"/>
                <w:szCs w:val="23"/>
                <w:highlight w:val="none"/>
                <w:lang w:bidi="ar"/>
              </w:rPr>
              <w:t>液体，耐高温降失水，同时有防塌、控制</w:t>
            </w:r>
            <w:r>
              <w:rPr>
                <w:rFonts w:hint="eastAsia" w:hAnsi="宋体"/>
                <w:color w:val="auto"/>
                <w:spacing w:val="-10"/>
                <w:kern w:val="21"/>
                <w:sz w:val="23"/>
                <w:szCs w:val="23"/>
                <w:highlight w:val="none"/>
                <w:lang w:eastAsia="zh-CN" w:bidi="ar"/>
              </w:rPr>
              <w:t>黏度</w:t>
            </w:r>
            <w:r>
              <w:rPr>
                <w:rFonts w:hint="eastAsia" w:hAnsi="宋体"/>
                <w:color w:val="auto"/>
                <w:spacing w:val="-10"/>
                <w:kern w:val="21"/>
                <w:sz w:val="23"/>
                <w:szCs w:val="23"/>
                <w:highlight w:val="none"/>
                <w:lang w:bidi="ar"/>
              </w:rPr>
              <w:t>的作用，抗盐性能好</w:t>
            </w:r>
          </w:p>
        </w:tc>
        <w:tc>
          <w:tcPr>
            <w:tcW w:w="1180" w:type="dxa"/>
            <w:noWrap w:val="0"/>
            <w:vAlign w:val="center"/>
          </w:tcPr>
          <w:p w14:paraId="4560EA4C">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钻井液处</w:t>
            </w:r>
          </w:p>
          <w:p w14:paraId="5AC5E3FA">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理剂</w:t>
            </w:r>
          </w:p>
        </w:tc>
      </w:tr>
      <w:tr w14:paraId="3DB2C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4" w:hRule="atLeast"/>
          <w:jc w:val="center"/>
        </w:trPr>
        <w:tc>
          <w:tcPr>
            <w:tcW w:w="406" w:type="dxa"/>
            <w:noWrap w:val="0"/>
            <w:vAlign w:val="center"/>
          </w:tcPr>
          <w:p w14:paraId="2E587FB3">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12</w:t>
            </w:r>
          </w:p>
        </w:tc>
        <w:tc>
          <w:tcPr>
            <w:tcW w:w="1276" w:type="dxa"/>
            <w:noWrap w:val="0"/>
            <w:vAlign w:val="center"/>
          </w:tcPr>
          <w:p w14:paraId="71873A4C">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磺化褐煤树脂/SPNH</w:t>
            </w:r>
          </w:p>
        </w:tc>
        <w:tc>
          <w:tcPr>
            <w:tcW w:w="434" w:type="dxa"/>
            <w:noWrap w:val="0"/>
            <w:vAlign w:val="center"/>
          </w:tcPr>
          <w:p w14:paraId="33D08D9B">
            <w:pPr>
              <w:adjustRightInd w:val="0"/>
              <w:spacing w:line="0" w:lineRule="atLeast"/>
              <w:jc w:val="center"/>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2751F6E1">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21</w:t>
            </w:r>
          </w:p>
        </w:tc>
        <w:tc>
          <w:tcPr>
            <w:tcW w:w="4746" w:type="dxa"/>
            <w:noWrap w:val="0"/>
            <w:vAlign w:val="center"/>
          </w:tcPr>
          <w:p w14:paraId="45E9CF1A">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酚醛树脂和腐植酸缩合物</w:t>
            </w:r>
          </w:p>
        </w:tc>
        <w:tc>
          <w:tcPr>
            <w:tcW w:w="1180" w:type="dxa"/>
            <w:noWrap w:val="0"/>
            <w:vAlign w:val="center"/>
          </w:tcPr>
          <w:p w14:paraId="6A42FE6F">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钻井液抗高温抗盐降滤失剂</w:t>
            </w:r>
          </w:p>
        </w:tc>
      </w:tr>
      <w:tr w14:paraId="24097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dxa"/>
            <w:noWrap w:val="0"/>
            <w:vAlign w:val="center"/>
          </w:tcPr>
          <w:p w14:paraId="0E24CD33">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13</w:t>
            </w:r>
          </w:p>
        </w:tc>
        <w:tc>
          <w:tcPr>
            <w:tcW w:w="1276" w:type="dxa"/>
            <w:noWrap w:val="0"/>
            <w:vAlign w:val="center"/>
          </w:tcPr>
          <w:p w14:paraId="24218B6F">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加重剂/重晶石粉</w:t>
            </w:r>
          </w:p>
        </w:tc>
        <w:tc>
          <w:tcPr>
            <w:tcW w:w="434" w:type="dxa"/>
            <w:noWrap w:val="0"/>
            <w:vAlign w:val="center"/>
          </w:tcPr>
          <w:p w14:paraId="34EBF1C4">
            <w:pPr>
              <w:adjustRightInd w:val="0"/>
              <w:spacing w:line="0" w:lineRule="atLeast"/>
              <w:jc w:val="center"/>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47E248E3">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151</w:t>
            </w:r>
          </w:p>
        </w:tc>
        <w:tc>
          <w:tcPr>
            <w:tcW w:w="4746" w:type="dxa"/>
            <w:noWrap w:val="0"/>
            <w:vAlign w:val="center"/>
          </w:tcPr>
          <w:p w14:paraId="39D49EDA">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主要成分BaSO</w:t>
            </w:r>
            <w:r>
              <w:rPr>
                <w:rFonts w:hint="eastAsia" w:hAnsi="宋体"/>
                <w:color w:val="auto"/>
                <w:spacing w:val="-10"/>
                <w:kern w:val="21"/>
                <w:sz w:val="23"/>
                <w:szCs w:val="23"/>
                <w:highlight w:val="none"/>
                <w:vertAlign w:val="subscript"/>
                <w:lang w:bidi="ar"/>
              </w:rPr>
              <w:t>4</w:t>
            </w:r>
            <w:r>
              <w:rPr>
                <w:rFonts w:hint="eastAsia" w:hAnsi="宋体"/>
                <w:color w:val="auto"/>
                <w:spacing w:val="-10"/>
                <w:kern w:val="21"/>
                <w:sz w:val="23"/>
                <w:szCs w:val="23"/>
                <w:highlight w:val="none"/>
                <w:lang w:bidi="ar"/>
              </w:rPr>
              <w:t>，白色粉末，可将钻井液密度配至2.0g/cm</w:t>
            </w:r>
            <w:r>
              <w:rPr>
                <w:rFonts w:hint="eastAsia" w:hAnsi="宋体"/>
                <w:color w:val="auto"/>
                <w:spacing w:val="-10"/>
                <w:kern w:val="21"/>
                <w:sz w:val="23"/>
                <w:szCs w:val="23"/>
                <w:highlight w:val="none"/>
                <w:vertAlign w:val="superscript"/>
                <w:lang w:bidi="ar"/>
              </w:rPr>
              <w:t>3</w:t>
            </w:r>
          </w:p>
        </w:tc>
        <w:tc>
          <w:tcPr>
            <w:tcW w:w="1180" w:type="dxa"/>
            <w:noWrap w:val="0"/>
            <w:vAlign w:val="center"/>
          </w:tcPr>
          <w:p w14:paraId="2615F6C1">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钻井液加</w:t>
            </w:r>
          </w:p>
          <w:p w14:paraId="322EE0C4">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重剂</w:t>
            </w:r>
          </w:p>
        </w:tc>
      </w:tr>
      <w:tr w14:paraId="26FF9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47" w:hRule="atLeast"/>
          <w:jc w:val="center"/>
        </w:trPr>
        <w:tc>
          <w:tcPr>
            <w:tcW w:w="406" w:type="dxa"/>
            <w:noWrap w:val="0"/>
            <w:vAlign w:val="center"/>
          </w:tcPr>
          <w:p w14:paraId="573129B0">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14</w:t>
            </w:r>
          </w:p>
        </w:tc>
        <w:tc>
          <w:tcPr>
            <w:tcW w:w="1276" w:type="dxa"/>
            <w:noWrap w:val="0"/>
            <w:vAlign w:val="center"/>
          </w:tcPr>
          <w:p w14:paraId="23BED52C">
            <w:pPr>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0"/>
                <w:sz w:val="23"/>
                <w:szCs w:val="23"/>
                <w:highlight w:val="none"/>
                <w:lang w:bidi="ar"/>
              </w:rPr>
              <w:t>加重剂/石灰石粉</w:t>
            </w:r>
          </w:p>
        </w:tc>
        <w:tc>
          <w:tcPr>
            <w:tcW w:w="434" w:type="dxa"/>
            <w:noWrap w:val="0"/>
            <w:vAlign w:val="center"/>
          </w:tcPr>
          <w:p w14:paraId="4EE3E012">
            <w:pPr>
              <w:adjustRightInd w:val="0"/>
              <w:spacing w:line="0" w:lineRule="atLeast"/>
              <w:jc w:val="center"/>
              <w:rPr>
                <w:rFonts w:hint="eastAsia" w:hAnsi="宋体"/>
                <w:color w:val="auto"/>
                <w:spacing w:val="-10"/>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3105FFBE">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43</w:t>
            </w:r>
          </w:p>
        </w:tc>
        <w:tc>
          <w:tcPr>
            <w:tcW w:w="4746" w:type="dxa"/>
            <w:noWrap w:val="0"/>
            <w:vAlign w:val="center"/>
          </w:tcPr>
          <w:p w14:paraId="77B62EFF">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主要成分CaCO</w:t>
            </w:r>
            <w:r>
              <w:rPr>
                <w:rFonts w:hint="eastAsia" w:hAnsi="宋体"/>
                <w:color w:val="auto"/>
                <w:spacing w:val="-10"/>
                <w:kern w:val="21"/>
                <w:sz w:val="23"/>
                <w:szCs w:val="23"/>
                <w:highlight w:val="none"/>
                <w:vertAlign w:val="subscript"/>
                <w:lang w:bidi="ar"/>
              </w:rPr>
              <w:t>3</w:t>
            </w:r>
            <w:r>
              <w:rPr>
                <w:rFonts w:hint="eastAsia" w:hAnsi="宋体"/>
                <w:color w:val="auto"/>
                <w:spacing w:val="-10"/>
                <w:kern w:val="21"/>
                <w:sz w:val="23"/>
                <w:szCs w:val="23"/>
                <w:highlight w:val="none"/>
                <w:lang w:bidi="ar"/>
              </w:rPr>
              <w:t>，可溶于含CO</w:t>
            </w:r>
            <w:r>
              <w:rPr>
                <w:rFonts w:hint="eastAsia" w:hAnsi="宋体"/>
                <w:color w:val="auto"/>
                <w:spacing w:val="-10"/>
                <w:kern w:val="21"/>
                <w:sz w:val="23"/>
                <w:szCs w:val="23"/>
                <w:highlight w:val="none"/>
                <w:vertAlign w:val="subscript"/>
                <w:lang w:bidi="ar"/>
              </w:rPr>
              <w:t>2</w:t>
            </w:r>
            <w:r>
              <w:rPr>
                <w:rFonts w:hint="eastAsia" w:hAnsi="宋体"/>
                <w:color w:val="auto"/>
                <w:spacing w:val="-10"/>
                <w:kern w:val="21"/>
                <w:sz w:val="23"/>
                <w:szCs w:val="23"/>
                <w:highlight w:val="none"/>
                <w:lang w:bidi="ar"/>
              </w:rPr>
              <w:t>的水，可溶于盐酸等无机酸，以减轻对油层的污染</w:t>
            </w:r>
          </w:p>
        </w:tc>
        <w:tc>
          <w:tcPr>
            <w:tcW w:w="1180" w:type="dxa"/>
            <w:noWrap w:val="0"/>
            <w:vAlign w:val="center"/>
          </w:tcPr>
          <w:p w14:paraId="792B7691">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钻井液加</w:t>
            </w:r>
          </w:p>
          <w:p w14:paraId="77F60C71">
            <w:pPr>
              <w:adjustRightInd w:val="0"/>
              <w:spacing w:line="0" w:lineRule="atLeast"/>
              <w:jc w:val="center"/>
              <w:textAlignment w:val="center"/>
              <w:rPr>
                <w:rFonts w:hint="eastAsia" w:hAnsi="宋体"/>
                <w:color w:val="auto"/>
                <w:spacing w:val="-10"/>
                <w:sz w:val="23"/>
                <w:szCs w:val="23"/>
                <w:highlight w:val="none"/>
              </w:rPr>
            </w:pPr>
            <w:r>
              <w:rPr>
                <w:rFonts w:hint="eastAsia" w:hAnsi="宋体"/>
                <w:color w:val="auto"/>
                <w:spacing w:val="-10"/>
                <w:kern w:val="21"/>
                <w:sz w:val="23"/>
                <w:szCs w:val="23"/>
                <w:highlight w:val="none"/>
                <w:lang w:bidi="ar"/>
              </w:rPr>
              <w:t>重剂</w:t>
            </w:r>
          </w:p>
        </w:tc>
      </w:tr>
      <w:tr w14:paraId="18EC3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64" w:hRule="atLeast"/>
          <w:jc w:val="center"/>
        </w:trPr>
        <w:tc>
          <w:tcPr>
            <w:tcW w:w="406" w:type="dxa"/>
            <w:noWrap w:val="0"/>
            <w:vAlign w:val="center"/>
          </w:tcPr>
          <w:p w14:paraId="1C20830B">
            <w:pPr>
              <w:pStyle w:val="94"/>
              <w:widowControl w:val="0"/>
              <w:spacing w:line="0" w:lineRule="atLeast"/>
              <w:rPr>
                <w:rFonts w:hint="eastAsia" w:hAnsi="宋体"/>
                <w:color w:val="auto"/>
                <w:spacing w:val="-10"/>
                <w:sz w:val="23"/>
                <w:szCs w:val="23"/>
                <w:highlight w:val="none"/>
              </w:rPr>
            </w:pPr>
            <w:r>
              <w:rPr>
                <w:rFonts w:hint="eastAsia" w:hAnsi="宋体"/>
                <w:color w:val="auto"/>
                <w:spacing w:val="-10"/>
                <w:kern w:val="21"/>
                <w:sz w:val="23"/>
                <w:szCs w:val="23"/>
                <w:highlight w:val="none"/>
              </w:rPr>
              <w:t>15</w:t>
            </w:r>
          </w:p>
        </w:tc>
        <w:tc>
          <w:tcPr>
            <w:tcW w:w="1276" w:type="dxa"/>
            <w:noWrap w:val="0"/>
            <w:vAlign w:val="center"/>
          </w:tcPr>
          <w:p w14:paraId="6858516A">
            <w:pPr>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0"/>
                <w:sz w:val="23"/>
                <w:szCs w:val="23"/>
                <w:highlight w:val="none"/>
                <w:lang w:bidi="ar"/>
              </w:rPr>
              <w:t>除硫剂</w:t>
            </w:r>
          </w:p>
        </w:tc>
        <w:tc>
          <w:tcPr>
            <w:tcW w:w="434" w:type="dxa"/>
            <w:noWrap w:val="0"/>
            <w:vAlign w:val="center"/>
          </w:tcPr>
          <w:p w14:paraId="4D39777C">
            <w:pPr>
              <w:adjustRightInd w:val="0"/>
              <w:spacing w:line="0" w:lineRule="atLeast"/>
              <w:jc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21929716">
            <w:pPr>
              <w:spacing w:line="0" w:lineRule="atLeast"/>
              <w:jc w:val="center"/>
              <w:rPr>
                <w:rFonts w:hint="eastAsia" w:hAnsi="宋体"/>
                <w:color w:val="auto"/>
                <w:spacing w:val="-10"/>
                <w:kern w:val="21"/>
                <w:sz w:val="23"/>
                <w:szCs w:val="23"/>
                <w:highlight w:val="none"/>
              </w:rPr>
            </w:pPr>
            <w:r>
              <w:rPr>
                <w:rFonts w:hint="eastAsia" w:hAnsi="宋体"/>
                <w:color w:val="auto"/>
                <w:spacing w:val="-10"/>
                <w:sz w:val="23"/>
                <w:szCs w:val="23"/>
                <w:highlight w:val="none"/>
              </w:rPr>
              <w:t>5</w:t>
            </w:r>
          </w:p>
        </w:tc>
        <w:tc>
          <w:tcPr>
            <w:tcW w:w="4746" w:type="dxa"/>
            <w:noWrap w:val="0"/>
            <w:vAlign w:val="center"/>
          </w:tcPr>
          <w:p w14:paraId="0022CB2B">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主要成分碱式碳酸锌，白色细微无定形粉末，无臭、</w:t>
            </w:r>
          </w:p>
          <w:p w14:paraId="7C2B9939">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无味</w:t>
            </w:r>
          </w:p>
        </w:tc>
        <w:tc>
          <w:tcPr>
            <w:tcW w:w="1180" w:type="dxa"/>
            <w:noWrap w:val="0"/>
            <w:vAlign w:val="center"/>
          </w:tcPr>
          <w:p w14:paraId="271D3836">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钻井液除</w:t>
            </w:r>
          </w:p>
          <w:p w14:paraId="01209534">
            <w:pPr>
              <w:adjustRightInd w:val="0"/>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lang w:bidi="ar"/>
              </w:rPr>
              <w:t>硫剂</w:t>
            </w:r>
          </w:p>
        </w:tc>
      </w:tr>
      <w:tr w14:paraId="371FC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41" w:hRule="atLeast"/>
          <w:jc w:val="center"/>
        </w:trPr>
        <w:tc>
          <w:tcPr>
            <w:tcW w:w="406" w:type="dxa"/>
            <w:noWrap w:val="0"/>
            <w:vAlign w:val="center"/>
          </w:tcPr>
          <w:p w14:paraId="2A0EE9F9">
            <w:pPr>
              <w:pStyle w:val="94"/>
              <w:widowControl w:val="0"/>
              <w:spacing w:line="0" w:lineRule="atLeast"/>
              <w:rPr>
                <w:rFonts w:hAnsi="宋体"/>
                <w:color w:val="auto"/>
                <w:spacing w:val="-10"/>
                <w:kern w:val="21"/>
                <w:sz w:val="23"/>
                <w:szCs w:val="23"/>
                <w:highlight w:val="none"/>
              </w:rPr>
            </w:pPr>
            <w:r>
              <w:rPr>
                <w:rFonts w:hint="eastAsia" w:hAnsi="宋体"/>
                <w:color w:val="auto"/>
                <w:spacing w:val="-10"/>
                <w:kern w:val="21"/>
                <w:sz w:val="23"/>
                <w:szCs w:val="23"/>
                <w:highlight w:val="none"/>
              </w:rPr>
              <w:t>16</w:t>
            </w:r>
          </w:p>
        </w:tc>
        <w:tc>
          <w:tcPr>
            <w:tcW w:w="1276" w:type="dxa"/>
            <w:noWrap w:val="0"/>
            <w:vAlign w:val="center"/>
          </w:tcPr>
          <w:p w14:paraId="2A305483">
            <w:pPr>
              <w:spacing w:line="0" w:lineRule="atLeast"/>
              <w:jc w:val="center"/>
              <w:textAlignment w:val="center"/>
              <w:rPr>
                <w:rFonts w:hint="eastAsia" w:hAnsi="宋体"/>
                <w:color w:val="auto"/>
                <w:spacing w:val="-10"/>
                <w:kern w:val="0"/>
                <w:sz w:val="23"/>
                <w:szCs w:val="23"/>
                <w:highlight w:val="none"/>
                <w:lang w:bidi="ar"/>
              </w:rPr>
            </w:pPr>
            <w:r>
              <w:rPr>
                <w:rFonts w:hint="eastAsia" w:hAnsi="宋体"/>
                <w:color w:val="auto"/>
                <w:spacing w:val="-10"/>
                <w:kern w:val="0"/>
                <w:sz w:val="23"/>
                <w:szCs w:val="23"/>
                <w:highlight w:val="none"/>
                <w:lang w:bidi="ar"/>
              </w:rPr>
              <w:t>防塌剂</w:t>
            </w:r>
          </w:p>
          <w:p w14:paraId="2F583FCC">
            <w:pPr>
              <w:spacing w:line="0" w:lineRule="atLeast"/>
              <w:jc w:val="center"/>
              <w:textAlignment w:val="center"/>
              <w:rPr>
                <w:rFonts w:hint="eastAsia" w:hAnsi="宋体"/>
                <w:color w:val="auto"/>
                <w:spacing w:val="-10"/>
                <w:kern w:val="0"/>
                <w:sz w:val="23"/>
                <w:szCs w:val="23"/>
                <w:highlight w:val="none"/>
                <w:lang w:bidi="ar"/>
              </w:rPr>
            </w:pPr>
            <w:r>
              <w:rPr>
                <w:rFonts w:hint="eastAsia" w:hAnsi="宋体"/>
                <w:color w:val="auto"/>
                <w:spacing w:val="-10"/>
                <w:kern w:val="0"/>
                <w:sz w:val="23"/>
                <w:szCs w:val="23"/>
                <w:highlight w:val="none"/>
                <w:lang w:bidi="ar"/>
              </w:rPr>
              <w:t>(胶体)/</w:t>
            </w:r>
          </w:p>
          <w:p w14:paraId="55A9AC97">
            <w:pPr>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0"/>
                <w:sz w:val="23"/>
                <w:szCs w:val="23"/>
                <w:highlight w:val="none"/>
                <w:lang w:bidi="ar"/>
              </w:rPr>
              <w:t>SY-A01等</w:t>
            </w:r>
          </w:p>
        </w:tc>
        <w:tc>
          <w:tcPr>
            <w:tcW w:w="434" w:type="dxa"/>
            <w:noWrap w:val="0"/>
            <w:vAlign w:val="center"/>
          </w:tcPr>
          <w:p w14:paraId="67A5A2A8">
            <w:pPr>
              <w:adjustRightInd w:val="0"/>
              <w:spacing w:line="0" w:lineRule="atLeast"/>
              <w:jc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0BA69DF4">
            <w:pPr>
              <w:spacing w:line="0" w:lineRule="atLeast"/>
              <w:jc w:val="center"/>
              <w:rPr>
                <w:rFonts w:hAnsi="宋体"/>
                <w:color w:val="auto"/>
                <w:spacing w:val="-10"/>
                <w:kern w:val="21"/>
                <w:sz w:val="23"/>
                <w:szCs w:val="23"/>
                <w:highlight w:val="none"/>
              </w:rPr>
            </w:pPr>
            <w:r>
              <w:rPr>
                <w:rFonts w:hint="eastAsia" w:hAnsi="宋体"/>
                <w:color w:val="auto"/>
                <w:spacing w:val="-10"/>
                <w:sz w:val="23"/>
                <w:szCs w:val="23"/>
                <w:highlight w:val="none"/>
              </w:rPr>
              <w:t>13</w:t>
            </w:r>
          </w:p>
        </w:tc>
        <w:tc>
          <w:tcPr>
            <w:tcW w:w="4746" w:type="dxa"/>
            <w:noWrap w:val="0"/>
            <w:vAlign w:val="center"/>
          </w:tcPr>
          <w:p w14:paraId="493F92C5">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黑色胶状物、均匀分散，无漂浮固状物</w:t>
            </w:r>
          </w:p>
        </w:tc>
        <w:tc>
          <w:tcPr>
            <w:tcW w:w="1180" w:type="dxa"/>
            <w:noWrap w:val="0"/>
            <w:vAlign w:val="center"/>
          </w:tcPr>
          <w:p w14:paraId="3246B3B6">
            <w:pPr>
              <w:adjustRightInd w:val="0"/>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lang w:bidi="ar"/>
              </w:rPr>
              <w:t>钻井液絮凝剂、页岩抑制剂防塌剂</w:t>
            </w:r>
          </w:p>
        </w:tc>
      </w:tr>
      <w:tr w14:paraId="386A7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99" w:hRule="atLeast"/>
          <w:jc w:val="center"/>
        </w:trPr>
        <w:tc>
          <w:tcPr>
            <w:tcW w:w="406" w:type="dxa"/>
            <w:noWrap w:val="0"/>
            <w:vAlign w:val="center"/>
          </w:tcPr>
          <w:p w14:paraId="799EBF06">
            <w:pPr>
              <w:pStyle w:val="94"/>
              <w:widowControl w:val="0"/>
              <w:spacing w:line="0" w:lineRule="atLeast"/>
              <w:rPr>
                <w:rFonts w:hint="eastAsia" w:hAnsi="宋体"/>
                <w:color w:val="auto"/>
                <w:spacing w:val="-10"/>
                <w:kern w:val="21"/>
                <w:sz w:val="23"/>
                <w:szCs w:val="23"/>
                <w:highlight w:val="none"/>
              </w:rPr>
            </w:pPr>
            <w:r>
              <w:rPr>
                <w:rFonts w:hint="eastAsia" w:hAnsi="宋体"/>
                <w:color w:val="auto"/>
                <w:spacing w:val="-10"/>
                <w:kern w:val="21"/>
                <w:sz w:val="23"/>
                <w:szCs w:val="23"/>
                <w:highlight w:val="none"/>
              </w:rPr>
              <w:t>17</w:t>
            </w:r>
          </w:p>
        </w:tc>
        <w:tc>
          <w:tcPr>
            <w:tcW w:w="1276" w:type="dxa"/>
            <w:noWrap w:val="0"/>
            <w:vAlign w:val="center"/>
          </w:tcPr>
          <w:p w14:paraId="4C07F37F">
            <w:pPr>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0"/>
                <w:sz w:val="23"/>
                <w:szCs w:val="23"/>
                <w:highlight w:val="none"/>
                <w:lang w:bidi="ar"/>
              </w:rPr>
              <w:t>防塌剂(粉剂)/FT-1A/KH-N/DYFT-2</w:t>
            </w:r>
          </w:p>
        </w:tc>
        <w:tc>
          <w:tcPr>
            <w:tcW w:w="434" w:type="dxa"/>
            <w:noWrap w:val="0"/>
            <w:vAlign w:val="center"/>
          </w:tcPr>
          <w:p w14:paraId="30638FD4">
            <w:pPr>
              <w:adjustRightInd w:val="0"/>
              <w:spacing w:line="0" w:lineRule="atLeast"/>
              <w:jc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348A6306">
            <w:pPr>
              <w:spacing w:line="0" w:lineRule="atLeast"/>
              <w:jc w:val="center"/>
              <w:rPr>
                <w:rFonts w:hAnsi="宋体"/>
                <w:color w:val="auto"/>
                <w:spacing w:val="-10"/>
                <w:kern w:val="21"/>
                <w:sz w:val="23"/>
                <w:szCs w:val="23"/>
                <w:highlight w:val="none"/>
              </w:rPr>
            </w:pPr>
            <w:r>
              <w:rPr>
                <w:rFonts w:hint="eastAsia" w:hAnsi="宋体"/>
                <w:color w:val="auto"/>
                <w:spacing w:val="-10"/>
                <w:sz w:val="23"/>
                <w:szCs w:val="23"/>
                <w:highlight w:val="none"/>
              </w:rPr>
              <w:t>18</w:t>
            </w:r>
          </w:p>
        </w:tc>
        <w:tc>
          <w:tcPr>
            <w:tcW w:w="4746" w:type="dxa"/>
            <w:noWrap w:val="0"/>
            <w:vAlign w:val="center"/>
          </w:tcPr>
          <w:p w14:paraId="338870A0">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磺化沥青，粉状，可吸附在黏土上</w:t>
            </w:r>
            <w:r>
              <w:rPr>
                <w:rFonts w:hint="eastAsia" w:hAnsi="宋体"/>
                <w:color w:val="auto"/>
                <w:spacing w:val="-10"/>
                <w:kern w:val="21"/>
                <w:sz w:val="23"/>
                <w:szCs w:val="23"/>
                <w:highlight w:val="none"/>
                <w:lang w:eastAsia="zh-CN" w:bidi="ar"/>
              </w:rPr>
              <w:t>阻止</w:t>
            </w:r>
            <w:r>
              <w:rPr>
                <w:rFonts w:hint="eastAsia" w:hAnsi="宋体"/>
                <w:color w:val="auto"/>
                <w:spacing w:val="-10"/>
                <w:kern w:val="21"/>
                <w:sz w:val="23"/>
                <w:szCs w:val="23"/>
                <w:highlight w:val="none"/>
                <w:lang w:bidi="ar"/>
              </w:rPr>
              <w:t>页岩颗粒分散，吸附在页岩微缝上阻止水渗入，改善井壁泥饼润滑性，抗盐性好</w:t>
            </w:r>
          </w:p>
        </w:tc>
        <w:tc>
          <w:tcPr>
            <w:tcW w:w="1180" w:type="dxa"/>
            <w:noWrap w:val="0"/>
            <w:vAlign w:val="center"/>
          </w:tcPr>
          <w:p w14:paraId="5CC9AC42">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钻井液防</w:t>
            </w:r>
          </w:p>
          <w:p w14:paraId="2D31F400">
            <w:pPr>
              <w:adjustRightInd w:val="0"/>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lang w:bidi="ar"/>
              </w:rPr>
              <w:t>塌剂</w:t>
            </w:r>
          </w:p>
        </w:tc>
      </w:tr>
      <w:tr w14:paraId="17748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9" w:hRule="atLeast"/>
          <w:jc w:val="center"/>
        </w:trPr>
        <w:tc>
          <w:tcPr>
            <w:tcW w:w="406" w:type="dxa"/>
            <w:noWrap w:val="0"/>
            <w:vAlign w:val="center"/>
          </w:tcPr>
          <w:p w14:paraId="4992BCE2">
            <w:pPr>
              <w:pStyle w:val="94"/>
              <w:widowControl w:val="0"/>
              <w:spacing w:line="0" w:lineRule="atLeast"/>
              <w:rPr>
                <w:rFonts w:hint="eastAsia" w:hAnsi="宋体"/>
                <w:color w:val="auto"/>
                <w:spacing w:val="-10"/>
                <w:kern w:val="21"/>
                <w:sz w:val="23"/>
                <w:szCs w:val="23"/>
                <w:highlight w:val="none"/>
              </w:rPr>
            </w:pPr>
            <w:r>
              <w:rPr>
                <w:rFonts w:hint="eastAsia" w:hAnsi="宋体"/>
                <w:color w:val="auto"/>
                <w:spacing w:val="-10"/>
                <w:kern w:val="21"/>
                <w:sz w:val="23"/>
                <w:szCs w:val="23"/>
                <w:highlight w:val="none"/>
              </w:rPr>
              <w:t>18</w:t>
            </w:r>
          </w:p>
        </w:tc>
        <w:tc>
          <w:tcPr>
            <w:tcW w:w="1276" w:type="dxa"/>
            <w:noWrap w:val="0"/>
            <w:vAlign w:val="center"/>
          </w:tcPr>
          <w:p w14:paraId="03F51628">
            <w:pPr>
              <w:spacing w:line="0" w:lineRule="atLeast"/>
              <w:jc w:val="center"/>
              <w:textAlignment w:val="center"/>
              <w:rPr>
                <w:rFonts w:hint="eastAsia" w:hAnsi="宋体"/>
                <w:color w:val="auto"/>
                <w:spacing w:val="-10"/>
                <w:kern w:val="0"/>
                <w:sz w:val="23"/>
                <w:szCs w:val="23"/>
                <w:highlight w:val="none"/>
                <w:lang w:bidi="ar"/>
              </w:rPr>
            </w:pPr>
            <w:r>
              <w:rPr>
                <w:rFonts w:hint="eastAsia" w:hAnsi="宋体"/>
                <w:color w:val="auto"/>
                <w:spacing w:val="-10"/>
                <w:kern w:val="0"/>
                <w:sz w:val="23"/>
                <w:szCs w:val="23"/>
                <w:highlight w:val="none"/>
                <w:lang w:bidi="ar"/>
              </w:rPr>
              <w:t>润滑剂/PRH-1/</w:t>
            </w:r>
          </w:p>
          <w:p w14:paraId="5DC69A68">
            <w:pPr>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0"/>
                <w:sz w:val="23"/>
                <w:szCs w:val="23"/>
                <w:highlight w:val="none"/>
                <w:lang w:bidi="ar"/>
              </w:rPr>
              <w:t>TRH-1等</w:t>
            </w:r>
          </w:p>
        </w:tc>
        <w:tc>
          <w:tcPr>
            <w:tcW w:w="434" w:type="dxa"/>
            <w:noWrap w:val="0"/>
            <w:vAlign w:val="center"/>
          </w:tcPr>
          <w:p w14:paraId="65807A8F">
            <w:pPr>
              <w:adjustRightInd w:val="0"/>
              <w:spacing w:line="0" w:lineRule="atLeast"/>
              <w:jc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rPr>
              <w:t>t</w:t>
            </w:r>
          </w:p>
        </w:tc>
        <w:tc>
          <w:tcPr>
            <w:tcW w:w="526" w:type="dxa"/>
            <w:noWrap w:val="0"/>
            <w:vAlign w:val="center"/>
          </w:tcPr>
          <w:p w14:paraId="3FE5BF2F">
            <w:pPr>
              <w:spacing w:line="0" w:lineRule="atLeast"/>
              <w:jc w:val="center"/>
              <w:rPr>
                <w:rFonts w:hint="eastAsia" w:hAnsi="宋体"/>
                <w:color w:val="auto"/>
                <w:spacing w:val="-10"/>
                <w:kern w:val="21"/>
                <w:sz w:val="23"/>
                <w:szCs w:val="23"/>
                <w:highlight w:val="none"/>
              </w:rPr>
            </w:pPr>
            <w:r>
              <w:rPr>
                <w:rFonts w:hint="eastAsia" w:hAnsi="宋体"/>
                <w:color w:val="auto"/>
                <w:spacing w:val="-10"/>
                <w:sz w:val="23"/>
                <w:szCs w:val="23"/>
                <w:highlight w:val="none"/>
              </w:rPr>
              <w:t>15</w:t>
            </w:r>
          </w:p>
        </w:tc>
        <w:tc>
          <w:tcPr>
            <w:tcW w:w="4746" w:type="dxa"/>
            <w:noWrap w:val="0"/>
            <w:vAlign w:val="center"/>
          </w:tcPr>
          <w:p w14:paraId="414D1329">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eastAsia="zh-CN" w:bidi="ar"/>
              </w:rPr>
              <w:t>芳烃</w:t>
            </w:r>
            <w:r>
              <w:rPr>
                <w:rFonts w:hint="eastAsia" w:hAnsi="宋体"/>
                <w:color w:val="auto"/>
                <w:spacing w:val="-10"/>
                <w:kern w:val="21"/>
                <w:sz w:val="23"/>
                <w:szCs w:val="23"/>
                <w:highlight w:val="none"/>
                <w:lang w:bidi="ar"/>
              </w:rPr>
              <w:t>类衍生物复配，</w:t>
            </w:r>
          </w:p>
          <w:p w14:paraId="4D00517E">
            <w:pPr>
              <w:adjustRightInd w:val="0"/>
              <w:spacing w:line="0" w:lineRule="atLeast"/>
              <w:jc w:val="left"/>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棕褐色液体</w:t>
            </w:r>
          </w:p>
        </w:tc>
        <w:tc>
          <w:tcPr>
            <w:tcW w:w="1180" w:type="dxa"/>
            <w:noWrap w:val="0"/>
            <w:vAlign w:val="center"/>
          </w:tcPr>
          <w:p w14:paraId="57AF4796">
            <w:pPr>
              <w:adjustRightInd w:val="0"/>
              <w:spacing w:line="0" w:lineRule="atLeast"/>
              <w:jc w:val="center"/>
              <w:textAlignment w:val="center"/>
              <w:rPr>
                <w:rFonts w:hint="eastAsia" w:hAnsi="宋体"/>
                <w:color w:val="auto"/>
                <w:spacing w:val="-10"/>
                <w:kern w:val="21"/>
                <w:sz w:val="23"/>
                <w:szCs w:val="23"/>
                <w:highlight w:val="none"/>
                <w:lang w:bidi="ar"/>
              </w:rPr>
            </w:pPr>
            <w:r>
              <w:rPr>
                <w:rFonts w:hint="eastAsia" w:hAnsi="宋体"/>
                <w:color w:val="auto"/>
                <w:spacing w:val="-10"/>
                <w:kern w:val="21"/>
                <w:sz w:val="23"/>
                <w:szCs w:val="23"/>
                <w:highlight w:val="none"/>
                <w:lang w:bidi="ar"/>
              </w:rPr>
              <w:t>钻井液润</w:t>
            </w:r>
          </w:p>
          <w:p w14:paraId="50F9FF24">
            <w:pPr>
              <w:adjustRightInd w:val="0"/>
              <w:spacing w:line="0" w:lineRule="atLeast"/>
              <w:jc w:val="center"/>
              <w:textAlignment w:val="center"/>
              <w:rPr>
                <w:rFonts w:hint="eastAsia" w:hAnsi="宋体"/>
                <w:color w:val="auto"/>
                <w:spacing w:val="-10"/>
                <w:kern w:val="21"/>
                <w:sz w:val="23"/>
                <w:szCs w:val="23"/>
                <w:highlight w:val="none"/>
              </w:rPr>
            </w:pPr>
            <w:r>
              <w:rPr>
                <w:rFonts w:hint="eastAsia" w:hAnsi="宋体"/>
                <w:color w:val="auto"/>
                <w:spacing w:val="-10"/>
                <w:kern w:val="21"/>
                <w:sz w:val="23"/>
                <w:szCs w:val="23"/>
                <w:highlight w:val="none"/>
                <w:lang w:bidi="ar"/>
              </w:rPr>
              <w:t>滑剂</w:t>
            </w:r>
          </w:p>
        </w:tc>
      </w:tr>
    </w:tbl>
    <w:p w14:paraId="2EA7A0E5">
      <w:pPr>
        <w:pStyle w:val="13"/>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240" w:lineRule="auto"/>
        <w:jc w:val="center"/>
        <w:rPr>
          <w:rFonts w:hint="default" w:ascii="Times New Roman" w:hAnsi="Times New Roman" w:eastAsia="黑体" w:cs="Times New Roman"/>
          <w:snapToGrid w:val="0"/>
          <w:color w:val="auto"/>
          <w:sz w:val="21"/>
          <w:highlight w:val="none"/>
        </w:rPr>
      </w:pPr>
    </w:p>
    <w:p w14:paraId="1A5E3E34">
      <w:pPr>
        <w:pStyle w:val="12"/>
        <w:keepNext w:val="0"/>
        <w:keepLines w:val="0"/>
        <w:pageBreakBefore w:val="0"/>
        <w:widowControl/>
        <w:numPr>
          <w:ilvl w:val="0"/>
          <w:numId w:val="0"/>
        </w:numPr>
        <w:kinsoku/>
        <w:wordWrap/>
        <w:overflowPunct/>
        <w:topLinePunct w:val="0"/>
        <w:autoSpaceDE/>
        <w:autoSpaceDN/>
        <w:bidi w:val="0"/>
        <w:adjustRightInd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井场布置</w:t>
      </w:r>
    </w:p>
    <w:p w14:paraId="539516FC">
      <w:pPr>
        <w:pStyle w:val="12"/>
        <w:bidi w:val="0"/>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单个</w:t>
      </w:r>
      <w:r>
        <w:rPr>
          <w:rFonts w:hint="default" w:ascii="Times New Roman" w:hAnsi="Times New Roman" w:cs="Times New Roman"/>
          <w:color w:val="auto"/>
          <w:highlight w:val="none"/>
        </w:rPr>
        <w:t>钻井井场占地面积为</w:t>
      </w:r>
      <w:r>
        <w:rPr>
          <w:rFonts w:hint="default" w:ascii="Times New Roman" w:hAnsi="Times New Roman" w:cs="Times New Roman"/>
          <w:color w:val="auto"/>
          <w:highlight w:val="none"/>
          <w:lang w:val="en-US" w:eastAsia="zh-CN"/>
        </w:rPr>
        <w:t>13200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110m×120m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其中永久占地面积为4500m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（60m×75m），临时占地面积为8700m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钻井井场</w:t>
      </w:r>
      <w:r>
        <w:rPr>
          <w:rFonts w:hint="default" w:ascii="Times New Roman" w:hAnsi="Times New Roman" w:cs="Times New Roman"/>
          <w:color w:val="auto"/>
          <w:highlight w:val="none"/>
        </w:rPr>
        <w:t>设置钻井平台1套，钻井废弃物不落地处理系统1套及临时生活区。侧钻井不新增永久占地，仅新增临时占地。</w:t>
      </w:r>
      <w:r>
        <w:rPr>
          <w:rFonts w:hint="eastAsia" w:ascii="Times New Roman" w:hAnsi="Times New Roman" w:cs="Times New Roman"/>
          <w:color w:val="auto"/>
          <w:highlight w:val="none"/>
          <w:lang w:eastAsia="zh-CN"/>
        </w:rPr>
        <w:t>钻井</w:t>
      </w:r>
      <w:r>
        <w:rPr>
          <w:rFonts w:hint="default" w:ascii="Times New Roman" w:hAnsi="Times New Roman" w:cs="Times New Roman"/>
          <w:color w:val="auto"/>
          <w:highlight w:val="none"/>
        </w:rPr>
        <w:t>平面布置见图3.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14:paraId="7FC9F2A8">
      <w:pPr>
        <w:pStyle w:val="12"/>
        <w:keepNext w:val="0"/>
        <w:keepLines w:val="0"/>
        <w:pageBreakBefore w:val="0"/>
        <w:widowControl/>
        <w:kinsoku/>
        <w:wordWrap/>
        <w:overflowPunct/>
        <w:topLinePunct w:val="0"/>
        <w:autoSpaceDE/>
        <w:autoSpaceDN/>
        <w:bidi w:val="0"/>
        <w:adjustRightInd w:val="0"/>
        <w:spacing w:line="240" w:lineRule="auto"/>
        <w:jc w:val="center"/>
        <w:rPr>
          <w:rFonts w:hint="default" w:ascii="Times New Roman" w:hAnsi="Times New Roman" w:eastAsia="黑体" w:cs="Times New Roman"/>
          <w:color w:val="auto"/>
          <w:highlight w:val="none"/>
          <w:lang w:eastAsia="zh-CN"/>
        </w:rPr>
      </w:pPr>
    </w:p>
    <w:p w14:paraId="3DB2A41A">
      <w:pPr>
        <w:pStyle w:val="45"/>
        <w:keepNext w:val="0"/>
        <w:keepLines w:val="0"/>
        <w:pageBreakBefore w:val="0"/>
        <w:widowControl/>
        <w:kinsoku/>
        <w:wordWrap/>
        <w:overflowPunct/>
        <w:topLinePunct w:val="0"/>
        <w:autoSpaceDE/>
        <w:autoSpaceDN/>
        <w:bidi w:val="0"/>
        <w:adjustRightInd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图3.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钻井期井场平面布置示意图</w:t>
      </w:r>
    </w:p>
    <w:p w14:paraId="0248B74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p>
    <w:p w14:paraId="58A4458B">
      <w:pPr>
        <w:pStyle w:val="7"/>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"3.1.5.2"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储层改造工程</w:t>
      </w:r>
    </w:p>
    <w:p w14:paraId="34C9EAC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（1）储层改造工艺</w:t>
      </w:r>
    </w:p>
    <w:p w14:paraId="1FED247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highlight w:val="none"/>
          <w:lang w:val="en-US" w:eastAsia="zh-CN"/>
        </w:rPr>
      </w:pPr>
      <w:r>
        <w:rPr>
          <w:rFonts w:hint="default" w:ascii="Times New Roman" w:hAnsi="Times New Roman" w:cs="Times New Roman"/>
          <w:color w:val="auto"/>
          <w:highlight w:val="none"/>
          <w:lang w:val="en-US" w:eastAsia="zh-CN"/>
        </w:rPr>
        <w:t>本</w:t>
      </w:r>
      <w:r>
        <w:rPr>
          <w:rFonts w:hint="eastAsia" w:cs="Times New Roman"/>
          <w:color w:val="auto"/>
          <w:highlight w:val="none"/>
          <w:lang w:val="en-US" w:eastAsia="zh-CN"/>
        </w:rPr>
        <w:t>项目</w:t>
      </w:r>
      <w:r>
        <w:rPr>
          <w:rFonts w:hint="default" w:ascii="Times New Roman" w:hAnsi="Times New Roman" w:cs="Times New Roman"/>
          <w:color w:val="auto"/>
          <w:highlight w:val="none"/>
          <w:lang w:val="en-US" w:eastAsia="zh-CN"/>
        </w:rPr>
        <w:t>部署的4口</w:t>
      </w:r>
      <w:r>
        <w:rPr>
          <w:rFonts w:hint="eastAsia" w:cs="Times New Roman"/>
          <w:color w:val="auto"/>
          <w:highlight w:val="none"/>
          <w:lang w:val="en-US" w:eastAsia="zh-CN"/>
        </w:rPr>
        <w:t>侧钻井</w:t>
      </w:r>
      <w:r>
        <w:rPr>
          <w:rFonts w:hint="default" w:ascii="Times New Roman" w:hAnsi="Times New Roman" w:cs="Times New Roman"/>
          <w:color w:val="auto"/>
          <w:highlight w:val="none"/>
          <w:lang w:val="en-US" w:eastAsia="zh-CN"/>
        </w:rPr>
        <w:t>井分别实施酸压/酸化改造：TH10294CH</w:t>
      </w:r>
      <w:r>
        <w:rPr>
          <w:rFonts w:hint="eastAsia" w:cs="Times New Roman"/>
          <w:color w:val="auto"/>
          <w:highlight w:val="none"/>
          <w:lang w:val="en-US" w:eastAsia="zh-CN"/>
        </w:rPr>
        <w:t>井</w:t>
      </w:r>
      <w:r>
        <w:rPr>
          <w:rFonts w:hint="default" w:ascii="Times New Roman" w:hAnsi="Times New Roman" w:cs="Times New Roman"/>
          <w:color w:val="auto"/>
          <w:highlight w:val="none"/>
          <w:lang w:val="en-US" w:eastAsia="zh-CN"/>
        </w:rPr>
        <w:t>、TK872CH</w:t>
      </w:r>
      <w:r>
        <w:rPr>
          <w:rFonts w:hint="eastAsia" w:cs="Times New Roman"/>
          <w:color w:val="auto"/>
          <w:highlight w:val="none"/>
          <w:lang w:val="en-US" w:eastAsia="zh-CN"/>
        </w:rPr>
        <w:t>井采用</w:t>
      </w:r>
      <w:r>
        <w:rPr>
          <w:rFonts w:hint="default" w:ascii="Times New Roman" w:hAnsi="Times New Roman" w:cs="Times New Roman"/>
          <w:color w:val="auto"/>
          <w:highlight w:val="none"/>
          <w:lang w:val="en-US" w:eastAsia="zh-CN"/>
        </w:rPr>
        <w:t>酸化</w:t>
      </w:r>
      <w:r>
        <w:rPr>
          <w:rFonts w:hint="eastAsia" w:cs="Times New Roman"/>
          <w:color w:val="auto"/>
          <w:highlight w:val="none"/>
          <w:lang w:val="en-US" w:eastAsia="zh-CN"/>
        </w:rPr>
        <w:t>工艺</w:t>
      </w:r>
      <w:r>
        <w:rPr>
          <w:rFonts w:hint="default" w:ascii="Times New Roman" w:hAnsi="Times New Roman" w:cs="Times New Roman"/>
          <w:color w:val="auto"/>
          <w:highlight w:val="none"/>
          <w:lang w:val="en-US" w:eastAsia="zh-CN"/>
        </w:rPr>
        <w:t>；TH10250CH</w:t>
      </w:r>
      <w:r>
        <w:rPr>
          <w:rFonts w:hint="eastAsia" w:cs="Times New Roman"/>
          <w:color w:val="auto"/>
          <w:highlight w:val="none"/>
          <w:lang w:val="en-US" w:eastAsia="zh-CN"/>
        </w:rPr>
        <w:t>井采用</w:t>
      </w:r>
      <w:r>
        <w:rPr>
          <w:rFonts w:hint="default" w:ascii="Times New Roman" w:hAnsi="Times New Roman" w:cs="Times New Roman"/>
          <w:color w:val="auto"/>
          <w:highlight w:val="none"/>
          <w:lang w:val="en-US" w:eastAsia="zh-CN"/>
        </w:rPr>
        <w:t>常规酸压</w:t>
      </w:r>
      <w:r>
        <w:rPr>
          <w:rFonts w:hint="eastAsia" w:cs="Times New Roman"/>
          <w:color w:val="auto"/>
          <w:highlight w:val="none"/>
          <w:lang w:val="en-US" w:eastAsia="zh-CN"/>
        </w:rPr>
        <w:t>工艺；</w:t>
      </w:r>
      <w:r>
        <w:rPr>
          <w:rFonts w:hint="default" w:ascii="Times New Roman" w:hAnsi="Times New Roman" w:cs="Times New Roman"/>
          <w:color w:val="auto"/>
          <w:highlight w:val="none"/>
          <w:lang w:val="en-US" w:eastAsia="zh-CN"/>
        </w:rPr>
        <w:t>TH10298CH</w:t>
      </w:r>
      <w:r>
        <w:rPr>
          <w:rFonts w:hint="eastAsia" w:cs="Times New Roman"/>
          <w:color w:val="auto"/>
          <w:highlight w:val="none"/>
          <w:lang w:val="en-US" w:eastAsia="zh-CN"/>
        </w:rPr>
        <w:t>井采用</w:t>
      </w:r>
      <w:r>
        <w:rPr>
          <w:rFonts w:hint="default" w:ascii="Times New Roman" w:hAnsi="Times New Roman" w:cs="Times New Roman"/>
          <w:color w:val="auto"/>
          <w:highlight w:val="none"/>
          <w:lang w:val="en-US" w:eastAsia="zh-CN"/>
        </w:rPr>
        <w:t>暂堵分段酸压</w:t>
      </w:r>
      <w:r>
        <w:rPr>
          <w:rFonts w:hint="eastAsia" w:cs="Times New Roman"/>
          <w:color w:val="auto"/>
          <w:highlight w:val="none"/>
          <w:lang w:val="en-US" w:eastAsia="zh-CN"/>
        </w:rPr>
        <w:t>工艺。</w:t>
      </w:r>
    </w:p>
    <w:p w14:paraId="18FD9D8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eastAsia="宋体" w:cs="Times New Roman"/>
          <w:color w:val="auto"/>
          <w:highlight w:val="none"/>
          <w:lang w:val="en-US" w:eastAsia="zh-CN"/>
        </w:rPr>
        <w:t>4口侧钻井</w:t>
      </w:r>
      <w:r>
        <w:rPr>
          <w:rFonts w:hint="eastAsia" w:ascii="Times New Roman" w:hAnsi="Times New Roman" w:eastAsia="宋体" w:cs="Times New Roman"/>
          <w:color w:val="auto"/>
          <w:highlight w:val="none"/>
          <w:lang w:val="en-US" w:eastAsia="zh-CN"/>
        </w:rPr>
        <w:t>储层改造</w:t>
      </w:r>
      <w:r>
        <w:rPr>
          <w:rFonts w:hint="eastAsia" w:eastAsia="宋体" w:cs="Times New Roman"/>
          <w:color w:val="auto"/>
          <w:highlight w:val="none"/>
          <w:lang w:val="en-US" w:eastAsia="zh-CN"/>
        </w:rPr>
        <w:t>方案</w:t>
      </w:r>
      <w:r>
        <w:rPr>
          <w:rFonts w:hint="eastAsia" w:ascii="Times New Roman" w:hAnsi="Times New Roman" w:eastAsia="宋体" w:cs="Times New Roman"/>
          <w:color w:val="auto"/>
          <w:highlight w:val="none"/>
          <w:lang w:val="en-US" w:eastAsia="zh-CN"/>
        </w:rPr>
        <w:t>如表</w:t>
      </w:r>
      <w:r>
        <w:rPr>
          <w:rFonts w:hint="eastAsia" w:eastAsia="宋体" w:cs="Times New Roman"/>
          <w:color w:val="auto"/>
          <w:highlight w:val="none"/>
          <w:lang w:val="en-US" w:eastAsia="zh-CN"/>
        </w:rPr>
        <w:t>3.3-9。</w:t>
      </w:r>
    </w:p>
    <w:p w14:paraId="0A019AA3">
      <w:pPr>
        <w:pStyle w:val="45"/>
        <w:keepNext w:val="0"/>
        <w:keepLines w:val="0"/>
        <w:pageBreakBefore w:val="0"/>
        <w:widowControl/>
        <w:kinsoku/>
        <w:wordWrap/>
        <w:overflowPunct/>
        <w:topLinePunct w:val="0"/>
        <w:autoSpaceDE/>
        <w:autoSpaceDN/>
        <w:bidi w:val="0"/>
        <w:adjustRightInd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表3.3-9本项目储层改造方案</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10"/>
        <w:gridCol w:w="1313"/>
        <w:gridCol w:w="2934"/>
        <w:gridCol w:w="1771"/>
        <w:gridCol w:w="951"/>
      </w:tblGrid>
      <w:tr w14:paraId="4A22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vAlign w:val="center"/>
          </w:tcPr>
          <w:p w14:paraId="22C28E16">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olor w:val="auto"/>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210" w:type="dxa"/>
            <w:vAlign w:val="center"/>
          </w:tcPr>
          <w:p w14:paraId="60E2C110">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改造工艺</w:t>
            </w:r>
          </w:p>
        </w:tc>
        <w:tc>
          <w:tcPr>
            <w:tcW w:w="1313" w:type="dxa"/>
            <w:vAlign w:val="center"/>
          </w:tcPr>
          <w:p w14:paraId="63A43B3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井号</w:t>
            </w:r>
          </w:p>
        </w:tc>
        <w:tc>
          <w:tcPr>
            <w:tcW w:w="2934" w:type="dxa"/>
            <w:vAlign w:val="center"/>
          </w:tcPr>
          <w:p w14:paraId="59849BB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改造需求</w:t>
            </w:r>
          </w:p>
        </w:tc>
        <w:tc>
          <w:tcPr>
            <w:tcW w:w="1771" w:type="dxa"/>
            <w:vAlign w:val="center"/>
          </w:tcPr>
          <w:p w14:paraId="305FF46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规模</w:t>
            </w:r>
          </w:p>
          <w:p w14:paraId="06E6122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m³</w:t>
            </w:r>
          </w:p>
        </w:tc>
        <w:tc>
          <w:tcPr>
            <w:tcW w:w="951" w:type="dxa"/>
            <w:vAlign w:val="center"/>
          </w:tcPr>
          <w:p w14:paraId="7174641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宋体"/>
                <w:color w:val="auto"/>
                <w:sz w:val="21"/>
                <w:szCs w:val="21"/>
                <w:highlight w:val="none"/>
                <w:vertAlign w:val="baseline"/>
                <w:lang w:val="en-US" w:eastAsia="zh-CN"/>
              </w:rPr>
            </w:pPr>
            <w:r>
              <w:rPr>
                <w:rFonts w:hint="default" w:eastAsia="宋体" w:cs="宋体"/>
                <w:color w:val="auto"/>
                <w:sz w:val="21"/>
                <w:szCs w:val="21"/>
                <w:highlight w:val="none"/>
                <w:vertAlign w:val="baseline"/>
                <w:lang w:val="en-US" w:eastAsia="zh-CN"/>
              </w:rPr>
              <w:t>排量</w:t>
            </w:r>
          </w:p>
          <w:p w14:paraId="79B6630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宋体"/>
                <w:color w:val="auto"/>
                <w:sz w:val="21"/>
                <w:szCs w:val="21"/>
                <w:highlight w:val="none"/>
                <w:vertAlign w:val="baseline"/>
                <w:lang w:val="en-US" w:eastAsia="zh-CN"/>
              </w:rPr>
            </w:pPr>
            <w:r>
              <w:rPr>
                <w:rFonts w:hint="default" w:eastAsia="宋体" w:cs="宋体"/>
                <w:color w:val="auto"/>
                <w:sz w:val="21"/>
                <w:szCs w:val="21"/>
                <w:highlight w:val="none"/>
                <w:vertAlign w:val="baseline"/>
                <w:lang w:val="en-US" w:eastAsia="zh-CN"/>
              </w:rPr>
              <w:t>m³/min</w:t>
            </w:r>
          </w:p>
        </w:tc>
      </w:tr>
      <w:tr w14:paraId="0BC8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vAlign w:val="center"/>
          </w:tcPr>
          <w:p w14:paraId="71611F9B">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olor w:val="auto"/>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c>
          <w:tcPr>
            <w:tcW w:w="1210" w:type="dxa"/>
            <w:vMerge w:val="restart"/>
            <w:vAlign w:val="center"/>
          </w:tcPr>
          <w:p w14:paraId="762E505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酸化</w:t>
            </w:r>
          </w:p>
        </w:tc>
        <w:tc>
          <w:tcPr>
            <w:tcW w:w="1313" w:type="dxa"/>
            <w:vAlign w:val="center"/>
          </w:tcPr>
          <w:p w14:paraId="7709257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TH10294CH</w:t>
            </w:r>
          </w:p>
        </w:tc>
        <w:tc>
          <w:tcPr>
            <w:tcW w:w="2934" w:type="dxa"/>
            <w:vAlign w:val="center"/>
          </w:tcPr>
          <w:p w14:paraId="42746E2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疏通漏失概率大的溶洞型储层近井通道</w:t>
            </w:r>
          </w:p>
        </w:tc>
        <w:tc>
          <w:tcPr>
            <w:tcW w:w="1771" w:type="dxa"/>
            <w:vAlign w:val="center"/>
          </w:tcPr>
          <w:p w14:paraId="752A90D7">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260</w:t>
            </w:r>
          </w:p>
        </w:tc>
        <w:tc>
          <w:tcPr>
            <w:tcW w:w="951" w:type="dxa"/>
            <w:vAlign w:val="center"/>
          </w:tcPr>
          <w:p w14:paraId="6172EC3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≤4</w:t>
            </w:r>
          </w:p>
        </w:tc>
      </w:tr>
      <w:tr w14:paraId="7F50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vAlign w:val="center"/>
          </w:tcPr>
          <w:p w14:paraId="0272E7B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olor w:val="auto"/>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c>
          <w:tcPr>
            <w:tcW w:w="1210" w:type="dxa"/>
            <w:vMerge w:val="continue"/>
            <w:vAlign w:val="center"/>
          </w:tcPr>
          <w:p w14:paraId="009434EC">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p>
        </w:tc>
        <w:tc>
          <w:tcPr>
            <w:tcW w:w="1313" w:type="dxa"/>
            <w:vAlign w:val="center"/>
          </w:tcPr>
          <w:p w14:paraId="295C895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TK872CH</w:t>
            </w:r>
          </w:p>
        </w:tc>
        <w:tc>
          <w:tcPr>
            <w:tcW w:w="2934" w:type="dxa"/>
            <w:vAlign w:val="center"/>
          </w:tcPr>
          <w:p w14:paraId="71A19E1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疏通有裂缝型漏失概率的靶体深部通道</w:t>
            </w:r>
          </w:p>
        </w:tc>
        <w:tc>
          <w:tcPr>
            <w:tcW w:w="1771" w:type="dxa"/>
            <w:vAlign w:val="center"/>
          </w:tcPr>
          <w:p w14:paraId="18BE5A9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290</w:t>
            </w:r>
          </w:p>
        </w:tc>
        <w:tc>
          <w:tcPr>
            <w:tcW w:w="951" w:type="dxa"/>
            <w:vAlign w:val="center"/>
          </w:tcPr>
          <w:p w14:paraId="120D1F1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≤4</w:t>
            </w:r>
          </w:p>
        </w:tc>
      </w:tr>
      <w:tr w14:paraId="7F4C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vAlign w:val="center"/>
          </w:tcPr>
          <w:p w14:paraId="39132CD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olor w:val="auto"/>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w:t>
            </w:r>
          </w:p>
        </w:tc>
        <w:tc>
          <w:tcPr>
            <w:tcW w:w="1210" w:type="dxa"/>
            <w:vAlign w:val="center"/>
          </w:tcPr>
          <w:p w14:paraId="1B8C374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常规酸压</w:t>
            </w:r>
          </w:p>
        </w:tc>
        <w:tc>
          <w:tcPr>
            <w:tcW w:w="1313" w:type="dxa"/>
            <w:vAlign w:val="center"/>
          </w:tcPr>
          <w:p w14:paraId="2D518F5A">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TH10250CH</w:t>
            </w:r>
          </w:p>
        </w:tc>
        <w:tc>
          <w:tcPr>
            <w:tcW w:w="2934" w:type="dxa"/>
            <w:vAlign w:val="center"/>
          </w:tcPr>
          <w:p w14:paraId="5290455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改造沟通有裂缝型漏失概率的单个靶体</w:t>
            </w:r>
          </w:p>
        </w:tc>
        <w:tc>
          <w:tcPr>
            <w:tcW w:w="1771" w:type="dxa"/>
            <w:vAlign w:val="center"/>
          </w:tcPr>
          <w:p w14:paraId="34A686E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720</w:t>
            </w:r>
          </w:p>
        </w:tc>
        <w:tc>
          <w:tcPr>
            <w:tcW w:w="951" w:type="dxa"/>
            <w:vAlign w:val="center"/>
          </w:tcPr>
          <w:p w14:paraId="2358340A">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≥7</w:t>
            </w:r>
          </w:p>
        </w:tc>
      </w:tr>
      <w:tr w14:paraId="504F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vAlign w:val="center"/>
          </w:tcPr>
          <w:p w14:paraId="1C1790AA">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olor w:val="auto"/>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w:t>
            </w:r>
          </w:p>
        </w:tc>
        <w:tc>
          <w:tcPr>
            <w:tcW w:w="1210" w:type="dxa"/>
            <w:vAlign w:val="center"/>
          </w:tcPr>
          <w:p w14:paraId="74810AE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暂堵分段酸压</w:t>
            </w:r>
          </w:p>
        </w:tc>
        <w:tc>
          <w:tcPr>
            <w:tcW w:w="1313" w:type="dxa"/>
            <w:vAlign w:val="center"/>
          </w:tcPr>
          <w:p w14:paraId="3172001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TH10298CH</w:t>
            </w:r>
          </w:p>
        </w:tc>
        <w:tc>
          <w:tcPr>
            <w:tcW w:w="2934" w:type="dxa"/>
            <w:vAlign w:val="center"/>
          </w:tcPr>
          <w:p w14:paraId="1CAA27F7">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针对有漏失概率的两个靶体同时改造</w:t>
            </w:r>
          </w:p>
        </w:tc>
        <w:tc>
          <w:tcPr>
            <w:tcW w:w="1771" w:type="dxa"/>
            <w:vAlign w:val="center"/>
          </w:tcPr>
          <w:p w14:paraId="70E09F7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1110</w:t>
            </w:r>
          </w:p>
          <w:p w14:paraId="0EC0470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（A靶：420，B靶：690）</w:t>
            </w:r>
          </w:p>
        </w:tc>
        <w:tc>
          <w:tcPr>
            <w:tcW w:w="951" w:type="dxa"/>
            <w:vAlign w:val="center"/>
          </w:tcPr>
          <w:p w14:paraId="7BF5570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≥8</w:t>
            </w:r>
          </w:p>
        </w:tc>
      </w:tr>
    </w:tbl>
    <w:p w14:paraId="3F4B0AF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改造材料及配方</w:t>
      </w:r>
    </w:p>
    <w:p w14:paraId="394E90E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塔河油田现有井场改造情况，采用胍胶压裂液造长缝，黄原胶非交联压裂液/滑溜水激活天然裂缝；采用不同酸液体系进行近、中、远井区域的刻蚀。结合本区块改造的需求，具体用液组合需根据不同改造工艺优选改造液组合。由于涉及商业机密，本次酸化压裂液未给出具体配比和详细成分。</w:t>
      </w:r>
    </w:p>
    <w:p w14:paraId="60EDA5F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酸液体系：根据区块改造储层岩心酸溶蚀</w:t>
      </w:r>
      <w:r>
        <w:rPr>
          <w:rFonts w:hint="eastAsia" w:cs="Times New Roman"/>
          <w:color w:val="auto"/>
          <w:highlight w:val="none"/>
          <w:lang w:val="en-US" w:eastAsia="zh-CN"/>
        </w:rPr>
        <w:t>试验</w:t>
      </w:r>
      <w:r>
        <w:rPr>
          <w:rFonts w:hint="eastAsia" w:ascii="Times New Roman" w:hAnsi="Times New Roman" w:eastAsia="宋体" w:cs="Times New Roman"/>
          <w:color w:val="auto"/>
          <w:highlight w:val="none"/>
          <w:lang w:val="en-US" w:eastAsia="zh-CN"/>
        </w:rPr>
        <w:t>确定酸液浓度，并配套相关添加剂。主体酸配方：8%～12%HCl+3.6%缓蚀剂+常规添加剂。</w:t>
      </w:r>
    </w:p>
    <w:p w14:paraId="69C844D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压裂液体系：预测储层温度160℃，选择压裂液体系：0.4%～0.45%超级瓜胶+0.5%助排剂+0.8%温度稳定剂+0.4%交联调节剂+2.0%KCl+0.1%杀菌剂。</w:t>
      </w:r>
    </w:p>
    <w:p w14:paraId="7D0229B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支撑剂体系：采用高强度陶粒，段塞粒径：70目～140目；主加砂支撑剂：40目～70目、尾追30目～50目陶粒。按改造液量500m3计，最高支撑剂浓度340kg/m3，支撑剂砂量30m3左右。</w:t>
      </w:r>
    </w:p>
    <w:p w14:paraId="06E9898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酸压设备配置</w:t>
      </w:r>
    </w:p>
    <w:p w14:paraId="323CF89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酸压施工设备分为地面动力机械设备和井下工具，具体设备设施情况见表3.3-</w:t>
      </w:r>
      <w:r>
        <w:rPr>
          <w:rFonts w:hint="eastAsia" w:eastAsia="宋体"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w:t>
      </w:r>
    </w:p>
    <w:p w14:paraId="77D61795">
      <w:pPr>
        <w:pStyle w:val="45"/>
        <w:keepNext w:val="0"/>
        <w:keepLines w:val="0"/>
        <w:pageBreakBefore w:val="0"/>
        <w:widowControl/>
        <w:kinsoku/>
        <w:wordWrap/>
        <w:overflowPunct/>
        <w:topLinePunct w:val="0"/>
        <w:autoSpaceDE/>
        <w:autoSpaceDN/>
        <w:bidi w:val="0"/>
        <w:adjustRightInd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表3.3-10  单座井场酸压施工所用机械一览表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872"/>
        <w:gridCol w:w="1692"/>
        <w:gridCol w:w="1571"/>
        <w:gridCol w:w="2328"/>
      </w:tblGrid>
      <w:tr w14:paraId="6BF49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68D21913">
            <w:pPr>
              <w:pStyle w:val="94"/>
              <w:widowControl w:val="0"/>
              <w:spacing w:line="0" w:lineRule="atLeast"/>
              <w:rPr>
                <w:rFonts w:hAnsi="宋体"/>
                <w:color w:val="auto"/>
                <w:spacing w:val="-10"/>
                <w:sz w:val="23"/>
                <w:szCs w:val="23"/>
                <w:highlight w:val="none"/>
              </w:rPr>
            </w:pPr>
            <w:r>
              <w:rPr>
                <w:rFonts w:hint="eastAsia" w:hAnsi="宋体"/>
                <w:color w:val="auto"/>
                <w:spacing w:val="-10"/>
                <w:sz w:val="23"/>
                <w:szCs w:val="23"/>
                <w:highlight w:val="none"/>
              </w:rPr>
              <w:t>设备或部件名称</w:t>
            </w:r>
          </w:p>
        </w:tc>
        <w:tc>
          <w:tcPr>
            <w:tcW w:w="999" w:type="pct"/>
            <w:noWrap w:val="0"/>
            <w:vAlign w:val="center"/>
          </w:tcPr>
          <w:p w14:paraId="2C963E41">
            <w:pPr>
              <w:pStyle w:val="94"/>
              <w:widowControl w:val="0"/>
              <w:spacing w:line="0" w:lineRule="atLeast"/>
              <w:rPr>
                <w:rFonts w:hAnsi="宋体"/>
                <w:color w:val="auto"/>
                <w:spacing w:val="-10"/>
                <w:sz w:val="23"/>
                <w:szCs w:val="23"/>
                <w:highlight w:val="none"/>
              </w:rPr>
            </w:pPr>
            <w:r>
              <w:rPr>
                <w:rFonts w:hint="eastAsia" w:hAnsi="宋体"/>
                <w:color w:val="auto"/>
                <w:spacing w:val="-10"/>
                <w:sz w:val="23"/>
                <w:szCs w:val="23"/>
                <w:highlight w:val="none"/>
              </w:rPr>
              <w:t>主参数</w:t>
            </w:r>
          </w:p>
        </w:tc>
        <w:tc>
          <w:tcPr>
            <w:tcW w:w="928" w:type="pct"/>
            <w:noWrap w:val="0"/>
            <w:vAlign w:val="center"/>
          </w:tcPr>
          <w:p w14:paraId="20271595">
            <w:pPr>
              <w:pStyle w:val="94"/>
              <w:widowControl w:val="0"/>
              <w:spacing w:line="0" w:lineRule="atLeast"/>
              <w:rPr>
                <w:rFonts w:hAnsi="宋体"/>
                <w:color w:val="auto"/>
                <w:spacing w:val="-10"/>
                <w:sz w:val="23"/>
                <w:szCs w:val="23"/>
                <w:highlight w:val="none"/>
              </w:rPr>
            </w:pPr>
            <w:r>
              <w:rPr>
                <w:rFonts w:hint="eastAsia" w:hAnsi="宋体"/>
                <w:color w:val="auto"/>
                <w:spacing w:val="-10"/>
                <w:sz w:val="23"/>
                <w:szCs w:val="23"/>
                <w:highlight w:val="none"/>
              </w:rPr>
              <w:t>单位</w:t>
            </w:r>
          </w:p>
        </w:tc>
        <w:tc>
          <w:tcPr>
            <w:tcW w:w="1375" w:type="pct"/>
            <w:noWrap w:val="0"/>
            <w:vAlign w:val="center"/>
          </w:tcPr>
          <w:p w14:paraId="2A360386">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数量</w:t>
            </w:r>
          </w:p>
        </w:tc>
      </w:tr>
      <w:tr w14:paraId="030AF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16086EDA">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运输车辆</w:t>
            </w:r>
          </w:p>
        </w:tc>
        <w:tc>
          <w:tcPr>
            <w:tcW w:w="999" w:type="pct"/>
            <w:noWrap w:val="0"/>
            <w:vAlign w:val="center"/>
          </w:tcPr>
          <w:p w14:paraId="115D7084">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w:t>
            </w:r>
          </w:p>
        </w:tc>
        <w:tc>
          <w:tcPr>
            <w:tcW w:w="928" w:type="pct"/>
            <w:noWrap w:val="0"/>
            <w:vAlign w:val="center"/>
          </w:tcPr>
          <w:p w14:paraId="45FF12AE">
            <w:pPr>
              <w:pStyle w:val="94"/>
              <w:widowControl w:val="0"/>
              <w:spacing w:line="0" w:lineRule="atLeast"/>
              <w:rPr>
                <w:rFonts w:hAnsi="宋体"/>
                <w:color w:val="auto"/>
                <w:spacing w:val="-10"/>
                <w:sz w:val="23"/>
                <w:szCs w:val="23"/>
                <w:highlight w:val="none"/>
              </w:rPr>
            </w:pPr>
            <w:r>
              <w:rPr>
                <w:rFonts w:hAnsi="宋体"/>
                <w:color w:val="auto"/>
                <w:spacing w:val="-10"/>
                <w:sz w:val="23"/>
                <w:szCs w:val="23"/>
                <w:highlight w:val="none"/>
              </w:rPr>
              <w:t>—</w:t>
            </w:r>
          </w:p>
        </w:tc>
        <w:tc>
          <w:tcPr>
            <w:tcW w:w="1375" w:type="pct"/>
            <w:noWrap w:val="0"/>
            <w:vAlign w:val="center"/>
          </w:tcPr>
          <w:p w14:paraId="213B5A28">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5辆</w:t>
            </w:r>
          </w:p>
        </w:tc>
      </w:tr>
      <w:tr w14:paraId="4A76A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52D0E322">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混砂车</w:t>
            </w:r>
          </w:p>
        </w:tc>
        <w:tc>
          <w:tcPr>
            <w:tcW w:w="999" w:type="pct"/>
            <w:noWrap w:val="0"/>
            <w:vAlign w:val="center"/>
          </w:tcPr>
          <w:p w14:paraId="41E3265C">
            <w:pPr>
              <w:pStyle w:val="94"/>
              <w:widowControl w:val="0"/>
              <w:spacing w:line="0" w:lineRule="atLeast"/>
              <w:rPr>
                <w:rFonts w:hAnsi="宋体"/>
                <w:color w:val="auto"/>
                <w:spacing w:val="-10"/>
                <w:sz w:val="23"/>
                <w:szCs w:val="23"/>
                <w:highlight w:val="none"/>
              </w:rPr>
            </w:pPr>
            <w:r>
              <w:rPr>
                <w:rFonts w:hint="eastAsia" w:hAnsi="宋体"/>
                <w:color w:val="auto"/>
                <w:spacing w:val="-10"/>
                <w:sz w:val="23"/>
                <w:szCs w:val="23"/>
                <w:highlight w:val="none"/>
              </w:rPr>
              <w:t>—</w:t>
            </w:r>
          </w:p>
        </w:tc>
        <w:tc>
          <w:tcPr>
            <w:tcW w:w="928" w:type="pct"/>
            <w:noWrap w:val="0"/>
            <w:vAlign w:val="center"/>
          </w:tcPr>
          <w:p w14:paraId="714AE232">
            <w:pPr>
              <w:pStyle w:val="94"/>
              <w:widowControl w:val="0"/>
              <w:spacing w:line="0" w:lineRule="atLeast"/>
              <w:rPr>
                <w:rFonts w:hAnsi="宋体"/>
                <w:color w:val="auto"/>
                <w:spacing w:val="-10"/>
                <w:sz w:val="23"/>
                <w:szCs w:val="23"/>
                <w:highlight w:val="none"/>
              </w:rPr>
            </w:pPr>
            <w:r>
              <w:rPr>
                <w:rFonts w:hAnsi="宋体"/>
                <w:color w:val="auto"/>
                <w:spacing w:val="-10"/>
                <w:sz w:val="23"/>
                <w:szCs w:val="23"/>
                <w:highlight w:val="none"/>
              </w:rPr>
              <w:t>—</w:t>
            </w:r>
          </w:p>
        </w:tc>
        <w:tc>
          <w:tcPr>
            <w:tcW w:w="1375" w:type="pct"/>
            <w:noWrap w:val="0"/>
            <w:vAlign w:val="center"/>
          </w:tcPr>
          <w:p w14:paraId="4735167B">
            <w:pPr>
              <w:pStyle w:val="94"/>
              <w:widowControl w:val="0"/>
              <w:spacing w:line="0" w:lineRule="atLeast"/>
              <w:rPr>
                <w:rFonts w:hAnsi="宋体"/>
                <w:color w:val="auto"/>
                <w:spacing w:val="-10"/>
                <w:sz w:val="23"/>
                <w:szCs w:val="23"/>
                <w:highlight w:val="none"/>
              </w:rPr>
            </w:pPr>
            <w:r>
              <w:rPr>
                <w:rFonts w:hint="eastAsia" w:hAnsi="宋体"/>
                <w:color w:val="auto"/>
                <w:spacing w:val="-10"/>
                <w:sz w:val="23"/>
                <w:szCs w:val="23"/>
                <w:highlight w:val="none"/>
              </w:rPr>
              <w:t>6辆</w:t>
            </w:r>
          </w:p>
        </w:tc>
      </w:tr>
      <w:tr w14:paraId="6F49F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5B4F0596">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供液系统</w:t>
            </w:r>
          </w:p>
        </w:tc>
        <w:tc>
          <w:tcPr>
            <w:tcW w:w="999" w:type="pct"/>
            <w:noWrap w:val="0"/>
            <w:vAlign w:val="center"/>
          </w:tcPr>
          <w:p w14:paraId="295470C9">
            <w:pPr>
              <w:pStyle w:val="94"/>
              <w:widowControl w:val="0"/>
              <w:spacing w:line="0" w:lineRule="atLeast"/>
              <w:rPr>
                <w:rFonts w:hAnsi="宋体"/>
                <w:color w:val="auto"/>
                <w:spacing w:val="-10"/>
                <w:sz w:val="23"/>
                <w:szCs w:val="23"/>
                <w:highlight w:val="none"/>
              </w:rPr>
            </w:pPr>
            <w:r>
              <w:rPr>
                <w:rFonts w:hint="eastAsia" w:hAnsi="宋体"/>
                <w:color w:val="auto"/>
                <w:spacing w:val="-10"/>
                <w:sz w:val="23"/>
                <w:szCs w:val="23"/>
                <w:highlight w:val="none"/>
              </w:rPr>
              <w:t>—</w:t>
            </w:r>
          </w:p>
        </w:tc>
        <w:tc>
          <w:tcPr>
            <w:tcW w:w="928" w:type="pct"/>
            <w:noWrap w:val="0"/>
            <w:vAlign w:val="center"/>
          </w:tcPr>
          <w:p w14:paraId="33C3FD87">
            <w:pPr>
              <w:pStyle w:val="94"/>
              <w:widowControl w:val="0"/>
              <w:spacing w:line="0" w:lineRule="atLeast"/>
              <w:rPr>
                <w:rFonts w:hAnsi="宋体"/>
                <w:color w:val="auto"/>
                <w:spacing w:val="-10"/>
                <w:sz w:val="23"/>
                <w:szCs w:val="23"/>
                <w:highlight w:val="none"/>
              </w:rPr>
            </w:pPr>
            <w:r>
              <w:rPr>
                <w:rFonts w:hAnsi="宋体"/>
                <w:color w:val="auto"/>
                <w:spacing w:val="-10"/>
                <w:sz w:val="23"/>
                <w:szCs w:val="23"/>
                <w:highlight w:val="none"/>
              </w:rPr>
              <w:t>—</w:t>
            </w:r>
          </w:p>
        </w:tc>
        <w:tc>
          <w:tcPr>
            <w:tcW w:w="1375" w:type="pct"/>
            <w:noWrap w:val="0"/>
            <w:vAlign w:val="center"/>
          </w:tcPr>
          <w:p w14:paraId="2973A6FB">
            <w:pPr>
              <w:adjustRightInd w:val="0"/>
              <w:spacing w:line="0" w:lineRule="atLeast"/>
              <w:jc w:val="center"/>
              <w:rPr>
                <w:rFonts w:hint="eastAsia" w:hAnsi="宋体" w:cs="宋体"/>
                <w:bCs/>
                <w:color w:val="auto"/>
                <w:spacing w:val="-10"/>
                <w:sz w:val="23"/>
                <w:szCs w:val="23"/>
                <w:highlight w:val="none"/>
              </w:rPr>
            </w:pPr>
            <w:r>
              <w:rPr>
                <w:rFonts w:hAnsi="宋体" w:cs="宋体"/>
                <w:bCs/>
                <w:color w:val="auto"/>
                <w:spacing w:val="-10"/>
                <w:sz w:val="23"/>
                <w:szCs w:val="23"/>
                <w:highlight w:val="none"/>
              </w:rPr>
              <w:t>1</w:t>
            </w:r>
            <w:r>
              <w:rPr>
                <w:rFonts w:hint="eastAsia" w:hAnsi="宋体" w:cs="宋体"/>
                <w:bCs/>
                <w:color w:val="auto"/>
                <w:spacing w:val="-10"/>
                <w:sz w:val="23"/>
                <w:szCs w:val="23"/>
                <w:highlight w:val="none"/>
              </w:rPr>
              <w:t>套</w:t>
            </w:r>
          </w:p>
        </w:tc>
      </w:tr>
      <w:tr w14:paraId="0E4A3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0F13879C">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压裂车</w:t>
            </w:r>
          </w:p>
        </w:tc>
        <w:tc>
          <w:tcPr>
            <w:tcW w:w="999" w:type="pct"/>
            <w:noWrap w:val="0"/>
            <w:vAlign w:val="center"/>
          </w:tcPr>
          <w:p w14:paraId="5C3D74C6">
            <w:pPr>
              <w:adjustRightInd w:val="0"/>
              <w:spacing w:line="0" w:lineRule="atLeast"/>
              <w:jc w:val="center"/>
              <w:rPr>
                <w:rFonts w:hAnsi="宋体"/>
                <w:color w:val="auto"/>
                <w:spacing w:val="-10"/>
                <w:sz w:val="23"/>
                <w:szCs w:val="23"/>
                <w:highlight w:val="none"/>
              </w:rPr>
            </w:pPr>
            <w:r>
              <w:rPr>
                <w:rFonts w:hint="eastAsia" w:hAnsi="宋体" w:cs="宋体"/>
                <w:bCs/>
                <w:color w:val="auto"/>
                <w:spacing w:val="-10"/>
                <w:sz w:val="23"/>
                <w:szCs w:val="23"/>
                <w:highlight w:val="none"/>
              </w:rPr>
              <w:t>20</w:t>
            </w:r>
          </w:p>
        </w:tc>
        <w:tc>
          <w:tcPr>
            <w:tcW w:w="928" w:type="pct"/>
            <w:noWrap w:val="0"/>
            <w:vAlign w:val="center"/>
          </w:tcPr>
          <w:p w14:paraId="24DB99A5">
            <w:pPr>
              <w:adjustRightInd w:val="0"/>
              <w:spacing w:line="0" w:lineRule="atLeast"/>
              <w:jc w:val="center"/>
              <w:rPr>
                <w:rFonts w:hAnsi="宋体"/>
                <w:color w:val="auto"/>
                <w:spacing w:val="-10"/>
                <w:sz w:val="23"/>
                <w:szCs w:val="23"/>
                <w:highlight w:val="none"/>
              </w:rPr>
            </w:pPr>
            <w:r>
              <w:rPr>
                <w:rFonts w:hAnsi="宋体" w:cs="宋体"/>
                <w:bCs/>
                <w:color w:val="auto"/>
                <w:spacing w:val="-10"/>
                <w:sz w:val="23"/>
                <w:szCs w:val="23"/>
                <w:highlight w:val="none"/>
              </w:rPr>
              <w:t>m</w:t>
            </w:r>
            <w:r>
              <w:rPr>
                <w:rFonts w:hAnsi="宋体" w:cs="宋体"/>
                <w:bCs/>
                <w:color w:val="auto"/>
                <w:spacing w:val="-10"/>
                <w:sz w:val="23"/>
                <w:szCs w:val="23"/>
                <w:highlight w:val="none"/>
                <w:vertAlign w:val="superscript"/>
              </w:rPr>
              <w:t>3</w:t>
            </w:r>
          </w:p>
        </w:tc>
        <w:tc>
          <w:tcPr>
            <w:tcW w:w="1375" w:type="pct"/>
            <w:noWrap w:val="0"/>
            <w:vAlign w:val="center"/>
          </w:tcPr>
          <w:p w14:paraId="5EC919A0">
            <w:pPr>
              <w:adjustRightInd w:val="0"/>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6辆</w:t>
            </w:r>
          </w:p>
        </w:tc>
      </w:tr>
      <w:tr w14:paraId="418BD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7019C00B">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酸罐车</w:t>
            </w:r>
          </w:p>
        </w:tc>
        <w:tc>
          <w:tcPr>
            <w:tcW w:w="999" w:type="pct"/>
            <w:noWrap w:val="0"/>
            <w:vAlign w:val="center"/>
          </w:tcPr>
          <w:p w14:paraId="12662E2C">
            <w:pPr>
              <w:adjustRightInd w:val="0"/>
              <w:spacing w:line="0" w:lineRule="atLeast"/>
              <w:jc w:val="center"/>
              <w:rPr>
                <w:rFonts w:hAnsi="宋体"/>
                <w:color w:val="auto"/>
                <w:spacing w:val="-10"/>
                <w:sz w:val="23"/>
                <w:szCs w:val="23"/>
                <w:highlight w:val="none"/>
              </w:rPr>
            </w:pPr>
            <w:r>
              <w:rPr>
                <w:rFonts w:hint="eastAsia" w:hAnsi="宋体" w:cs="宋体"/>
                <w:bCs/>
                <w:color w:val="auto"/>
                <w:spacing w:val="-10"/>
                <w:sz w:val="23"/>
                <w:szCs w:val="23"/>
                <w:highlight w:val="none"/>
              </w:rPr>
              <w:t>20</w:t>
            </w:r>
          </w:p>
        </w:tc>
        <w:tc>
          <w:tcPr>
            <w:tcW w:w="928" w:type="pct"/>
            <w:noWrap w:val="0"/>
            <w:vAlign w:val="center"/>
          </w:tcPr>
          <w:p w14:paraId="2E1532B7">
            <w:pPr>
              <w:adjustRightInd w:val="0"/>
              <w:spacing w:line="0" w:lineRule="atLeast"/>
              <w:jc w:val="center"/>
              <w:rPr>
                <w:rFonts w:hAnsi="宋体"/>
                <w:color w:val="auto"/>
                <w:spacing w:val="-10"/>
                <w:sz w:val="23"/>
                <w:szCs w:val="23"/>
                <w:highlight w:val="none"/>
              </w:rPr>
            </w:pPr>
            <w:r>
              <w:rPr>
                <w:rFonts w:hAnsi="宋体" w:cs="宋体"/>
                <w:bCs/>
                <w:color w:val="auto"/>
                <w:spacing w:val="-10"/>
                <w:sz w:val="23"/>
                <w:szCs w:val="23"/>
                <w:highlight w:val="none"/>
              </w:rPr>
              <w:t>m</w:t>
            </w:r>
            <w:r>
              <w:rPr>
                <w:rFonts w:hAnsi="宋体" w:cs="宋体"/>
                <w:bCs/>
                <w:color w:val="auto"/>
                <w:spacing w:val="-10"/>
                <w:sz w:val="23"/>
                <w:szCs w:val="23"/>
                <w:highlight w:val="none"/>
                <w:vertAlign w:val="superscript"/>
              </w:rPr>
              <w:t>3</w:t>
            </w:r>
          </w:p>
        </w:tc>
        <w:tc>
          <w:tcPr>
            <w:tcW w:w="1375" w:type="pct"/>
            <w:noWrap w:val="0"/>
            <w:vAlign w:val="center"/>
          </w:tcPr>
          <w:p w14:paraId="09A1B6DA">
            <w:pPr>
              <w:adjustRightInd w:val="0"/>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6辆</w:t>
            </w:r>
          </w:p>
        </w:tc>
      </w:tr>
      <w:tr w14:paraId="0B132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6F2B83EA">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加压泵组</w:t>
            </w:r>
          </w:p>
        </w:tc>
        <w:tc>
          <w:tcPr>
            <w:tcW w:w="999" w:type="pct"/>
            <w:noWrap w:val="0"/>
            <w:vAlign w:val="center"/>
          </w:tcPr>
          <w:p w14:paraId="2BBC6FA5">
            <w:pPr>
              <w:spacing w:line="0" w:lineRule="atLeast"/>
              <w:jc w:val="center"/>
              <w:rPr>
                <w:rFonts w:hAnsi="宋体"/>
                <w:color w:val="auto"/>
                <w:spacing w:val="-10"/>
                <w:sz w:val="23"/>
                <w:szCs w:val="23"/>
                <w:highlight w:val="none"/>
              </w:rPr>
            </w:pPr>
            <w:r>
              <w:rPr>
                <w:rFonts w:hAnsi="宋体" w:cs="宋体"/>
                <w:bCs/>
                <w:color w:val="auto"/>
                <w:spacing w:val="-10"/>
                <w:sz w:val="23"/>
                <w:szCs w:val="23"/>
                <w:highlight w:val="none"/>
              </w:rPr>
              <w:t>—</w:t>
            </w:r>
          </w:p>
        </w:tc>
        <w:tc>
          <w:tcPr>
            <w:tcW w:w="928" w:type="pct"/>
            <w:noWrap w:val="0"/>
            <w:vAlign w:val="center"/>
          </w:tcPr>
          <w:p w14:paraId="4C95A0DB">
            <w:pPr>
              <w:spacing w:line="0" w:lineRule="atLeast"/>
              <w:jc w:val="center"/>
              <w:rPr>
                <w:rFonts w:hAnsi="宋体"/>
                <w:color w:val="auto"/>
                <w:spacing w:val="-10"/>
                <w:sz w:val="23"/>
                <w:szCs w:val="23"/>
                <w:highlight w:val="none"/>
              </w:rPr>
            </w:pPr>
            <w:r>
              <w:rPr>
                <w:rFonts w:hAnsi="宋体" w:cs="宋体"/>
                <w:bCs/>
                <w:color w:val="auto"/>
                <w:spacing w:val="-10"/>
                <w:sz w:val="23"/>
                <w:szCs w:val="23"/>
                <w:highlight w:val="none"/>
              </w:rPr>
              <w:t>—</w:t>
            </w:r>
          </w:p>
        </w:tc>
        <w:tc>
          <w:tcPr>
            <w:tcW w:w="1375" w:type="pct"/>
            <w:noWrap w:val="0"/>
            <w:vAlign w:val="center"/>
          </w:tcPr>
          <w:p w14:paraId="2DDA3516">
            <w:pPr>
              <w:pStyle w:val="94"/>
              <w:widowControl w:val="0"/>
              <w:spacing w:line="0" w:lineRule="atLeast"/>
              <w:rPr>
                <w:rFonts w:hAnsi="宋体"/>
                <w:color w:val="auto"/>
                <w:spacing w:val="-10"/>
                <w:sz w:val="23"/>
                <w:szCs w:val="23"/>
                <w:highlight w:val="none"/>
              </w:rPr>
            </w:pPr>
            <w:r>
              <w:rPr>
                <w:rFonts w:hint="eastAsia" w:hAnsi="宋体"/>
                <w:color w:val="auto"/>
                <w:spacing w:val="-10"/>
                <w:sz w:val="23"/>
                <w:szCs w:val="23"/>
                <w:highlight w:val="none"/>
              </w:rPr>
              <w:t>2套</w:t>
            </w:r>
          </w:p>
        </w:tc>
      </w:tr>
      <w:tr w14:paraId="737C5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7E04C866">
            <w:pPr>
              <w:pStyle w:val="94"/>
              <w:widowControl w:val="0"/>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废液收集罐</w:t>
            </w:r>
          </w:p>
        </w:tc>
        <w:tc>
          <w:tcPr>
            <w:tcW w:w="999" w:type="pct"/>
            <w:noWrap w:val="0"/>
            <w:vAlign w:val="center"/>
          </w:tcPr>
          <w:p w14:paraId="3BB33058">
            <w:pPr>
              <w:adjustRightInd w:val="0"/>
              <w:spacing w:line="0" w:lineRule="atLeast"/>
              <w:jc w:val="center"/>
              <w:rPr>
                <w:rFonts w:hAnsi="宋体" w:cs="宋体"/>
                <w:bCs/>
                <w:color w:val="auto"/>
                <w:spacing w:val="-10"/>
                <w:sz w:val="23"/>
                <w:szCs w:val="23"/>
                <w:highlight w:val="none"/>
              </w:rPr>
            </w:pPr>
            <w:r>
              <w:rPr>
                <w:rFonts w:hint="eastAsia" w:hAnsi="宋体" w:cs="宋体"/>
                <w:bCs/>
                <w:color w:val="auto"/>
                <w:spacing w:val="-10"/>
                <w:sz w:val="23"/>
                <w:szCs w:val="23"/>
                <w:highlight w:val="none"/>
              </w:rPr>
              <w:t>30</w:t>
            </w:r>
          </w:p>
        </w:tc>
        <w:tc>
          <w:tcPr>
            <w:tcW w:w="928" w:type="pct"/>
            <w:noWrap w:val="0"/>
            <w:vAlign w:val="center"/>
          </w:tcPr>
          <w:p w14:paraId="197C5A38">
            <w:pPr>
              <w:adjustRightInd w:val="0"/>
              <w:spacing w:line="0" w:lineRule="atLeast"/>
              <w:jc w:val="center"/>
              <w:rPr>
                <w:rFonts w:hAnsi="宋体" w:cs="宋体"/>
                <w:bCs/>
                <w:color w:val="auto"/>
                <w:spacing w:val="-10"/>
                <w:sz w:val="23"/>
                <w:szCs w:val="23"/>
                <w:highlight w:val="none"/>
              </w:rPr>
            </w:pPr>
            <w:r>
              <w:rPr>
                <w:rFonts w:hAnsi="宋体" w:cs="宋体"/>
                <w:bCs/>
                <w:color w:val="auto"/>
                <w:spacing w:val="-10"/>
                <w:sz w:val="23"/>
                <w:szCs w:val="23"/>
                <w:highlight w:val="none"/>
              </w:rPr>
              <w:t>m</w:t>
            </w:r>
            <w:r>
              <w:rPr>
                <w:rFonts w:hAnsi="宋体" w:cs="宋体"/>
                <w:bCs/>
                <w:color w:val="auto"/>
                <w:spacing w:val="-10"/>
                <w:sz w:val="23"/>
                <w:szCs w:val="23"/>
                <w:highlight w:val="none"/>
                <w:vertAlign w:val="superscript"/>
              </w:rPr>
              <w:t>3</w:t>
            </w:r>
          </w:p>
        </w:tc>
        <w:tc>
          <w:tcPr>
            <w:tcW w:w="1375" w:type="pct"/>
            <w:noWrap w:val="0"/>
            <w:vAlign w:val="center"/>
          </w:tcPr>
          <w:p w14:paraId="65DCA385">
            <w:pPr>
              <w:adjustRightInd w:val="0"/>
              <w:spacing w:line="0" w:lineRule="atLeast"/>
              <w:jc w:val="center"/>
              <w:rPr>
                <w:rFonts w:hint="eastAsia" w:hAnsi="宋体"/>
                <w:color w:val="auto"/>
                <w:spacing w:val="-10"/>
                <w:sz w:val="23"/>
                <w:szCs w:val="23"/>
                <w:highlight w:val="none"/>
              </w:rPr>
            </w:pPr>
            <w:r>
              <w:rPr>
                <w:rFonts w:hint="eastAsia" w:hAnsi="宋体" w:cs="宋体"/>
                <w:bCs/>
                <w:color w:val="auto"/>
                <w:spacing w:val="-10"/>
                <w:sz w:val="23"/>
                <w:szCs w:val="23"/>
                <w:highlight w:val="none"/>
              </w:rPr>
              <w:t>10个</w:t>
            </w:r>
          </w:p>
        </w:tc>
      </w:tr>
      <w:tr w14:paraId="7F769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78DA2B69">
            <w:pPr>
              <w:adjustRightInd w:val="0"/>
              <w:spacing w:line="0" w:lineRule="atLeast"/>
              <w:jc w:val="center"/>
              <w:rPr>
                <w:rFonts w:hint="eastAsia" w:hAnsi="宋体" w:cs="宋体"/>
                <w:color w:val="auto"/>
                <w:spacing w:val="-10"/>
                <w:sz w:val="23"/>
                <w:szCs w:val="23"/>
                <w:highlight w:val="none"/>
              </w:rPr>
            </w:pPr>
            <w:r>
              <w:rPr>
                <w:rFonts w:hint="eastAsia" w:hAnsi="宋体" w:cs="宋体"/>
                <w:bCs/>
                <w:color w:val="auto"/>
                <w:spacing w:val="-10"/>
                <w:sz w:val="23"/>
                <w:szCs w:val="23"/>
                <w:highlight w:val="none"/>
              </w:rPr>
              <w:t>钻采一体化井口装置</w:t>
            </w:r>
          </w:p>
        </w:tc>
        <w:tc>
          <w:tcPr>
            <w:tcW w:w="999" w:type="pct"/>
            <w:noWrap w:val="0"/>
            <w:vAlign w:val="center"/>
          </w:tcPr>
          <w:p w14:paraId="152E1E28">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w:t>
            </w:r>
          </w:p>
        </w:tc>
        <w:tc>
          <w:tcPr>
            <w:tcW w:w="928" w:type="pct"/>
            <w:noWrap w:val="0"/>
            <w:vAlign w:val="center"/>
          </w:tcPr>
          <w:p w14:paraId="16F1CD68">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w:t>
            </w:r>
          </w:p>
        </w:tc>
        <w:tc>
          <w:tcPr>
            <w:tcW w:w="1375" w:type="pct"/>
            <w:noWrap w:val="0"/>
            <w:vAlign w:val="center"/>
          </w:tcPr>
          <w:p w14:paraId="1A270FB9">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1</w:t>
            </w:r>
            <w:r>
              <w:rPr>
                <w:rFonts w:hint="eastAsia" w:hAnsi="宋体" w:cs="宋体"/>
                <w:bCs/>
                <w:color w:val="auto"/>
                <w:spacing w:val="-10"/>
                <w:sz w:val="23"/>
                <w:szCs w:val="23"/>
                <w:highlight w:val="none"/>
              </w:rPr>
              <w:t>套</w:t>
            </w:r>
          </w:p>
        </w:tc>
      </w:tr>
      <w:tr w14:paraId="47D66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47AF526B">
            <w:pPr>
              <w:adjustRightInd w:val="0"/>
              <w:spacing w:line="0" w:lineRule="atLeast"/>
              <w:jc w:val="center"/>
              <w:rPr>
                <w:rFonts w:hint="eastAsia" w:hAnsi="宋体" w:cs="宋体"/>
                <w:color w:val="auto"/>
                <w:spacing w:val="-10"/>
                <w:sz w:val="23"/>
                <w:szCs w:val="23"/>
                <w:highlight w:val="none"/>
              </w:rPr>
            </w:pPr>
            <w:r>
              <w:rPr>
                <w:rFonts w:hint="eastAsia" w:hAnsi="宋体" w:cs="宋体"/>
                <w:bCs/>
                <w:color w:val="auto"/>
                <w:spacing w:val="-10"/>
                <w:sz w:val="23"/>
                <w:szCs w:val="23"/>
                <w:highlight w:val="none"/>
              </w:rPr>
              <w:t>三相计量分离器</w:t>
            </w:r>
          </w:p>
        </w:tc>
        <w:tc>
          <w:tcPr>
            <w:tcW w:w="999" w:type="pct"/>
            <w:noWrap w:val="0"/>
            <w:vAlign w:val="center"/>
          </w:tcPr>
          <w:p w14:paraId="5B9E810B">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w:t>
            </w:r>
          </w:p>
        </w:tc>
        <w:tc>
          <w:tcPr>
            <w:tcW w:w="928" w:type="pct"/>
            <w:noWrap w:val="0"/>
            <w:vAlign w:val="center"/>
          </w:tcPr>
          <w:p w14:paraId="342FF5FB">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w:t>
            </w:r>
          </w:p>
        </w:tc>
        <w:tc>
          <w:tcPr>
            <w:tcW w:w="1375" w:type="pct"/>
            <w:noWrap w:val="0"/>
            <w:vAlign w:val="center"/>
          </w:tcPr>
          <w:p w14:paraId="30C8F476">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1</w:t>
            </w:r>
            <w:r>
              <w:rPr>
                <w:rFonts w:hint="eastAsia" w:hAnsi="宋体" w:cs="宋体"/>
                <w:bCs/>
                <w:color w:val="auto"/>
                <w:spacing w:val="-10"/>
                <w:sz w:val="23"/>
                <w:szCs w:val="23"/>
                <w:highlight w:val="none"/>
              </w:rPr>
              <w:t>套</w:t>
            </w:r>
          </w:p>
        </w:tc>
      </w:tr>
      <w:tr w14:paraId="52E17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32612282">
            <w:pPr>
              <w:adjustRightInd w:val="0"/>
              <w:spacing w:line="0" w:lineRule="atLeast"/>
              <w:jc w:val="center"/>
              <w:rPr>
                <w:rFonts w:hint="eastAsia" w:hAnsi="宋体" w:cs="宋体"/>
                <w:color w:val="auto"/>
                <w:spacing w:val="-10"/>
                <w:sz w:val="23"/>
                <w:szCs w:val="23"/>
                <w:highlight w:val="none"/>
              </w:rPr>
            </w:pPr>
            <w:r>
              <w:rPr>
                <w:rFonts w:hint="eastAsia" w:hAnsi="宋体" w:cs="宋体"/>
                <w:bCs/>
                <w:color w:val="auto"/>
                <w:spacing w:val="-10"/>
                <w:sz w:val="23"/>
                <w:szCs w:val="23"/>
                <w:highlight w:val="none"/>
              </w:rPr>
              <w:t>原油储罐</w:t>
            </w:r>
          </w:p>
        </w:tc>
        <w:tc>
          <w:tcPr>
            <w:tcW w:w="999" w:type="pct"/>
            <w:noWrap w:val="0"/>
            <w:vAlign w:val="center"/>
          </w:tcPr>
          <w:p w14:paraId="6A941590">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50</w:t>
            </w:r>
          </w:p>
        </w:tc>
        <w:tc>
          <w:tcPr>
            <w:tcW w:w="928" w:type="pct"/>
            <w:noWrap w:val="0"/>
            <w:vAlign w:val="center"/>
          </w:tcPr>
          <w:p w14:paraId="2D529906">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m</w:t>
            </w:r>
            <w:r>
              <w:rPr>
                <w:rFonts w:hAnsi="宋体" w:cs="宋体"/>
                <w:bCs/>
                <w:color w:val="auto"/>
                <w:spacing w:val="-10"/>
                <w:sz w:val="23"/>
                <w:szCs w:val="23"/>
                <w:highlight w:val="none"/>
                <w:vertAlign w:val="superscript"/>
              </w:rPr>
              <w:t>3</w:t>
            </w:r>
          </w:p>
        </w:tc>
        <w:tc>
          <w:tcPr>
            <w:tcW w:w="1375" w:type="pct"/>
            <w:noWrap w:val="0"/>
            <w:vAlign w:val="center"/>
          </w:tcPr>
          <w:p w14:paraId="00EB56B7">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4</w:t>
            </w:r>
            <w:r>
              <w:rPr>
                <w:rFonts w:hint="eastAsia" w:hAnsi="宋体" w:cs="宋体"/>
                <w:bCs/>
                <w:color w:val="auto"/>
                <w:spacing w:val="-10"/>
                <w:sz w:val="23"/>
                <w:szCs w:val="23"/>
                <w:highlight w:val="none"/>
              </w:rPr>
              <w:t>个</w:t>
            </w:r>
          </w:p>
        </w:tc>
      </w:tr>
      <w:tr w14:paraId="71CE2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6" w:type="pct"/>
            <w:noWrap w:val="0"/>
            <w:vAlign w:val="center"/>
          </w:tcPr>
          <w:p w14:paraId="19B14052">
            <w:pPr>
              <w:adjustRightInd w:val="0"/>
              <w:spacing w:line="0" w:lineRule="atLeast"/>
              <w:jc w:val="center"/>
              <w:rPr>
                <w:rFonts w:hint="eastAsia" w:hAnsi="宋体" w:cs="宋体"/>
                <w:color w:val="auto"/>
                <w:spacing w:val="-10"/>
                <w:sz w:val="23"/>
                <w:szCs w:val="23"/>
                <w:highlight w:val="none"/>
              </w:rPr>
            </w:pPr>
            <w:r>
              <w:rPr>
                <w:rFonts w:hint="eastAsia" w:hAnsi="宋体" w:cs="宋体"/>
                <w:bCs/>
                <w:color w:val="auto"/>
                <w:spacing w:val="-10"/>
                <w:sz w:val="23"/>
                <w:szCs w:val="23"/>
                <w:highlight w:val="none"/>
              </w:rPr>
              <w:t>放空火炬</w:t>
            </w:r>
          </w:p>
        </w:tc>
        <w:tc>
          <w:tcPr>
            <w:tcW w:w="999" w:type="pct"/>
            <w:noWrap w:val="0"/>
            <w:vAlign w:val="center"/>
          </w:tcPr>
          <w:p w14:paraId="43661943">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w:t>
            </w:r>
          </w:p>
        </w:tc>
        <w:tc>
          <w:tcPr>
            <w:tcW w:w="928" w:type="pct"/>
            <w:noWrap w:val="0"/>
            <w:vAlign w:val="center"/>
          </w:tcPr>
          <w:p w14:paraId="1BBC064E">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w:t>
            </w:r>
          </w:p>
        </w:tc>
        <w:tc>
          <w:tcPr>
            <w:tcW w:w="1375" w:type="pct"/>
            <w:noWrap w:val="0"/>
            <w:vAlign w:val="center"/>
          </w:tcPr>
          <w:p w14:paraId="2748385D">
            <w:pPr>
              <w:adjustRightInd w:val="0"/>
              <w:spacing w:line="0" w:lineRule="atLeast"/>
              <w:jc w:val="center"/>
              <w:rPr>
                <w:rFonts w:hint="eastAsia" w:hAnsi="宋体"/>
                <w:color w:val="auto"/>
                <w:spacing w:val="-10"/>
                <w:sz w:val="23"/>
                <w:szCs w:val="23"/>
                <w:highlight w:val="none"/>
              </w:rPr>
            </w:pPr>
            <w:r>
              <w:rPr>
                <w:rFonts w:hAnsi="宋体" w:cs="宋体"/>
                <w:bCs/>
                <w:color w:val="auto"/>
                <w:spacing w:val="-10"/>
                <w:sz w:val="23"/>
                <w:szCs w:val="23"/>
                <w:highlight w:val="none"/>
              </w:rPr>
              <w:t>1</w:t>
            </w:r>
            <w:r>
              <w:rPr>
                <w:rFonts w:hint="eastAsia" w:hAnsi="宋体" w:cs="宋体"/>
                <w:bCs/>
                <w:color w:val="auto"/>
                <w:spacing w:val="-10"/>
                <w:sz w:val="23"/>
                <w:szCs w:val="23"/>
                <w:highlight w:val="none"/>
              </w:rPr>
              <w:t>个</w:t>
            </w:r>
          </w:p>
        </w:tc>
      </w:tr>
    </w:tbl>
    <w:p w14:paraId="553630CF">
      <w:pPr>
        <w:pStyle w:val="7"/>
        <w:keepNext/>
        <w:keepLines/>
        <w:pageBreakBefore w:val="0"/>
        <w:widowControl/>
        <w:kinsoku/>
        <w:wordWrap/>
        <w:overflowPunct/>
        <w:topLinePunct w:val="0"/>
        <w:autoSpaceDE/>
        <w:autoSpaceDN/>
        <w:bidi w:val="0"/>
        <w:adjustRightInd/>
        <w:snapToGrid/>
        <w:spacing w:before="157" w:beforeLines="5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"3.1.5.2"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val="en-US" w:eastAsia="zh-CN"/>
        </w:rPr>
        <w:t>地面</w:t>
      </w:r>
      <w:r>
        <w:rPr>
          <w:rFonts w:hint="default" w:ascii="Times New Roman" w:hAnsi="Times New Roman" w:cs="Times New Roman"/>
          <w:color w:val="auto"/>
          <w:highlight w:val="none"/>
        </w:rPr>
        <w:t>工程</w:t>
      </w:r>
    </w:p>
    <w:p w14:paraId="56E94AE5">
      <w:pPr>
        <w:keepNext/>
        <w:keepLines/>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snapToGrid/>
          <w:color w:val="auto"/>
          <w:kern w:val="0"/>
          <w:sz w:val="24"/>
          <w:szCs w:val="24"/>
          <w:highlight w:val="none"/>
          <w:lang w:val="en-US" w:eastAsia="zh-CN" w:bidi="ar-SA"/>
        </w:rPr>
      </w:pPr>
      <w:r>
        <w:rPr>
          <w:rFonts w:hint="default" w:ascii="Times New Roman" w:hAnsi="Times New Roman" w:eastAsia="宋体" w:cs="Times New Roman"/>
          <w:b w:val="0"/>
          <w:snapToGrid/>
          <w:color w:val="auto"/>
          <w:kern w:val="0"/>
          <w:sz w:val="24"/>
          <w:szCs w:val="24"/>
          <w:highlight w:val="none"/>
          <w:lang w:val="en-US" w:eastAsia="zh-CN" w:bidi="ar-SA"/>
        </w:rPr>
        <w:t>根据开发方案，</w:t>
      </w:r>
      <w:r>
        <w:rPr>
          <w:rFonts w:hint="default" w:ascii="Times New Roman" w:hAnsi="Times New Roman" w:cs="Times New Roman"/>
          <w:b w:val="0"/>
          <w:snapToGrid/>
          <w:color w:val="auto"/>
          <w:kern w:val="0"/>
          <w:sz w:val="24"/>
          <w:szCs w:val="24"/>
          <w:highlight w:val="none"/>
          <w:lang w:val="en-US" w:eastAsia="zh-CN" w:bidi="ar-SA"/>
        </w:rPr>
        <w:t>本项目</w:t>
      </w:r>
      <w:r>
        <w:rPr>
          <w:rFonts w:hint="default" w:ascii="Times New Roman" w:hAnsi="Times New Roman" w:eastAsia="宋体" w:cs="Times New Roman"/>
          <w:b w:val="0"/>
          <w:snapToGrid/>
          <w:color w:val="auto"/>
          <w:kern w:val="0"/>
          <w:sz w:val="24"/>
          <w:szCs w:val="24"/>
          <w:highlight w:val="none"/>
          <w:lang w:val="en-US" w:eastAsia="zh-CN" w:bidi="ar-SA"/>
        </w:rPr>
        <w:t>共部署</w:t>
      </w:r>
      <w:r>
        <w:rPr>
          <w:rFonts w:hint="eastAsia" w:cs="Times New Roman"/>
          <w:b w:val="0"/>
          <w:snapToGrid/>
          <w:color w:val="auto"/>
          <w:kern w:val="0"/>
          <w:sz w:val="24"/>
          <w:szCs w:val="24"/>
          <w:highlight w:val="none"/>
          <w:lang w:val="en-US" w:eastAsia="zh-CN" w:bidi="ar-SA"/>
        </w:rPr>
        <w:t>4</w:t>
      </w:r>
      <w:r>
        <w:rPr>
          <w:rFonts w:hint="default" w:ascii="Times New Roman" w:hAnsi="Times New Roman" w:eastAsia="宋体" w:cs="Times New Roman"/>
          <w:b w:val="0"/>
          <w:snapToGrid/>
          <w:color w:val="auto"/>
          <w:kern w:val="0"/>
          <w:sz w:val="24"/>
          <w:szCs w:val="24"/>
          <w:highlight w:val="none"/>
          <w:lang w:val="en-US" w:eastAsia="zh-CN" w:bidi="ar-SA"/>
        </w:rPr>
        <w:t>口</w:t>
      </w:r>
      <w:r>
        <w:rPr>
          <w:rFonts w:hint="eastAsia" w:cs="Times New Roman"/>
          <w:b w:val="0"/>
          <w:snapToGrid/>
          <w:color w:val="auto"/>
          <w:kern w:val="0"/>
          <w:sz w:val="24"/>
          <w:szCs w:val="24"/>
          <w:highlight w:val="none"/>
          <w:lang w:val="en-US" w:eastAsia="zh-CN" w:bidi="ar-SA"/>
        </w:rPr>
        <w:t>侧钻</w:t>
      </w:r>
      <w:r>
        <w:rPr>
          <w:rFonts w:hint="default" w:ascii="Times New Roman" w:hAnsi="Times New Roman" w:eastAsia="宋体" w:cs="Times New Roman"/>
          <w:b w:val="0"/>
          <w:snapToGrid/>
          <w:color w:val="auto"/>
          <w:kern w:val="0"/>
          <w:sz w:val="24"/>
          <w:szCs w:val="24"/>
          <w:highlight w:val="none"/>
          <w:lang w:val="en-US" w:eastAsia="zh-CN" w:bidi="ar-SA"/>
        </w:rPr>
        <w:t>井，油气集输系统采用</w:t>
      </w:r>
      <w:r>
        <w:rPr>
          <w:rFonts w:hint="eastAsia" w:cs="Times New Roman"/>
          <w:b w:val="0"/>
          <w:snapToGrid/>
          <w:color w:val="auto"/>
          <w:kern w:val="0"/>
          <w:sz w:val="24"/>
          <w:szCs w:val="24"/>
          <w:highlight w:val="none"/>
          <w:lang w:val="en-US" w:eastAsia="zh-CN" w:bidi="ar-SA"/>
        </w:rPr>
        <w:t>二</w:t>
      </w:r>
      <w:r>
        <w:rPr>
          <w:rFonts w:hint="default" w:ascii="Times New Roman" w:hAnsi="Times New Roman" w:eastAsia="宋体" w:cs="Times New Roman"/>
          <w:b w:val="0"/>
          <w:snapToGrid/>
          <w:color w:val="auto"/>
          <w:kern w:val="0"/>
          <w:sz w:val="24"/>
          <w:szCs w:val="24"/>
          <w:highlight w:val="none"/>
          <w:lang w:val="en-US" w:eastAsia="zh-CN" w:bidi="ar-SA"/>
        </w:rPr>
        <w:t>级布站方式，即：单井——计转站——联合站。单井采出液就近进入已建计转站，通过计转站最终输往</w:t>
      </w:r>
      <w:r>
        <w:rPr>
          <w:rFonts w:hint="eastAsia" w:cs="Times New Roman"/>
          <w:b w:val="0"/>
          <w:snapToGrid/>
          <w:color w:val="auto"/>
          <w:kern w:val="0"/>
          <w:sz w:val="24"/>
          <w:szCs w:val="24"/>
          <w:highlight w:val="none"/>
          <w:lang w:val="en-US" w:eastAsia="zh-CN" w:bidi="ar-SA"/>
        </w:rPr>
        <w:t>三号</w:t>
      </w:r>
      <w:r>
        <w:rPr>
          <w:rFonts w:hint="default" w:ascii="Times New Roman" w:hAnsi="Times New Roman" w:eastAsia="宋体" w:cs="Times New Roman"/>
          <w:b w:val="0"/>
          <w:snapToGrid/>
          <w:color w:val="auto"/>
          <w:kern w:val="0"/>
          <w:sz w:val="24"/>
          <w:szCs w:val="24"/>
          <w:highlight w:val="none"/>
          <w:lang w:val="en-US" w:eastAsia="zh-CN" w:bidi="ar-SA"/>
        </w:rPr>
        <w:t>联合站进行处理。</w:t>
      </w:r>
      <w:r>
        <w:rPr>
          <w:rFonts w:hint="eastAsia" w:cs="Times New Roman"/>
          <w:b w:val="0"/>
          <w:snapToGrid/>
          <w:color w:val="auto"/>
          <w:kern w:val="0"/>
          <w:sz w:val="24"/>
          <w:szCs w:val="24"/>
          <w:highlight w:val="none"/>
          <w:lang w:val="en-US" w:eastAsia="zh-CN" w:bidi="ar-SA"/>
        </w:rPr>
        <w:t>本次</w:t>
      </w:r>
      <w:r>
        <w:rPr>
          <w:rFonts w:hint="eastAsia"/>
          <w:bCs/>
          <w:color w:val="auto"/>
          <w:szCs w:val="24"/>
          <w:highlight w:val="none"/>
        </w:rPr>
        <w:t>部署的4口侧钻井集输管线及地面配套的</w:t>
      </w:r>
      <w:r>
        <w:rPr>
          <w:rFonts w:hint="eastAsia"/>
          <w:bCs/>
          <w:color w:val="auto"/>
          <w:szCs w:val="24"/>
          <w:highlight w:val="none"/>
          <w:lang w:val="en-US" w:eastAsia="zh-CN"/>
        </w:rPr>
        <w:t>热力、</w:t>
      </w:r>
      <w:r>
        <w:rPr>
          <w:rFonts w:hint="eastAsia"/>
          <w:bCs/>
          <w:color w:val="auto"/>
          <w:szCs w:val="24"/>
          <w:highlight w:val="none"/>
        </w:rPr>
        <w:t>电力、自控、通信均可利旧</w:t>
      </w:r>
      <w:r>
        <w:rPr>
          <w:rFonts w:hint="eastAsia"/>
          <w:bCs/>
          <w:color w:val="auto"/>
          <w:szCs w:val="24"/>
          <w:highlight w:val="none"/>
          <w:lang w:eastAsia="zh-CN"/>
        </w:rPr>
        <w:t>。</w:t>
      </w:r>
    </w:p>
    <w:p w14:paraId="724DB88B">
      <w:pPr>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（1）采油井场</w:t>
      </w:r>
    </w:p>
    <w:p w14:paraId="38137A20">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共</w:t>
      </w:r>
      <w:r>
        <w:rPr>
          <w:rFonts w:hint="default" w:ascii="Times New Roman" w:hAnsi="Times New Roman" w:cs="Times New Roman"/>
          <w:color w:val="auto"/>
          <w:highlight w:val="none"/>
          <w:lang w:eastAsia="zh-CN"/>
        </w:rPr>
        <w:t>部署</w:t>
      </w:r>
      <w:r>
        <w:rPr>
          <w:rFonts w:hint="eastAsia" w:cs="Times New Roman"/>
          <w:color w:val="auto"/>
          <w:highlight w:val="none"/>
          <w:lang w:val="en-US" w:eastAsia="zh-CN"/>
        </w:rPr>
        <w:t>4口老井侧钻</w:t>
      </w:r>
      <w:r>
        <w:rPr>
          <w:rFonts w:hint="default" w:ascii="Times New Roman" w:hAnsi="Times New Roman" w:cs="Times New Roman"/>
          <w:color w:val="auto"/>
          <w:highlight w:val="none"/>
        </w:rPr>
        <w:t>，</w:t>
      </w:r>
      <w:r>
        <w:rPr>
          <w:rFonts w:hint="eastAsia" w:cs="Times New Roman"/>
          <w:color w:val="auto"/>
          <w:highlight w:val="none"/>
          <w:lang w:val="en-US" w:eastAsia="zh-CN"/>
        </w:rPr>
        <w:t>老井</w:t>
      </w:r>
      <w:r>
        <w:rPr>
          <w:rFonts w:hint="default" w:ascii="Times New Roman" w:hAnsi="Times New Roman" w:cs="Times New Roman"/>
          <w:color w:val="auto"/>
          <w:highlight w:val="none"/>
        </w:rPr>
        <w:t>井场永久占地面积为4500m</w:t>
      </w:r>
      <w:r>
        <w:rPr>
          <w:rFonts w:hint="default" w:ascii="Times New Roman" w:hAnsi="Times New Roman" w:cs="Times New Roman"/>
          <w:color w:val="auto"/>
          <w:highlight w:val="none"/>
          <w:vertAlign w:val="superscript"/>
        </w:rPr>
        <w:t>2</w:t>
      </w:r>
      <w:r>
        <w:rPr>
          <w:rFonts w:hint="eastAsia" w:cs="Times New Roman"/>
          <w:color w:val="auto"/>
          <w:highlight w:val="none"/>
          <w:lang w:eastAsia="zh-CN"/>
        </w:rPr>
        <w:t>，</w:t>
      </w:r>
      <w:r>
        <w:rPr>
          <w:rFonts w:hint="eastAsia" w:cs="Times New Roman"/>
          <w:color w:val="auto"/>
          <w:highlight w:val="none"/>
          <w:vertAlign w:val="baseline"/>
          <w:lang w:val="en-US" w:eastAsia="zh-CN"/>
        </w:rPr>
        <w:t>已办理永久征地手续</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不新增永久占地</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本次老井侧钻仅办理钻井期间的临时用地，单井临时用地面积为8700m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。侧钻</w:t>
      </w:r>
      <w:r>
        <w:rPr>
          <w:rFonts w:hint="default" w:ascii="Times New Roman" w:hAnsi="Times New Roman" w:cs="Times New Roman"/>
          <w:color w:val="auto"/>
          <w:highlight w:val="none"/>
        </w:rPr>
        <w:t>井场内</w:t>
      </w:r>
      <w:r>
        <w:rPr>
          <w:rFonts w:hint="eastAsia" w:cs="Times New Roman"/>
          <w:color w:val="auto"/>
          <w:highlight w:val="none"/>
          <w:lang w:val="en-US" w:eastAsia="zh-CN"/>
        </w:rPr>
        <w:t>已</w:t>
      </w:r>
      <w:r>
        <w:rPr>
          <w:rFonts w:hint="default" w:ascii="Times New Roman" w:hAnsi="Times New Roman" w:cs="Times New Roman"/>
          <w:color w:val="auto"/>
          <w:highlight w:val="none"/>
        </w:rPr>
        <w:t>安装采油树</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加热炉等生产设施</w:t>
      </w:r>
      <w:r>
        <w:rPr>
          <w:rFonts w:hint="eastAsia" w:cs="Times New Roman"/>
          <w:color w:val="auto"/>
          <w:highlight w:val="none"/>
          <w:lang w:eastAsia="zh-CN"/>
        </w:rPr>
        <w:t>，</w:t>
      </w:r>
      <w:r>
        <w:rPr>
          <w:rFonts w:hint="eastAsia" w:cs="Times New Roman"/>
          <w:color w:val="auto"/>
          <w:highlight w:val="none"/>
          <w:lang w:val="en-US" w:eastAsia="zh-CN"/>
        </w:rPr>
        <w:t>均可利旧，不新增地面设施</w:t>
      </w:r>
      <w:r>
        <w:rPr>
          <w:rFonts w:hint="default" w:ascii="Times New Roman" w:hAnsi="Times New Roman" w:cs="Times New Roman"/>
          <w:color w:val="auto"/>
          <w:highlight w:val="none"/>
        </w:rPr>
        <w:t>。油气通过节流装置节流后再经加热炉加热，最后通过集输管线输送至各计转站，最终均通过管网输送至</w:t>
      </w:r>
      <w:r>
        <w:rPr>
          <w:rFonts w:hint="default" w:ascii="Times New Roman" w:hAnsi="Times New Roman" w:cs="Times New Roman"/>
          <w:color w:val="auto"/>
          <w:highlight w:val="none"/>
          <w:lang w:val="en-US" w:eastAsia="zh-CN"/>
        </w:rPr>
        <w:t>塔河油田三号联合站</w:t>
      </w:r>
      <w:r>
        <w:rPr>
          <w:rFonts w:hint="default" w:ascii="Times New Roman" w:hAnsi="Times New Roman" w:cs="Times New Roman"/>
          <w:color w:val="auto"/>
          <w:highlight w:val="none"/>
        </w:rPr>
        <w:t>处理</w:t>
      </w:r>
      <w:r>
        <w:rPr>
          <w:rFonts w:hint="default" w:ascii="Times New Roman" w:hAnsi="Times New Roman" w:cs="Times New Roman"/>
          <w:color w:val="auto"/>
          <w:highlight w:val="none"/>
          <w:lang w:eastAsia="zh-CN"/>
        </w:rPr>
        <w:t>。</w:t>
      </w:r>
    </w:p>
    <w:p w14:paraId="4FB50ECC">
      <w:pPr>
        <w:pStyle w:val="34"/>
        <w:keepNext w:val="0"/>
        <w:keepLines w:val="0"/>
        <w:pageBreakBefore w:val="0"/>
        <w:kinsoku/>
        <w:wordWrap/>
        <w:overflowPunct/>
        <w:topLinePunct w:val="0"/>
        <w:autoSpaceDE/>
        <w:autoSpaceDN/>
        <w:bidi w:val="0"/>
        <w:snapToGrid/>
        <w:spacing w:after="0" w:line="240" w:lineRule="auto"/>
        <w:ind w:left="0" w:leftChars="0" w:firstLine="0" w:firstLineChars="0"/>
        <w:jc w:val="center"/>
        <w:textAlignment w:val="auto"/>
        <w:rPr>
          <w:rFonts w:hint="default" w:ascii="Times New Roman" w:hAnsi="Times New Roman" w:cs="Times New Roman"/>
          <w:color w:val="auto"/>
          <w:highlight w:val="none"/>
          <w:lang w:eastAsia="zh-CN"/>
        </w:rPr>
      </w:pPr>
    </w:p>
    <w:p w14:paraId="001DCF18">
      <w:pPr>
        <w:pStyle w:val="11"/>
        <w:keepNext w:val="0"/>
        <w:keepLines w:val="0"/>
        <w:pageBreakBefore w:val="0"/>
        <w:kinsoku/>
        <w:wordWrap/>
        <w:overflowPunct/>
        <w:topLinePunct w:val="0"/>
        <w:autoSpaceDE/>
        <w:autoSpaceDN/>
        <w:bidi w:val="0"/>
        <w:snapToGrid/>
        <w:spacing w:after="0" w:line="240" w:lineRule="auto"/>
        <w:ind w:firstLine="0"/>
        <w:jc w:val="center"/>
        <w:textAlignment w:val="auto"/>
        <w:rPr>
          <w:rFonts w:hint="default" w:ascii="Times New Roman" w:hAnsi="Times New Roman" w:eastAsia="黑体" w:cs="Times New Roman"/>
          <w:color w:val="auto"/>
          <w:kern w:val="2"/>
          <w:sz w:val="21"/>
          <w:szCs w:val="22"/>
          <w:highlight w:val="none"/>
          <w:lang w:val="en-US" w:eastAsia="zh-CN" w:bidi="ar-SA"/>
        </w:rPr>
      </w:pPr>
      <w:r>
        <w:rPr>
          <w:rFonts w:hint="default" w:ascii="Times New Roman" w:hAnsi="Times New Roman" w:eastAsia="黑体" w:cs="Times New Roman"/>
          <w:color w:val="auto"/>
          <w:kern w:val="2"/>
          <w:sz w:val="21"/>
          <w:szCs w:val="22"/>
          <w:highlight w:val="none"/>
          <w:lang w:val="en-US" w:eastAsia="zh-CN" w:bidi="ar-SA"/>
        </w:rPr>
        <w:t>图3.3-6</w:t>
      </w:r>
      <w:r>
        <w:rPr>
          <w:rFonts w:hint="eastAsia" w:eastAsia="黑体" w:cs="Times New Roman"/>
          <w:color w:val="auto"/>
          <w:kern w:val="2"/>
          <w:sz w:val="21"/>
          <w:szCs w:val="22"/>
          <w:highlight w:val="none"/>
          <w:lang w:val="en-US" w:eastAsia="zh-CN" w:bidi="ar-SA"/>
        </w:rPr>
        <w:t xml:space="preserve">  </w:t>
      </w:r>
      <w:r>
        <w:rPr>
          <w:rFonts w:hint="default" w:ascii="Times New Roman" w:hAnsi="Times New Roman" w:eastAsia="黑体" w:cs="Times New Roman"/>
          <w:color w:val="auto"/>
          <w:kern w:val="2"/>
          <w:sz w:val="21"/>
          <w:szCs w:val="22"/>
          <w:highlight w:val="none"/>
          <w:lang w:val="en-US" w:eastAsia="zh-CN" w:bidi="ar-SA"/>
        </w:rPr>
        <w:t>井场运营期平面布置示意图</w:t>
      </w:r>
    </w:p>
    <w:p w14:paraId="55E5506C">
      <w:pPr>
        <w:keepNext w:val="0"/>
        <w:keepLines w:val="0"/>
        <w:pageBreakBefore w:val="0"/>
        <w:widowControl/>
        <w:numPr>
          <w:ilvl w:val="0"/>
          <w:numId w:val="4"/>
        </w:numPr>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default" w:ascii="Times New Roman" w:hAnsi="Times New Roman" w:cs="Times New Roman"/>
          <w:b/>
          <w:bCs/>
          <w:color w:val="auto"/>
          <w:szCs w:val="22"/>
          <w:highlight w:val="none"/>
        </w:rPr>
      </w:pPr>
      <w:r>
        <w:rPr>
          <w:rFonts w:hint="default" w:ascii="Times New Roman" w:hAnsi="Times New Roman" w:cs="Times New Roman"/>
          <w:b/>
          <w:bCs/>
          <w:color w:val="auto"/>
          <w:szCs w:val="22"/>
          <w:highlight w:val="none"/>
        </w:rPr>
        <w:t>集输工程建设</w:t>
      </w:r>
    </w:p>
    <w:p w14:paraId="56CA233D">
      <w:pPr>
        <w:spacing w:line="360" w:lineRule="auto"/>
        <w:ind w:firstLine="480" w:firstLineChars="200"/>
        <w:jc w:val="both"/>
        <w:rPr>
          <w:rFonts w:hint="eastAsia"/>
          <w:color w:val="auto"/>
          <w:highlight w:val="none"/>
          <w:lang w:val="en-US" w:eastAsia="zh-CN"/>
        </w:rPr>
      </w:pPr>
      <w:r>
        <w:rPr>
          <w:rFonts w:hint="eastAsia"/>
          <w:color w:val="auto"/>
          <w:highlight w:val="none"/>
          <w:lang w:val="en-US" w:eastAsia="zh-CN"/>
        </w:rPr>
        <w:t>本项目</w:t>
      </w:r>
      <w:r>
        <w:rPr>
          <w:rFonts w:hint="eastAsia"/>
          <w:color w:val="auto"/>
          <w:highlight w:val="none"/>
        </w:rPr>
        <w:t>新建TH102117X井至T707CH</w:t>
      </w:r>
      <w:r>
        <w:rPr>
          <w:rFonts w:hint="eastAsia"/>
          <w:color w:val="auto"/>
          <w:highlight w:val="none"/>
          <w:lang w:val="en-US" w:eastAsia="zh-CN"/>
        </w:rPr>
        <w:t>井采油管线601</w:t>
      </w:r>
      <w:r>
        <w:rPr>
          <w:rFonts w:hint="eastAsia"/>
          <w:color w:val="auto"/>
          <w:highlight w:val="none"/>
        </w:rPr>
        <w:t>m</w:t>
      </w:r>
      <w:r>
        <w:rPr>
          <w:rFonts w:hint="eastAsia"/>
          <w:color w:val="auto"/>
          <w:highlight w:val="none"/>
          <w:lang w:eastAsia="zh-CN"/>
        </w:rPr>
        <w:t>，</w:t>
      </w:r>
      <w:r>
        <w:rPr>
          <w:rFonts w:hint="eastAsia"/>
          <w:color w:val="auto"/>
          <w:highlight w:val="none"/>
          <w:lang w:val="en-US" w:eastAsia="zh-CN"/>
        </w:rPr>
        <w:t>新建T707CH井场至</w:t>
      </w:r>
    </w:p>
    <w:p w14:paraId="03FB841A">
      <w:pPr>
        <w:spacing w:line="360" w:lineRule="auto"/>
        <w:jc w:val="both"/>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TH102117X井场掺稀管线601m、燃料气管线601m，三条管线同沟敷设；4口侧钻</w:t>
      </w:r>
      <w:r>
        <w:rPr>
          <w:rFonts w:hint="eastAsia" w:ascii="Times New Roman" w:hAnsi="Times New Roman" w:eastAsia="宋体" w:cs="Times New Roman"/>
          <w:color w:val="auto"/>
          <w:highlight w:val="none"/>
          <w:lang w:val="en-US" w:eastAsia="zh-CN"/>
        </w:rPr>
        <w:t>老井管线均可利旧。</w:t>
      </w:r>
    </w:p>
    <w:p w14:paraId="65AA4CB5">
      <w:pPr>
        <w:spacing w:line="360" w:lineRule="auto"/>
        <w:ind w:firstLine="480" w:firstLineChars="200"/>
        <w:jc w:val="both"/>
        <w:rPr>
          <w:rFonts w:hint="eastAsia"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本项目</w:t>
      </w:r>
      <w:r>
        <w:rPr>
          <w:rFonts w:hint="eastAsia" w:cs="Times New Roman"/>
          <w:color w:val="auto"/>
          <w:highlight w:val="none"/>
          <w:lang w:val="en-US" w:eastAsia="zh-CN"/>
        </w:rPr>
        <w:t>位于10区的3口侧钻井（</w:t>
      </w:r>
      <w:r>
        <w:rPr>
          <w:rFonts w:hint="default" w:ascii="Times New Roman" w:hAnsi="Times New Roman" w:cs="Times New Roman"/>
          <w:color w:val="auto"/>
          <w:highlight w:val="none"/>
          <w:lang w:val="en-US" w:eastAsia="zh-CN"/>
        </w:rPr>
        <w:t>TH10294</w:t>
      </w:r>
      <w:r>
        <w:rPr>
          <w:rFonts w:hint="eastAsia" w:cs="Times New Roman"/>
          <w:color w:val="auto"/>
          <w:highlight w:val="none"/>
          <w:lang w:val="en-US" w:eastAsia="zh-CN"/>
        </w:rPr>
        <w:t>CH</w:t>
      </w:r>
      <w:r>
        <w:rPr>
          <w:rFonts w:hint="default" w:ascii="Times New Roman" w:hAnsi="Times New Roman" w:cs="Times New Roman"/>
          <w:color w:val="auto"/>
          <w:highlight w:val="none"/>
          <w:lang w:val="en-US" w:eastAsia="zh-CN"/>
        </w:rPr>
        <w:t>、TH10250</w:t>
      </w:r>
      <w:r>
        <w:rPr>
          <w:rFonts w:hint="eastAsia" w:cs="Times New Roman"/>
          <w:color w:val="auto"/>
          <w:highlight w:val="none"/>
          <w:lang w:val="en-US" w:eastAsia="zh-CN"/>
        </w:rPr>
        <w:t>CH</w:t>
      </w:r>
      <w:r>
        <w:rPr>
          <w:rFonts w:hint="default" w:ascii="Times New Roman" w:hAnsi="Times New Roman" w:cs="Times New Roman"/>
          <w:color w:val="auto"/>
          <w:highlight w:val="none"/>
          <w:lang w:val="en-US" w:eastAsia="zh-CN"/>
        </w:rPr>
        <w:t>、TH10298</w:t>
      </w:r>
      <w:r>
        <w:rPr>
          <w:rFonts w:hint="eastAsia" w:cs="Times New Roman"/>
          <w:color w:val="auto"/>
          <w:highlight w:val="none"/>
          <w:lang w:val="en-US" w:eastAsia="zh-CN"/>
        </w:rPr>
        <w:t>CH）</w:t>
      </w:r>
      <w:r>
        <w:rPr>
          <w:rFonts w:hint="default" w:ascii="Times New Roman" w:hAnsi="Times New Roman" w:cs="Times New Roman"/>
          <w:color w:val="auto"/>
          <w:highlight w:val="none"/>
        </w:rPr>
        <w:t>原油为稠油，原油密度大，</w:t>
      </w:r>
      <w:r>
        <w:rPr>
          <w:rFonts w:hint="eastAsia" w:cs="Times New Roman"/>
          <w:color w:val="auto"/>
          <w:highlight w:val="none"/>
          <w:lang w:eastAsia="zh-CN"/>
        </w:rPr>
        <w:t>黏度</w:t>
      </w:r>
      <w:r>
        <w:rPr>
          <w:rFonts w:hint="default" w:ascii="Times New Roman" w:hAnsi="Times New Roman" w:cs="Times New Roman"/>
          <w:color w:val="auto"/>
          <w:highlight w:val="none"/>
        </w:rPr>
        <w:t>高，采用加热掺稀集输流程</w:t>
      </w:r>
      <w:r>
        <w:rPr>
          <w:rFonts w:hint="eastAsia" w:cs="Times New Roman"/>
          <w:color w:val="auto"/>
          <w:highlight w:val="none"/>
          <w:lang w:eastAsia="zh-CN"/>
        </w:rPr>
        <w:t>；</w:t>
      </w:r>
      <w:r>
        <w:rPr>
          <w:rFonts w:hint="eastAsia" w:cs="Times New Roman"/>
          <w:color w:val="auto"/>
          <w:highlight w:val="none"/>
          <w:lang w:val="en-US" w:eastAsia="zh-CN"/>
        </w:rPr>
        <w:t>位于8区的</w:t>
      </w:r>
      <w:r>
        <w:rPr>
          <w:rFonts w:hint="default" w:ascii="Times New Roman" w:hAnsi="Times New Roman" w:cs="Times New Roman"/>
          <w:color w:val="auto"/>
          <w:highlight w:val="none"/>
          <w:lang w:val="en-US" w:eastAsia="zh-CN"/>
        </w:rPr>
        <w:t>TK872</w:t>
      </w:r>
      <w:r>
        <w:rPr>
          <w:rFonts w:hint="eastAsia" w:cs="Times New Roman"/>
          <w:color w:val="auto"/>
          <w:highlight w:val="none"/>
          <w:lang w:val="en-US" w:eastAsia="zh-CN"/>
        </w:rPr>
        <w:t>CH</w:t>
      </w:r>
      <w:r>
        <w:rPr>
          <w:rFonts w:hint="eastAsia" w:ascii="Times New Roman" w:hAnsi="Times New Roman" w:cs="Times New Roman"/>
          <w:color w:val="auto"/>
          <w:highlight w:val="none"/>
          <w:lang w:val="en-US" w:eastAsia="zh-CN"/>
        </w:rPr>
        <w:t>井</w:t>
      </w:r>
      <w:r>
        <w:rPr>
          <w:rFonts w:hint="eastAsia" w:cs="Times New Roman"/>
          <w:color w:val="auto"/>
          <w:highlight w:val="none"/>
          <w:lang w:val="en-US" w:eastAsia="zh-CN"/>
        </w:rPr>
        <w:t>采用加热集输流程，不需</w:t>
      </w:r>
      <w:r>
        <w:rPr>
          <w:rFonts w:hint="default" w:ascii="Times New Roman" w:hAnsi="Times New Roman" w:cs="Times New Roman"/>
          <w:color w:val="auto"/>
          <w:highlight w:val="none"/>
        </w:rPr>
        <w:t>掺稀</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本项目4</w:t>
      </w:r>
      <w:r>
        <w:rPr>
          <w:rFonts w:hint="default" w:ascii="Times New Roman" w:hAnsi="Times New Roman" w:eastAsia="宋体" w:cs="Times New Roman"/>
          <w:color w:val="auto"/>
          <w:highlight w:val="none"/>
        </w:rPr>
        <w:t>口侧钻井</w:t>
      </w:r>
      <w:r>
        <w:rPr>
          <w:rFonts w:hint="eastAsia" w:ascii="Times New Roman" w:hAnsi="Times New Roman" w:eastAsia="宋体" w:cs="Times New Roman"/>
          <w:color w:val="auto"/>
          <w:highlight w:val="none"/>
        </w:rPr>
        <w:t>加热炉</w:t>
      </w:r>
      <w:r>
        <w:rPr>
          <w:rFonts w:hint="eastAsia" w:ascii="Times New Roman" w:hAnsi="Times New Roman" w:eastAsia="宋体" w:cs="Times New Roman"/>
          <w:color w:val="auto"/>
          <w:highlight w:val="none"/>
          <w:lang w:val="en-US" w:eastAsia="zh-CN"/>
        </w:rPr>
        <w:t>均可</w:t>
      </w:r>
      <w:r>
        <w:rPr>
          <w:rFonts w:hint="eastAsia" w:ascii="Times New Roman" w:hAnsi="Times New Roman" w:eastAsia="宋体" w:cs="Times New Roman"/>
          <w:color w:val="auto"/>
          <w:highlight w:val="none"/>
        </w:rPr>
        <w:t>利旧</w:t>
      </w:r>
      <w:r>
        <w:rPr>
          <w:rFonts w:hint="eastAsia" w:cs="Times New Roman"/>
          <w:color w:val="auto"/>
          <w:highlight w:val="none"/>
          <w:lang w:eastAsia="zh-CN"/>
        </w:rPr>
        <w:t>，</w:t>
      </w:r>
      <w:r>
        <w:rPr>
          <w:rFonts w:hint="eastAsia" w:cs="Times New Roman"/>
          <w:color w:val="auto"/>
          <w:highlight w:val="none"/>
          <w:lang w:val="en-US" w:eastAsia="zh-CN"/>
        </w:rPr>
        <w:t>不新增</w:t>
      </w:r>
      <w:r>
        <w:rPr>
          <w:rFonts w:hint="eastAsia" w:ascii="Times New Roman" w:hAnsi="Times New Roman" w:eastAsia="宋体" w:cs="Times New Roman"/>
          <w:color w:val="auto"/>
          <w:highlight w:val="none"/>
        </w:rPr>
        <w:t>。</w:t>
      </w:r>
    </w:p>
    <w:p w14:paraId="1741D8C0">
      <w:pPr>
        <w:adjustRightInd w:val="0"/>
        <w:spacing w:line="276" w:lineRule="auto"/>
        <w:jc w:val="center"/>
        <w:rPr>
          <w:rFonts w:hint="eastAsia" w:eastAsia="黑体"/>
          <w:bCs/>
          <w:color w:val="auto"/>
          <w:sz w:val="21"/>
          <w:szCs w:val="24"/>
          <w:highlight w:val="none"/>
        </w:rPr>
      </w:pPr>
      <w:r>
        <w:rPr>
          <w:rFonts w:hint="eastAsia" w:eastAsia="黑体"/>
          <w:bCs/>
          <w:color w:val="auto"/>
          <w:sz w:val="21"/>
          <w:szCs w:val="24"/>
          <w:highlight w:val="none"/>
        </w:rPr>
        <w:t>表</w:t>
      </w:r>
      <w:r>
        <w:rPr>
          <w:rFonts w:hint="eastAsia" w:eastAsia="黑体"/>
          <w:bCs/>
          <w:color w:val="auto"/>
          <w:sz w:val="21"/>
          <w:szCs w:val="24"/>
          <w:highlight w:val="none"/>
          <w:lang w:val="en-US" w:eastAsia="zh-CN"/>
        </w:rPr>
        <w:t>3.3</w:t>
      </w:r>
      <w:r>
        <w:rPr>
          <w:rFonts w:eastAsia="黑体"/>
          <w:bCs/>
          <w:color w:val="auto"/>
          <w:sz w:val="21"/>
          <w:szCs w:val="24"/>
          <w:highlight w:val="none"/>
        </w:rPr>
        <w:t>-</w:t>
      </w:r>
      <w:r>
        <w:rPr>
          <w:rFonts w:hint="eastAsia" w:eastAsia="黑体"/>
          <w:bCs/>
          <w:color w:val="auto"/>
          <w:sz w:val="21"/>
          <w:szCs w:val="24"/>
          <w:highlight w:val="none"/>
          <w:lang w:val="en-US" w:eastAsia="zh-CN"/>
        </w:rPr>
        <w:t>11  新建</w:t>
      </w:r>
      <w:r>
        <w:rPr>
          <w:rFonts w:hint="eastAsia" w:eastAsia="黑体"/>
          <w:bCs/>
          <w:color w:val="auto"/>
          <w:sz w:val="21"/>
          <w:szCs w:val="24"/>
          <w:highlight w:val="none"/>
        </w:rPr>
        <w:t>集输管道信息表</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816"/>
        <w:gridCol w:w="1279"/>
        <w:gridCol w:w="1293"/>
        <w:gridCol w:w="721"/>
        <w:gridCol w:w="986"/>
        <w:gridCol w:w="2339"/>
      </w:tblGrid>
      <w:tr w14:paraId="2F8DC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5" w:hRule="atLeast"/>
        </w:trPr>
        <w:tc>
          <w:tcPr>
            <w:tcW w:w="10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0036A31">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管线类型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1FAF11B">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起点</w:t>
            </w:r>
          </w:p>
        </w:tc>
        <w:tc>
          <w:tcPr>
            <w:tcW w:w="7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FDB07AC">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终点</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083B0E8">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长度</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3EED57D">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规格</w:t>
            </w:r>
          </w:p>
        </w:tc>
        <w:tc>
          <w:tcPr>
            <w:tcW w:w="13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3C5B7C3">
            <w:pPr>
              <w:spacing w:line="276" w:lineRule="auto"/>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材质</w:t>
            </w:r>
          </w:p>
        </w:tc>
      </w:tr>
      <w:tr w14:paraId="5E986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10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EBF09B4">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集输管线</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46A2F4E">
            <w:pPr>
              <w:spacing w:line="276" w:lineRule="auto"/>
              <w:jc w:val="center"/>
              <w:rPr>
                <w:rFonts w:hint="eastAsia" w:ascii="Times New Roman" w:hAnsi="Times New Roman" w:eastAsia="宋体" w:cs="Times New Roman"/>
                <w:bCs/>
                <w:color w:val="auto"/>
                <w:sz w:val="21"/>
                <w:szCs w:val="21"/>
                <w:highlight w:val="none"/>
              </w:rPr>
            </w:pPr>
            <w:r>
              <w:rPr>
                <w:rFonts w:hint="eastAsia"/>
                <w:color w:val="auto"/>
                <w:sz w:val="21"/>
                <w:szCs w:val="21"/>
                <w:highlight w:val="none"/>
              </w:rPr>
              <w:t>TH102117X</w:t>
            </w:r>
          </w:p>
        </w:tc>
        <w:tc>
          <w:tcPr>
            <w:tcW w:w="7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FA61227">
            <w:pPr>
              <w:spacing w:line="276" w:lineRule="auto"/>
              <w:jc w:val="center"/>
              <w:rPr>
                <w:rFonts w:hint="eastAsia" w:ascii="Times New Roman" w:hAnsi="Times New Roman" w:eastAsia="宋体" w:cs="Times New Roman"/>
                <w:bCs/>
                <w:color w:val="auto"/>
                <w:sz w:val="21"/>
                <w:szCs w:val="21"/>
                <w:highlight w:val="none"/>
              </w:rPr>
            </w:pPr>
            <w:r>
              <w:rPr>
                <w:rFonts w:hint="eastAsia"/>
                <w:color w:val="auto"/>
                <w:sz w:val="21"/>
                <w:szCs w:val="21"/>
                <w:highlight w:val="none"/>
              </w:rPr>
              <w:t>T707CH</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AB37B74">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601</w:t>
            </w:r>
            <w:r>
              <w:rPr>
                <w:rFonts w:hint="eastAsia" w:ascii="Times New Roman" w:hAnsi="Times New Roman" w:eastAsia="宋体" w:cs="Times New Roman"/>
                <w:bCs/>
                <w:color w:val="auto"/>
                <w:sz w:val="21"/>
                <w:szCs w:val="21"/>
                <w:highlight w:val="none"/>
              </w:rPr>
              <w:t>m</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2019376">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rPr>
              <w:t>DN</w:t>
            </w:r>
            <w:r>
              <w:rPr>
                <w:rFonts w:hint="eastAsia" w:ascii="Times New Roman" w:hAnsi="Times New Roman" w:eastAsia="宋体" w:cs="Times New Roman"/>
                <w:bCs/>
                <w:color w:val="auto"/>
                <w:sz w:val="21"/>
                <w:szCs w:val="21"/>
                <w:highlight w:val="none"/>
                <w:lang w:val="en-US" w:eastAsia="zh-CN"/>
              </w:rPr>
              <w:t>80</w:t>
            </w:r>
          </w:p>
        </w:tc>
        <w:tc>
          <w:tcPr>
            <w:tcW w:w="13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A5C50CA">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柔性复合高压输送管RF-Y（S/X）-II-80-6.4</w:t>
            </w:r>
          </w:p>
        </w:tc>
      </w:tr>
      <w:tr w14:paraId="74A68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0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68D3340">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燃料气管线</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BB09E93">
            <w:pPr>
              <w:spacing w:line="276" w:lineRule="auto"/>
              <w:jc w:val="center"/>
              <w:rPr>
                <w:rFonts w:hint="eastAsia" w:ascii="Times New Roman" w:hAnsi="Times New Roman" w:eastAsia="宋体" w:cs="Times New Roman"/>
                <w:bCs/>
                <w:color w:val="auto"/>
                <w:sz w:val="21"/>
                <w:szCs w:val="21"/>
                <w:highlight w:val="none"/>
              </w:rPr>
            </w:pPr>
            <w:r>
              <w:rPr>
                <w:rFonts w:hint="eastAsia"/>
                <w:color w:val="auto"/>
                <w:sz w:val="21"/>
                <w:szCs w:val="21"/>
                <w:highlight w:val="none"/>
              </w:rPr>
              <w:t>T707CH</w:t>
            </w:r>
          </w:p>
        </w:tc>
        <w:tc>
          <w:tcPr>
            <w:tcW w:w="7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1E59348">
            <w:pPr>
              <w:spacing w:line="276" w:lineRule="auto"/>
              <w:jc w:val="center"/>
              <w:rPr>
                <w:rFonts w:hint="eastAsia" w:ascii="Times New Roman" w:hAnsi="Times New Roman" w:eastAsia="宋体" w:cs="Times New Roman"/>
                <w:bCs/>
                <w:color w:val="auto"/>
                <w:sz w:val="21"/>
                <w:szCs w:val="21"/>
                <w:highlight w:val="none"/>
              </w:rPr>
            </w:pPr>
            <w:r>
              <w:rPr>
                <w:rFonts w:hint="eastAsia"/>
                <w:color w:val="auto"/>
                <w:sz w:val="21"/>
                <w:szCs w:val="21"/>
                <w:highlight w:val="none"/>
              </w:rPr>
              <w:t>TH102117X</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C1EB417">
            <w:pPr>
              <w:spacing w:line="276" w:lineRule="auto"/>
              <w:jc w:val="center"/>
              <w:rPr>
                <w:rFonts w:hint="default"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601</w:t>
            </w:r>
            <w:r>
              <w:rPr>
                <w:rFonts w:hint="eastAsia" w:cs="Times New Roman"/>
                <w:bCs/>
                <w:color w:val="auto"/>
                <w:sz w:val="21"/>
                <w:szCs w:val="21"/>
                <w:highlight w:val="none"/>
                <w:lang w:val="en-US" w:eastAsia="zh-CN"/>
              </w:rPr>
              <w:t>m</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2728C6F">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rPr>
              <w:t>DN</w:t>
            </w:r>
            <w:r>
              <w:rPr>
                <w:rFonts w:hint="eastAsia" w:ascii="Times New Roman" w:hAnsi="Times New Roman" w:eastAsia="宋体" w:cs="Times New Roman"/>
                <w:bCs/>
                <w:color w:val="auto"/>
                <w:sz w:val="21"/>
                <w:szCs w:val="21"/>
                <w:highlight w:val="none"/>
                <w:lang w:val="en-US" w:eastAsia="zh-CN"/>
              </w:rPr>
              <w:t>40</w:t>
            </w:r>
          </w:p>
        </w:tc>
        <w:tc>
          <w:tcPr>
            <w:tcW w:w="13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99BC29F">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20无缝钢管</w:t>
            </w:r>
          </w:p>
        </w:tc>
      </w:tr>
      <w:tr w14:paraId="71144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10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482BB8B">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掺稀管线</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88A664B">
            <w:pPr>
              <w:spacing w:line="276" w:lineRule="auto"/>
              <w:jc w:val="center"/>
              <w:rPr>
                <w:rFonts w:hint="eastAsia" w:ascii="Times New Roman" w:hAnsi="Times New Roman" w:eastAsia="宋体" w:cs="Times New Roman"/>
                <w:bCs/>
                <w:color w:val="auto"/>
                <w:sz w:val="21"/>
                <w:szCs w:val="21"/>
                <w:highlight w:val="none"/>
              </w:rPr>
            </w:pPr>
            <w:r>
              <w:rPr>
                <w:rFonts w:hint="eastAsia"/>
                <w:color w:val="auto"/>
                <w:sz w:val="21"/>
                <w:szCs w:val="21"/>
                <w:highlight w:val="none"/>
              </w:rPr>
              <w:t>T707CH</w:t>
            </w:r>
          </w:p>
        </w:tc>
        <w:tc>
          <w:tcPr>
            <w:tcW w:w="7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02612CE">
            <w:pPr>
              <w:spacing w:line="276" w:lineRule="auto"/>
              <w:jc w:val="center"/>
              <w:rPr>
                <w:rFonts w:hint="eastAsia" w:ascii="Times New Roman" w:hAnsi="Times New Roman" w:eastAsia="宋体" w:cs="Times New Roman"/>
                <w:bCs/>
                <w:color w:val="auto"/>
                <w:sz w:val="21"/>
                <w:szCs w:val="21"/>
                <w:highlight w:val="none"/>
              </w:rPr>
            </w:pPr>
            <w:r>
              <w:rPr>
                <w:rFonts w:hint="eastAsia"/>
                <w:color w:val="auto"/>
                <w:sz w:val="21"/>
                <w:szCs w:val="21"/>
                <w:highlight w:val="none"/>
              </w:rPr>
              <w:t>TH102117X</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DDCD8E9">
            <w:pPr>
              <w:spacing w:line="276" w:lineRule="auto"/>
              <w:jc w:val="center"/>
              <w:rPr>
                <w:rFonts w:hint="default"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601</w:t>
            </w:r>
            <w:r>
              <w:rPr>
                <w:rFonts w:hint="eastAsia" w:cs="Times New Roman"/>
                <w:bCs/>
                <w:color w:val="auto"/>
                <w:sz w:val="21"/>
                <w:szCs w:val="21"/>
                <w:highlight w:val="none"/>
                <w:lang w:val="en-US" w:eastAsia="zh-CN"/>
              </w:rPr>
              <w:t>m</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75FA383">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rPr>
              <w:t>DN</w:t>
            </w:r>
            <w:r>
              <w:rPr>
                <w:rFonts w:hint="eastAsia" w:ascii="Times New Roman" w:hAnsi="Times New Roman" w:eastAsia="宋体" w:cs="Times New Roman"/>
                <w:bCs/>
                <w:color w:val="auto"/>
                <w:sz w:val="21"/>
                <w:szCs w:val="21"/>
                <w:highlight w:val="none"/>
                <w:lang w:val="en-US" w:eastAsia="zh-CN"/>
              </w:rPr>
              <w:t>50</w:t>
            </w:r>
          </w:p>
        </w:tc>
        <w:tc>
          <w:tcPr>
            <w:tcW w:w="13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C89D526">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柔性复合高压输送管RF-Y（S/X）-I-50-25</w:t>
            </w:r>
          </w:p>
        </w:tc>
      </w:tr>
    </w:tbl>
    <w:p w14:paraId="22817AFF">
      <w:pPr>
        <w:adjustRightInd w:val="0"/>
        <w:spacing w:line="276" w:lineRule="auto"/>
        <w:jc w:val="center"/>
        <w:rPr>
          <w:rFonts w:eastAsia="黑体"/>
          <w:bCs/>
          <w:color w:val="auto"/>
          <w:sz w:val="21"/>
          <w:szCs w:val="24"/>
          <w:highlight w:val="none"/>
        </w:rPr>
      </w:pPr>
      <w:r>
        <w:rPr>
          <w:rFonts w:hint="eastAsia" w:eastAsia="黑体"/>
          <w:bCs/>
          <w:color w:val="auto"/>
          <w:sz w:val="21"/>
          <w:szCs w:val="24"/>
          <w:highlight w:val="none"/>
        </w:rPr>
        <w:t>表</w:t>
      </w:r>
      <w:r>
        <w:rPr>
          <w:rFonts w:hint="eastAsia" w:eastAsia="黑体"/>
          <w:bCs/>
          <w:color w:val="auto"/>
          <w:sz w:val="21"/>
          <w:szCs w:val="24"/>
          <w:highlight w:val="none"/>
          <w:lang w:val="en-US" w:eastAsia="zh-CN"/>
        </w:rPr>
        <w:t>3.3</w:t>
      </w:r>
      <w:r>
        <w:rPr>
          <w:rFonts w:eastAsia="黑体"/>
          <w:bCs/>
          <w:color w:val="auto"/>
          <w:sz w:val="21"/>
          <w:szCs w:val="24"/>
          <w:highlight w:val="none"/>
        </w:rPr>
        <w:t>-</w:t>
      </w:r>
      <w:r>
        <w:rPr>
          <w:rFonts w:hint="eastAsia" w:eastAsia="黑体"/>
          <w:bCs/>
          <w:color w:val="auto"/>
          <w:sz w:val="21"/>
          <w:szCs w:val="24"/>
          <w:highlight w:val="none"/>
          <w:lang w:val="en-US" w:eastAsia="zh-CN"/>
        </w:rPr>
        <w:t xml:space="preserve">12  </w:t>
      </w:r>
      <w:r>
        <w:rPr>
          <w:rFonts w:hint="eastAsia" w:eastAsia="黑体"/>
          <w:bCs/>
          <w:color w:val="auto"/>
          <w:sz w:val="21"/>
          <w:szCs w:val="24"/>
          <w:highlight w:val="none"/>
        </w:rPr>
        <w:t>侧钻井</w:t>
      </w:r>
      <w:r>
        <w:rPr>
          <w:rFonts w:hint="eastAsia" w:eastAsia="黑体"/>
          <w:bCs/>
          <w:color w:val="auto"/>
          <w:sz w:val="21"/>
          <w:szCs w:val="24"/>
          <w:highlight w:val="none"/>
          <w:lang w:val="en-US" w:eastAsia="zh-CN"/>
        </w:rPr>
        <w:t>利旧</w:t>
      </w:r>
      <w:r>
        <w:rPr>
          <w:rFonts w:hint="eastAsia" w:eastAsia="黑体"/>
          <w:bCs/>
          <w:color w:val="auto"/>
          <w:sz w:val="21"/>
          <w:szCs w:val="24"/>
          <w:highlight w:val="none"/>
        </w:rPr>
        <w:t>集输管道信息表</w:t>
      </w:r>
    </w:p>
    <w:tbl>
      <w:tblPr>
        <w:tblStyle w:val="3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00"/>
        <w:gridCol w:w="1163"/>
        <w:gridCol w:w="716"/>
        <w:gridCol w:w="778"/>
        <w:gridCol w:w="962"/>
        <w:gridCol w:w="1411"/>
        <w:gridCol w:w="785"/>
        <w:gridCol w:w="1117"/>
      </w:tblGrid>
      <w:tr w14:paraId="48C6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C303813">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井号</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5508BAE">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终点</w:t>
            </w:r>
          </w:p>
        </w:tc>
        <w:tc>
          <w:tcPr>
            <w:tcW w:w="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104B580">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输量</w:t>
            </w:r>
          </w:p>
          <w:p w14:paraId="1A313C56">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t/d</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153F7C8">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长度</w:t>
            </w:r>
          </w:p>
          <w:p w14:paraId="20B43004">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km</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825B2D8">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规格</w:t>
            </w:r>
          </w:p>
        </w:tc>
        <w:tc>
          <w:tcPr>
            <w:tcW w:w="8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A4F18EF">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起/终点温度</w:t>
            </w:r>
          </w:p>
          <w:p w14:paraId="0657BABD">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F22BE9C">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校核</w:t>
            </w:r>
          </w:p>
          <w:p w14:paraId="1025EBCC">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结果</w:t>
            </w:r>
          </w:p>
        </w:tc>
        <w:tc>
          <w:tcPr>
            <w:tcW w:w="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F7368F6">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加热负荷</w:t>
            </w:r>
          </w:p>
          <w:p w14:paraId="365D20F6">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kW</w:t>
            </w:r>
          </w:p>
        </w:tc>
      </w:tr>
      <w:tr w14:paraId="67553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AE1ED58">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TH10250CH</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50561DC">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10-6站</w:t>
            </w:r>
          </w:p>
        </w:tc>
        <w:tc>
          <w:tcPr>
            <w:tcW w:w="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616B5F4">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37.5</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C9178A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3.2</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433607D">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DN100</w:t>
            </w:r>
          </w:p>
        </w:tc>
        <w:tc>
          <w:tcPr>
            <w:tcW w:w="8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4DE8262">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70.0/35.9</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7186EF9">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满足</w:t>
            </w:r>
          </w:p>
        </w:tc>
        <w:tc>
          <w:tcPr>
            <w:tcW w:w="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16154B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142</w:t>
            </w:r>
          </w:p>
        </w:tc>
      </w:tr>
      <w:tr w14:paraId="15E78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0325B6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TH10294CH</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95C4B57">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10-6站</w:t>
            </w:r>
          </w:p>
        </w:tc>
        <w:tc>
          <w:tcPr>
            <w:tcW w:w="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A182A87">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50</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560DE00">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2.91</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9AA7F9D">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DN100</w:t>
            </w:r>
          </w:p>
        </w:tc>
        <w:tc>
          <w:tcPr>
            <w:tcW w:w="8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B85D638">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70.0/44.4</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3749484">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满足</w:t>
            </w:r>
          </w:p>
        </w:tc>
        <w:tc>
          <w:tcPr>
            <w:tcW w:w="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D7344A5">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169</w:t>
            </w:r>
          </w:p>
        </w:tc>
      </w:tr>
      <w:tr w14:paraId="17131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842451D">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TH10298CH</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AF47FFA">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10-6站</w:t>
            </w:r>
          </w:p>
        </w:tc>
        <w:tc>
          <w:tcPr>
            <w:tcW w:w="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21D2479">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0A67874">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6.12</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94224EA">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DN125</w:t>
            </w:r>
          </w:p>
        </w:tc>
        <w:tc>
          <w:tcPr>
            <w:tcW w:w="8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3E8DF88">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70.0/26.8</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40C0243">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满足</w:t>
            </w:r>
          </w:p>
        </w:tc>
        <w:tc>
          <w:tcPr>
            <w:tcW w:w="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667866E">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128</w:t>
            </w:r>
          </w:p>
        </w:tc>
      </w:tr>
      <w:tr w14:paraId="6443C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B916087">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TK872CH</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94DA0AC">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TK851X</w:t>
            </w:r>
          </w:p>
        </w:tc>
        <w:tc>
          <w:tcPr>
            <w:tcW w:w="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F2875B3">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25</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C28A903">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0.72</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11B3945">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DN80</w:t>
            </w:r>
          </w:p>
        </w:tc>
        <w:tc>
          <w:tcPr>
            <w:tcW w:w="8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431270B">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70.0/58.3</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352DD9B">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满足</w:t>
            </w:r>
          </w:p>
        </w:tc>
        <w:tc>
          <w:tcPr>
            <w:tcW w:w="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1CA9264">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115</w:t>
            </w:r>
          </w:p>
        </w:tc>
      </w:tr>
    </w:tbl>
    <w:p w14:paraId="5196A7F5">
      <w:pPr>
        <w:adjustRightInd w:val="0"/>
        <w:spacing w:line="276" w:lineRule="auto"/>
        <w:jc w:val="center"/>
        <w:rPr>
          <w:rFonts w:hint="eastAsia" w:eastAsia="黑体"/>
          <w:bCs/>
          <w:color w:val="auto"/>
          <w:sz w:val="21"/>
          <w:szCs w:val="24"/>
          <w:highlight w:val="none"/>
        </w:rPr>
      </w:pPr>
      <w:r>
        <w:rPr>
          <w:rFonts w:hint="eastAsia" w:eastAsia="黑体"/>
          <w:bCs/>
          <w:color w:val="auto"/>
          <w:sz w:val="21"/>
          <w:szCs w:val="24"/>
          <w:highlight w:val="none"/>
        </w:rPr>
        <w:t>表</w:t>
      </w:r>
      <w:r>
        <w:rPr>
          <w:rFonts w:hint="eastAsia" w:eastAsia="黑体"/>
          <w:bCs/>
          <w:color w:val="auto"/>
          <w:sz w:val="21"/>
          <w:szCs w:val="24"/>
          <w:highlight w:val="none"/>
          <w:lang w:val="en-US" w:eastAsia="zh-CN"/>
        </w:rPr>
        <w:t>3.3</w:t>
      </w:r>
      <w:r>
        <w:rPr>
          <w:rFonts w:eastAsia="黑体"/>
          <w:bCs/>
          <w:color w:val="auto"/>
          <w:sz w:val="21"/>
          <w:szCs w:val="24"/>
          <w:highlight w:val="none"/>
        </w:rPr>
        <w:t>-</w:t>
      </w:r>
      <w:r>
        <w:rPr>
          <w:rFonts w:hint="eastAsia" w:eastAsia="黑体"/>
          <w:bCs/>
          <w:color w:val="auto"/>
          <w:sz w:val="21"/>
          <w:szCs w:val="24"/>
          <w:highlight w:val="none"/>
          <w:lang w:val="en-US" w:eastAsia="zh-CN"/>
        </w:rPr>
        <w:t>13利旧</w:t>
      </w:r>
      <w:r>
        <w:rPr>
          <w:rFonts w:hint="eastAsia" w:eastAsia="黑体"/>
          <w:bCs/>
          <w:color w:val="auto"/>
          <w:sz w:val="21"/>
          <w:szCs w:val="24"/>
          <w:highlight w:val="none"/>
        </w:rPr>
        <w:t>掺稀管道信息表</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54"/>
        <w:gridCol w:w="1514"/>
        <w:gridCol w:w="978"/>
        <w:gridCol w:w="1226"/>
        <w:gridCol w:w="826"/>
        <w:gridCol w:w="1963"/>
        <w:gridCol w:w="1059"/>
      </w:tblGrid>
      <w:tr w14:paraId="0D613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1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C81C719">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掺稀站</w:t>
            </w:r>
          </w:p>
        </w:tc>
        <w:tc>
          <w:tcPr>
            <w:tcW w:w="87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CCF269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掺稀井</w:t>
            </w: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7B33CCE">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掺稀比</w:t>
            </w:r>
          </w:p>
        </w:tc>
        <w:tc>
          <w:tcPr>
            <w:tcW w:w="232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32A5FB3B">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掺稀管线</w:t>
            </w:r>
          </w:p>
        </w:tc>
        <w:tc>
          <w:tcPr>
            <w:tcW w:w="61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3F70296A">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校核结果</w:t>
            </w:r>
          </w:p>
        </w:tc>
      </w:tr>
      <w:tr w14:paraId="2F2DD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755D3FAB">
            <w:pPr>
              <w:spacing w:line="276" w:lineRule="auto"/>
              <w:jc w:val="center"/>
              <w:rPr>
                <w:rFonts w:hint="eastAsia" w:ascii="Times New Roman" w:hAnsi="Times New Roman" w:eastAsia="宋体" w:cs="Times New Roman"/>
                <w:bCs/>
                <w:color w:val="auto"/>
                <w:sz w:val="21"/>
                <w:szCs w:val="21"/>
                <w:highlight w:val="none"/>
              </w:rPr>
            </w:pPr>
          </w:p>
        </w:tc>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E7F78FA">
            <w:pPr>
              <w:spacing w:line="276" w:lineRule="auto"/>
              <w:jc w:val="center"/>
              <w:rPr>
                <w:rFonts w:hint="eastAsia" w:ascii="Times New Roman" w:hAnsi="Times New Roman" w:eastAsia="宋体" w:cs="Times New Roman"/>
                <w:bCs/>
                <w:color w:val="auto"/>
                <w:sz w:val="21"/>
                <w:szCs w:val="21"/>
                <w:highlight w:val="none"/>
              </w:rPr>
            </w:pP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AF7A4E9">
            <w:pPr>
              <w:spacing w:line="276" w:lineRule="auto"/>
              <w:jc w:val="center"/>
              <w:rPr>
                <w:rFonts w:hint="eastAsia" w:ascii="Times New Roman" w:hAnsi="Times New Roman" w:eastAsia="宋体" w:cs="Times New Roman"/>
                <w:bCs/>
                <w:color w:val="auto"/>
                <w:sz w:val="21"/>
                <w:szCs w:val="21"/>
                <w:highlight w:val="none"/>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9055CB5">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长度</w:t>
            </w: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rPr>
              <w:t>km</w:t>
            </w:r>
          </w:p>
        </w:tc>
        <w:tc>
          <w:tcPr>
            <w:tcW w:w="47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63ACBD98">
            <w:pPr>
              <w:spacing w:line="276" w:lineRule="auto"/>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规格</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C414D5A">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起终点温度</w:t>
            </w: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rPr>
              <w:t>℃</w:t>
            </w:r>
          </w:p>
        </w:tc>
        <w:tc>
          <w:tcPr>
            <w:tcW w:w="6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4ADB4C04">
            <w:pPr>
              <w:spacing w:line="276" w:lineRule="auto"/>
              <w:jc w:val="center"/>
              <w:rPr>
                <w:rFonts w:hint="eastAsia" w:ascii="Times New Roman" w:hAnsi="Times New Roman" w:eastAsia="宋体" w:cs="Times New Roman"/>
                <w:bCs/>
                <w:color w:val="auto"/>
                <w:sz w:val="21"/>
                <w:szCs w:val="21"/>
                <w:highlight w:val="none"/>
              </w:rPr>
            </w:pPr>
          </w:p>
        </w:tc>
      </w:tr>
      <w:tr w14:paraId="65C5F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D7649B">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10-6站</w:t>
            </w:r>
          </w:p>
        </w:tc>
        <w:tc>
          <w:tcPr>
            <w:tcW w:w="8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A3C3784">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TH10250CH</w:t>
            </w:r>
          </w:p>
        </w:tc>
        <w:tc>
          <w:tcPr>
            <w:tcW w:w="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3B3AA05D">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1.5</w:t>
            </w:r>
          </w:p>
        </w:tc>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3E6DA3A">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3.2</w:t>
            </w:r>
          </w:p>
        </w:tc>
        <w:tc>
          <w:tcPr>
            <w:tcW w:w="47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4AA3FCB">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DN50</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05587C57">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60.0/27.2</w:t>
            </w:r>
          </w:p>
        </w:tc>
        <w:tc>
          <w:tcPr>
            <w:tcW w:w="614"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77365E00">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满足</w:t>
            </w:r>
          </w:p>
        </w:tc>
      </w:tr>
      <w:tr w14:paraId="3F894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D673C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10-6站</w:t>
            </w:r>
          </w:p>
        </w:tc>
        <w:tc>
          <w:tcPr>
            <w:tcW w:w="8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4AF127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TH10294CH</w:t>
            </w:r>
          </w:p>
        </w:tc>
        <w:tc>
          <w:tcPr>
            <w:tcW w:w="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5FEBC9A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1.5</w:t>
            </w:r>
          </w:p>
        </w:tc>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8B40BD8">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2.91</w:t>
            </w:r>
          </w:p>
        </w:tc>
        <w:tc>
          <w:tcPr>
            <w:tcW w:w="47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3CA44419">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DN50</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62AACFF">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60.0/34.2</w:t>
            </w:r>
          </w:p>
        </w:tc>
        <w:tc>
          <w:tcPr>
            <w:tcW w:w="614"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75F08A6C">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满足</w:t>
            </w:r>
          </w:p>
        </w:tc>
      </w:tr>
      <w:tr w14:paraId="46CD5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4DB032">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10-6站</w:t>
            </w:r>
          </w:p>
        </w:tc>
        <w:tc>
          <w:tcPr>
            <w:tcW w:w="8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82E79EC">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TH10298CH</w:t>
            </w:r>
          </w:p>
        </w:tc>
        <w:tc>
          <w:tcPr>
            <w:tcW w:w="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61F8FF29">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1.5</w:t>
            </w:r>
          </w:p>
        </w:tc>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052E2A2">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6.12</w:t>
            </w:r>
          </w:p>
        </w:tc>
        <w:tc>
          <w:tcPr>
            <w:tcW w:w="479"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0BB20C9A">
            <w:pPr>
              <w:spacing w:line="276"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DN50</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1F455991">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60.0/8.9</w:t>
            </w:r>
          </w:p>
        </w:tc>
        <w:tc>
          <w:tcPr>
            <w:tcW w:w="614" w:type="pct"/>
            <w:tcBorders>
              <w:top w:val="single" w:color="000000" w:sz="4" w:space="0"/>
              <w:left w:val="single" w:color="000000" w:sz="4" w:space="0"/>
              <w:bottom w:val="single" w:color="000000" w:sz="4" w:space="0"/>
              <w:right w:val="single" w:color="000000" w:sz="4" w:space="0"/>
            </w:tcBorders>
            <w:shd w:val="clear" w:color="auto" w:fill="auto"/>
            <w:tcMar>
              <w:top w:w="15" w:type="dxa"/>
              <w:left w:w="108" w:type="dxa"/>
              <w:right w:w="108" w:type="dxa"/>
            </w:tcMar>
            <w:vAlign w:val="center"/>
          </w:tcPr>
          <w:p w14:paraId="23AFC700">
            <w:pPr>
              <w:spacing w:line="276" w:lineRule="auto"/>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满足</w:t>
            </w:r>
          </w:p>
        </w:tc>
      </w:tr>
    </w:tbl>
    <w:p w14:paraId="04224970">
      <w:pPr>
        <w:pageBreakBefore w:val="0"/>
        <w:widowControl w:val="0"/>
        <w:kinsoku/>
        <w:wordWrap/>
        <w:overflowPunct/>
        <w:topLinePunct w:val="0"/>
        <w:autoSpaceDE/>
        <w:autoSpaceDN/>
        <w:bidi w:val="0"/>
        <w:spacing w:line="240" w:lineRule="auto"/>
        <w:jc w:val="center"/>
        <w:outlineLvl w:val="9"/>
        <w:rPr>
          <w:rFonts w:hint="default" w:ascii="Times New Roman" w:hAnsi="Times New Roman" w:eastAsia="宋体" w:cs="Times New Roman"/>
          <w:b/>
          <w:bCs/>
          <w:color w:val="auto"/>
          <w:sz w:val="28"/>
          <w:szCs w:val="28"/>
          <w:highlight w:val="none"/>
          <w:lang w:eastAsia="zh-CN"/>
        </w:rPr>
      </w:pPr>
    </w:p>
    <w:p w14:paraId="284DA806">
      <w:pPr>
        <w:pStyle w:val="12"/>
        <w:bidi w:val="0"/>
        <w:outlineLvl w:val="2"/>
        <w:rPr>
          <w:rFonts w:hint="default" w:ascii="Times New Roman" w:hAnsi="Times New Roman" w:cs="Times New Roman"/>
          <w:b/>
          <w:bCs/>
          <w:color w:val="auto"/>
          <w:sz w:val="28"/>
          <w:szCs w:val="28"/>
          <w:highlight w:val="none"/>
        </w:rPr>
      </w:pPr>
      <w:bookmarkStart w:id="235" w:name="_Toc21771"/>
      <w:bookmarkStart w:id="236" w:name="_Toc26378"/>
      <w:r>
        <w:rPr>
          <w:rFonts w:hint="default" w:ascii="Times New Roman" w:hAnsi="Times New Roman" w:cs="Times New Roman"/>
          <w:b/>
          <w:bCs/>
          <w:color w:val="auto"/>
          <w:sz w:val="28"/>
          <w:szCs w:val="28"/>
          <w:highlight w:val="none"/>
        </w:rPr>
        <w:t>3.</w:t>
      </w:r>
      <w:r>
        <w:rPr>
          <w:rFonts w:hint="default" w:ascii="Times New Roman" w:hAnsi="Times New Roman"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rPr>
        <w:t>.5配套工程</w:t>
      </w:r>
      <w:bookmarkEnd w:id="235"/>
      <w:bookmarkEnd w:id="236"/>
    </w:p>
    <w:p w14:paraId="10C447A6">
      <w:pPr>
        <w:pStyle w:val="12"/>
        <w:bidi w:val="0"/>
        <w:ind w:firstLine="480" w:firstLineChars="20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配套工程包括给排水工程、供配电、自控、通信、道路、防腐、供热等。</w:t>
      </w:r>
      <w:r>
        <w:rPr>
          <w:rFonts w:hint="eastAsia"/>
          <w:bCs/>
          <w:color w:val="auto"/>
          <w:szCs w:val="24"/>
          <w:highlight w:val="none"/>
        </w:rPr>
        <w:t>本次部署的4口侧钻井集输管线及地面配套的电力、自控、通信</w:t>
      </w:r>
      <w:r>
        <w:rPr>
          <w:rFonts w:hint="eastAsia"/>
          <w:bCs/>
          <w:color w:val="auto"/>
          <w:szCs w:val="24"/>
          <w:highlight w:val="none"/>
          <w:lang w:eastAsia="zh-CN"/>
        </w:rPr>
        <w:t>、</w:t>
      </w:r>
      <w:r>
        <w:rPr>
          <w:rFonts w:hint="eastAsia"/>
          <w:bCs/>
          <w:color w:val="auto"/>
          <w:szCs w:val="24"/>
          <w:highlight w:val="none"/>
          <w:lang w:val="en-US" w:eastAsia="zh-CN"/>
        </w:rPr>
        <w:t>道路、防腐、供热</w:t>
      </w:r>
      <w:r>
        <w:rPr>
          <w:rFonts w:hint="eastAsia"/>
          <w:bCs/>
          <w:color w:val="auto"/>
          <w:szCs w:val="24"/>
          <w:highlight w:val="none"/>
        </w:rPr>
        <w:t>均可利旧</w:t>
      </w:r>
      <w:r>
        <w:rPr>
          <w:rFonts w:hint="eastAsia"/>
          <w:bCs/>
          <w:color w:val="auto"/>
          <w:szCs w:val="24"/>
          <w:highlight w:val="none"/>
          <w:lang w:eastAsia="zh-CN"/>
        </w:rPr>
        <w:t>。</w:t>
      </w:r>
    </w:p>
    <w:p w14:paraId="7712254E">
      <w:pPr>
        <w:keepLines/>
        <w:spacing w:line="360" w:lineRule="auto"/>
        <w:jc w:val="both"/>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.5.1给排水工程</w:t>
      </w:r>
    </w:p>
    <w:p w14:paraId="1008AEF2">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（1）给水</w:t>
      </w:r>
    </w:p>
    <w:p w14:paraId="243D1A14">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站内给水采用罐车就近从塔河供水首站或末站拉水，通过气压供水装置向站内各个用水点供水。</w:t>
      </w:r>
    </w:p>
    <w:p w14:paraId="174E89B5">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（2）排水</w:t>
      </w:r>
    </w:p>
    <w:p w14:paraId="4F215B01">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施工期每座</w:t>
      </w:r>
      <w:r>
        <w:rPr>
          <w:rFonts w:hint="eastAsia" w:cs="Times New Roman"/>
          <w:color w:val="auto"/>
          <w:highlight w:val="none"/>
          <w:lang w:val="en-US" w:eastAsia="zh-CN"/>
        </w:rPr>
        <w:t>侧钻</w:t>
      </w:r>
      <w:r>
        <w:rPr>
          <w:rFonts w:hint="default" w:ascii="Times New Roman" w:hAnsi="Times New Roman" w:cs="Times New Roman"/>
          <w:color w:val="auto"/>
          <w:highlight w:val="none"/>
        </w:rPr>
        <w:t>井场单独建设1座撬装化污水处理站，采用“AO+MBR”工艺，生活污水经过“格栅+调节池+厌氧池+生物接触氧化池+二沉池+MBR膜池+消毒池”处理后水质达到《农村生活污水处理排放标准》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DB654275-2019</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表二的B级标准后</w:t>
      </w:r>
      <w:r>
        <w:rPr>
          <w:rFonts w:hint="default" w:ascii="Times New Roman" w:hAnsi="Times New Roman" w:cs="Times New Roman"/>
          <w:color w:val="auto"/>
          <w:highlight w:val="none"/>
          <w:lang w:val="en-US" w:eastAsia="zh-CN"/>
        </w:rPr>
        <w:t>用于</w:t>
      </w:r>
      <w:r>
        <w:rPr>
          <w:rFonts w:hint="default" w:ascii="Times New Roman" w:hAnsi="Times New Roman" w:cs="Times New Roman"/>
          <w:color w:val="auto"/>
          <w:highlight w:val="none"/>
        </w:rPr>
        <w:t>生活区、井场及通井路降尘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不外排地表水环境。运营期工作人员由油田内部调剂，不新增工作人员，不新增生活污水。</w:t>
      </w:r>
    </w:p>
    <w:p w14:paraId="4F50EE88">
      <w:pPr>
        <w:keepLines/>
        <w:spacing w:line="360" w:lineRule="auto"/>
        <w:jc w:val="both"/>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.5.2供配电工程</w:t>
      </w:r>
    </w:p>
    <w:p w14:paraId="7E1D7868">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8区110KV变电站</w:t>
      </w:r>
    </w:p>
    <w:p w14:paraId="67DB8857">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塔河油田</w:t>
      </w:r>
      <w:r>
        <w:rPr>
          <w:rFonts w:hint="eastAsia"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t>区供电电源为</w:t>
      </w:r>
      <w:r>
        <w:rPr>
          <w:rFonts w:hint="eastAsia" w:ascii="Times New Roman" w:hAnsi="Times New Roman" w:eastAsia="宋体" w:cs="Times New Roman"/>
          <w:color w:val="auto"/>
          <w:highlight w:val="none"/>
        </w:rPr>
        <w:t>八区</w:t>
      </w:r>
      <w:r>
        <w:rPr>
          <w:rFonts w:hint="default" w:ascii="Times New Roman" w:hAnsi="Times New Roman" w:eastAsia="宋体" w:cs="Times New Roman"/>
          <w:color w:val="auto"/>
          <w:highlight w:val="none"/>
        </w:rPr>
        <w:t>110kV变电站，</w:t>
      </w:r>
      <w:r>
        <w:rPr>
          <w:rFonts w:hint="eastAsia"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t>区区域内建有较为完善的10kV配电网，可以满足工程用电需求。</w:t>
      </w:r>
    </w:p>
    <w:p w14:paraId="12E80DAF">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10区110KV变电站</w:t>
      </w:r>
    </w:p>
    <w:p w14:paraId="76C6339A">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十区110kV变电站位于10区北侧，主变型号为SFZ11-12500/110有载调压变压器,容量为2×12500kVA。高低压侧电气主接线均为单母线分段接线方式。十区110/10kV变电站110kV进线2回，1回接自8区110kV变电站，1回接自瑞祥电厂。无备用间隔。10kV侧出线12条，无备用间隔，保护设备为南自国电公司，10kV高压设备均为西安开关厂。</w:t>
      </w:r>
    </w:p>
    <w:p w14:paraId="1BD2452E">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color w:val="auto"/>
          <w:szCs w:val="24"/>
          <w:highlight w:val="none"/>
        </w:rPr>
      </w:pPr>
      <w:r>
        <w:rPr>
          <w:rFonts w:hint="eastAsia"/>
          <w:color w:val="auto"/>
          <w:szCs w:val="24"/>
          <w:highlight w:val="none"/>
        </w:rPr>
        <w:t>本方案</w:t>
      </w:r>
      <w:r>
        <w:rPr>
          <w:rFonts w:hint="eastAsia"/>
          <w:color w:val="auto"/>
          <w:szCs w:val="24"/>
          <w:highlight w:val="none"/>
          <w:lang w:val="en-US" w:eastAsia="zh-CN"/>
        </w:rPr>
        <w:t>4</w:t>
      </w:r>
      <w:r>
        <w:rPr>
          <w:rFonts w:hint="eastAsia"/>
          <w:color w:val="auto"/>
          <w:szCs w:val="24"/>
          <w:highlight w:val="none"/>
        </w:rPr>
        <w:t>口侧钻井已建完善的供配电系统，配电设施可利旧，电力专业无新增工作量</w:t>
      </w:r>
      <w:r>
        <w:rPr>
          <w:color w:val="auto"/>
          <w:szCs w:val="24"/>
          <w:highlight w:val="none"/>
        </w:rPr>
        <w:t>。</w:t>
      </w:r>
    </w:p>
    <w:p w14:paraId="235EDCF3">
      <w:pPr>
        <w:keepNext w:val="0"/>
        <w:keepLines/>
        <w:pageBreakBefore w:val="0"/>
        <w:widowControl/>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color w:val="auto"/>
          <w:szCs w:val="22"/>
          <w:highlight w:val="none"/>
          <w:lang w:val="en-US" w:eastAsia="zh-CN"/>
        </w:rPr>
      </w:pPr>
      <w:r>
        <w:rPr>
          <w:rFonts w:hint="default" w:ascii="Times New Roman" w:hAnsi="Times New Roman" w:eastAsia="宋体" w:cs="Times New Roman"/>
          <w:b/>
          <w:color w:val="auto"/>
          <w:szCs w:val="22"/>
          <w:highlight w:val="none"/>
          <w:lang w:val="en-US" w:eastAsia="zh-CN"/>
        </w:rPr>
        <w:t>3.3.5.3自控工程</w:t>
      </w:r>
    </w:p>
    <w:p w14:paraId="7FF589D0">
      <w:pPr>
        <w:pStyle w:val="105"/>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highlight w:val="none"/>
          <w:lang w:eastAsia="zh-CN"/>
        </w:rPr>
      </w:pPr>
      <w:bookmarkStart w:id="237" w:name="_Toc371003061"/>
      <w:bookmarkStart w:id="238" w:name="_Toc23258"/>
      <w:bookmarkStart w:id="239" w:name="_Toc23168"/>
      <w:r>
        <w:rPr>
          <w:rFonts w:hint="default" w:ascii="Times New Roman" w:hAnsi="Times New Roman" w:cs="Times New Roman"/>
          <w:color w:val="auto"/>
          <w:highlight w:val="none"/>
          <w:lang w:val="en-US" w:eastAsia="zh-CN"/>
        </w:rPr>
        <w:t>TH10294</w:t>
      </w:r>
      <w:r>
        <w:rPr>
          <w:rFonts w:hint="eastAsia" w:ascii="Times New Roman" w:hAnsi="Times New Roman" w:cs="Times New Roman"/>
          <w:color w:val="auto"/>
          <w:highlight w:val="none"/>
          <w:lang w:val="en-US" w:eastAsia="zh-CN"/>
        </w:rPr>
        <w:t>CH</w:t>
      </w:r>
      <w:r>
        <w:rPr>
          <w:rFonts w:hint="default" w:ascii="Times New Roman" w:hAnsi="Times New Roman" w:cs="Times New Roman"/>
          <w:color w:val="auto"/>
          <w:highlight w:val="none"/>
          <w:lang w:val="en-US" w:eastAsia="zh-CN"/>
        </w:rPr>
        <w:t>、TH10250</w:t>
      </w:r>
      <w:r>
        <w:rPr>
          <w:rFonts w:hint="eastAsia" w:ascii="Times New Roman" w:hAnsi="Times New Roman" w:cs="Times New Roman"/>
          <w:color w:val="auto"/>
          <w:highlight w:val="none"/>
          <w:lang w:val="en-US" w:eastAsia="zh-CN"/>
        </w:rPr>
        <w:t>CH</w:t>
      </w:r>
      <w:r>
        <w:rPr>
          <w:rFonts w:hint="default" w:ascii="Times New Roman" w:hAnsi="Times New Roman" w:cs="Times New Roman"/>
          <w:color w:val="auto"/>
          <w:highlight w:val="none"/>
          <w:lang w:val="en-US" w:eastAsia="zh-CN"/>
        </w:rPr>
        <w:t>、TH10298</w:t>
      </w:r>
      <w:r>
        <w:rPr>
          <w:rFonts w:hint="eastAsia" w:ascii="Times New Roman" w:hAnsi="Times New Roman" w:cs="Times New Roman"/>
          <w:color w:val="auto"/>
          <w:highlight w:val="none"/>
          <w:lang w:val="en-US" w:eastAsia="zh-CN"/>
        </w:rPr>
        <w:t>CH</w:t>
      </w:r>
      <w:r>
        <w:rPr>
          <w:rFonts w:hint="default" w:ascii="Times New Roman" w:hAnsi="Times New Roman" w:cs="Times New Roman"/>
          <w:color w:val="auto"/>
          <w:highlight w:val="none"/>
          <w:lang w:val="en-US" w:eastAsia="zh-CN"/>
        </w:rPr>
        <w:t>、TK872</w:t>
      </w:r>
      <w:r>
        <w:rPr>
          <w:rFonts w:hint="eastAsia" w:ascii="Times New Roman" w:hAnsi="Times New Roman" w:cs="Times New Roman"/>
          <w:color w:val="auto"/>
          <w:highlight w:val="none"/>
          <w:lang w:val="en-US" w:eastAsia="zh-CN"/>
        </w:rPr>
        <w:t>CH井场均</w:t>
      </w:r>
      <w:r>
        <w:rPr>
          <w:rFonts w:hint="default" w:ascii="Times New Roman" w:hAnsi="Times New Roman" w:cs="Times New Roman"/>
          <w:color w:val="auto"/>
          <w:highlight w:val="none"/>
        </w:rPr>
        <w:t>设置油压、套压、回压、油温、回温、套温，电参数、示功图检测、硫化氢气体检测、可燃气体检测，加热炉温度、压力、燃气流量监测，井口设置RTU，采集仪表信号并上传上级站场。</w:t>
      </w:r>
    </w:p>
    <w:p w14:paraId="48A118EB">
      <w:pPr>
        <w:pStyle w:val="105"/>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w:t>
      </w:r>
      <w:r>
        <w:rPr>
          <w:rFonts w:hint="eastAsia" w:ascii="Times New Roman" w:hAnsi="Times New Roman" w:eastAsia="宋体" w:cs="Times New Roman"/>
          <w:color w:val="auto"/>
          <w:highlight w:val="none"/>
          <w:lang w:val="en-US" w:eastAsia="zh-CN"/>
        </w:rPr>
        <w:t>项目4</w:t>
      </w:r>
      <w:r>
        <w:rPr>
          <w:rFonts w:hint="eastAsia" w:ascii="Times New Roman" w:hAnsi="Times New Roman" w:eastAsia="宋体" w:cs="Times New Roman"/>
          <w:color w:val="auto"/>
          <w:highlight w:val="none"/>
        </w:rPr>
        <w:t>口侧钻井单井仪表自控均可利旧，无需新建。</w:t>
      </w:r>
    </w:p>
    <w:bookmarkEnd w:id="237"/>
    <w:p w14:paraId="7D534213">
      <w:pPr>
        <w:keepNext w:val="0"/>
        <w:keepLines/>
        <w:pageBreakBefore w:val="0"/>
        <w:widowControl/>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.5.4通信工程</w:t>
      </w:r>
    </w:p>
    <w:p w14:paraId="05BDFB00">
      <w:pPr>
        <w:keepNext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依托</w:t>
      </w:r>
      <w:r>
        <w:rPr>
          <w:rFonts w:hint="eastAsia" w:cs="Times New Roman"/>
          <w:color w:val="auto"/>
          <w:highlight w:val="none"/>
          <w:lang w:val="en-US" w:eastAsia="zh-CN"/>
        </w:rPr>
        <w:t>井场</w:t>
      </w:r>
      <w:r>
        <w:rPr>
          <w:rFonts w:hint="default" w:ascii="Times New Roman" w:hAnsi="Times New Roman" w:cs="Times New Roman"/>
          <w:color w:val="auto"/>
          <w:highlight w:val="none"/>
          <w:lang w:val="en-US" w:eastAsia="zh-CN"/>
        </w:rPr>
        <w:t>现有设施</w:t>
      </w:r>
      <w:r>
        <w:rPr>
          <w:rFonts w:hint="default" w:ascii="Times New Roman" w:hAnsi="Times New Roman" w:cs="Times New Roman"/>
          <w:color w:val="auto"/>
          <w:highlight w:val="none"/>
        </w:rPr>
        <w:t>，井口设置摄像头和远程喊话设备，视频、音频信号及RTU数据通过视频光端机，经光缆上传相应的站场。</w:t>
      </w:r>
    </w:p>
    <w:p w14:paraId="214B281B">
      <w:pPr>
        <w:keepNext w:val="0"/>
        <w:pageBreakBefore w:val="0"/>
        <w:widowControl/>
        <w:kinsoku/>
        <w:wordWrap/>
        <w:overflowPunct/>
        <w:topLinePunct w:val="0"/>
        <w:autoSpaceDE/>
        <w:autoSpaceDN/>
        <w:bidi w:val="0"/>
        <w:adjustRightInd/>
        <w:snapToGrid/>
        <w:spacing w:line="360" w:lineRule="auto"/>
        <w:ind w:right="0" w:firstLine="480" w:firstLineChars="200"/>
        <w:textAlignment w:val="auto"/>
        <w:rPr>
          <w:color w:val="auto"/>
          <w:szCs w:val="24"/>
          <w:highlight w:val="none"/>
        </w:rPr>
      </w:pPr>
      <w:r>
        <w:rPr>
          <w:color w:val="auto"/>
          <w:szCs w:val="24"/>
          <w:highlight w:val="none"/>
        </w:rPr>
        <w:t>本</w:t>
      </w:r>
      <w:r>
        <w:rPr>
          <w:rFonts w:hint="eastAsia"/>
          <w:color w:val="auto"/>
          <w:szCs w:val="24"/>
          <w:highlight w:val="none"/>
          <w:lang w:val="en-US" w:eastAsia="zh-CN"/>
        </w:rPr>
        <w:t>方案</w:t>
      </w:r>
      <w:r>
        <w:rPr>
          <w:color w:val="auto"/>
          <w:szCs w:val="24"/>
          <w:highlight w:val="none"/>
        </w:rPr>
        <w:t>利旧原井场视频监控和无线网桥，实现数据、视频远程传输。</w:t>
      </w:r>
    </w:p>
    <w:p w14:paraId="5D658B14">
      <w:pPr>
        <w:keepNext w:val="0"/>
        <w:keepLines/>
        <w:pageBreakBefore w:val="0"/>
        <w:widowControl/>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cs="Times New Roman"/>
          <w:b/>
          <w:color w:val="auto"/>
          <w:szCs w:val="22"/>
          <w:highlight w:val="none"/>
        </w:rPr>
      </w:pPr>
      <w:bookmarkStart w:id="240" w:name="_Hlk95840719"/>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.5.5道路工程</w:t>
      </w:r>
    </w:p>
    <w:p w14:paraId="136EAA79">
      <w:pPr>
        <w:keepNext w:val="0"/>
        <w:pageBreakBefore w:val="0"/>
        <w:widowControl/>
        <w:kinsoku/>
        <w:wordWrap/>
        <w:overflowPunct/>
        <w:topLinePunct w:val="0"/>
        <w:autoSpaceDE/>
        <w:autoSpaceDN/>
        <w:bidi w:val="0"/>
        <w:adjustRightInd/>
        <w:snapToGrid/>
        <w:spacing w:line="360" w:lineRule="auto"/>
        <w:ind w:right="0" w:firstLine="480" w:firstLineChars="200"/>
        <w:textAlignment w:val="auto"/>
        <w:rPr>
          <w:color w:val="auto"/>
          <w:szCs w:val="24"/>
          <w:highlight w:val="none"/>
        </w:rPr>
      </w:pPr>
      <w:r>
        <w:rPr>
          <w:color w:val="auto"/>
          <w:szCs w:val="24"/>
          <w:highlight w:val="none"/>
        </w:rPr>
        <w:t>经过近年来油田道路的建设，塔河油田已经形成较为完善的道路系统。其中塔河油田一号主干公路、7区主干路、雅克拉主干路组成塔河油田主要交通干线，与塔克拉玛干沙漠公路、库东公路、314国道等外部道路连接。</w:t>
      </w:r>
    </w:p>
    <w:p w14:paraId="637BAF73">
      <w:pPr>
        <w:keepNext w:val="0"/>
        <w:pageBreakBefore w:val="0"/>
        <w:widowControl/>
        <w:kinsoku/>
        <w:wordWrap/>
        <w:overflowPunct/>
        <w:topLinePunct w:val="0"/>
        <w:autoSpaceDE/>
        <w:autoSpaceDN/>
        <w:bidi w:val="0"/>
        <w:adjustRightInd/>
        <w:snapToGrid/>
        <w:spacing w:line="360" w:lineRule="auto"/>
        <w:ind w:right="0" w:firstLine="480" w:firstLineChars="200"/>
        <w:textAlignment w:val="auto"/>
        <w:rPr>
          <w:color w:val="auto"/>
          <w:szCs w:val="24"/>
          <w:highlight w:val="none"/>
        </w:rPr>
      </w:pPr>
      <w:r>
        <w:rPr>
          <w:color w:val="auto"/>
          <w:szCs w:val="24"/>
          <w:highlight w:val="none"/>
        </w:rPr>
        <w:t>目前，塔河油田8</w:t>
      </w:r>
      <w:r>
        <w:rPr>
          <w:rFonts w:hint="eastAsia"/>
          <w:color w:val="auto"/>
          <w:szCs w:val="24"/>
          <w:highlight w:val="none"/>
          <w:lang w:eastAsia="zh-CN"/>
        </w:rPr>
        <w:t>、</w:t>
      </w:r>
      <w:r>
        <w:rPr>
          <w:rFonts w:hint="eastAsia"/>
          <w:color w:val="auto"/>
          <w:szCs w:val="24"/>
          <w:highlight w:val="none"/>
          <w:lang w:val="en-US" w:eastAsia="zh-CN"/>
        </w:rPr>
        <w:t>10区</w:t>
      </w:r>
      <w:r>
        <w:rPr>
          <w:color w:val="auto"/>
          <w:szCs w:val="24"/>
          <w:highlight w:val="none"/>
        </w:rPr>
        <w:t>内部已经形成较为完善的单井井场路系统，井场路均采用砂石路面结构，路面宽度为3.5</w:t>
      </w:r>
      <w:r>
        <w:rPr>
          <w:rFonts w:hint="eastAsia"/>
          <w:color w:val="auto"/>
          <w:szCs w:val="24"/>
          <w:highlight w:val="none"/>
          <w:lang w:eastAsia="zh-CN"/>
        </w:rPr>
        <w:t>～</w:t>
      </w:r>
      <w:r>
        <w:rPr>
          <w:color w:val="auto"/>
          <w:szCs w:val="24"/>
          <w:highlight w:val="none"/>
        </w:rPr>
        <w:t>6m，路基宽度为4~7m。</w:t>
      </w:r>
    </w:p>
    <w:p w14:paraId="4E9F2E27">
      <w:pPr>
        <w:keepNext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Cs w:val="24"/>
          <w:highlight w:val="none"/>
          <w:lang w:eastAsia="zh-CN"/>
        </w:rPr>
      </w:pPr>
      <w:r>
        <w:rPr>
          <w:rFonts w:hint="eastAsia"/>
          <w:color w:val="auto"/>
          <w:szCs w:val="24"/>
          <w:highlight w:val="none"/>
          <w:lang w:val="en-US" w:eastAsia="zh-CN"/>
        </w:rPr>
        <w:t>本项目</w:t>
      </w:r>
      <w:r>
        <w:rPr>
          <w:color w:val="auto"/>
          <w:szCs w:val="24"/>
          <w:highlight w:val="none"/>
        </w:rPr>
        <w:t>利旧</w:t>
      </w:r>
      <w:r>
        <w:rPr>
          <w:rFonts w:hint="eastAsia"/>
          <w:color w:val="auto"/>
          <w:szCs w:val="24"/>
          <w:highlight w:val="none"/>
          <w:lang w:val="en-US" w:eastAsia="zh-CN"/>
        </w:rPr>
        <w:t>4</w:t>
      </w:r>
      <w:r>
        <w:rPr>
          <w:color w:val="auto"/>
          <w:szCs w:val="24"/>
          <w:highlight w:val="none"/>
        </w:rPr>
        <w:t>口井井场</w:t>
      </w:r>
      <w:r>
        <w:rPr>
          <w:rFonts w:hint="eastAsia"/>
          <w:color w:val="auto"/>
          <w:szCs w:val="24"/>
          <w:highlight w:val="none"/>
          <w:lang w:val="en-US" w:eastAsia="zh-CN"/>
        </w:rPr>
        <w:t>道路</w:t>
      </w:r>
      <w:r>
        <w:rPr>
          <w:color w:val="auto"/>
          <w:szCs w:val="24"/>
          <w:highlight w:val="none"/>
        </w:rPr>
        <w:t>，</w:t>
      </w:r>
      <w:r>
        <w:rPr>
          <w:rFonts w:hint="eastAsia"/>
          <w:color w:val="auto"/>
          <w:szCs w:val="24"/>
          <w:highlight w:val="none"/>
          <w:lang w:val="en-US" w:eastAsia="zh-CN"/>
        </w:rPr>
        <w:t>为</w:t>
      </w:r>
      <w:r>
        <w:rPr>
          <w:color w:val="auto"/>
          <w:szCs w:val="24"/>
          <w:highlight w:val="none"/>
        </w:rPr>
        <w:t>砂石路面。</w:t>
      </w:r>
    </w:p>
    <w:bookmarkEnd w:id="240"/>
    <w:p w14:paraId="50B47D57">
      <w:pPr>
        <w:keepNext w:val="0"/>
        <w:keepLines/>
        <w:pageBreakBefore w:val="0"/>
        <w:widowControl/>
        <w:kinsoku/>
        <w:wordWrap/>
        <w:overflowPunct/>
        <w:topLinePunct w:val="0"/>
        <w:autoSpaceDE/>
        <w:autoSpaceDN/>
        <w:bidi w:val="0"/>
        <w:adjustRightInd/>
        <w:snapToGrid/>
        <w:spacing w:line="360" w:lineRule="auto"/>
        <w:ind w:right="210"/>
        <w:jc w:val="both"/>
        <w:textAlignment w:val="auto"/>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.5.6防腐设计</w:t>
      </w:r>
    </w:p>
    <w:p w14:paraId="4F54BABE">
      <w:pPr>
        <w:pageBreakBefore w:val="0"/>
        <w:widowControl/>
        <w:kinsoku/>
        <w:wordWrap/>
        <w:overflowPunct/>
        <w:topLinePunct w:val="0"/>
        <w:autoSpaceDE/>
        <w:autoSpaceDN/>
        <w:bidi w:val="0"/>
        <w:adjustRightInd w:val="0"/>
        <w:snapToGrid w:val="0"/>
        <w:spacing w:line="360" w:lineRule="auto"/>
        <w:ind w:firstLine="480" w:firstLineChars="200"/>
        <w:textAlignment w:val="auto"/>
        <w:rPr>
          <w:bCs/>
          <w:color w:val="auto"/>
          <w:kern w:val="0"/>
          <w:szCs w:val="24"/>
          <w:highlight w:val="none"/>
        </w:rPr>
      </w:pPr>
      <w:r>
        <w:rPr>
          <w:bCs/>
          <w:color w:val="auto"/>
          <w:kern w:val="0"/>
          <w:szCs w:val="24"/>
          <w:highlight w:val="none"/>
        </w:rPr>
        <w:t>本</w:t>
      </w:r>
      <w:r>
        <w:rPr>
          <w:rFonts w:hint="eastAsia"/>
          <w:bCs/>
          <w:color w:val="auto"/>
          <w:kern w:val="0"/>
          <w:szCs w:val="24"/>
          <w:highlight w:val="none"/>
          <w:lang w:val="en-US" w:eastAsia="zh-CN"/>
        </w:rPr>
        <w:t>项目4口侧钻老井</w:t>
      </w:r>
      <w:r>
        <w:rPr>
          <w:bCs/>
          <w:color w:val="auto"/>
          <w:kern w:val="0"/>
          <w:szCs w:val="24"/>
          <w:highlight w:val="none"/>
        </w:rPr>
        <w:t>所有管线均利旧，无新建防腐保温工程。</w:t>
      </w:r>
    </w:p>
    <w:p w14:paraId="327F1F52">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eastAsia"/>
          <w:bCs/>
          <w:color w:val="auto"/>
          <w:kern w:val="0"/>
          <w:szCs w:val="24"/>
          <w:highlight w:val="none"/>
          <w:lang w:val="en-US" w:eastAsia="zh-CN"/>
        </w:rPr>
        <w:t>本项目</w:t>
      </w:r>
      <w:r>
        <w:rPr>
          <w:rFonts w:hint="eastAsia" w:cs="Times New Roman"/>
          <w:color w:val="auto"/>
          <w:highlight w:val="none"/>
          <w:lang w:val="en-US" w:eastAsia="zh-CN"/>
        </w:rPr>
        <w:t>新建</w:t>
      </w:r>
      <w:r>
        <w:rPr>
          <w:rFonts w:hint="eastAsia"/>
          <w:color w:val="auto"/>
          <w:highlight w:val="none"/>
        </w:rPr>
        <w:t>TH102117X</w:t>
      </w:r>
      <w:r>
        <w:rPr>
          <w:rFonts w:hint="eastAsia"/>
          <w:color w:val="auto"/>
          <w:highlight w:val="none"/>
          <w:lang w:val="en-US" w:eastAsia="zh-CN"/>
        </w:rPr>
        <w:t>单井</w:t>
      </w:r>
      <w:r>
        <w:rPr>
          <w:rFonts w:hint="eastAsia" w:cs="Times New Roman"/>
          <w:color w:val="auto"/>
          <w:highlight w:val="none"/>
          <w:lang w:val="en-US" w:eastAsia="zh-CN"/>
        </w:rPr>
        <w:t>管线，</w:t>
      </w:r>
      <w:r>
        <w:rPr>
          <w:rFonts w:hint="default" w:ascii="Times New Roman" w:hAnsi="Times New Roman" w:cs="Times New Roman"/>
          <w:color w:val="auto"/>
          <w:highlight w:val="none"/>
        </w:rPr>
        <w:t>采取以下防腐措施。</w:t>
      </w:r>
    </w:p>
    <w:p w14:paraId="0F087DA8">
      <w:pPr>
        <w:pageBreakBefore w:val="0"/>
        <w:widowControl/>
        <w:tabs>
          <w:tab w:val="left" w:pos="7200"/>
        </w:tabs>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（1）集油管线</w:t>
      </w:r>
      <w:r>
        <w:rPr>
          <w:rFonts w:hint="eastAsia" w:cs="Times New Roman"/>
          <w:color w:val="auto"/>
          <w:highlight w:val="none"/>
          <w:lang w:val="en-US" w:eastAsia="zh-CN"/>
        </w:rPr>
        <w:t>和掺稀管线</w:t>
      </w:r>
      <w:r>
        <w:rPr>
          <w:rFonts w:hint="default" w:ascii="Times New Roman" w:hAnsi="Times New Roman" w:cs="Times New Roman"/>
          <w:color w:val="auto"/>
          <w:highlight w:val="none"/>
        </w:rPr>
        <w:t>采用管线+外防腐（30mm、40mm厚聚氨酯泡沫黄夹克保温）。</w:t>
      </w:r>
    </w:p>
    <w:p w14:paraId="12A83D63">
      <w:pPr>
        <w:pStyle w:val="12"/>
        <w:pageBreakBefore w:val="0"/>
        <w:widowControl/>
        <w:kinsoku/>
        <w:wordWrap/>
        <w:overflowPunct/>
        <w:topLinePunct w:val="0"/>
        <w:autoSpaceDE/>
        <w:autoSpaceDN/>
        <w:bidi w:val="0"/>
        <w:spacing w:line="360" w:lineRule="auto"/>
        <w:ind w:firstLine="480" w:firstLine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（2）燃料气供给管线采用普通级二层PE防腐，补口采用聚乙烯热收缩套。</w:t>
      </w:r>
    </w:p>
    <w:p w14:paraId="1877E278">
      <w:pPr>
        <w:pStyle w:val="12"/>
        <w:bidi w:val="0"/>
        <w:jc w:val="both"/>
        <w:outlineLvl w:val="2"/>
        <w:rPr>
          <w:rFonts w:hint="default" w:ascii="Times New Roman" w:hAnsi="Times New Roman" w:cs="Times New Roman"/>
          <w:b/>
          <w:bCs/>
          <w:color w:val="auto"/>
          <w:sz w:val="28"/>
          <w:szCs w:val="28"/>
          <w:highlight w:val="none"/>
          <w:lang w:eastAsia="zh-CN"/>
        </w:rPr>
      </w:pPr>
      <w:r>
        <w:rPr>
          <w:rFonts w:hint="default" w:ascii="Times New Roman" w:hAnsi="Times New Roman" w:cs="Times New Roman"/>
          <w:b/>
          <w:bCs/>
          <w:color w:val="auto"/>
          <w:sz w:val="28"/>
          <w:szCs w:val="28"/>
          <w:highlight w:val="none"/>
          <w:lang w:eastAsia="zh-CN"/>
        </w:rPr>
        <w:t>3.</w:t>
      </w:r>
      <w:r>
        <w:rPr>
          <w:rFonts w:hint="default" w:ascii="Times New Roman" w:hAnsi="Times New Roman"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lang w:eastAsia="zh-CN"/>
        </w:rPr>
        <w:t>.</w:t>
      </w:r>
      <w:r>
        <w:rPr>
          <w:rFonts w:hint="eastAsia" w:ascii="Times New Roman" w:hAnsi="Times New Roman" w:cs="Times New Roman"/>
          <w:b/>
          <w:bCs/>
          <w:color w:val="auto"/>
          <w:sz w:val="28"/>
          <w:szCs w:val="28"/>
          <w:highlight w:val="none"/>
          <w:lang w:val="en-US" w:eastAsia="zh-CN"/>
        </w:rPr>
        <w:t>6</w:t>
      </w:r>
      <w:r>
        <w:rPr>
          <w:rFonts w:hint="default" w:ascii="Times New Roman" w:hAnsi="Times New Roman" w:cs="Times New Roman"/>
          <w:b/>
          <w:bCs/>
          <w:color w:val="auto"/>
          <w:sz w:val="28"/>
          <w:szCs w:val="28"/>
          <w:highlight w:val="none"/>
          <w:lang w:eastAsia="zh-CN"/>
        </w:rPr>
        <w:t>依托工程</w:t>
      </w:r>
      <w:bookmarkEnd w:id="238"/>
      <w:bookmarkEnd w:id="239"/>
    </w:p>
    <w:p w14:paraId="5CD8DD6F">
      <w:pPr>
        <w:pStyle w:val="12"/>
        <w:bidi w:val="0"/>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本项目依托工程主要包括塔河油田三号联合站</w:t>
      </w:r>
      <w:r>
        <w:rPr>
          <w:rFonts w:hint="eastAsia" w:ascii="Times New Roman" w:hAnsi="Times New Roman" w:cs="Times New Roman"/>
          <w:color w:val="auto"/>
          <w:highlight w:val="none"/>
          <w:lang w:val="en-US" w:eastAsia="zh-CN"/>
        </w:rPr>
        <w:t>和</w:t>
      </w:r>
      <w:r>
        <w:rPr>
          <w:rFonts w:hint="default" w:ascii="Times New Roman" w:hAnsi="Times New Roman" w:cs="Times New Roman"/>
          <w:color w:val="auto"/>
          <w:highlight w:val="none"/>
          <w:lang w:eastAsia="zh-CN"/>
        </w:rPr>
        <w:t>西北油田分公司油田工程服务中心绿色环保工作站，各依托工程基本情况介绍如下。</w:t>
      </w:r>
    </w:p>
    <w:p w14:paraId="44FFF584">
      <w:pPr>
        <w:spacing w:line="360" w:lineRule="auto"/>
        <w:jc w:val="both"/>
        <w:outlineLvl w:val="3"/>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w:t>
      </w:r>
      <w:r>
        <w:rPr>
          <w:rFonts w:hint="default" w:ascii="Times New Roman" w:hAnsi="Times New Roman" w:cs="Times New Roman"/>
          <w:b/>
          <w:color w:val="auto"/>
          <w:szCs w:val="22"/>
          <w:highlight w:val="none"/>
          <w:lang w:val="en-US" w:eastAsia="zh-CN"/>
        </w:rPr>
        <w:t>7</w:t>
      </w:r>
      <w:r>
        <w:rPr>
          <w:rFonts w:hint="default" w:ascii="Times New Roman" w:hAnsi="Times New Roman" w:cs="Times New Roman"/>
          <w:b/>
          <w:color w:val="auto"/>
          <w:szCs w:val="22"/>
          <w:highlight w:val="none"/>
        </w:rPr>
        <w:t>.1塔河油田三号联合站</w:t>
      </w:r>
    </w:p>
    <w:p w14:paraId="3CAF0254">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（1）环保手续</w:t>
      </w:r>
    </w:p>
    <w:p w14:paraId="58303D24">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zh-CN"/>
        </w:rPr>
        <w:t>塔河油田</w:t>
      </w:r>
      <w:r>
        <w:rPr>
          <w:rFonts w:hint="default" w:ascii="Times New Roman" w:hAnsi="Times New Roman" w:eastAsia="宋体" w:cs="Times New Roman"/>
          <w:color w:val="auto"/>
          <w:kern w:val="21"/>
          <w:sz w:val="24"/>
          <w:szCs w:val="24"/>
          <w:highlight w:val="none"/>
        </w:rPr>
        <w:t>三</w:t>
      </w:r>
      <w:r>
        <w:rPr>
          <w:rFonts w:hint="default" w:ascii="Times New Roman" w:hAnsi="Times New Roman" w:eastAsia="宋体" w:cs="Times New Roman"/>
          <w:color w:val="auto"/>
          <w:kern w:val="21"/>
          <w:sz w:val="24"/>
          <w:szCs w:val="24"/>
          <w:highlight w:val="none"/>
          <w:lang w:val="zh-CN"/>
        </w:rPr>
        <w:t>号联合站</w:t>
      </w:r>
      <w:r>
        <w:rPr>
          <w:rFonts w:hint="eastAsia" w:cs="Times New Roman"/>
          <w:color w:val="auto"/>
          <w:kern w:val="21"/>
          <w:sz w:val="24"/>
          <w:szCs w:val="24"/>
          <w:highlight w:val="none"/>
          <w:lang w:val="en-US" w:eastAsia="zh-CN"/>
        </w:rPr>
        <w:t>包括原油处理站和轻烃处理站，三号联</w:t>
      </w:r>
      <w:r>
        <w:rPr>
          <w:rFonts w:hint="default" w:ascii="Times New Roman" w:hAnsi="Times New Roman" w:eastAsia="宋体" w:cs="Times New Roman"/>
          <w:color w:val="auto"/>
          <w:kern w:val="21"/>
          <w:sz w:val="24"/>
          <w:szCs w:val="24"/>
          <w:highlight w:val="none"/>
          <w:lang w:val="zh-TW"/>
        </w:rPr>
        <w:t>于</w:t>
      </w:r>
      <w:r>
        <w:rPr>
          <w:rFonts w:hint="default" w:ascii="Times New Roman" w:hAnsi="Times New Roman" w:eastAsia="宋体" w:cs="Times New Roman"/>
          <w:color w:val="auto"/>
          <w:kern w:val="21"/>
          <w:sz w:val="24"/>
          <w:szCs w:val="24"/>
          <w:highlight w:val="none"/>
        </w:rPr>
        <w:t>2006</w:t>
      </w:r>
      <w:r>
        <w:rPr>
          <w:rFonts w:hint="default" w:ascii="Times New Roman" w:hAnsi="Times New Roman" w:eastAsia="宋体" w:cs="Times New Roman"/>
          <w:color w:val="auto"/>
          <w:kern w:val="21"/>
          <w:sz w:val="24"/>
          <w:szCs w:val="24"/>
          <w:highlight w:val="none"/>
          <w:lang w:val="zh-TW"/>
        </w:rPr>
        <w:t>年</w:t>
      </w:r>
      <w:r>
        <w:rPr>
          <w:rFonts w:hint="default" w:ascii="Times New Roman" w:hAnsi="Times New Roman" w:eastAsia="宋体" w:cs="Times New Roman"/>
          <w:color w:val="auto"/>
          <w:kern w:val="21"/>
          <w:sz w:val="24"/>
          <w:szCs w:val="24"/>
          <w:highlight w:val="none"/>
        </w:rPr>
        <w:t>4</w:t>
      </w:r>
      <w:r>
        <w:rPr>
          <w:rFonts w:hint="default" w:ascii="Times New Roman" w:hAnsi="Times New Roman" w:eastAsia="宋体" w:cs="Times New Roman"/>
          <w:color w:val="auto"/>
          <w:kern w:val="21"/>
          <w:sz w:val="24"/>
          <w:szCs w:val="24"/>
          <w:highlight w:val="none"/>
          <w:lang w:val="zh-TW"/>
        </w:rPr>
        <w:t>月</w:t>
      </w:r>
      <w:r>
        <w:rPr>
          <w:rFonts w:hint="default" w:ascii="Times New Roman" w:hAnsi="Times New Roman" w:eastAsia="宋体" w:cs="Times New Roman"/>
          <w:color w:val="auto"/>
          <w:kern w:val="21"/>
          <w:sz w:val="24"/>
          <w:szCs w:val="24"/>
          <w:highlight w:val="none"/>
        </w:rPr>
        <w:t>3</w:t>
      </w:r>
      <w:r>
        <w:rPr>
          <w:rFonts w:hint="default" w:ascii="Times New Roman" w:hAnsi="Times New Roman" w:eastAsia="宋体" w:cs="Times New Roman"/>
          <w:color w:val="auto"/>
          <w:kern w:val="21"/>
          <w:sz w:val="24"/>
          <w:szCs w:val="24"/>
          <w:highlight w:val="none"/>
          <w:lang w:val="zh-TW"/>
        </w:rPr>
        <w:t>日取得原新疆维吾尔自治区环境保护局批复</w:t>
      </w:r>
      <w:r>
        <w:rPr>
          <w:rFonts w:hint="default" w:ascii="Times New Roman" w:hAnsi="Times New Roman" w:cs="Times New Roman"/>
          <w:color w:val="auto"/>
          <w:kern w:val="21"/>
          <w:sz w:val="24"/>
          <w:szCs w:val="24"/>
          <w:highlight w:val="none"/>
          <w:lang w:val="zh-TW" w:eastAsia="zh-CN"/>
        </w:rPr>
        <w:t>（</w:t>
      </w:r>
      <w:r>
        <w:rPr>
          <w:rFonts w:hint="default" w:ascii="Times New Roman" w:hAnsi="Times New Roman" w:eastAsia="宋体" w:cs="Times New Roman"/>
          <w:color w:val="auto"/>
          <w:kern w:val="21"/>
          <w:sz w:val="24"/>
          <w:szCs w:val="24"/>
          <w:highlight w:val="none"/>
          <w:lang w:val="zh-TW"/>
        </w:rPr>
        <w:t>新环自函</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2006</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135</w:t>
      </w:r>
      <w:r>
        <w:rPr>
          <w:rFonts w:hint="default" w:ascii="Times New Roman" w:hAnsi="Times New Roman" w:eastAsia="宋体" w:cs="Times New Roman"/>
          <w:color w:val="auto"/>
          <w:kern w:val="21"/>
          <w:sz w:val="24"/>
          <w:szCs w:val="24"/>
          <w:highlight w:val="none"/>
          <w:lang w:val="zh-TW"/>
        </w:rPr>
        <w:t>号</w:t>
      </w:r>
      <w:r>
        <w:rPr>
          <w:rFonts w:hint="default" w:ascii="Times New Roman" w:hAnsi="Times New Roman" w:cs="Times New Roman"/>
          <w:color w:val="auto"/>
          <w:kern w:val="21"/>
          <w:sz w:val="24"/>
          <w:szCs w:val="24"/>
          <w:highlight w:val="none"/>
          <w:lang w:eastAsia="zh-CN"/>
        </w:rPr>
        <w:t>）</w:t>
      </w:r>
      <w:r>
        <w:rPr>
          <w:rFonts w:hint="eastAsia"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zh-TW"/>
        </w:rPr>
        <w:t>20</w:t>
      </w:r>
      <w:r>
        <w:rPr>
          <w:rFonts w:hint="default" w:ascii="Times New Roman" w:hAnsi="Times New Roman" w:eastAsia="宋体" w:cs="Times New Roman"/>
          <w:color w:val="auto"/>
          <w:kern w:val="21"/>
          <w:sz w:val="24"/>
          <w:szCs w:val="24"/>
          <w:highlight w:val="none"/>
        </w:rPr>
        <w:t>07</w:t>
      </w:r>
      <w:r>
        <w:rPr>
          <w:rFonts w:hint="default" w:ascii="Times New Roman" w:hAnsi="Times New Roman" w:eastAsia="宋体" w:cs="Times New Roman"/>
          <w:color w:val="auto"/>
          <w:kern w:val="21"/>
          <w:sz w:val="24"/>
          <w:szCs w:val="24"/>
          <w:highlight w:val="none"/>
          <w:lang w:val="zh-TW"/>
        </w:rPr>
        <w:t>年</w:t>
      </w:r>
      <w:r>
        <w:rPr>
          <w:rFonts w:hint="default" w:ascii="Times New Roman" w:hAnsi="Times New Roman" w:eastAsia="宋体" w:cs="Times New Roman"/>
          <w:color w:val="auto"/>
          <w:kern w:val="21"/>
          <w:sz w:val="24"/>
          <w:szCs w:val="24"/>
          <w:highlight w:val="none"/>
        </w:rPr>
        <w:t>1</w:t>
      </w:r>
      <w:r>
        <w:rPr>
          <w:rFonts w:hint="default" w:ascii="Times New Roman" w:hAnsi="Times New Roman" w:eastAsia="宋体" w:cs="Times New Roman"/>
          <w:color w:val="auto"/>
          <w:kern w:val="21"/>
          <w:sz w:val="24"/>
          <w:szCs w:val="24"/>
          <w:highlight w:val="none"/>
          <w:lang w:val="zh-TW"/>
        </w:rPr>
        <w:t>月</w:t>
      </w:r>
      <w:r>
        <w:rPr>
          <w:rFonts w:hint="default" w:ascii="Times New Roman" w:hAnsi="Times New Roman" w:eastAsia="宋体" w:cs="Times New Roman"/>
          <w:color w:val="auto"/>
          <w:kern w:val="21"/>
          <w:sz w:val="24"/>
          <w:szCs w:val="24"/>
          <w:highlight w:val="none"/>
        </w:rPr>
        <w:t>29</w:t>
      </w:r>
      <w:r>
        <w:rPr>
          <w:rFonts w:hint="default" w:ascii="Times New Roman" w:hAnsi="Times New Roman" w:eastAsia="宋体" w:cs="Times New Roman"/>
          <w:color w:val="auto"/>
          <w:kern w:val="21"/>
          <w:sz w:val="24"/>
          <w:szCs w:val="24"/>
          <w:highlight w:val="none"/>
          <w:lang w:val="zh-TW"/>
        </w:rPr>
        <w:t>日取得原阿克苏地区环境保护局竣工环境保护验收意见</w:t>
      </w:r>
      <w:r>
        <w:rPr>
          <w:rFonts w:hint="default" w:ascii="Times New Roman" w:hAnsi="Times New Roman" w:cs="Times New Roman"/>
          <w:color w:val="auto"/>
          <w:kern w:val="21"/>
          <w:sz w:val="24"/>
          <w:szCs w:val="24"/>
          <w:highlight w:val="none"/>
          <w:lang w:val="zh-TW" w:eastAsia="zh-CN"/>
        </w:rPr>
        <w:t>（</w:t>
      </w:r>
      <w:r>
        <w:rPr>
          <w:rFonts w:hint="default" w:ascii="Times New Roman" w:hAnsi="Times New Roman" w:eastAsia="宋体" w:cs="Times New Roman"/>
          <w:color w:val="auto"/>
          <w:kern w:val="21"/>
          <w:sz w:val="24"/>
          <w:szCs w:val="24"/>
          <w:highlight w:val="none"/>
          <w:lang w:val="zh-TW"/>
        </w:rPr>
        <w:t>阿地环函字</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2007</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19</w:t>
      </w:r>
      <w:r>
        <w:rPr>
          <w:rFonts w:hint="default" w:ascii="Times New Roman" w:hAnsi="Times New Roman" w:eastAsia="宋体" w:cs="Times New Roman"/>
          <w:color w:val="auto"/>
          <w:kern w:val="21"/>
          <w:sz w:val="24"/>
          <w:szCs w:val="24"/>
          <w:highlight w:val="none"/>
          <w:lang w:val="zh-TW"/>
        </w:rPr>
        <w:t>号</w:t>
      </w:r>
      <w:r>
        <w:rPr>
          <w:rFonts w:hint="default" w:ascii="Times New Roman" w:hAnsi="Times New Roman" w:cs="Times New Roman"/>
          <w:color w:val="auto"/>
          <w:kern w:val="21"/>
          <w:sz w:val="24"/>
          <w:szCs w:val="24"/>
          <w:highlight w:val="none"/>
          <w:lang w:val="zh-TW" w:eastAsia="zh-CN"/>
        </w:rPr>
        <w:t>）</w:t>
      </w:r>
      <w:r>
        <w:rPr>
          <w:rFonts w:hint="default" w:ascii="Times New Roman" w:hAnsi="Times New Roman" w:eastAsia="宋体" w:cs="Times New Roman"/>
          <w:color w:val="auto"/>
          <w:kern w:val="21"/>
          <w:sz w:val="24"/>
          <w:szCs w:val="24"/>
          <w:highlight w:val="none"/>
          <w:lang w:val="zh-TW"/>
        </w:rPr>
        <w:t>；扩建工程于</w:t>
      </w:r>
      <w:r>
        <w:rPr>
          <w:rFonts w:hint="default" w:ascii="Times New Roman" w:hAnsi="Times New Roman" w:eastAsia="宋体" w:cs="Times New Roman"/>
          <w:color w:val="auto"/>
          <w:kern w:val="21"/>
          <w:sz w:val="24"/>
          <w:szCs w:val="24"/>
          <w:highlight w:val="none"/>
        </w:rPr>
        <w:t>2007年4月28日</w:t>
      </w:r>
      <w:r>
        <w:rPr>
          <w:rFonts w:hint="default" w:ascii="Times New Roman" w:hAnsi="Times New Roman" w:eastAsia="宋体" w:cs="Times New Roman"/>
          <w:color w:val="auto"/>
          <w:kern w:val="21"/>
          <w:sz w:val="24"/>
          <w:szCs w:val="24"/>
          <w:highlight w:val="none"/>
          <w:lang w:val="zh-TW"/>
        </w:rPr>
        <w:t>取得原新疆维吾尔自治区环境保护局批复</w:t>
      </w:r>
      <w:r>
        <w:rPr>
          <w:rFonts w:hint="default" w:ascii="Times New Roman" w:hAnsi="Times New Roman" w:cs="Times New Roman"/>
          <w:color w:val="auto"/>
          <w:kern w:val="21"/>
          <w:sz w:val="24"/>
          <w:szCs w:val="24"/>
          <w:highlight w:val="none"/>
          <w:lang w:val="zh-TW" w:eastAsia="zh-CN"/>
        </w:rPr>
        <w:t>（</w:t>
      </w:r>
      <w:r>
        <w:rPr>
          <w:rFonts w:hint="default" w:ascii="Times New Roman" w:hAnsi="Times New Roman" w:eastAsia="宋体" w:cs="Times New Roman"/>
          <w:color w:val="auto"/>
          <w:kern w:val="21"/>
          <w:sz w:val="24"/>
          <w:szCs w:val="24"/>
          <w:highlight w:val="none"/>
          <w:lang w:val="zh-TW"/>
        </w:rPr>
        <w:t>新环监函</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2007</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137</w:t>
      </w:r>
      <w:r>
        <w:rPr>
          <w:rFonts w:hint="default" w:ascii="Times New Roman" w:hAnsi="Times New Roman" w:eastAsia="宋体" w:cs="Times New Roman"/>
          <w:color w:val="auto"/>
          <w:kern w:val="21"/>
          <w:sz w:val="24"/>
          <w:szCs w:val="24"/>
          <w:highlight w:val="none"/>
          <w:lang w:val="zh-TW"/>
        </w:rPr>
        <w:t>号</w:t>
      </w:r>
      <w:r>
        <w:rPr>
          <w:rFonts w:hint="default" w:ascii="Times New Roman" w:hAnsi="Times New Roman" w:cs="Times New Roman"/>
          <w:color w:val="auto"/>
          <w:kern w:val="21"/>
          <w:sz w:val="24"/>
          <w:szCs w:val="24"/>
          <w:highlight w:val="none"/>
          <w:lang w:val="zh-TW" w:eastAsia="zh-CN"/>
        </w:rPr>
        <w:t>）</w:t>
      </w:r>
      <w:r>
        <w:rPr>
          <w:rFonts w:hint="default" w:ascii="Times New Roman" w:hAnsi="Times New Roman" w:eastAsia="宋体" w:cs="Times New Roman"/>
          <w:color w:val="auto"/>
          <w:kern w:val="21"/>
          <w:sz w:val="24"/>
          <w:szCs w:val="24"/>
          <w:highlight w:val="none"/>
          <w:lang w:val="zh-TW"/>
        </w:rPr>
        <w:t>，</w:t>
      </w:r>
      <w:r>
        <w:rPr>
          <w:rFonts w:hint="default" w:ascii="Times New Roman" w:hAnsi="Times New Roman" w:eastAsia="宋体" w:cs="Times New Roman"/>
          <w:color w:val="auto"/>
          <w:kern w:val="21"/>
          <w:sz w:val="24"/>
          <w:szCs w:val="24"/>
          <w:highlight w:val="none"/>
        </w:rPr>
        <w:t>2010年12月27日</w:t>
      </w:r>
      <w:r>
        <w:rPr>
          <w:rFonts w:hint="default" w:ascii="Times New Roman" w:hAnsi="Times New Roman" w:eastAsia="宋体" w:cs="Times New Roman"/>
          <w:color w:val="auto"/>
          <w:kern w:val="21"/>
          <w:sz w:val="24"/>
          <w:szCs w:val="24"/>
          <w:highlight w:val="none"/>
          <w:lang w:val="zh-TW"/>
        </w:rPr>
        <w:t>取得原新疆维吾尔自治区环境保护局竣工环境保护验收意见</w:t>
      </w:r>
      <w:r>
        <w:rPr>
          <w:rFonts w:hint="default" w:ascii="Times New Roman" w:hAnsi="Times New Roman" w:cs="Times New Roman"/>
          <w:color w:val="auto"/>
          <w:kern w:val="21"/>
          <w:sz w:val="24"/>
          <w:szCs w:val="24"/>
          <w:highlight w:val="none"/>
          <w:lang w:val="zh-TW" w:eastAsia="zh-CN"/>
        </w:rPr>
        <w:t>（</w:t>
      </w:r>
      <w:r>
        <w:rPr>
          <w:rFonts w:hint="default" w:ascii="Times New Roman" w:hAnsi="Times New Roman" w:eastAsia="宋体" w:cs="Times New Roman"/>
          <w:color w:val="auto"/>
          <w:kern w:val="21"/>
          <w:sz w:val="24"/>
          <w:szCs w:val="24"/>
          <w:highlight w:val="none"/>
          <w:lang w:val="zh-TW"/>
        </w:rPr>
        <w:t>新环评价函</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2010</w:t>
      </w: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939</w:t>
      </w:r>
      <w:r>
        <w:rPr>
          <w:rFonts w:hint="default" w:ascii="Times New Roman" w:hAnsi="Times New Roman" w:eastAsia="宋体" w:cs="Times New Roman"/>
          <w:color w:val="auto"/>
          <w:kern w:val="21"/>
          <w:sz w:val="24"/>
          <w:szCs w:val="24"/>
          <w:highlight w:val="none"/>
          <w:lang w:val="zh-TW"/>
        </w:rPr>
        <w:t>号</w:t>
      </w:r>
      <w:r>
        <w:rPr>
          <w:rFonts w:hint="default" w:ascii="Times New Roman" w:hAnsi="Times New Roman" w:cs="Times New Roman"/>
          <w:color w:val="auto"/>
          <w:kern w:val="21"/>
          <w:sz w:val="24"/>
          <w:szCs w:val="24"/>
          <w:highlight w:val="none"/>
          <w:lang w:val="zh-TW" w:eastAsia="zh-CN"/>
        </w:rPr>
        <w:t>）</w:t>
      </w:r>
      <w:r>
        <w:rPr>
          <w:rFonts w:hint="default" w:ascii="Times New Roman" w:hAnsi="Times New Roman" w:eastAsia="宋体" w:cs="Times New Roman"/>
          <w:color w:val="auto"/>
          <w:kern w:val="21"/>
          <w:sz w:val="24"/>
          <w:szCs w:val="24"/>
          <w:highlight w:val="none"/>
          <w:lang w:val="zh-TW"/>
        </w:rPr>
        <w:t>。</w:t>
      </w:r>
      <w:r>
        <w:rPr>
          <w:rFonts w:hint="eastAsia" w:cs="Times New Roman"/>
          <w:color w:val="auto"/>
          <w:kern w:val="21"/>
          <w:sz w:val="24"/>
          <w:szCs w:val="24"/>
          <w:highlight w:val="none"/>
          <w:lang w:val="en-US" w:eastAsia="zh-CN"/>
        </w:rPr>
        <w:t>环保手续详见附件8</w:t>
      </w:r>
    </w:p>
    <w:p w14:paraId="4FA9A14C">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zh-TW" w:eastAsia="zh-CN"/>
        </w:rPr>
        <w:t>（</w:t>
      </w:r>
      <w:r>
        <w:rPr>
          <w:rFonts w:hint="eastAsia" w:ascii="Times New Roman" w:hAnsi="Times New Roman" w:eastAsia="宋体" w:cs="Times New Roman"/>
          <w:b/>
          <w:bCs/>
          <w:color w:val="auto"/>
          <w:kern w:val="21"/>
          <w:sz w:val="24"/>
          <w:szCs w:val="24"/>
          <w:highlight w:val="none"/>
          <w:lang w:val="en-US" w:eastAsia="zh-CN"/>
        </w:rPr>
        <w:t>2</w:t>
      </w:r>
      <w:r>
        <w:rPr>
          <w:rFonts w:hint="eastAsia" w:ascii="Times New Roman" w:hAnsi="Times New Roman" w:eastAsia="宋体" w:cs="Times New Roman"/>
          <w:b/>
          <w:bCs/>
          <w:color w:val="auto"/>
          <w:kern w:val="21"/>
          <w:sz w:val="24"/>
          <w:szCs w:val="24"/>
          <w:highlight w:val="none"/>
          <w:lang w:val="zh-TW" w:eastAsia="zh-CN"/>
        </w:rPr>
        <w:t>）</w:t>
      </w:r>
      <w:r>
        <w:rPr>
          <w:rFonts w:hint="eastAsia" w:ascii="Times New Roman" w:hAnsi="Times New Roman" w:eastAsia="宋体" w:cs="Times New Roman"/>
          <w:b/>
          <w:bCs/>
          <w:color w:val="auto"/>
          <w:kern w:val="21"/>
          <w:sz w:val="24"/>
          <w:szCs w:val="24"/>
          <w:highlight w:val="none"/>
          <w:lang w:val="en-US" w:eastAsia="zh-CN"/>
        </w:rPr>
        <w:t>处理工艺</w:t>
      </w:r>
    </w:p>
    <w:p w14:paraId="740B7EA1">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cs="Times New Roman"/>
          <w:b/>
          <w:bCs/>
          <w:color w:val="auto"/>
          <w:kern w:val="21"/>
          <w:sz w:val="24"/>
          <w:szCs w:val="24"/>
          <w:highlight w:val="none"/>
          <w:lang w:eastAsia="zh-CN"/>
        </w:rPr>
        <w:fldChar w:fldCharType="begin"/>
      </w:r>
      <w:r>
        <w:rPr>
          <w:rFonts w:hint="default" w:ascii="Times New Roman" w:hAnsi="Times New Roman" w:cs="Times New Roman"/>
          <w:b/>
          <w:bCs/>
          <w:color w:val="auto"/>
          <w:kern w:val="21"/>
          <w:sz w:val="24"/>
          <w:szCs w:val="24"/>
          <w:highlight w:val="none"/>
          <w:lang w:eastAsia="zh-CN"/>
        </w:rPr>
        <w:instrText xml:space="preserve"> = 1 \* GB3 \* MERGEFORMAT </w:instrText>
      </w:r>
      <w:r>
        <w:rPr>
          <w:rFonts w:hint="default" w:ascii="Times New Roman" w:hAnsi="Times New Roman" w:cs="Times New Roman"/>
          <w:b/>
          <w:bCs/>
          <w:color w:val="auto"/>
          <w:kern w:val="21"/>
          <w:sz w:val="24"/>
          <w:szCs w:val="24"/>
          <w:highlight w:val="none"/>
          <w:lang w:eastAsia="zh-CN"/>
        </w:rPr>
        <w:fldChar w:fldCharType="separate"/>
      </w:r>
      <w:r>
        <w:rPr>
          <w:b/>
          <w:bCs/>
          <w:color w:val="auto"/>
          <w:highlight w:val="none"/>
        </w:rPr>
        <w:t>①</w:t>
      </w:r>
      <w:r>
        <w:rPr>
          <w:rFonts w:hint="default" w:ascii="Times New Roman" w:hAnsi="Times New Roman" w:cs="Times New Roman"/>
          <w:b/>
          <w:bCs/>
          <w:color w:val="auto"/>
          <w:kern w:val="21"/>
          <w:sz w:val="24"/>
          <w:szCs w:val="24"/>
          <w:highlight w:val="none"/>
          <w:lang w:eastAsia="zh-CN"/>
        </w:rPr>
        <w:fldChar w:fldCharType="end"/>
      </w:r>
      <w:r>
        <w:rPr>
          <w:rFonts w:hint="default" w:ascii="Times New Roman" w:hAnsi="Times New Roman" w:eastAsia="宋体" w:cs="Times New Roman"/>
          <w:b/>
          <w:bCs/>
          <w:color w:val="auto"/>
          <w:kern w:val="21"/>
          <w:sz w:val="24"/>
          <w:szCs w:val="24"/>
          <w:highlight w:val="none"/>
        </w:rPr>
        <w:t>三号联合站</w:t>
      </w:r>
      <w:r>
        <w:rPr>
          <w:rFonts w:hint="eastAsia" w:cs="Times New Roman"/>
          <w:b/>
          <w:bCs/>
          <w:color w:val="auto"/>
          <w:kern w:val="21"/>
          <w:sz w:val="24"/>
          <w:szCs w:val="24"/>
          <w:highlight w:val="none"/>
          <w:lang w:val="en-US" w:eastAsia="zh-CN"/>
        </w:rPr>
        <w:t>原油处理站</w:t>
      </w:r>
    </w:p>
    <w:p w14:paraId="0C9B5204">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rPr>
        <w:t>塔河油田三号联合站主要担负塔河油田8区、10区</w:t>
      </w:r>
      <w:r>
        <w:rPr>
          <w:rFonts w:hint="default" w:ascii="Times New Roman" w:hAnsi="Times New Roman" w:eastAsia="宋体" w:cs="Times New Roman"/>
          <w:color w:val="auto"/>
          <w:kern w:val="21"/>
          <w:sz w:val="24"/>
          <w:szCs w:val="24"/>
          <w:highlight w:val="none"/>
          <w:lang w:val="en-US" w:eastAsia="zh-CN"/>
        </w:rPr>
        <w:t>南</w:t>
      </w:r>
      <w:r>
        <w:rPr>
          <w:rFonts w:hint="default" w:ascii="Times New Roman" w:hAnsi="Times New Roman" w:eastAsia="宋体" w:cs="Times New Roman"/>
          <w:color w:val="auto"/>
          <w:kern w:val="21"/>
          <w:sz w:val="24"/>
          <w:szCs w:val="24"/>
          <w:highlight w:val="none"/>
        </w:rPr>
        <w:t>、11区、TP片区及外围新增区块单井采出液的处理任务，集原油破乳，油气分离，脱硫，沉降脱水，污水处理以及回灌等多功能于一体，设计原油处理规模分别</w:t>
      </w:r>
      <w:r>
        <w:rPr>
          <w:rFonts w:hint="eastAsia" w:cs="Times New Roman"/>
          <w:color w:val="auto"/>
          <w:kern w:val="21"/>
          <w:sz w:val="24"/>
          <w:szCs w:val="24"/>
          <w:highlight w:val="none"/>
          <w:lang w:val="en-US" w:eastAsia="zh-CN"/>
        </w:rPr>
        <w:t>180</w:t>
      </w:r>
      <w:r>
        <w:rPr>
          <w:rFonts w:hint="default" w:ascii="Times New Roman" w:hAnsi="Times New Roman" w:eastAsia="宋体" w:cs="Times New Roman"/>
          <w:color w:val="auto"/>
          <w:kern w:val="21"/>
          <w:sz w:val="24"/>
          <w:szCs w:val="24"/>
          <w:highlight w:val="none"/>
        </w:rPr>
        <w:t>×10</w:t>
      </w:r>
      <w:r>
        <w:rPr>
          <w:rFonts w:hint="default" w:ascii="Times New Roman" w:hAnsi="Times New Roman" w:eastAsia="宋体" w:cs="Times New Roman"/>
          <w:color w:val="auto"/>
          <w:kern w:val="21"/>
          <w:sz w:val="24"/>
          <w:szCs w:val="24"/>
          <w:highlight w:val="none"/>
          <w:vertAlign w:val="superscript"/>
        </w:rPr>
        <w:t>4</w:t>
      </w:r>
      <w:r>
        <w:rPr>
          <w:rFonts w:hint="default" w:ascii="Times New Roman" w:hAnsi="Times New Roman" w:eastAsia="宋体" w:cs="Times New Roman"/>
          <w:color w:val="auto"/>
          <w:kern w:val="21"/>
          <w:sz w:val="24"/>
          <w:szCs w:val="24"/>
          <w:highlight w:val="none"/>
        </w:rPr>
        <w:t>t/a，污水处理规模为6500m</w:t>
      </w:r>
      <w:r>
        <w:rPr>
          <w:rFonts w:hint="default" w:ascii="Times New Roman" w:hAnsi="Times New Roman" w:eastAsia="宋体" w:cs="Times New Roman"/>
          <w:color w:val="auto"/>
          <w:kern w:val="21"/>
          <w:sz w:val="24"/>
          <w:szCs w:val="24"/>
          <w:highlight w:val="none"/>
          <w:vertAlign w:val="superscript"/>
        </w:rPr>
        <w:t>3</w:t>
      </w:r>
      <w:r>
        <w:rPr>
          <w:rFonts w:hint="default" w:ascii="Times New Roman" w:hAnsi="Times New Roman" w:eastAsia="宋体" w:cs="Times New Roman"/>
          <w:color w:val="auto"/>
          <w:kern w:val="21"/>
          <w:sz w:val="24"/>
          <w:szCs w:val="24"/>
          <w:highlight w:val="none"/>
        </w:rPr>
        <w:t>/d。现三号联合站为全稀油生产模式，主要对外输送中质油，为塔河油田主力片区超稠油的开采提供有力保障</w:t>
      </w:r>
      <w:r>
        <w:rPr>
          <w:rFonts w:hint="default" w:ascii="Times New Roman" w:hAnsi="Times New Roman" w:eastAsia="宋体" w:cs="Times New Roman"/>
          <w:bCs/>
          <w:color w:val="auto"/>
          <w:sz w:val="24"/>
          <w:szCs w:val="24"/>
          <w:highlight w:val="none"/>
        </w:rPr>
        <w:t>。</w:t>
      </w:r>
    </w:p>
    <w:p w14:paraId="01ABC38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1"/>
          <w:sz w:val="24"/>
          <w:szCs w:val="24"/>
          <w:highlight w:val="none"/>
        </w:rPr>
        <w:t>原油处理工艺流程：稠油、稀油在经过分离器初步处理后在分离器出口完成混配，混配后的中质油进入脱硫塔一段进行脱硫后再依次进入一次沉降罐及二次沉降罐沉降脱水，脱水后的原油通过脱水泵提升进入加热炉区再次加热升温至75℃后，进入脱硫塔二段再次脱硫并进入净化油罐储存，最后经过脱水、脱硫的净化原油一部分输送至TK835装车站用于单井掺稀，剩余部分外输至二号联合站后外输。</w:t>
      </w:r>
      <w:r>
        <w:rPr>
          <w:rFonts w:hint="default" w:ascii="Times New Roman" w:hAnsi="Times New Roman" w:eastAsia="宋体" w:cs="Times New Roman"/>
          <w:color w:val="auto"/>
          <w:sz w:val="24"/>
          <w:szCs w:val="24"/>
          <w:highlight w:val="none"/>
        </w:rPr>
        <w:t>截至目前，原油实际处理规模为125×10</w:t>
      </w:r>
      <w:r>
        <w:rPr>
          <w:rFonts w:hint="default" w:ascii="Times New Roman" w:hAnsi="Times New Roman" w:eastAsia="宋体" w:cs="Times New Roman"/>
          <w:color w:val="auto"/>
          <w:sz w:val="24"/>
          <w:szCs w:val="24"/>
          <w:highlight w:val="none"/>
          <w:vertAlign w:val="superscript"/>
        </w:rPr>
        <w:t>4</w:t>
      </w:r>
      <w:r>
        <w:rPr>
          <w:rFonts w:hint="default" w:ascii="Times New Roman" w:hAnsi="Times New Roman" w:eastAsia="宋体" w:cs="Times New Roman"/>
          <w:color w:val="auto"/>
          <w:sz w:val="24"/>
          <w:szCs w:val="24"/>
          <w:highlight w:val="none"/>
        </w:rPr>
        <w:t>t/a，采出水6058m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p>
    <w:p w14:paraId="5A6B6C67">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天然气处理工艺流程：进站原油经过两相、三相分离器分出的伴生气，经伴生气分离器分离，伴生气分离器稳定压力为0.3MPa，与三号联负压区伴生气汇合后通过伴生气汇管去轻烃站处理。</w:t>
      </w:r>
    </w:p>
    <w:p w14:paraId="42F48DC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塔河油田三号联合站污水处理系统：</w:t>
      </w:r>
      <w:r>
        <w:rPr>
          <w:rFonts w:hint="default" w:ascii="Times New Roman" w:hAnsi="Times New Roman" w:eastAsia="宋体" w:cs="Times New Roman"/>
          <w:color w:val="auto"/>
          <w:kern w:val="0"/>
          <w:sz w:val="24"/>
          <w:szCs w:val="24"/>
          <w:highlight w:val="none"/>
        </w:rPr>
        <w:t>采出水处理系统处理规模为6500m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sz w:val="24"/>
          <w:szCs w:val="24"/>
          <w:highlight w:val="none"/>
        </w:rPr>
        <w:t>采用“一次除油＋压力除油＋核桃壳过滤”工艺</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油站来水先进污水接收罐，经泵提升后进入高效聚结斜管除油器除油、除悬浮物，再经核桃壳过滤进一步除油和悬浮物，并在流程中通过投加配套化学药剂，增强污水处理效果，使处理后污水达到回注水质标准。合格污水首先排入回注罐，回注时通过回注干线输至回注井口进行回注。</w:t>
      </w:r>
    </w:p>
    <w:p w14:paraId="09CD2911">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1"/>
          <w:sz w:val="24"/>
          <w:szCs w:val="24"/>
          <w:highlight w:val="none"/>
        </w:rPr>
      </w:pPr>
      <w:r>
        <w:rPr>
          <w:rFonts w:hint="default" w:ascii="Times New Roman" w:hAnsi="Times New Roman" w:cs="Times New Roman"/>
          <w:b/>
          <w:bCs/>
          <w:color w:val="auto"/>
          <w:kern w:val="21"/>
          <w:sz w:val="24"/>
          <w:szCs w:val="24"/>
          <w:highlight w:val="none"/>
          <w:lang w:eastAsia="zh-CN"/>
        </w:rPr>
        <w:fldChar w:fldCharType="begin"/>
      </w:r>
      <w:r>
        <w:rPr>
          <w:rFonts w:hint="default" w:ascii="Times New Roman" w:hAnsi="Times New Roman" w:cs="Times New Roman"/>
          <w:b/>
          <w:bCs/>
          <w:color w:val="auto"/>
          <w:kern w:val="21"/>
          <w:sz w:val="24"/>
          <w:szCs w:val="24"/>
          <w:highlight w:val="none"/>
          <w:lang w:eastAsia="zh-CN"/>
        </w:rPr>
        <w:instrText xml:space="preserve"> = 2 \* GB3 \* MERGEFORMAT </w:instrText>
      </w:r>
      <w:r>
        <w:rPr>
          <w:rFonts w:hint="default" w:ascii="Times New Roman" w:hAnsi="Times New Roman" w:cs="Times New Roman"/>
          <w:b/>
          <w:bCs/>
          <w:color w:val="auto"/>
          <w:kern w:val="21"/>
          <w:sz w:val="24"/>
          <w:szCs w:val="24"/>
          <w:highlight w:val="none"/>
          <w:lang w:eastAsia="zh-CN"/>
        </w:rPr>
        <w:fldChar w:fldCharType="separate"/>
      </w:r>
      <w:r>
        <w:rPr>
          <w:b/>
          <w:bCs/>
          <w:color w:val="auto"/>
          <w:highlight w:val="none"/>
        </w:rPr>
        <w:t>②</w:t>
      </w:r>
      <w:r>
        <w:rPr>
          <w:rFonts w:hint="default" w:ascii="Times New Roman" w:hAnsi="Times New Roman" w:cs="Times New Roman"/>
          <w:b/>
          <w:bCs/>
          <w:color w:val="auto"/>
          <w:kern w:val="21"/>
          <w:sz w:val="24"/>
          <w:szCs w:val="24"/>
          <w:highlight w:val="none"/>
          <w:lang w:eastAsia="zh-CN"/>
        </w:rPr>
        <w:fldChar w:fldCharType="end"/>
      </w:r>
      <w:r>
        <w:rPr>
          <w:rFonts w:hint="default" w:ascii="Times New Roman" w:hAnsi="Times New Roman" w:eastAsia="宋体" w:cs="Times New Roman"/>
          <w:b/>
          <w:bCs/>
          <w:color w:val="auto"/>
          <w:kern w:val="21"/>
          <w:sz w:val="24"/>
          <w:szCs w:val="24"/>
          <w:highlight w:val="none"/>
        </w:rPr>
        <w:t>三号</w:t>
      </w:r>
      <w:r>
        <w:rPr>
          <w:rFonts w:hint="eastAsia" w:cs="Times New Roman"/>
          <w:b/>
          <w:bCs/>
          <w:color w:val="auto"/>
          <w:kern w:val="21"/>
          <w:sz w:val="24"/>
          <w:szCs w:val="24"/>
          <w:highlight w:val="none"/>
          <w:lang w:val="en-US" w:eastAsia="zh-CN"/>
        </w:rPr>
        <w:t>联</w:t>
      </w:r>
      <w:r>
        <w:rPr>
          <w:rFonts w:hint="default" w:ascii="Times New Roman" w:hAnsi="Times New Roman" w:eastAsia="宋体" w:cs="Times New Roman"/>
          <w:b/>
          <w:bCs/>
          <w:color w:val="auto"/>
          <w:kern w:val="21"/>
          <w:sz w:val="24"/>
          <w:szCs w:val="24"/>
          <w:highlight w:val="none"/>
        </w:rPr>
        <w:t>轻烃站</w:t>
      </w:r>
    </w:p>
    <w:p w14:paraId="0956808F">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rPr>
        <w:t>三号</w:t>
      </w:r>
      <w:r>
        <w:rPr>
          <w:rFonts w:hint="eastAsia" w:cs="Times New Roman"/>
          <w:color w:val="auto"/>
          <w:kern w:val="21"/>
          <w:sz w:val="24"/>
          <w:szCs w:val="24"/>
          <w:highlight w:val="none"/>
          <w:lang w:val="en-US" w:eastAsia="zh-CN"/>
        </w:rPr>
        <w:t>联</w:t>
      </w:r>
      <w:r>
        <w:rPr>
          <w:rFonts w:hint="default" w:ascii="Times New Roman" w:hAnsi="Times New Roman" w:eastAsia="宋体" w:cs="Times New Roman"/>
          <w:color w:val="auto"/>
          <w:kern w:val="21"/>
          <w:sz w:val="24"/>
          <w:szCs w:val="24"/>
          <w:highlight w:val="none"/>
        </w:rPr>
        <w:t>轻烃站集原料气增压、天然气脱硫及硫磺回收、天然气脱水、冷凝分离、凝液分馏、外输气增压及辅助生产装置等多项功能于一体，采用先进的MDEA胺法脱硫技术，硫磺回收采用自循环LO-CAT工艺。主要担负塔河油田8区、10区南、11区、托普台区伴生气的处理任务。主要功能是生产高附加值的液化气和轻烃产品，并为下游用户提供合格的天然气</w:t>
      </w:r>
      <w:r>
        <w:rPr>
          <w:rFonts w:hint="default" w:ascii="Times New Roman" w:hAnsi="Times New Roman" w:eastAsia="宋体" w:cs="Times New Roman"/>
          <w:bCs/>
          <w:color w:val="auto"/>
          <w:sz w:val="24"/>
          <w:szCs w:val="24"/>
          <w:highlight w:val="none"/>
        </w:rPr>
        <w:t>。</w:t>
      </w:r>
    </w:p>
    <w:p w14:paraId="361D6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rPr>
        <w:t>三号联轻烃处理站设计最大处理天然气60×10</w:t>
      </w:r>
      <w:r>
        <w:rPr>
          <w:rFonts w:hint="default" w:ascii="Times New Roman" w:hAnsi="Times New Roman" w:eastAsia="宋体" w:cs="Times New Roman"/>
          <w:color w:val="auto"/>
          <w:kern w:val="21"/>
          <w:sz w:val="24"/>
          <w:szCs w:val="24"/>
          <w:highlight w:val="none"/>
          <w:vertAlign w:val="superscript"/>
        </w:rPr>
        <w:t>4</w:t>
      </w:r>
      <w:r>
        <w:rPr>
          <w:rFonts w:hint="default" w:ascii="Times New Roman" w:hAnsi="Times New Roman" w:eastAsia="宋体" w:cs="Times New Roman"/>
          <w:color w:val="auto"/>
          <w:kern w:val="21"/>
          <w:sz w:val="24"/>
          <w:szCs w:val="24"/>
          <w:highlight w:val="none"/>
        </w:rPr>
        <w:t>m</w:t>
      </w:r>
      <w:r>
        <w:rPr>
          <w:rFonts w:hint="default" w:ascii="Times New Roman" w:hAnsi="Times New Roman" w:eastAsia="宋体" w:cs="Times New Roman"/>
          <w:color w:val="auto"/>
          <w:kern w:val="21"/>
          <w:sz w:val="24"/>
          <w:szCs w:val="24"/>
          <w:highlight w:val="none"/>
          <w:vertAlign w:val="superscript"/>
        </w:rPr>
        <w:t>3</w:t>
      </w:r>
      <w:r>
        <w:rPr>
          <w:rFonts w:hint="default" w:ascii="Times New Roman" w:hAnsi="Times New Roman" w:eastAsia="宋体" w:cs="Times New Roman"/>
          <w:color w:val="auto"/>
          <w:kern w:val="21"/>
          <w:sz w:val="24"/>
          <w:szCs w:val="24"/>
          <w:highlight w:val="none"/>
        </w:rPr>
        <w:t>/d；主要产品为干气、轻烃和液化气，设计外输干气量42.91×10</w:t>
      </w:r>
      <w:r>
        <w:rPr>
          <w:rFonts w:hint="default" w:ascii="Times New Roman" w:hAnsi="Times New Roman" w:eastAsia="宋体" w:cs="Times New Roman"/>
          <w:color w:val="auto"/>
          <w:kern w:val="21"/>
          <w:sz w:val="24"/>
          <w:szCs w:val="24"/>
          <w:highlight w:val="none"/>
          <w:vertAlign w:val="superscript"/>
        </w:rPr>
        <w:t>4</w:t>
      </w:r>
      <w:r>
        <w:rPr>
          <w:rFonts w:hint="default" w:ascii="Times New Roman" w:hAnsi="Times New Roman" w:eastAsia="宋体" w:cs="Times New Roman"/>
          <w:color w:val="auto"/>
          <w:kern w:val="21"/>
          <w:sz w:val="24"/>
          <w:szCs w:val="24"/>
          <w:highlight w:val="none"/>
        </w:rPr>
        <w:t>m</w:t>
      </w:r>
      <w:r>
        <w:rPr>
          <w:rFonts w:hint="default" w:ascii="Times New Roman" w:hAnsi="Times New Roman" w:eastAsia="宋体" w:cs="Times New Roman"/>
          <w:color w:val="auto"/>
          <w:kern w:val="21"/>
          <w:sz w:val="24"/>
          <w:szCs w:val="24"/>
          <w:highlight w:val="none"/>
          <w:vertAlign w:val="superscript"/>
        </w:rPr>
        <w:t>3</w:t>
      </w:r>
      <w:r>
        <w:rPr>
          <w:rFonts w:hint="default" w:ascii="Times New Roman" w:hAnsi="Times New Roman" w:eastAsia="宋体" w:cs="Times New Roman"/>
          <w:color w:val="auto"/>
          <w:kern w:val="21"/>
          <w:sz w:val="24"/>
          <w:szCs w:val="24"/>
          <w:highlight w:val="none"/>
        </w:rPr>
        <w:t>/d，液化气产量103.3t/d，轻烃产量47t/d。干气作为采油三厂所辖站场自用燃料气及发电三厂燃料气；轻烃和液化气全部外销；副产品为硫磺外运。截至目前，天然气实际处理5</w:t>
      </w:r>
      <w:r>
        <w:rPr>
          <w:rFonts w:hint="default" w:ascii="Times New Roman" w:hAnsi="Times New Roman"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rPr>
        <w:t>×10</w:t>
      </w:r>
      <w:r>
        <w:rPr>
          <w:rFonts w:hint="default" w:ascii="Times New Roman" w:hAnsi="Times New Roman" w:eastAsia="宋体" w:cs="Times New Roman"/>
          <w:color w:val="auto"/>
          <w:kern w:val="21"/>
          <w:sz w:val="24"/>
          <w:szCs w:val="24"/>
          <w:highlight w:val="none"/>
          <w:vertAlign w:val="superscript"/>
        </w:rPr>
        <w:t>4</w:t>
      </w:r>
      <w:r>
        <w:rPr>
          <w:rFonts w:hint="default" w:ascii="Times New Roman" w:hAnsi="Times New Roman" w:eastAsia="宋体" w:cs="Times New Roman"/>
          <w:color w:val="auto"/>
          <w:kern w:val="21"/>
          <w:sz w:val="24"/>
          <w:szCs w:val="24"/>
          <w:highlight w:val="none"/>
        </w:rPr>
        <w:t>m</w:t>
      </w:r>
      <w:r>
        <w:rPr>
          <w:rFonts w:hint="default" w:ascii="Times New Roman" w:hAnsi="Times New Roman" w:eastAsia="宋体" w:cs="Times New Roman"/>
          <w:color w:val="auto"/>
          <w:kern w:val="21"/>
          <w:sz w:val="24"/>
          <w:szCs w:val="24"/>
          <w:highlight w:val="none"/>
          <w:vertAlign w:val="superscript"/>
        </w:rPr>
        <w:t>3</w:t>
      </w:r>
      <w:r>
        <w:rPr>
          <w:rFonts w:hint="default" w:ascii="Times New Roman" w:hAnsi="Times New Roman" w:eastAsia="宋体" w:cs="Times New Roman"/>
          <w:color w:val="auto"/>
          <w:kern w:val="21"/>
          <w:sz w:val="24"/>
          <w:szCs w:val="24"/>
          <w:highlight w:val="none"/>
        </w:rPr>
        <w:t>/d。</w:t>
      </w:r>
    </w:p>
    <w:p w14:paraId="333EA6F9">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1"/>
          <w:sz w:val="24"/>
          <w:szCs w:val="24"/>
          <w:highlight w:val="none"/>
        </w:rPr>
      </w:pPr>
      <w:r>
        <w:rPr>
          <w:rFonts w:hint="default" w:ascii="Times New Roman" w:hAnsi="Times New Roman" w:cs="Times New Roman"/>
          <w:b/>
          <w:bCs/>
          <w:color w:val="auto"/>
          <w:kern w:val="21"/>
          <w:sz w:val="24"/>
          <w:szCs w:val="24"/>
          <w:highlight w:val="none"/>
          <w:lang w:eastAsia="zh-CN"/>
        </w:rPr>
        <w:t>（</w:t>
      </w:r>
      <w:r>
        <w:rPr>
          <w:rFonts w:hint="default" w:ascii="Times New Roman" w:hAnsi="Times New Roman" w:eastAsia="宋体" w:cs="Times New Roman"/>
          <w:b/>
          <w:bCs/>
          <w:color w:val="auto"/>
          <w:kern w:val="21"/>
          <w:sz w:val="24"/>
          <w:szCs w:val="24"/>
          <w:highlight w:val="none"/>
        </w:rPr>
        <w:t>3</w:t>
      </w:r>
      <w:r>
        <w:rPr>
          <w:rFonts w:hint="default" w:ascii="Times New Roman" w:hAnsi="Times New Roman" w:cs="Times New Roman"/>
          <w:b/>
          <w:bCs/>
          <w:color w:val="auto"/>
          <w:kern w:val="21"/>
          <w:sz w:val="24"/>
          <w:szCs w:val="24"/>
          <w:highlight w:val="none"/>
          <w:lang w:eastAsia="zh-CN"/>
        </w:rPr>
        <w:t>）</w:t>
      </w:r>
      <w:r>
        <w:rPr>
          <w:rFonts w:hint="default" w:ascii="Times New Roman" w:hAnsi="Times New Roman" w:eastAsia="宋体" w:cs="Times New Roman"/>
          <w:b/>
          <w:bCs/>
          <w:color w:val="auto"/>
          <w:kern w:val="21"/>
          <w:sz w:val="24"/>
          <w:szCs w:val="24"/>
          <w:highlight w:val="none"/>
        </w:rPr>
        <w:t>依托可行性分析</w:t>
      </w:r>
    </w:p>
    <w:p w14:paraId="252DB5AB">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Cs w:val="28"/>
          <w:highlight w:val="none"/>
          <w:lang w:val="en-US" w:eastAsia="zh-CN"/>
        </w:rPr>
        <w:t>本项目的</w:t>
      </w:r>
      <w:r>
        <w:rPr>
          <w:rFonts w:hint="default" w:ascii="Times New Roman" w:hAnsi="Times New Roman" w:eastAsia="宋体" w:cs="Times New Roman"/>
          <w:color w:val="auto"/>
          <w:szCs w:val="28"/>
          <w:highlight w:val="none"/>
          <w:lang w:val="en-US" w:eastAsia="zh-CN"/>
        </w:rPr>
        <w:t>采出液</w:t>
      </w:r>
      <w:r>
        <w:rPr>
          <w:rFonts w:hint="default" w:ascii="Times New Roman" w:hAnsi="Times New Roman" w:cs="Times New Roman"/>
          <w:color w:val="auto"/>
          <w:szCs w:val="28"/>
          <w:highlight w:val="none"/>
          <w:lang w:val="en-US" w:eastAsia="zh-CN"/>
        </w:rPr>
        <w:t>、采出水和伴生气</w:t>
      </w:r>
      <w:r>
        <w:rPr>
          <w:rFonts w:hint="default" w:ascii="Times New Roman" w:hAnsi="Times New Roman" w:eastAsia="宋体" w:cs="Times New Roman"/>
          <w:color w:val="auto"/>
          <w:szCs w:val="28"/>
          <w:highlight w:val="none"/>
          <w:lang w:val="en-US" w:eastAsia="zh-CN"/>
        </w:rPr>
        <w:t>最终输至塔河油田三号联合站处理。塔河油田三号联合站处理设施富余情况如表3.</w:t>
      </w:r>
      <w:r>
        <w:rPr>
          <w:rFonts w:hint="default" w:ascii="Times New Roman" w:hAnsi="Times New Roman" w:cs="Times New Roman"/>
          <w:color w:val="auto"/>
          <w:szCs w:val="28"/>
          <w:highlight w:val="none"/>
          <w:lang w:val="en-US" w:eastAsia="zh-CN"/>
        </w:rPr>
        <w:t>3</w:t>
      </w:r>
      <w:r>
        <w:rPr>
          <w:rFonts w:hint="default" w:ascii="Times New Roman" w:hAnsi="Times New Roman" w:eastAsia="宋体"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23</w:t>
      </w:r>
      <w:r>
        <w:rPr>
          <w:rFonts w:hint="default" w:ascii="Times New Roman" w:hAnsi="Times New Roman" w:eastAsia="宋体" w:cs="Times New Roman"/>
          <w:color w:val="auto"/>
          <w:szCs w:val="28"/>
          <w:highlight w:val="none"/>
          <w:lang w:val="en-US" w:eastAsia="zh-CN"/>
        </w:rPr>
        <w:t>所示</w:t>
      </w:r>
      <w:r>
        <w:rPr>
          <w:rFonts w:hint="default" w:ascii="Times New Roman" w:hAnsi="Times New Roman" w:eastAsia="宋体" w:cs="Times New Roman"/>
          <w:color w:val="auto"/>
          <w:sz w:val="24"/>
          <w:szCs w:val="24"/>
          <w:highlight w:val="none"/>
        </w:rPr>
        <w:t>。</w:t>
      </w:r>
    </w:p>
    <w:p w14:paraId="3C960948">
      <w:pPr>
        <w:adjustRightInd w:val="0"/>
        <w:ind w:firstLine="420" w:firstLineChars="200"/>
        <w:jc w:val="center"/>
        <w:rPr>
          <w:rFonts w:hint="default" w:ascii="Times New Roman" w:hAnsi="Times New Roman" w:eastAsia="黑体" w:cs="Times New Roman"/>
          <w:b w:val="0"/>
          <w:bCs w:val="0"/>
          <w:color w:val="auto"/>
          <w:sz w:val="21"/>
          <w:szCs w:val="21"/>
          <w:highlight w:val="none"/>
        </w:rPr>
      </w:pPr>
    </w:p>
    <w:p w14:paraId="601C9CFA">
      <w:pPr>
        <w:adjustRightInd w:val="0"/>
        <w:ind w:firstLine="420" w:firstLineChars="200"/>
        <w:jc w:val="center"/>
        <w:rPr>
          <w:rFonts w:hint="default" w:ascii="Times New Roman" w:hAnsi="Times New Roman" w:eastAsia="黑体" w:cs="Times New Roman"/>
          <w:color w:val="auto"/>
          <w:highlight w:val="none"/>
        </w:rPr>
      </w:pPr>
      <w:r>
        <w:rPr>
          <w:rFonts w:hint="default" w:ascii="Times New Roman" w:hAnsi="Times New Roman" w:eastAsia="黑体" w:cs="Times New Roman"/>
          <w:b w:val="0"/>
          <w:bCs w:val="0"/>
          <w:color w:val="auto"/>
          <w:sz w:val="21"/>
          <w:szCs w:val="21"/>
          <w:highlight w:val="none"/>
        </w:rPr>
        <w:t>表3.3-</w:t>
      </w:r>
      <w:r>
        <w:rPr>
          <w:rFonts w:hint="default" w:ascii="Times New Roman" w:hAnsi="Times New Roman" w:eastAsia="黑体" w:cs="Times New Roman"/>
          <w:b w:val="0"/>
          <w:bCs w:val="0"/>
          <w:color w:val="auto"/>
          <w:sz w:val="21"/>
          <w:szCs w:val="21"/>
          <w:highlight w:val="none"/>
          <w:lang w:val="en-US" w:eastAsia="zh-CN"/>
        </w:rPr>
        <w:t>23塔河油田三号联合站</w:t>
      </w:r>
      <w:r>
        <w:rPr>
          <w:rFonts w:hint="default" w:ascii="Times New Roman" w:hAnsi="Times New Roman" w:eastAsia="黑体" w:cs="Times New Roman"/>
          <w:b w:val="0"/>
          <w:bCs w:val="0"/>
          <w:color w:val="auto"/>
          <w:sz w:val="21"/>
          <w:szCs w:val="21"/>
          <w:highlight w:val="none"/>
        </w:rPr>
        <w:t>依托可行性分析一览表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28" w:type="dxa"/>
          <w:bottom w:w="15" w:type="dxa"/>
          <w:right w:w="28" w:type="dxa"/>
        </w:tblCellMar>
      </w:tblPr>
      <w:tblGrid>
        <w:gridCol w:w="1608"/>
        <w:gridCol w:w="1607"/>
        <w:gridCol w:w="1395"/>
        <w:gridCol w:w="1393"/>
        <w:gridCol w:w="1591"/>
        <w:gridCol w:w="866"/>
      </w:tblGrid>
      <w:tr w14:paraId="0D50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50" w:type="pct"/>
            <w:noWrap w:val="0"/>
            <w:vAlign w:val="center"/>
          </w:tcPr>
          <w:p w14:paraId="030F84DD">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分类</w:t>
            </w:r>
          </w:p>
        </w:tc>
        <w:tc>
          <w:tcPr>
            <w:tcW w:w="949" w:type="pct"/>
            <w:noWrap w:val="0"/>
            <w:vAlign w:val="center"/>
          </w:tcPr>
          <w:p w14:paraId="6C138C58">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设计最大处理</w:t>
            </w:r>
          </w:p>
          <w:p w14:paraId="2947495A">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规模</w:t>
            </w:r>
          </w:p>
        </w:tc>
        <w:tc>
          <w:tcPr>
            <w:tcW w:w="824" w:type="pct"/>
            <w:noWrap w:val="0"/>
            <w:vAlign w:val="center"/>
          </w:tcPr>
          <w:p w14:paraId="6DC2CE53">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现状处理规模</w:t>
            </w:r>
          </w:p>
        </w:tc>
        <w:tc>
          <w:tcPr>
            <w:tcW w:w="823" w:type="pct"/>
            <w:noWrap w:val="0"/>
            <w:vAlign w:val="center"/>
          </w:tcPr>
          <w:p w14:paraId="450FB376">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现状富余量</w:t>
            </w:r>
          </w:p>
        </w:tc>
        <w:tc>
          <w:tcPr>
            <w:tcW w:w="940" w:type="pct"/>
            <w:noWrap w:val="0"/>
            <w:vAlign w:val="center"/>
          </w:tcPr>
          <w:p w14:paraId="1B5F5EB1">
            <w:pPr>
              <w:spacing w:line="0" w:lineRule="atLeast"/>
              <w:jc w:val="center"/>
              <w:textAlignment w:val="center"/>
              <w:rPr>
                <w:rFonts w:hint="eastAsia"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eastAsia="zh-CN"/>
              </w:rPr>
              <w:t>本项目</w:t>
            </w:r>
            <w:r>
              <w:rPr>
                <w:rFonts w:hint="eastAsia" w:cs="Times New Roman"/>
                <w:color w:val="auto"/>
                <w:spacing w:val="0"/>
                <w:sz w:val="21"/>
                <w:szCs w:val="21"/>
                <w:highlight w:val="none"/>
                <w:lang w:val="en-US" w:eastAsia="zh-CN"/>
              </w:rPr>
              <w:t>新增</w:t>
            </w:r>
          </w:p>
          <w:p w14:paraId="5682D7B9">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处理量</w:t>
            </w:r>
          </w:p>
        </w:tc>
        <w:tc>
          <w:tcPr>
            <w:tcW w:w="511" w:type="pct"/>
            <w:noWrap w:val="0"/>
            <w:vAlign w:val="center"/>
          </w:tcPr>
          <w:p w14:paraId="4671768A">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依托</w:t>
            </w:r>
          </w:p>
          <w:p w14:paraId="0193612A">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可行性</w:t>
            </w:r>
          </w:p>
        </w:tc>
      </w:tr>
      <w:tr w14:paraId="3C72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50" w:type="pct"/>
            <w:noWrap w:val="0"/>
            <w:vAlign w:val="center"/>
          </w:tcPr>
          <w:p w14:paraId="0E0640B7">
            <w:pPr>
              <w:spacing w:line="0" w:lineRule="atLeast"/>
              <w:jc w:val="center"/>
              <w:textAlignment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原油</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万t/a</w:t>
            </w:r>
            <w:r>
              <w:rPr>
                <w:rFonts w:hint="default" w:ascii="Times New Roman" w:hAnsi="Times New Roman" w:eastAsia="宋体" w:cs="Times New Roman"/>
                <w:color w:val="auto"/>
                <w:spacing w:val="0"/>
                <w:sz w:val="21"/>
                <w:szCs w:val="21"/>
                <w:highlight w:val="none"/>
                <w:lang w:eastAsia="zh-CN"/>
              </w:rPr>
              <w:t>）</w:t>
            </w:r>
          </w:p>
        </w:tc>
        <w:tc>
          <w:tcPr>
            <w:tcW w:w="949" w:type="pct"/>
            <w:noWrap w:val="0"/>
            <w:vAlign w:val="center"/>
          </w:tcPr>
          <w:p w14:paraId="64F46FFB">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180</w:t>
            </w:r>
          </w:p>
        </w:tc>
        <w:tc>
          <w:tcPr>
            <w:tcW w:w="824" w:type="pct"/>
            <w:noWrap w:val="0"/>
            <w:vAlign w:val="center"/>
          </w:tcPr>
          <w:p w14:paraId="6D25F945">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125</w:t>
            </w:r>
          </w:p>
        </w:tc>
        <w:tc>
          <w:tcPr>
            <w:tcW w:w="823" w:type="pct"/>
            <w:noWrap w:val="0"/>
            <w:vAlign w:val="center"/>
          </w:tcPr>
          <w:p w14:paraId="1BC1244A">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55</w:t>
            </w:r>
          </w:p>
        </w:tc>
        <w:tc>
          <w:tcPr>
            <w:tcW w:w="940" w:type="pct"/>
            <w:noWrap w:val="0"/>
            <w:vAlign w:val="center"/>
          </w:tcPr>
          <w:p w14:paraId="761BB075">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3"/>
                <w:szCs w:val="23"/>
                <w:highlight w:val="none"/>
                <w:lang w:val="en-US" w:eastAsia="zh-CN"/>
              </w:rPr>
              <w:t>1.42</w:t>
            </w:r>
          </w:p>
        </w:tc>
        <w:tc>
          <w:tcPr>
            <w:tcW w:w="511" w:type="pct"/>
            <w:vMerge w:val="restart"/>
            <w:noWrap w:val="0"/>
            <w:vAlign w:val="center"/>
          </w:tcPr>
          <w:p w14:paraId="4B254F89">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可依托</w:t>
            </w:r>
          </w:p>
        </w:tc>
      </w:tr>
      <w:tr w14:paraId="5A30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50" w:type="pct"/>
            <w:noWrap w:val="0"/>
            <w:vAlign w:val="center"/>
          </w:tcPr>
          <w:p w14:paraId="00F1BAE1">
            <w:pPr>
              <w:spacing w:line="0" w:lineRule="atLeast"/>
              <w:jc w:val="center"/>
              <w:textAlignment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天然气</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万m</w:t>
            </w:r>
            <w:r>
              <w:rPr>
                <w:rFonts w:hint="default" w:ascii="Times New Roman" w:hAnsi="Times New Roman" w:eastAsia="宋体" w:cs="Times New Roman"/>
                <w:color w:val="auto"/>
                <w:spacing w:val="0"/>
                <w:sz w:val="21"/>
                <w:szCs w:val="21"/>
                <w:highlight w:val="none"/>
                <w:vertAlign w:val="superscript"/>
              </w:rPr>
              <w:t>3</w:t>
            </w:r>
            <w:r>
              <w:rPr>
                <w:rFonts w:hint="default" w:ascii="Times New Roman" w:hAnsi="Times New Roman" w:eastAsia="宋体" w:cs="Times New Roman"/>
                <w:color w:val="auto"/>
                <w:spacing w:val="0"/>
                <w:sz w:val="21"/>
                <w:szCs w:val="21"/>
                <w:highlight w:val="none"/>
              </w:rPr>
              <w:t>/d</w:t>
            </w:r>
            <w:r>
              <w:rPr>
                <w:rFonts w:hint="default" w:ascii="Times New Roman" w:hAnsi="Times New Roman" w:eastAsia="宋体" w:cs="Times New Roman"/>
                <w:color w:val="auto"/>
                <w:spacing w:val="0"/>
                <w:sz w:val="21"/>
                <w:szCs w:val="21"/>
                <w:highlight w:val="none"/>
                <w:lang w:eastAsia="zh-CN"/>
              </w:rPr>
              <w:t>）</w:t>
            </w:r>
          </w:p>
        </w:tc>
        <w:tc>
          <w:tcPr>
            <w:tcW w:w="949" w:type="pct"/>
            <w:noWrap w:val="0"/>
            <w:vAlign w:val="center"/>
          </w:tcPr>
          <w:p w14:paraId="733D472D">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60</w:t>
            </w:r>
          </w:p>
        </w:tc>
        <w:tc>
          <w:tcPr>
            <w:tcW w:w="824" w:type="pct"/>
            <w:noWrap w:val="0"/>
            <w:vAlign w:val="center"/>
          </w:tcPr>
          <w:p w14:paraId="5997921A">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52</w:t>
            </w:r>
          </w:p>
        </w:tc>
        <w:tc>
          <w:tcPr>
            <w:tcW w:w="823" w:type="pct"/>
            <w:noWrap w:val="0"/>
            <w:vAlign w:val="center"/>
          </w:tcPr>
          <w:p w14:paraId="66A79680">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8</w:t>
            </w:r>
          </w:p>
        </w:tc>
        <w:tc>
          <w:tcPr>
            <w:tcW w:w="940" w:type="pct"/>
            <w:noWrap w:val="0"/>
            <w:vAlign w:val="center"/>
          </w:tcPr>
          <w:p w14:paraId="53A4343A">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3"/>
                <w:szCs w:val="23"/>
                <w:highlight w:val="none"/>
                <w:lang w:val="en-US" w:eastAsia="zh-CN"/>
              </w:rPr>
              <w:t>0.5292</w:t>
            </w:r>
          </w:p>
        </w:tc>
        <w:tc>
          <w:tcPr>
            <w:tcW w:w="511" w:type="pct"/>
            <w:vMerge w:val="continue"/>
            <w:noWrap w:val="0"/>
            <w:vAlign w:val="center"/>
          </w:tcPr>
          <w:p w14:paraId="7D2C75D0">
            <w:pPr>
              <w:spacing w:line="0" w:lineRule="atLeast"/>
              <w:jc w:val="center"/>
              <w:textAlignment w:val="center"/>
              <w:rPr>
                <w:rFonts w:hint="default" w:ascii="Times New Roman" w:hAnsi="Times New Roman" w:eastAsia="宋体" w:cs="Times New Roman"/>
                <w:color w:val="auto"/>
                <w:spacing w:val="0"/>
                <w:sz w:val="21"/>
                <w:szCs w:val="21"/>
                <w:highlight w:val="none"/>
              </w:rPr>
            </w:pPr>
          </w:p>
        </w:tc>
      </w:tr>
      <w:tr w14:paraId="577D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50" w:type="pct"/>
            <w:noWrap w:val="0"/>
            <w:vAlign w:val="center"/>
          </w:tcPr>
          <w:p w14:paraId="47A16F45">
            <w:pPr>
              <w:spacing w:line="0" w:lineRule="atLeast"/>
              <w:jc w:val="center"/>
              <w:textAlignment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采出水</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m</w:t>
            </w:r>
            <w:r>
              <w:rPr>
                <w:rFonts w:hint="default" w:ascii="Times New Roman" w:hAnsi="Times New Roman" w:eastAsia="宋体" w:cs="Times New Roman"/>
                <w:color w:val="auto"/>
                <w:spacing w:val="0"/>
                <w:sz w:val="21"/>
                <w:szCs w:val="21"/>
                <w:highlight w:val="none"/>
                <w:vertAlign w:val="superscript"/>
              </w:rPr>
              <w:t>3</w:t>
            </w:r>
            <w:r>
              <w:rPr>
                <w:rFonts w:hint="default" w:ascii="Times New Roman" w:hAnsi="Times New Roman" w:eastAsia="宋体" w:cs="Times New Roman"/>
                <w:color w:val="auto"/>
                <w:spacing w:val="0"/>
                <w:sz w:val="21"/>
                <w:szCs w:val="21"/>
                <w:highlight w:val="none"/>
              </w:rPr>
              <w:t>/d</w:t>
            </w:r>
            <w:r>
              <w:rPr>
                <w:rFonts w:hint="default" w:ascii="Times New Roman" w:hAnsi="Times New Roman" w:eastAsia="宋体" w:cs="Times New Roman"/>
                <w:color w:val="auto"/>
                <w:spacing w:val="0"/>
                <w:sz w:val="21"/>
                <w:szCs w:val="21"/>
                <w:highlight w:val="none"/>
                <w:lang w:eastAsia="zh-CN"/>
              </w:rPr>
              <w:t>）</w:t>
            </w:r>
          </w:p>
        </w:tc>
        <w:tc>
          <w:tcPr>
            <w:tcW w:w="949" w:type="pct"/>
            <w:noWrap w:val="0"/>
            <w:vAlign w:val="center"/>
          </w:tcPr>
          <w:p w14:paraId="2A8DDB7C">
            <w:pPr>
              <w:spacing w:line="0" w:lineRule="atLeast"/>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6500</w:t>
            </w:r>
          </w:p>
        </w:tc>
        <w:tc>
          <w:tcPr>
            <w:tcW w:w="824" w:type="pct"/>
            <w:noWrap w:val="0"/>
            <w:vAlign w:val="center"/>
          </w:tcPr>
          <w:p w14:paraId="30E7B6A1">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6058</w:t>
            </w:r>
          </w:p>
        </w:tc>
        <w:tc>
          <w:tcPr>
            <w:tcW w:w="823" w:type="pct"/>
            <w:noWrap w:val="0"/>
            <w:vAlign w:val="center"/>
          </w:tcPr>
          <w:p w14:paraId="79CBFA4C">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442</w:t>
            </w:r>
          </w:p>
        </w:tc>
        <w:tc>
          <w:tcPr>
            <w:tcW w:w="940" w:type="pct"/>
            <w:noWrap w:val="0"/>
            <w:vAlign w:val="center"/>
          </w:tcPr>
          <w:p w14:paraId="656E1B67">
            <w:pPr>
              <w:spacing w:line="0" w:lineRule="atLeast"/>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3"/>
                <w:szCs w:val="23"/>
                <w:highlight w:val="none"/>
                <w:lang w:val="en-US" w:eastAsia="zh-CN"/>
              </w:rPr>
              <w:t>112</w:t>
            </w:r>
          </w:p>
        </w:tc>
        <w:tc>
          <w:tcPr>
            <w:tcW w:w="511" w:type="pct"/>
            <w:vMerge w:val="continue"/>
            <w:noWrap w:val="0"/>
            <w:vAlign w:val="center"/>
          </w:tcPr>
          <w:p w14:paraId="1E2C0F47">
            <w:pPr>
              <w:spacing w:line="0" w:lineRule="atLeast"/>
              <w:jc w:val="center"/>
              <w:textAlignment w:val="center"/>
              <w:rPr>
                <w:rFonts w:hint="default" w:ascii="Times New Roman" w:hAnsi="Times New Roman" w:eastAsia="宋体" w:cs="Times New Roman"/>
                <w:color w:val="auto"/>
                <w:spacing w:val="0"/>
                <w:sz w:val="21"/>
                <w:szCs w:val="21"/>
                <w:highlight w:val="none"/>
              </w:rPr>
            </w:pPr>
          </w:p>
        </w:tc>
      </w:tr>
    </w:tbl>
    <w:p w14:paraId="642F8BF9">
      <w:pPr>
        <w:pStyle w:val="10"/>
        <w:keepNext w:val="0"/>
        <w:keepLines w:val="0"/>
        <w:pageBreakBefore w:val="0"/>
        <w:widowControl/>
        <w:kinsoku/>
        <w:wordWrap/>
        <w:overflowPunct/>
        <w:topLinePunct w:val="0"/>
        <w:autoSpaceDE/>
        <w:autoSpaceDN/>
        <w:bidi w:val="0"/>
        <w:adjustRightInd/>
        <w:snapToGrid/>
        <w:spacing w:line="360" w:lineRule="auto"/>
        <w:ind w:firstLine="50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21"/>
          <w:sz w:val="24"/>
          <w:szCs w:val="24"/>
          <w:highlight w:val="none"/>
        </w:rPr>
        <w:t>综上可知，</w:t>
      </w:r>
      <w:r>
        <w:rPr>
          <w:rFonts w:hint="default" w:ascii="Times New Roman" w:hAnsi="Times New Roman" w:cs="Times New Roman"/>
          <w:color w:val="auto"/>
          <w:kern w:val="21"/>
          <w:sz w:val="24"/>
          <w:szCs w:val="24"/>
          <w:highlight w:val="none"/>
          <w:lang w:val="en-US" w:eastAsia="zh-CN"/>
        </w:rPr>
        <w:t>塔河油田三号联合站</w:t>
      </w:r>
      <w:r>
        <w:rPr>
          <w:rFonts w:hint="default" w:ascii="Times New Roman" w:hAnsi="Times New Roman" w:cs="Times New Roman"/>
          <w:color w:val="auto"/>
          <w:kern w:val="21"/>
          <w:sz w:val="24"/>
          <w:szCs w:val="24"/>
          <w:highlight w:val="none"/>
        </w:rPr>
        <w:t>原油、天然气、采出水富余量可以满足</w:t>
      </w:r>
      <w:r>
        <w:rPr>
          <w:rFonts w:hint="default" w:ascii="Times New Roman" w:hAnsi="Times New Roman" w:cs="Times New Roman"/>
          <w:color w:val="auto"/>
          <w:kern w:val="21"/>
          <w:sz w:val="24"/>
          <w:szCs w:val="24"/>
          <w:highlight w:val="none"/>
          <w:lang w:val="en-US" w:eastAsia="zh-CN"/>
        </w:rPr>
        <w:t>本项目</w:t>
      </w:r>
      <w:r>
        <w:rPr>
          <w:rFonts w:hint="default" w:ascii="Times New Roman" w:hAnsi="Times New Roman" w:cs="Times New Roman"/>
          <w:color w:val="auto"/>
          <w:kern w:val="21"/>
          <w:sz w:val="24"/>
          <w:szCs w:val="24"/>
          <w:highlight w:val="none"/>
        </w:rPr>
        <w:t>处理要求，</w:t>
      </w:r>
      <w:r>
        <w:rPr>
          <w:rFonts w:hint="default" w:ascii="Times New Roman" w:hAnsi="Times New Roman" w:cs="Times New Roman"/>
          <w:color w:val="auto"/>
          <w:kern w:val="21"/>
          <w:sz w:val="24"/>
          <w:szCs w:val="24"/>
          <w:highlight w:val="none"/>
          <w:lang w:val="en-US" w:eastAsia="zh-CN"/>
        </w:rPr>
        <w:t>依托</w:t>
      </w:r>
      <w:r>
        <w:rPr>
          <w:rFonts w:hint="default" w:ascii="Times New Roman" w:hAnsi="Times New Roman" w:cs="Times New Roman"/>
          <w:color w:val="auto"/>
          <w:kern w:val="21"/>
          <w:sz w:val="24"/>
          <w:szCs w:val="24"/>
          <w:highlight w:val="none"/>
        </w:rPr>
        <w:t>可行。</w:t>
      </w:r>
    </w:p>
    <w:p w14:paraId="3BFAB476">
      <w:pPr>
        <w:pStyle w:val="7"/>
        <w:jc w:val="both"/>
        <w:rPr>
          <w:rFonts w:hint="default" w:ascii="Times New Roman" w:hAnsi="Times New Roman" w:eastAsia="宋体" w:cs="Times New Roman"/>
          <w:b/>
          <w:snapToGrid/>
          <w:color w:val="auto"/>
          <w:kern w:val="0"/>
          <w:sz w:val="24"/>
          <w:szCs w:val="22"/>
          <w:highlight w:val="none"/>
          <w:lang w:val="en-US" w:eastAsia="zh-CN" w:bidi="ar-SA"/>
        </w:rPr>
      </w:pPr>
      <w:r>
        <w:rPr>
          <w:rFonts w:hint="default" w:ascii="Times New Roman" w:hAnsi="Times New Roman" w:eastAsia="宋体" w:cs="Times New Roman"/>
          <w:b/>
          <w:snapToGrid/>
          <w:color w:val="auto"/>
          <w:kern w:val="0"/>
          <w:sz w:val="24"/>
          <w:szCs w:val="22"/>
          <w:highlight w:val="none"/>
          <w:lang w:val="en-US" w:eastAsia="zh-CN" w:bidi="ar-SA"/>
        </w:rPr>
        <w:t>3.3.</w:t>
      </w:r>
      <w:r>
        <w:rPr>
          <w:rFonts w:hint="default" w:ascii="Times New Roman" w:hAnsi="Times New Roman" w:cs="Times New Roman"/>
          <w:b/>
          <w:snapToGrid/>
          <w:color w:val="auto"/>
          <w:kern w:val="0"/>
          <w:sz w:val="24"/>
          <w:szCs w:val="22"/>
          <w:highlight w:val="none"/>
          <w:lang w:val="en-US" w:eastAsia="zh-CN" w:bidi="ar-SA"/>
        </w:rPr>
        <w:t>7</w:t>
      </w:r>
      <w:r>
        <w:rPr>
          <w:rFonts w:hint="default" w:ascii="Times New Roman" w:hAnsi="Times New Roman" w:eastAsia="宋体" w:cs="Times New Roman"/>
          <w:b/>
          <w:snapToGrid/>
          <w:color w:val="auto"/>
          <w:kern w:val="0"/>
          <w:sz w:val="24"/>
          <w:szCs w:val="22"/>
          <w:highlight w:val="none"/>
          <w:lang w:val="en-US" w:eastAsia="zh-CN" w:bidi="ar-SA"/>
        </w:rPr>
        <w:t>.</w:t>
      </w:r>
      <w:r>
        <w:rPr>
          <w:rFonts w:hint="eastAsia" w:ascii="Times New Roman" w:hAnsi="Times New Roman" w:cs="Times New Roman"/>
          <w:b/>
          <w:snapToGrid/>
          <w:color w:val="auto"/>
          <w:kern w:val="0"/>
          <w:sz w:val="24"/>
          <w:szCs w:val="22"/>
          <w:highlight w:val="none"/>
          <w:lang w:val="en-US" w:eastAsia="zh-CN" w:bidi="ar-SA"/>
        </w:rPr>
        <w:t>2</w:t>
      </w:r>
      <w:r>
        <w:rPr>
          <w:rFonts w:hint="default" w:ascii="Times New Roman" w:hAnsi="Times New Roman" w:eastAsia="宋体" w:cs="Times New Roman"/>
          <w:b/>
          <w:snapToGrid/>
          <w:color w:val="auto"/>
          <w:kern w:val="0"/>
          <w:sz w:val="24"/>
          <w:szCs w:val="22"/>
          <w:highlight w:val="none"/>
          <w:lang w:val="en-US" w:eastAsia="zh-CN" w:bidi="ar-SA"/>
        </w:rPr>
        <w:t>西北油田分公司油田工程服务中心绿色环保工作站</w:t>
      </w:r>
    </w:p>
    <w:p w14:paraId="738CE6B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b/>
          <w:bCs/>
          <w:color w:val="auto"/>
          <w:highlight w:val="none"/>
          <w:lang w:val="en-US" w:eastAsia="zh-CN"/>
        </w:rPr>
      </w:pPr>
      <w:r>
        <w:rPr>
          <w:rFonts w:hint="eastAsia"/>
          <w:b/>
          <w:bCs/>
          <w:color w:val="auto"/>
          <w:highlight w:val="none"/>
          <w:lang w:val="en-US" w:eastAsia="zh-CN"/>
        </w:rPr>
        <w:t>（1）环保手续</w:t>
      </w:r>
    </w:p>
    <w:p w14:paraId="3B3CC46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西北油田分公司油田工程服务中心绿色环保工作站简称“塔河油田绿色环保站”（原为塔河油田一号固废液处理站）。</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产生的受浸土</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废液，依托绿色环保站处理。绿色环保站于2014年6月23日取得环评批复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阿地环函字〔2014〕236号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，并于2015年12月17日取得竣工环保验收批复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阿地环函字〔2015〕501号</w:t>
      </w:r>
      <w:r>
        <w:rPr>
          <w:rFonts w:hint="default"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2015年7月13日取得了扩建工程环评批复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新环函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811号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，并于2016年12月27日取得竣工环保验收批复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新环函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2005号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eastAsia" w:cs="Times New Roman"/>
          <w:color w:val="auto"/>
          <w:highlight w:val="none"/>
          <w:lang w:val="en-US" w:eastAsia="zh-CN"/>
        </w:rPr>
        <w:t>环保手续详见附件9。</w:t>
      </w:r>
    </w:p>
    <w:p w14:paraId="0FA4DC1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处理工艺</w:t>
      </w:r>
    </w:p>
    <w:p w14:paraId="02DB69A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绿色环保站位于塔河油田S61井附近，库车市境内，距离东南侧一号联合站约4km，距离西侧的</w:t>
      </w:r>
      <w:r>
        <w:rPr>
          <w:rFonts w:hint="default" w:ascii="Times New Roman" w:hAnsi="Times New Roman" w:cs="Times New Roman"/>
          <w:color w:val="auto"/>
          <w:highlight w:val="none"/>
          <w:lang w:val="en-US" w:eastAsia="zh-CN"/>
        </w:rPr>
        <w:t>塔河油田</w:t>
      </w:r>
      <w:r>
        <w:rPr>
          <w:rFonts w:hint="default" w:ascii="Times New Roman" w:hAnsi="Times New Roman" w:cs="Times New Roman"/>
          <w:color w:val="auto"/>
          <w:highlight w:val="none"/>
        </w:rPr>
        <w:t>二号联合站约15km，离西南侧的</w:t>
      </w:r>
      <w:r>
        <w:rPr>
          <w:rFonts w:hint="default" w:ascii="Times New Roman" w:hAnsi="Times New Roman" w:cs="Times New Roman"/>
          <w:color w:val="auto"/>
          <w:highlight w:val="none"/>
          <w:lang w:val="en-US" w:eastAsia="zh-CN"/>
        </w:rPr>
        <w:t>塔河油田</w:t>
      </w:r>
      <w:r>
        <w:rPr>
          <w:rFonts w:hint="default" w:ascii="Times New Roman" w:hAnsi="Times New Roman" w:cs="Times New Roman"/>
          <w:color w:val="auto"/>
          <w:highlight w:val="none"/>
        </w:rPr>
        <w:t>三号联合站约34km，其南侧约1.8km处是塔河油田主干道，交通便利。绿色环保站位于本项目的</w:t>
      </w:r>
      <w:r>
        <w:rPr>
          <w:rFonts w:hint="default" w:ascii="Times New Roman" w:hAnsi="Times New Roman" w:cs="Times New Roman"/>
          <w:color w:val="auto"/>
          <w:highlight w:val="none"/>
          <w:lang w:val="en-US" w:eastAsia="zh-CN"/>
        </w:rPr>
        <w:t>东</w:t>
      </w:r>
      <w:r>
        <w:rPr>
          <w:rFonts w:hint="default" w:ascii="Times New Roman" w:hAnsi="Times New Roman" w:cs="Times New Roman"/>
          <w:color w:val="auto"/>
          <w:highlight w:val="none"/>
        </w:rPr>
        <w:t>部，距离最近的TH121107CH2约</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.1km。</w:t>
      </w:r>
    </w:p>
    <w:p w14:paraId="0B63B27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按处理对象，绿色环保站内主要有污油泥处理、废液处理、生活垃圾处理等3个系统。油污泥处理系统，其中受浸土（含油量&lt;5%）入场计量后，依托中石化西南石油工程有限公司巴州分公司、阿克苏塔河环保工程有限公司处理；含油污泥（含油量＞5%），自行在绿色环保工作站内处理降低含油后，进一步委托站内塔河环保公司或西南环保公司采取热解析处理处置；废液在站内自行处理。</w:t>
      </w:r>
    </w:p>
    <w:p w14:paraId="7EB9B15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含油污泥处理系统</w:t>
      </w:r>
    </w:p>
    <w:p w14:paraId="72DEC7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绿色环保站内油污泥处理系统（主要处理对象为含油量＞5%油泥），首期工程始建于2011年，处理规模为50m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/d，采用热化学清洗油泥分离技术；西北油田分公司于2012年、2015年对含油污泥处置设施进行了扩建。</w:t>
      </w:r>
    </w:p>
    <w:p w14:paraId="6E8989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目前，绿色环保站运行的含油污泥处置装置有4套（5</w:t>
      </w:r>
      <w:r>
        <w:rPr>
          <w:rFonts w:hint="eastAsia" w:cs="Times New Roman"/>
          <w:color w:val="auto"/>
          <w:highlight w:val="none"/>
          <w:lang w:eastAsia="zh-CN"/>
        </w:rPr>
        <w:t>相分离</w:t>
      </w:r>
      <w:r>
        <w:rPr>
          <w:rFonts w:hint="default" w:ascii="Times New Roman" w:hAnsi="Times New Roman" w:cs="Times New Roman"/>
          <w:color w:val="auto"/>
          <w:highlight w:val="none"/>
        </w:rPr>
        <w:t>装置），主要处理流体油污泥（含油量＞5%），每套处理能力为50m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/d，处理设施年运行有效天数约300天，日处理量约为200m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，年处理含油污泥的量为6万m³。现状实际年处理含油污泥量3.9万m³/a，富裕2.1万m³/a。</w:t>
      </w:r>
    </w:p>
    <w:p w14:paraId="7422DF7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（3）受浸土处理系统</w:t>
      </w:r>
    </w:p>
    <w:p w14:paraId="24444CD2">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“受浸土”（主要指含油量＜5%的污油泥）主要来自修井作业、管线穿孔和井喷等突然事故等产生的落地油、污染土，</w:t>
      </w:r>
      <w:r>
        <w:rPr>
          <w:rFonts w:hint="default" w:ascii="Times New Roman" w:hAnsi="Times New Roman" w:cs="Times New Roman"/>
          <w:snapToGrid w:val="0"/>
          <w:color w:val="auto"/>
          <w:szCs w:val="28"/>
          <w:highlight w:val="none"/>
        </w:rPr>
        <w:t>其含油量波动很大，</w:t>
      </w:r>
      <w:r>
        <w:rPr>
          <w:rFonts w:hint="eastAsia" w:cs="Times New Roman"/>
          <w:snapToGrid w:val="0"/>
          <w:color w:val="auto"/>
          <w:szCs w:val="28"/>
          <w:highlight w:val="none"/>
          <w:lang w:eastAsia="zh-CN"/>
        </w:rPr>
        <w:t>其组分</w:t>
      </w:r>
      <w:r>
        <w:rPr>
          <w:rFonts w:hint="default" w:ascii="Times New Roman" w:hAnsi="Times New Roman" w:cs="Times New Roman"/>
          <w:snapToGrid w:val="0"/>
          <w:color w:val="auto"/>
          <w:szCs w:val="28"/>
          <w:highlight w:val="none"/>
        </w:rPr>
        <w:t>比较复杂而不稳定，除含原油、泥沙外，通常还会含有杂草等机杂，主要呈固态状</w:t>
      </w:r>
      <w:r>
        <w:rPr>
          <w:rFonts w:hint="default" w:ascii="Times New Roman" w:hAnsi="Times New Roman" w:cs="Times New Roman"/>
          <w:color w:val="auto"/>
          <w:szCs w:val="28"/>
          <w:highlight w:val="none"/>
        </w:rPr>
        <w:t>。该部分危险废物，按照危险废物管理流程全过程管理，“受浸土”运至站内后，由“油田工程服务中心”外委中石化西南石油工程有限公司巴州分公司、阿克苏塔河环保工程有限公司处理在站内处理。</w:t>
      </w:r>
    </w:p>
    <w:p w14:paraId="13C6934C">
      <w:pPr>
        <w:pStyle w:val="57"/>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本区块产生的“受浸土”均第一时间转运至阿克苏塔河环保工程有限公司（危险废物经营许可证编号：6529230040）或中石化西南石油工程有限公司巴州分公司（危险废物经营许可证编号：6529230053）接收并进行达标处理。其中，阿克苏塔河环保工程有限公司处理能力为15万吨/a，中石化西南石油工程有限公司巴州分公司处置能力为7万吨/a。受浸土经处理后达到《油气田含油污泥及钻井</w:t>
      </w:r>
      <w:r>
        <w:rPr>
          <w:rFonts w:hint="default" w:ascii="Times New Roman" w:hAnsi="Times New Roman" w:cs="Times New Roman"/>
          <w:color w:val="auto"/>
          <w:highlight w:val="none"/>
        </w:rPr>
        <w:t>固体废物处理处置技术规范》（</w:t>
      </w:r>
      <w:r>
        <w:rPr>
          <w:rFonts w:hint="default" w:ascii="Times New Roman" w:hAnsi="Times New Roman" w:cs="Times New Roman"/>
          <w:color w:val="auto"/>
          <w:highlight w:val="none"/>
          <w:lang w:eastAsia="zh-CN"/>
        </w:rPr>
        <w:t>DB65/T3999-2017</w:t>
      </w:r>
      <w:r>
        <w:rPr>
          <w:rFonts w:hint="default" w:ascii="Times New Roman" w:hAnsi="Times New Roman" w:cs="Times New Roman"/>
          <w:color w:val="auto"/>
          <w:highlight w:val="none"/>
        </w:rPr>
        <w:t>）标准中相应指标要求，用于铺垫井场和井场道路。</w:t>
      </w:r>
      <w:r>
        <w:rPr>
          <w:rFonts w:hint="eastAsia" w:cs="Times New Roman"/>
          <w:color w:val="auto"/>
          <w:highlight w:val="none"/>
          <w:lang w:val="en-US" w:eastAsia="zh-CN"/>
        </w:rPr>
        <w:t>危废经营许可证</w:t>
      </w:r>
      <w:r>
        <w:rPr>
          <w:rFonts w:hint="eastAsia" w:cs="Times New Roman"/>
          <w:color w:val="auto"/>
          <w:szCs w:val="28"/>
          <w:highlight w:val="none"/>
          <w:lang w:val="en-US" w:eastAsia="zh-CN"/>
        </w:rPr>
        <w:t>详见附件10。</w:t>
      </w:r>
    </w:p>
    <w:p w14:paraId="5941570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（4）废液处理系统</w:t>
      </w:r>
    </w:p>
    <w:p w14:paraId="16D54757">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塔河油田绿色环保工作站作业废液处理系统承担着西北油田分公司勘探开发作业生产过程中产生的废水、酸压废液、部分磺化泥浆滤出液等的处理，其中作业酸压废液占80%。</w:t>
      </w:r>
    </w:p>
    <w:p w14:paraId="2C86F1C7">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主工艺流程为：接收、隔油、调节、加药、沉降、过滤，废液处理系统出水水质满足《碎屑岩油藏注水水质推荐指标及分析方法》（SY/T5329-20</w:t>
      </w:r>
      <w:r>
        <w:rPr>
          <w:rFonts w:hint="default" w:ascii="Times New Roman" w:hAnsi="Times New Roman" w:cs="Times New Roman"/>
          <w:color w:val="auto"/>
          <w:szCs w:val="28"/>
          <w:highlight w:val="none"/>
          <w:lang w:val="en-US" w:eastAsia="zh-CN"/>
        </w:rPr>
        <w:t>2</w:t>
      </w:r>
      <w:r>
        <w:rPr>
          <w:rFonts w:hint="default" w:ascii="Times New Roman" w:hAnsi="Times New Roman" w:cs="Times New Roman"/>
          <w:color w:val="auto"/>
          <w:szCs w:val="28"/>
          <w:highlight w:val="none"/>
        </w:rPr>
        <w:t>2）回注至TK512井。</w:t>
      </w:r>
    </w:p>
    <w:p w14:paraId="6FA55CE5">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塔河油田绿色环保站处理站废液处理系统现有1座9000m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废液接收池（包括2个接液池、1个沉降池和1个隔油池）、1套井下作业废水处理设施（包括缓冲沉降池、二次调节池、加药调节池等），废液处理系统主要工艺流程为：接收、隔油、调节、加药、沉降、过滤，废液处理系统出水水质满足《碎屑岩油藏注水水质推荐指标及分析方法》（SY/T5329-20</w:t>
      </w:r>
      <w:r>
        <w:rPr>
          <w:rFonts w:hint="default" w:ascii="Times New Roman" w:hAnsi="Times New Roman" w:cs="Times New Roman"/>
          <w:color w:val="auto"/>
          <w:szCs w:val="28"/>
          <w:highlight w:val="none"/>
          <w:lang w:val="en-US" w:eastAsia="zh-CN"/>
        </w:rPr>
        <w:t>2</w:t>
      </w:r>
      <w:r>
        <w:rPr>
          <w:rFonts w:hint="default" w:ascii="Times New Roman" w:hAnsi="Times New Roman" w:cs="Times New Roman"/>
          <w:color w:val="auto"/>
          <w:szCs w:val="28"/>
          <w:highlight w:val="none"/>
        </w:rPr>
        <w:t>2）后回注油层。</w:t>
      </w:r>
    </w:p>
    <w:p w14:paraId="5DC164F8">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cs="Times New Roman"/>
          <w:color w:val="auto"/>
          <w:szCs w:val="28"/>
          <w:highlight w:val="none"/>
          <w:lang w:val="en-US" w:eastAsia="zh-CN"/>
        </w:rPr>
      </w:pPr>
      <w:r>
        <w:rPr>
          <w:rFonts w:hint="eastAsia" w:cs="Times New Roman"/>
          <w:color w:val="auto"/>
          <w:szCs w:val="28"/>
          <w:highlight w:val="none"/>
          <w:lang w:eastAsia="zh-CN"/>
        </w:rPr>
        <w:t>（</w:t>
      </w:r>
      <w:r>
        <w:rPr>
          <w:rFonts w:hint="eastAsia" w:cs="Times New Roman"/>
          <w:color w:val="auto"/>
          <w:szCs w:val="28"/>
          <w:highlight w:val="none"/>
          <w:lang w:val="en-US" w:eastAsia="zh-CN"/>
        </w:rPr>
        <w:t>5</w:t>
      </w:r>
      <w:r>
        <w:rPr>
          <w:rFonts w:hint="eastAsia" w:cs="Times New Roman"/>
          <w:color w:val="auto"/>
          <w:szCs w:val="28"/>
          <w:highlight w:val="none"/>
          <w:lang w:eastAsia="zh-CN"/>
        </w:rPr>
        <w:t>）</w:t>
      </w:r>
      <w:r>
        <w:rPr>
          <w:rFonts w:hint="eastAsia" w:cs="Times New Roman"/>
          <w:color w:val="auto"/>
          <w:szCs w:val="28"/>
          <w:highlight w:val="none"/>
          <w:lang w:val="en-US" w:eastAsia="zh-CN"/>
        </w:rPr>
        <w:t>依托可行性分析</w:t>
      </w:r>
    </w:p>
    <w:p w14:paraId="703463A8">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zCs w:val="28"/>
          <w:highlight w:val="none"/>
        </w:rPr>
        <w:t>塔河油田绿色环保站废液处理系统设计废液处置能力处理能力为1430m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/d（52.19万m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/a），现状废液处置量约为580m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/d（21.14万m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/a），</w:t>
      </w:r>
      <w:r>
        <w:rPr>
          <w:rFonts w:hint="default" w:ascii="Times New Roman" w:hAnsi="Times New Roman" w:cs="Times New Roman"/>
          <w:color w:val="auto"/>
          <w:spacing w:val="4"/>
          <w:highlight w:val="none"/>
          <w:lang w:eastAsia="zh-CN"/>
        </w:rPr>
        <w:t>本项目</w:t>
      </w:r>
      <w:r>
        <w:rPr>
          <w:rFonts w:hint="default" w:ascii="Times New Roman" w:hAnsi="Times New Roman" w:cs="Times New Roman"/>
          <w:color w:val="auto"/>
          <w:spacing w:val="4"/>
          <w:highlight w:val="none"/>
        </w:rPr>
        <w:t>井下作业工程产生的井下作业废水最大</w:t>
      </w:r>
      <w:r>
        <w:rPr>
          <w:rFonts w:hint="default" w:ascii="Times New Roman" w:hAnsi="Times New Roman" w:cs="Times New Roman"/>
          <w:color w:val="auto"/>
          <w:spacing w:val="4"/>
          <w:highlight w:val="none"/>
          <w:lang w:val="en-US" w:eastAsia="zh-CN"/>
        </w:rPr>
        <w:t>为0.</w:t>
      </w:r>
      <w:r>
        <w:rPr>
          <w:rFonts w:hint="eastAsia" w:cs="Times New Roman"/>
          <w:color w:val="auto"/>
          <w:spacing w:val="4"/>
          <w:highlight w:val="none"/>
          <w:lang w:val="en-US" w:eastAsia="zh-CN"/>
        </w:rPr>
        <w:t>46</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/d（</w:t>
      </w:r>
      <w:r>
        <w:rPr>
          <w:rFonts w:hint="eastAsia" w:cs="Times New Roman"/>
          <w:color w:val="auto"/>
          <w:spacing w:val="4"/>
          <w:highlight w:val="none"/>
          <w:lang w:val="en-US" w:eastAsia="zh-CN"/>
        </w:rPr>
        <w:t>152.08m</w:t>
      </w:r>
      <w:r>
        <w:rPr>
          <w:rFonts w:hint="eastAsia" w:cs="Times New Roman"/>
          <w:color w:val="auto"/>
          <w:spacing w:val="4"/>
          <w:highlight w:val="none"/>
          <w:vertAlign w:val="superscript"/>
          <w:lang w:val="en-US" w:eastAsia="zh-CN"/>
        </w:rPr>
        <w:t>3</w:t>
      </w:r>
      <w:r>
        <w:rPr>
          <w:rFonts w:hint="default" w:ascii="Times New Roman" w:hAnsi="Times New Roman" w:cs="Times New Roman"/>
          <w:color w:val="auto"/>
          <w:spacing w:val="4"/>
          <w:highlight w:val="none"/>
        </w:rPr>
        <w:t>/</w:t>
      </w:r>
      <w:r>
        <w:rPr>
          <w:rFonts w:hint="default" w:ascii="Times New Roman" w:hAnsi="Times New Roman" w:cs="Times New Roman"/>
          <w:color w:val="auto"/>
          <w:szCs w:val="28"/>
          <w:highlight w:val="none"/>
        </w:rPr>
        <w:t>a）</w:t>
      </w:r>
      <w:r>
        <w:rPr>
          <w:rFonts w:hint="default" w:ascii="Times New Roman" w:hAnsi="Times New Roman" w:cs="Times New Roman"/>
          <w:color w:val="auto"/>
          <w:spacing w:val="4"/>
          <w:highlight w:val="none"/>
        </w:rPr>
        <w:t>，可依托其处理。</w:t>
      </w:r>
    </w:p>
    <w:p w14:paraId="295E98B5">
      <w:pPr>
        <w:pStyle w:val="12"/>
        <w:bidi w:val="0"/>
        <w:outlineLvl w:val="1"/>
        <w:rPr>
          <w:rFonts w:hint="default" w:ascii="Times New Roman" w:hAnsi="Times New Roman" w:cs="Times New Roman"/>
          <w:b/>
          <w:bCs/>
          <w:color w:val="auto"/>
          <w:sz w:val="30"/>
          <w:szCs w:val="30"/>
          <w:highlight w:val="none"/>
        </w:rPr>
      </w:pPr>
      <w:bookmarkStart w:id="241" w:name="_Toc26905"/>
      <w:bookmarkStart w:id="242" w:name="_Toc18606"/>
      <w:bookmarkStart w:id="243" w:name="_Toc2698"/>
      <w:r>
        <w:rPr>
          <w:rFonts w:hint="default" w:ascii="Times New Roman" w:hAnsi="Times New Roman" w:cs="Times New Roman"/>
          <w:b/>
          <w:bCs/>
          <w:color w:val="auto"/>
          <w:sz w:val="30"/>
          <w:szCs w:val="30"/>
          <w:highlight w:val="none"/>
        </w:rPr>
        <w:t>3.</w:t>
      </w:r>
      <w:r>
        <w:rPr>
          <w:rFonts w:hint="default" w:ascii="Times New Roman" w:hAnsi="Times New Roman" w:cs="Times New Roman"/>
          <w:b/>
          <w:bCs/>
          <w:color w:val="auto"/>
          <w:sz w:val="30"/>
          <w:szCs w:val="30"/>
          <w:highlight w:val="none"/>
          <w:lang w:val="en-US" w:eastAsia="zh-CN"/>
        </w:rPr>
        <w:t>4</w:t>
      </w:r>
      <w:r>
        <w:rPr>
          <w:rFonts w:hint="default" w:ascii="Times New Roman" w:hAnsi="Times New Roman" w:cs="Times New Roman"/>
          <w:b/>
          <w:bCs/>
          <w:color w:val="auto"/>
          <w:sz w:val="30"/>
          <w:szCs w:val="30"/>
          <w:highlight w:val="none"/>
        </w:rPr>
        <w:t>工程分析</w:t>
      </w:r>
      <w:bookmarkEnd w:id="241"/>
      <w:bookmarkEnd w:id="242"/>
      <w:bookmarkEnd w:id="243"/>
    </w:p>
    <w:p w14:paraId="3AD38222">
      <w:pPr>
        <w:pStyle w:val="12"/>
        <w:bidi w:val="0"/>
        <w:outlineLvl w:val="2"/>
        <w:rPr>
          <w:rFonts w:hint="default" w:ascii="Times New Roman" w:hAnsi="Times New Roman" w:cs="Times New Roman"/>
          <w:b/>
          <w:bCs/>
          <w:color w:val="auto"/>
          <w:sz w:val="28"/>
          <w:szCs w:val="28"/>
          <w:highlight w:val="none"/>
        </w:rPr>
      </w:pPr>
      <w:bookmarkStart w:id="244" w:name="_Toc25877"/>
      <w:bookmarkStart w:id="245" w:name="_Toc30925"/>
      <w:r>
        <w:rPr>
          <w:rFonts w:hint="default" w:ascii="Times New Roman" w:hAnsi="Times New Roman" w:cs="Times New Roman"/>
          <w:b/>
          <w:bCs/>
          <w:color w:val="auto"/>
          <w:sz w:val="28"/>
          <w:szCs w:val="28"/>
          <w:highlight w:val="none"/>
        </w:rPr>
        <w:t>3.</w:t>
      </w:r>
      <w:r>
        <w:rPr>
          <w:rFonts w:hint="default" w:ascii="Times New Roman" w:hAnsi="Times New Roman" w:cs="Times New Roman"/>
          <w:b/>
          <w:bCs/>
          <w:color w:val="auto"/>
          <w:sz w:val="28"/>
          <w:szCs w:val="28"/>
          <w:highlight w:val="none"/>
          <w:lang w:val="en-US" w:eastAsia="zh-CN"/>
        </w:rPr>
        <w:t>4</w:t>
      </w:r>
      <w:r>
        <w:rPr>
          <w:rFonts w:hint="default" w:ascii="Times New Roman" w:hAnsi="Times New Roman" w:cs="Times New Roman"/>
          <w:b/>
          <w:bCs/>
          <w:color w:val="auto"/>
          <w:sz w:val="28"/>
          <w:szCs w:val="28"/>
          <w:highlight w:val="none"/>
        </w:rPr>
        <w:t>.1</w:t>
      </w:r>
      <w:bookmarkEnd w:id="244"/>
      <w:bookmarkEnd w:id="245"/>
      <w:r>
        <w:rPr>
          <w:rFonts w:hint="default" w:ascii="Times New Roman" w:hAnsi="Times New Roman" w:cs="Times New Roman"/>
          <w:b/>
          <w:bCs/>
          <w:color w:val="auto"/>
          <w:sz w:val="28"/>
          <w:szCs w:val="28"/>
          <w:highlight w:val="none"/>
        </w:rPr>
        <w:t>主要生产工艺过程</w:t>
      </w:r>
    </w:p>
    <w:p w14:paraId="3E8961DF">
      <w:pPr>
        <w:keepLines/>
        <w:adjustRightInd w:val="0"/>
        <w:snapToGrid w:val="0"/>
        <w:spacing w:line="360" w:lineRule="auto"/>
        <w:jc w:val="both"/>
        <w:outlineLvl w:val="3"/>
        <w:rPr>
          <w:rFonts w:hint="default" w:ascii="Times New Roman" w:hAnsi="Times New Roman" w:cs="Times New Roman"/>
          <w:b/>
          <w:color w:val="auto"/>
          <w:szCs w:val="22"/>
          <w:highlight w:val="none"/>
          <w:lang w:val="en-US" w:eastAsia="zh-CN"/>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4</w:t>
      </w:r>
      <w:r>
        <w:rPr>
          <w:rFonts w:hint="default" w:ascii="Times New Roman" w:hAnsi="Times New Roman" w:cs="Times New Roman"/>
          <w:b/>
          <w:color w:val="auto"/>
          <w:szCs w:val="22"/>
          <w:highlight w:val="none"/>
        </w:rPr>
        <w:t>.1.1</w:t>
      </w:r>
      <w:r>
        <w:rPr>
          <w:rFonts w:hint="default" w:ascii="Times New Roman" w:hAnsi="Times New Roman" w:cs="Times New Roman"/>
          <w:b/>
          <w:color w:val="auto"/>
          <w:szCs w:val="22"/>
          <w:highlight w:val="none"/>
          <w:lang w:val="en-US" w:eastAsia="zh-CN"/>
        </w:rPr>
        <w:t>施工期</w:t>
      </w:r>
    </w:p>
    <w:p w14:paraId="4B25C21A">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rPr>
        <w:t>施工期主要包括钻井工程、储层改造工程、地面工程和油气集输工程内容，工艺流程及排污节点分述如下：</w:t>
      </w:r>
    </w:p>
    <w:p w14:paraId="5396726B">
      <w:pPr>
        <w:pStyle w:val="12"/>
        <w:keepNext w:val="0"/>
        <w:keepLines w:val="0"/>
        <w:pageBreakBefore w:val="0"/>
        <w:widowControl/>
        <w:kinsoku/>
        <w:wordWrap/>
        <w:overflowPunct/>
        <w:topLinePunct w:val="0"/>
        <w:autoSpaceDE/>
        <w:autoSpaceDN/>
        <w:bidi w:val="0"/>
        <w:adjustRightInd w:val="0"/>
        <w:snapToGrid/>
        <w:ind w:firstLine="482" w:firstLineChars="200"/>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钻井</w:t>
      </w:r>
    </w:p>
    <w:p w14:paraId="052621F0">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rPr>
        <w:t>单座老井侧钻井时间</w:t>
      </w:r>
      <w:r>
        <w:rPr>
          <w:rFonts w:hint="eastAsia" w:ascii="Times New Roman" w:hAnsi="Times New Roman" w:cs="Times New Roman"/>
          <w:color w:val="auto"/>
          <w:highlight w:val="none"/>
          <w:lang w:val="en-US" w:eastAsia="zh-CN"/>
        </w:rPr>
        <w:t>约</w:t>
      </w:r>
      <w:r>
        <w:rPr>
          <w:rFonts w:hint="eastAsia" w:ascii="Times New Roman" w:hAnsi="Times New Roman" w:eastAsia="宋体" w:cs="Times New Roman"/>
          <w:color w:val="auto"/>
          <w:highlight w:val="none"/>
        </w:rPr>
        <w:t>为</w:t>
      </w:r>
      <w:r>
        <w:rPr>
          <w:rFonts w:hint="eastAsia" w:ascii="Times New Roman" w:hAnsi="Times New Roman" w:cs="Times New Roman"/>
          <w:color w:val="auto"/>
          <w:highlight w:val="none"/>
          <w:lang w:val="en-US" w:eastAsia="zh-CN"/>
        </w:rPr>
        <w:t>24</w:t>
      </w:r>
      <w:r>
        <w:rPr>
          <w:rFonts w:hint="eastAsia" w:ascii="Times New Roman" w:hAnsi="Times New Roman" w:eastAsia="宋体" w:cs="Times New Roman"/>
          <w:color w:val="auto"/>
          <w:highlight w:val="none"/>
        </w:rPr>
        <w:t>天，24h连续作业。</w:t>
      </w:r>
    </w:p>
    <w:p w14:paraId="560B8FDA">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工程钻井作业采用电钻机，通过钻机、转盘、钻杆、带动钻头切削地层，同时泥浆由泥浆泵经钻杆向井内注入井筒冲刷井底，利用其</w:t>
      </w:r>
      <w:r>
        <w:rPr>
          <w:rFonts w:hint="eastAsia" w:ascii="Times New Roman" w:hAnsi="Times New Roman" w:cs="Times New Roman"/>
          <w:color w:val="auto"/>
          <w:highlight w:val="none"/>
          <w:lang w:eastAsia="zh-CN"/>
        </w:rPr>
        <w:t>黏性</w:t>
      </w:r>
      <w:r>
        <w:rPr>
          <w:rFonts w:hint="eastAsia" w:ascii="Times New Roman" w:hAnsi="Times New Roman" w:eastAsia="宋体" w:cs="Times New Roman"/>
          <w:color w:val="auto"/>
          <w:highlight w:val="none"/>
        </w:rPr>
        <w:t>将岩屑带至地面，整个过程重复进行，使井不断加深，直至目的层井深。钻井中途需要停钻，以便起下钻具更换钻头、下套管、固井、替换钻井液和检修设备。若工程施工期为冬季，为防止泥浆罐内泥浆结冰冻结，需对泥浆罐进行保温，工程施工期泥浆罐保温采用电伴热，钻井期间供电从附近电网引入。项目钻井过程中需使用水基泥浆和磺化泥浆，泥浆切换过程中无需对泥浆罐清洗。</w:t>
      </w:r>
    </w:p>
    <w:p w14:paraId="60D84DF9">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侧钻工艺：侧钻为在原有井身结构基础上，采用开窗侧钻的方式进行侧钻，侧钻作业采用电钻机，通过钻机、转盘、钻杆、带动钻头切削地层，同时泥浆由泥浆泵经钻杆向井内注入井筒冲刷井底，利用其黏性将切削下的岩屑不断地带至地面，整个过程重复进行，使井不断加深，直至目的井深。</w:t>
      </w:r>
    </w:p>
    <w:p w14:paraId="78B2CC04">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固井</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是在已钻成的井筒内下入套管，然后在套管与井壁之间</w:t>
      </w:r>
      <w:r>
        <w:rPr>
          <w:rFonts w:hint="eastAsia" w:ascii="Times New Roman" w:hAnsi="Times New Roman" w:cs="Times New Roman"/>
          <w:color w:val="auto"/>
          <w:highlight w:val="none"/>
          <w:lang w:eastAsia="zh-CN"/>
        </w:rPr>
        <w:t>环孔</w:t>
      </w:r>
      <w:r>
        <w:rPr>
          <w:rFonts w:hint="eastAsia" w:ascii="Times New Roman" w:hAnsi="Times New Roman" w:eastAsia="宋体" w:cs="Times New Roman"/>
          <w:color w:val="auto"/>
          <w:highlight w:val="none"/>
        </w:rPr>
        <w:t>内注入水泥浆将套管和地层固结在一起的工艺过程，以保证安全继续钻进下一开井筒或保证顺利水泥浆由水泥罐运至井场存储。</w:t>
      </w:r>
    </w:p>
    <w:p w14:paraId="73BD7FF2">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录井：</w:t>
      </w:r>
      <w:r>
        <w:rPr>
          <w:rFonts w:hint="eastAsia" w:ascii="Times New Roman" w:hAnsi="Times New Roman" w:eastAsia="宋体" w:cs="Times New Roman"/>
          <w:color w:val="auto"/>
          <w:highlight w:val="none"/>
        </w:rPr>
        <w:t>钻井至设计井深中段开始进行录井以记录钻井过程中的所有地质参数，录井主要包括钻时录井、气测录井、钻井液录井、岩屑录井、岩心录井和压力录井，其中岩屑录井是获取井下地层岩石样品的重要手段。录井时，要随钻井进尺每隔1米左右从返出的钻井液中捞一包砂样，洗净晒干，进行岩性观察描述，并挑选出相对应地层的岩样。发现钻时快，砂岩岩屑多而且呈棕褐色，有油味，可能显示钻遇油气层，而钻遇非含油气砂岩层时则多是白色、灰白色砂岩岩屑。</w:t>
      </w:r>
    </w:p>
    <w:p w14:paraId="7900F87B">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测井：</w:t>
      </w:r>
      <w:r>
        <w:rPr>
          <w:rFonts w:hint="default" w:ascii="Times New Roman" w:hAnsi="Times New Roman" w:eastAsia="宋体" w:cs="Times New Roman"/>
          <w:color w:val="auto"/>
          <w:highlight w:val="none"/>
        </w:rPr>
        <w:t>本工程使用放射源用于测井，提供服务的主要为</w:t>
      </w:r>
      <w:r>
        <w:rPr>
          <w:rFonts w:hint="eastAsia" w:ascii="Times New Roman" w:hAnsi="Times New Roman" w:eastAsia="宋体" w:cs="Times New Roman"/>
          <w:color w:val="auto"/>
          <w:highlight w:val="none"/>
        </w:rPr>
        <w:t>西北油田分公司</w:t>
      </w:r>
      <w:r>
        <w:rPr>
          <w:rFonts w:hint="default" w:ascii="Times New Roman" w:hAnsi="Times New Roman" w:eastAsia="宋体" w:cs="Times New Roman"/>
          <w:color w:val="auto"/>
          <w:highlight w:val="none"/>
        </w:rPr>
        <w:t>服务的乙方单位，均已编制了测井用密封型放射源项目环境影响报告表，取得环评批复及新疆维吾尔自治区生态环境厅《辐射安全许可证》的单位。</w:t>
      </w:r>
    </w:p>
    <w:p w14:paraId="34EF743A">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钻井作业施工过程</w:t>
      </w:r>
      <w:r>
        <w:rPr>
          <w:rFonts w:hint="eastAsia" w:ascii="Times New Roman" w:hAnsi="Times New Roman" w:eastAsia="宋体" w:cs="Times New Roman"/>
          <w:color w:val="auto"/>
          <w:highlight w:val="none"/>
          <w:lang w:val="en-US" w:eastAsia="zh-CN"/>
        </w:rPr>
        <w:t>排污节点分析如下：</w:t>
      </w:r>
    </w:p>
    <w:p w14:paraId="44EF6F77">
      <w:pPr>
        <w:pStyle w:val="12"/>
        <w:keepNext w:val="0"/>
        <w:keepLines w:val="0"/>
        <w:pageBreakBefore w:val="0"/>
        <w:widowControl/>
        <w:kinsoku/>
        <w:wordWrap/>
        <w:overflowPunct/>
        <w:topLinePunct w:val="0"/>
        <w:autoSpaceDE/>
        <w:autoSpaceDN/>
        <w:bidi w:val="0"/>
        <w:adjustRightInd w:val="0"/>
        <w:snapToGrid/>
        <w:ind w:firstLine="480" w:firstLineChars="20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废水污染源主要为生活污水、钻井废水及酸化压裂废水，根据目前油气田钻井实际情况，钻井废水由临时罐体收集，按泥浆体系不同分阶段用于配制相应体系泥浆，在钻井期间综合利用，不外排；酸化压裂作业结束后的酸化压裂废水收集在罐内，拉运至塔河油田绿色环保站处理；生活污水经井场撬装式污水处理站处理达标后，用于荒漠灌溉；噪声污染源主要为泥浆泵及钻机噪声，采取基础减振等降噪措施；固体废物主要为钻井岩屑、钻井泥浆、含油废物、废烧碱包装袋、撬装式污水处理站产生污泥及生活垃圾，钻井岩屑随泥浆一同进入泥浆不落地系统，在井口采用“振动筛+除砂器+处理器+离心分离机”工艺分离出岩屑和泥浆，分离后的液体回用于钻井液配备，其中磺化岩屑进入无害化处理装置进一步处理，最终岩屑经检测满足《油气田钻井固体废物综合利用污染控制要求》(DB65/T3997-2017</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中综合利用污染物限值要求，同时含油率满足《土壤环境质量建设用地土壤污染风险管控标准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试行</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》(GB36600-2018</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中第二类用地土壤污染风险筛选值要求</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含油率＜0.45%</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后用于铺垫油区内的井场、道路等，一次处理后检测不合格，现场进行二次处理，达标后用于铺垫油区内的井场、道路等。含油废物桶装密闭收集，废烧碱包装袋折叠打包收集，均暂存于井场撬装式危废暂存间内，定期由钻井队委托有资质单位接收处置。撬装式污水处理站产生污泥收集、合规暂存，和生活垃圾一同</w:t>
      </w:r>
      <w:r>
        <w:rPr>
          <w:rFonts w:hint="eastAsia" w:ascii="Times New Roman" w:hAnsi="Times New Roman" w:eastAsia="宋体" w:cs="Times New Roman"/>
          <w:color w:val="auto"/>
          <w:highlight w:val="none"/>
          <w:lang w:val="en-US" w:eastAsia="zh-CN"/>
        </w:rPr>
        <w:t>委托</w:t>
      </w:r>
      <w:r>
        <w:rPr>
          <w:rFonts w:hint="default" w:ascii="Times New Roman" w:hAnsi="Times New Roman" w:cs="Times New Roman"/>
          <w:color w:val="auto"/>
          <w:highlight w:val="none"/>
        </w:rPr>
        <w:t>库车绿能环保科技有限公司</w:t>
      </w:r>
      <w:r>
        <w:rPr>
          <w:rFonts w:hint="eastAsia" w:ascii="Times New Roman" w:hAnsi="Times New Roman" w:cs="Times New Roman"/>
          <w:color w:val="auto"/>
          <w:highlight w:val="none"/>
          <w:lang w:val="en-US" w:eastAsia="zh-CN"/>
        </w:rPr>
        <w:t>清运</w:t>
      </w:r>
      <w:r>
        <w:rPr>
          <w:rFonts w:hint="eastAsia" w:ascii="Times New Roman" w:hAnsi="Times New Roman" w:eastAsia="宋体" w:cs="Times New Roman"/>
          <w:color w:val="auto"/>
          <w:highlight w:val="none"/>
        </w:rPr>
        <w:t>处置。</w:t>
      </w:r>
    </w:p>
    <w:p w14:paraId="04B73129">
      <w:pPr>
        <w:spacing w:line="360" w:lineRule="auto"/>
        <w:ind w:firstLine="482" w:firstLineChars="20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zh-CN"/>
        </w:rPr>
        <w:t>（</w:t>
      </w:r>
      <w:r>
        <w:rPr>
          <w:rFonts w:hint="eastAsia"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val="zh-CN"/>
        </w:rPr>
        <w:t>）</w:t>
      </w:r>
      <w:r>
        <w:rPr>
          <w:rFonts w:hint="default" w:ascii="Times New Roman" w:hAnsi="Times New Roman" w:eastAsia="宋体" w:cs="Times New Roman"/>
          <w:b/>
          <w:bCs/>
          <w:color w:val="auto"/>
          <w:highlight w:val="none"/>
        </w:rPr>
        <w:t>储层改造</w:t>
      </w:r>
      <w:r>
        <w:rPr>
          <w:rFonts w:hint="default" w:ascii="Times New Roman" w:hAnsi="Times New Roman" w:eastAsia="宋体" w:cs="Times New Roman"/>
          <w:b/>
          <w:bCs/>
          <w:color w:val="auto"/>
          <w:highlight w:val="none"/>
          <w:lang w:val="zh-CN"/>
        </w:rPr>
        <w:t>工程</w:t>
      </w:r>
    </w:p>
    <w:p w14:paraId="5D6C88CF">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储层改造工程主要包括射孔、酸化压裂以及后续的测试放喷等。</w:t>
      </w:r>
    </w:p>
    <w:p w14:paraId="1FB0DA6B">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1 \* GB3 \* MERGEFORMAT </w:instrText>
      </w:r>
      <w:r>
        <w:rPr>
          <w:rFonts w:hint="eastAsia" w:ascii="Times New Roman" w:hAnsi="Times New Roman" w:eastAsia="宋体" w:cs="Times New Roman"/>
          <w:color w:val="auto"/>
          <w:highlight w:val="none"/>
        </w:rPr>
        <w:fldChar w:fldCharType="separate"/>
      </w:r>
      <w:r>
        <w:rPr>
          <w:color w:val="auto"/>
          <w:highlight w:val="none"/>
        </w:rPr>
        <w:t>①</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rPr>
        <w:t>射孔</w:t>
      </w:r>
    </w:p>
    <w:p w14:paraId="4BF7B2AC">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钻井、测井后要进行射孔，将射孔枪下入井管中油层部位，用射孔弹将井管射成蜂窝状孔，使油气自喷流入井管采出。</w:t>
      </w:r>
    </w:p>
    <w:p w14:paraId="6FA64AA9">
      <w:pPr>
        <w:spacing w:line="360" w:lineRule="auto"/>
        <w:ind w:firstLine="480" w:firstLineChars="200"/>
        <w:jc w:val="both"/>
        <w:rPr>
          <w:rFonts w:hint="eastAsia" w:ascii="Times New Roman" w:hAnsi="Times New Roman" w:eastAsia="宋体" w:cs="Times New Roman"/>
          <w:color w:val="auto"/>
          <w:highlight w:val="none"/>
        </w:rPr>
      </w:pPr>
      <w:r>
        <w:rPr>
          <w:rFonts w:hint="eastAsia" w:eastAsia="宋体" w:cs="Times New Roman"/>
          <w:color w:val="auto"/>
          <w:highlight w:val="none"/>
          <w:lang w:eastAsia="zh-CN"/>
        </w:rPr>
        <w:fldChar w:fldCharType="begin"/>
      </w:r>
      <w:r>
        <w:rPr>
          <w:rFonts w:hint="eastAsia" w:eastAsia="宋体" w:cs="Times New Roman"/>
          <w:color w:val="auto"/>
          <w:highlight w:val="none"/>
          <w:lang w:eastAsia="zh-CN"/>
        </w:rPr>
        <w:instrText xml:space="preserve"> = 2 \* GB3 \* MERGEFORMAT </w:instrText>
      </w:r>
      <w:r>
        <w:rPr>
          <w:rFonts w:hint="eastAsia" w:eastAsia="宋体" w:cs="Times New Roman"/>
          <w:color w:val="auto"/>
          <w:highlight w:val="none"/>
          <w:lang w:eastAsia="zh-CN"/>
        </w:rPr>
        <w:fldChar w:fldCharType="separate"/>
      </w:r>
      <w:r>
        <w:rPr>
          <w:color w:val="auto"/>
          <w:highlight w:val="none"/>
        </w:rPr>
        <w:t>②</w:t>
      </w:r>
      <w:r>
        <w:rPr>
          <w:rFonts w:hint="eastAsia" w:eastAsia="宋体" w:cs="Times New Roman"/>
          <w:color w:val="auto"/>
          <w:highlight w:val="none"/>
          <w:lang w:eastAsia="zh-CN"/>
        </w:rPr>
        <w:fldChar w:fldCharType="end"/>
      </w:r>
      <w:r>
        <w:rPr>
          <w:rFonts w:hint="eastAsia" w:ascii="Times New Roman" w:hAnsi="Times New Roman" w:eastAsia="宋体" w:cs="Times New Roman"/>
          <w:color w:val="auto"/>
          <w:highlight w:val="none"/>
        </w:rPr>
        <w:t>酸化压裂</w:t>
      </w:r>
    </w:p>
    <w:p w14:paraId="62467013">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酸化压裂主要用于油层的改造。经按比例配制好的压裂液、酸化液由压裂车及酸罐车拉运至井场暂存，通过混砂车将压裂液及支撑剂按一定比例混合后，利用地面加压泵组，向地层注入高于地层破裂压力的前置液，随即在井底附近产生高压，当压力超过井壁附近地应力和岩石抗张强度后，在地层中形成裂缝，继续将带有支撑剂(石英砂、陶粒)的压裂液注入裂缝中，支撑剂留在地层中，形成填砂(或陶粒)裂缝带。造成人工裂缝后，继续泵注酸液，依靠酸液和地层的不均匀溶蚀，把裂缝壁面刻蚀成凹凸不平的表面，可提高油层渗透性，从而达到增产的目的。停泵后，酸化压裂废水自喷返排至地面专用废液收集罐中，拉运至塔河油田绿色环保站处理。</w:t>
      </w:r>
    </w:p>
    <w:p w14:paraId="2DE51167">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3 \* GB3 \* MERGEFORMAT </w:instrText>
      </w:r>
      <w:r>
        <w:rPr>
          <w:rFonts w:hint="eastAsia" w:ascii="Times New Roman" w:hAnsi="Times New Roman" w:eastAsia="宋体" w:cs="Times New Roman"/>
          <w:color w:val="auto"/>
          <w:highlight w:val="none"/>
        </w:rPr>
        <w:fldChar w:fldCharType="separate"/>
      </w:r>
      <w:r>
        <w:rPr>
          <w:color w:val="auto"/>
          <w:highlight w:val="none"/>
        </w:rPr>
        <w:t>③</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rPr>
        <w:t>测试放喷</w:t>
      </w:r>
    </w:p>
    <w:p w14:paraId="143CE6BA">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测试放喷是对初步确定的油气水层进行直接测试，取得目的层产能、压力、温度和流体性质等资料的工艺过程，为储量计算和油气合理开发提供可靠数据。测试放喷采取防喷、导流等有效措施。</w:t>
      </w:r>
    </w:p>
    <w:p w14:paraId="1FB28902">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测试放喷前安装井口放喷专用管线、各种计量设备、油气两相分离设备，计量罐、储液罐(油罐)、油气水进出口管线等设备。油气经井口装置节流、降压，进入油气计量分离器，分离后的液相(包括油和水)通过管线输送至原油储罐，再由油罐车拉走；天然气通过管线输送至放喷池，放空时通过电点火装置点燃放空天然气。依据</w:t>
      </w:r>
      <w:r>
        <w:rPr>
          <w:rFonts w:hint="eastAsia" w:cs="Times New Roman"/>
          <w:color w:val="auto"/>
          <w:highlight w:val="none"/>
          <w:lang w:eastAsia="zh-CN"/>
        </w:rPr>
        <w:t>具体情况</w:t>
      </w:r>
      <w:r>
        <w:rPr>
          <w:rFonts w:hint="eastAsia" w:ascii="Times New Roman" w:hAnsi="Times New Roman" w:eastAsia="宋体" w:cs="Times New Roman"/>
          <w:color w:val="auto"/>
          <w:highlight w:val="none"/>
        </w:rPr>
        <w:t>设定放喷时间，一般为1～2d。</w:t>
      </w:r>
    </w:p>
    <w:p w14:paraId="64447BD3">
      <w:pPr>
        <w:spacing w:line="360" w:lineRule="auto"/>
        <w:ind w:firstLine="480" w:firstLineChars="20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储层改造工程排污节点分析如下：</w:t>
      </w:r>
    </w:p>
    <w:p w14:paraId="161593A7">
      <w:pPr>
        <w:spacing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储层改造</w:t>
      </w:r>
      <w:r>
        <w:rPr>
          <w:rFonts w:hint="eastAsia" w:ascii="Times New Roman" w:hAnsi="Times New Roman" w:eastAsia="宋体" w:cs="Times New Roman"/>
          <w:color w:val="auto"/>
          <w:highlight w:val="none"/>
          <w:lang w:val="zh-CN"/>
        </w:rPr>
        <w:t>工程</w:t>
      </w:r>
      <w:r>
        <w:rPr>
          <w:rFonts w:hint="eastAsia" w:ascii="Times New Roman" w:hAnsi="Times New Roman" w:eastAsia="宋体" w:cs="Times New Roman"/>
          <w:color w:val="auto"/>
          <w:highlight w:val="none"/>
        </w:rPr>
        <w:t>主要废气为放喷天然气燃烧产生的废气及施工机械尾气。废水主要为生活污水及酸化压裂废水，生活污水经井场撬装式污水处理站处理后，用于荒漠灌溉。酸化压裂废水采用专用废液收集罐收集，拉运至塔河油田绿色环保站处理。噪声为压裂车噪声及测试放喷高压气流噪声，通过定期检修施工设备、合理布置作业任务，避免局部噪声过高。固体废物为生活垃圾，</w:t>
      </w:r>
      <w:r>
        <w:rPr>
          <w:rFonts w:hint="eastAsia" w:eastAsia="宋体" w:cs="Times New Roman"/>
          <w:color w:val="auto"/>
          <w:highlight w:val="none"/>
          <w:lang w:val="en-US" w:eastAsia="zh-CN"/>
        </w:rPr>
        <w:t>由</w:t>
      </w:r>
      <w:r>
        <w:rPr>
          <w:rFonts w:hint="default" w:ascii="Times New Roman" w:hAnsi="Times New Roman" w:eastAsia="宋体" w:cs="Times New Roman"/>
          <w:color w:val="auto"/>
          <w:highlight w:val="none"/>
          <w:lang w:val="en-US" w:eastAsia="zh-CN"/>
        </w:rPr>
        <w:t>库车绿能环保科技有限公司</w:t>
      </w:r>
      <w:r>
        <w:rPr>
          <w:rFonts w:hint="eastAsia" w:ascii="Times New Roman" w:hAnsi="Times New Roman" w:eastAsia="宋体" w:cs="Times New Roman"/>
          <w:color w:val="auto"/>
          <w:highlight w:val="none"/>
          <w:lang w:val="en-US" w:eastAsia="zh-CN"/>
        </w:rPr>
        <w:t>拉运处置</w:t>
      </w:r>
      <w:r>
        <w:rPr>
          <w:rFonts w:hint="eastAsia" w:ascii="Times New Roman" w:hAnsi="Times New Roman" w:eastAsia="宋体" w:cs="Times New Roman"/>
          <w:color w:val="auto"/>
          <w:highlight w:val="none"/>
        </w:rPr>
        <w:t>。</w:t>
      </w:r>
    </w:p>
    <w:p w14:paraId="10B16902">
      <w:pPr>
        <w:spacing w:line="360" w:lineRule="auto"/>
        <w:ind w:firstLine="480" w:firstLineChars="200"/>
        <w:jc w:val="both"/>
        <w:rPr>
          <w:rFonts w:hint="eastAsia" w:ascii="Times New Roman" w:hAnsi="Times New Roman" w:eastAsia="宋体" w:cs="Times New Roman"/>
          <w:color w:val="auto"/>
          <w:highlight w:val="none"/>
        </w:rPr>
      </w:pPr>
    </w:p>
    <w:p w14:paraId="2B3D416A">
      <w:pPr>
        <w:pStyle w:val="34"/>
        <w:rPr>
          <w:rFonts w:hint="eastAsia" w:ascii="Times New Roman" w:hAnsi="Times New Roman" w:eastAsia="宋体" w:cs="Times New Roman"/>
          <w:color w:val="auto"/>
          <w:highlight w:val="none"/>
        </w:rPr>
      </w:pPr>
    </w:p>
    <w:p w14:paraId="344A94FA">
      <w:pPr>
        <w:rPr>
          <w:rFonts w:hint="eastAsia" w:ascii="Times New Roman" w:hAnsi="Times New Roman" w:eastAsia="宋体" w:cs="Times New Roman"/>
          <w:color w:val="auto"/>
          <w:highlight w:val="none"/>
        </w:rPr>
      </w:pPr>
    </w:p>
    <w:p w14:paraId="42EC4D40">
      <w:pPr>
        <w:pStyle w:val="34"/>
        <w:rPr>
          <w:rFonts w:hint="eastAsia" w:ascii="Times New Roman" w:hAnsi="Times New Roman" w:eastAsia="宋体" w:cs="Times New Roman"/>
          <w:color w:val="auto"/>
          <w:highlight w:val="none"/>
        </w:rPr>
      </w:pPr>
    </w:p>
    <w:p w14:paraId="4086EC1F">
      <w:pPr>
        <w:jc w:val="center"/>
        <w:rPr>
          <w:rFonts w:hint="eastAsia" w:ascii="黑体" w:hAnsi="黑体" w:eastAsia="黑体" w:cs="宋体"/>
          <w:color w:val="auto"/>
          <w:sz w:val="21"/>
          <w:szCs w:val="21"/>
          <w:highlight w:val="none"/>
        </w:rPr>
      </w:pPr>
      <w:r>
        <w:rPr>
          <w:rFonts w:hint="eastAsia" w:ascii="黑体" w:hAnsi="黑体" w:eastAsia="黑体"/>
          <w:color w:val="auto"/>
          <w:sz w:val="21"/>
          <w:szCs w:val="21"/>
          <w:highlight w:val="none"/>
        </w:rPr>
        <w:pict>
          <v:shape id="对象 910" o:spid="_x0000_s1030" o:spt="75" type="#_x0000_t75" style="position:absolute;left:0pt;margin-left:-18.45pt;margin-top:3.45pt;height:645pt;width:456.7pt;mso-wrap-distance-bottom:0pt;mso-wrap-distance-left:9pt;mso-wrap-distance-right:9pt;mso-wrap-distance-top:0pt;z-index:251688960;mso-width-relative:page;mso-height-relative:page;" o:ole="t" filled="f" o:preferrelative="t" stroked="f" coordsize="21600,21600">
            <v:path/>
            <v:fill on="f" focussize="0,0"/>
            <v:stroke on="f"/>
            <v:imagedata r:id="rId33" o:title=""/>
            <o:lock v:ext="edit" aspectratio="t"/>
            <w10:wrap type="square"/>
          </v:shape>
          <o:OLEObject Type="Embed" ProgID="" ShapeID="对象 910" DrawAspect="Content" ObjectID="_1468075725" r:id="rId32">
            <o:LockedField>false</o:LockedField>
          </o:OLEObject>
        </w:pict>
      </w:r>
      <w:r>
        <w:rPr>
          <w:rFonts w:hint="eastAsia" w:ascii="黑体" w:hAnsi="黑体" w:eastAsia="黑体"/>
          <w:color w:val="auto"/>
          <w:sz w:val="21"/>
          <w:szCs w:val="21"/>
          <w:highlight w:val="none"/>
        </w:rPr>
        <w:t>图3.</w:t>
      </w:r>
      <w:r>
        <w:rPr>
          <w:rFonts w:hint="eastAsia"/>
          <w:color w:val="auto"/>
          <w:kern w:val="0"/>
          <w:sz w:val="21"/>
          <w:szCs w:val="21"/>
          <w:highlight w:val="none"/>
          <w:lang w:val="en-US" w:eastAsia="zh-CN"/>
        </w:rPr>
        <w:t>4-1</w:t>
      </w:r>
      <w:r>
        <w:rPr>
          <w:rFonts w:hint="eastAsia" w:ascii="黑体" w:hAnsi="黑体" w:eastAsia="黑体"/>
          <w:color w:val="auto"/>
          <w:sz w:val="21"/>
          <w:szCs w:val="21"/>
          <w:highlight w:val="none"/>
        </w:rPr>
        <w:t>钻前工程、钻井工程及储层改造工程</w:t>
      </w:r>
      <w:r>
        <w:rPr>
          <w:rFonts w:hint="eastAsia" w:ascii="黑体" w:hAnsi="黑体" w:eastAsia="黑体"/>
          <w:color w:val="auto"/>
          <w:sz w:val="21"/>
          <w:szCs w:val="21"/>
          <w:highlight w:val="none"/>
          <w:lang w:val="zh-CN"/>
        </w:rPr>
        <w:t>工艺流程及污染物排放示意图</w:t>
      </w:r>
    </w:p>
    <w:p w14:paraId="086382FA">
      <w:pPr>
        <w:spacing w:line="360" w:lineRule="auto"/>
        <w:ind w:firstLine="480" w:firstLineChars="200"/>
        <w:jc w:val="both"/>
        <w:rPr>
          <w:rFonts w:hint="eastAsia" w:ascii="Times New Roman" w:hAnsi="Times New Roman" w:eastAsia="宋体" w:cs="Times New Roman"/>
          <w:color w:val="auto"/>
          <w:highlight w:val="none"/>
        </w:rPr>
      </w:pPr>
    </w:p>
    <w:p w14:paraId="7CCFEC81">
      <w:pPr>
        <w:spacing w:line="360" w:lineRule="auto"/>
        <w:ind w:firstLine="480" w:firstLineChars="200"/>
        <w:jc w:val="both"/>
        <w:rPr>
          <w:rFonts w:hint="eastAsia" w:ascii="Times New Roman" w:hAnsi="Times New Roman" w:eastAsia="宋体" w:cs="Times New Roman"/>
          <w:color w:val="auto"/>
          <w:highlight w:val="none"/>
        </w:rPr>
      </w:pPr>
    </w:p>
    <w:p w14:paraId="41A752E7">
      <w:pPr>
        <w:spacing w:line="360" w:lineRule="auto"/>
        <w:ind w:firstLine="498" w:firstLineChars="200"/>
        <w:jc w:val="both"/>
        <w:rPr>
          <w:rFonts w:hint="default" w:ascii="Times New Roman" w:hAnsi="Times New Roman" w:eastAsia="宋体" w:cs="Times New Roman"/>
          <w:b/>
          <w:bCs/>
          <w:color w:val="auto"/>
          <w:spacing w:val="4"/>
          <w:kern w:val="24"/>
          <w:szCs w:val="22"/>
          <w:highlight w:val="none"/>
          <w:lang w:val="en-US" w:eastAsia="zh-CN"/>
        </w:rPr>
      </w:pPr>
      <w:r>
        <w:rPr>
          <w:rFonts w:hint="default" w:ascii="Times New Roman" w:hAnsi="Times New Roman" w:cs="Times New Roman"/>
          <w:b/>
          <w:bCs/>
          <w:color w:val="auto"/>
          <w:spacing w:val="4"/>
          <w:kern w:val="24"/>
          <w:szCs w:val="22"/>
          <w:highlight w:val="none"/>
          <w:lang w:eastAsia="zh-CN"/>
        </w:rPr>
        <w:t>（</w:t>
      </w:r>
      <w:r>
        <w:rPr>
          <w:rFonts w:hint="default" w:ascii="Times New Roman" w:hAnsi="Times New Roman" w:cs="Times New Roman"/>
          <w:b/>
          <w:bCs/>
          <w:color w:val="auto"/>
          <w:spacing w:val="4"/>
          <w:kern w:val="24"/>
          <w:szCs w:val="22"/>
          <w:highlight w:val="none"/>
          <w:lang w:val="en-US" w:eastAsia="zh-CN"/>
        </w:rPr>
        <w:t>3</w:t>
      </w:r>
      <w:r>
        <w:rPr>
          <w:rFonts w:hint="default" w:ascii="Times New Roman" w:hAnsi="Times New Roman" w:cs="Times New Roman"/>
          <w:b/>
          <w:bCs/>
          <w:color w:val="auto"/>
          <w:spacing w:val="4"/>
          <w:kern w:val="24"/>
          <w:szCs w:val="22"/>
          <w:highlight w:val="none"/>
          <w:lang w:eastAsia="zh-CN"/>
        </w:rPr>
        <w:t>）</w:t>
      </w:r>
      <w:r>
        <w:rPr>
          <w:rFonts w:hint="default" w:ascii="Times New Roman" w:hAnsi="Times New Roman" w:cs="Times New Roman"/>
          <w:b/>
          <w:bCs/>
          <w:color w:val="auto"/>
          <w:spacing w:val="4"/>
          <w:kern w:val="24"/>
          <w:szCs w:val="22"/>
          <w:highlight w:val="none"/>
          <w:lang w:val="en-US" w:eastAsia="zh-CN"/>
        </w:rPr>
        <w:t>地面工程建设</w:t>
      </w:r>
    </w:p>
    <w:p w14:paraId="5B03DED7">
      <w:pPr>
        <w:spacing w:line="360" w:lineRule="auto"/>
        <w:ind w:firstLine="496" w:firstLineChars="200"/>
        <w:jc w:val="both"/>
        <w:rPr>
          <w:rFonts w:hint="default" w:ascii="Times New Roman" w:hAnsi="Times New Roman"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cs="Times New Roman"/>
          <w:color w:val="auto"/>
          <w:spacing w:val="4"/>
          <w:kern w:val="24"/>
          <w:szCs w:val="22"/>
          <w:highlight w:val="none"/>
        </w:rPr>
        <w:t>地面工程主要包括</w:t>
      </w:r>
      <w:r>
        <w:rPr>
          <w:rFonts w:hint="eastAsia" w:cs="Times New Roman"/>
          <w:color w:val="auto"/>
          <w:spacing w:val="4"/>
          <w:kern w:val="24"/>
          <w:szCs w:val="22"/>
          <w:highlight w:val="none"/>
          <w:lang w:val="en-US" w:eastAsia="zh-CN"/>
        </w:rPr>
        <w:t>井场施工</w:t>
      </w:r>
      <w:r>
        <w:rPr>
          <w:rFonts w:hint="default" w:ascii="Times New Roman" w:hAnsi="Times New Roman" w:cs="Times New Roman"/>
          <w:color w:val="auto"/>
          <w:spacing w:val="4"/>
          <w:kern w:val="24"/>
          <w:szCs w:val="22"/>
          <w:highlight w:val="none"/>
        </w:rPr>
        <w:t>及管线敷设。</w:t>
      </w:r>
    </w:p>
    <w:p w14:paraId="31C2E69A">
      <w:pPr>
        <w:spacing w:line="360" w:lineRule="auto"/>
        <w:ind w:firstLine="498" w:firstLineChars="200"/>
        <w:jc w:val="both"/>
        <w:rPr>
          <w:rFonts w:hint="default" w:ascii="Times New Roman" w:hAnsi="Times New Roman" w:eastAsia="宋体" w:cs="Times New Roman"/>
          <w:b/>
          <w:bCs/>
          <w:color w:val="auto"/>
          <w:highlight w:val="none"/>
          <w:lang w:val="en-US" w:eastAsia="zh-CN"/>
        </w:rPr>
      </w:pPr>
      <w:r>
        <w:rPr>
          <w:rFonts w:hint="eastAsia" w:cs="Times New Roman"/>
          <w:b/>
          <w:bCs/>
          <w:color w:val="auto"/>
          <w:spacing w:val="4"/>
          <w:kern w:val="24"/>
          <w:szCs w:val="22"/>
          <w:highlight w:val="none"/>
          <w:lang w:val="en-US" w:eastAsia="zh-CN"/>
        </w:rPr>
        <w:t>1</w:t>
      </w:r>
      <w:r>
        <w:rPr>
          <w:rFonts w:hint="default" w:ascii="Times New Roman" w:hAnsi="Times New Roman" w:cs="Times New Roman"/>
          <w:b/>
          <w:bCs/>
          <w:color w:val="auto"/>
          <w:spacing w:val="4"/>
          <w:kern w:val="24"/>
          <w:szCs w:val="22"/>
          <w:highlight w:val="none"/>
          <w:lang w:val="en-US" w:eastAsia="zh-CN"/>
        </w:rPr>
        <w:t>）</w:t>
      </w:r>
      <w:r>
        <w:rPr>
          <w:rFonts w:hint="eastAsia" w:cs="Times New Roman"/>
          <w:b/>
          <w:bCs/>
          <w:color w:val="auto"/>
          <w:highlight w:val="none"/>
          <w:lang w:val="en-US" w:eastAsia="zh-CN"/>
        </w:rPr>
        <w:t>井场建设</w:t>
      </w:r>
    </w:p>
    <w:p w14:paraId="6C8E7B36">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eastAsia" w:cs="Times New Roman"/>
          <w:color w:val="auto"/>
          <w:highlight w:val="none"/>
          <w:lang w:val="en-US" w:eastAsia="zh-CN"/>
        </w:rPr>
        <w:t>部署</w:t>
      </w:r>
      <w:r>
        <w:rPr>
          <w:rFonts w:hint="default" w:ascii="Times New Roman" w:hAnsi="Times New Roman" w:cs="Times New Roman"/>
          <w:color w:val="auto"/>
          <w:highlight w:val="none"/>
        </w:rPr>
        <w:t>老井侧钻井</w:t>
      </w:r>
      <w:r>
        <w:rPr>
          <w:rFonts w:hint="eastAsia" w:cs="Times New Roman"/>
          <w:color w:val="auto"/>
          <w:highlight w:val="none"/>
          <w:lang w:val="en-US" w:eastAsia="zh-CN"/>
        </w:rPr>
        <w:t>4</w:t>
      </w:r>
      <w:r>
        <w:rPr>
          <w:rFonts w:hint="default" w:ascii="Times New Roman" w:hAnsi="Times New Roman" w:cs="Times New Roman"/>
          <w:color w:val="auto"/>
          <w:highlight w:val="none"/>
        </w:rPr>
        <w:t>口</w:t>
      </w:r>
      <w:r>
        <w:rPr>
          <w:rFonts w:hint="eastAsia" w:cs="Times New Roman"/>
          <w:color w:val="auto"/>
          <w:highlight w:val="none"/>
          <w:lang w:eastAsia="zh-CN"/>
        </w:rPr>
        <w:t>，</w:t>
      </w:r>
      <w:r>
        <w:rPr>
          <w:rFonts w:hint="eastAsia" w:cs="Times New Roman"/>
          <w:color w:val="auto"/>
          <w:highlight w:val="none"/>
          <w:lang w:val="en-US" w:eastAsia="zh-CN"/>
        </w:rPr>
        <w:t>不新增永久占地，只新增临时占地</w:t>
      </w:r>
      <w:r>
        <w:rPr>
          <w:rFonts w:hint="default" w:ascii="Times New Roman" w:hAnsi="Times New Roman" w:cs="Times New Roman"/>
          <w:color w:val="auto"/>
          <w:highlight w:val="none"/>
          <w:lang w:eastAsia="zh-CN"/>
        </w:rPr>
        <w:t>。</w:t>
      </w:r>
    </w:p>
    <w:p w14:paraId="6E847E9D">
      <w:pPr>
        <w:keepNext w:val="0"/>
        <w:keepLines w:val="0"/>
        <w:pageBreakBefore w:val="0"/>
        <w:widowControl/>
        <w:kinsoku/>
        <w:wordWrap/>
        <w:overflowPunct/>
        <w:topLinePunct w:val="0"/>
        <w:autoSpaceDE/>
        <w:autoSpaceDN/>
        <w:bidi w:val="0"/>
        <w:adjustRightInd w:val="0"/>
        <w:snapToGrid/>
        <w:spacing w:line="360" w:lineRule="auto"/>
        <w:ind w:firstLine="480" w:firstLineChars="200"/>
        <w:rPr>
          <w:rFonts w:hint="eastAsia" w:hAnsi="宋体" w:cs="宋体"/>
          <w:color w:val="auto"/>
          <w:kern w:val="0"/>
          <w:highlight w:val="none"/>
        </w:rPr>
      </w:pPr>
      <w:r>
        <w:rPr>
          <w:rFonts w:hint="eastAsia" w:hAnsi="宋体" w:cs="宋体"/>
          <w:color w:val="auto"/>
          <w:kern w:val="0"/>
          <w:highlight w:val="none"/>
        </w:rPr>
        <w:t>对</w:t>
      </w:r>
      <w:r>
        <w:rPr>
          <w:rFonts w:hint="eastAsia" w:hAnsi="宋体" w:cs="宋体"/>
          <w:color w:val="auto"/>
          <w:kern w:val="0"/>
          <w:highlight w:val="none"/>
          <w:lang w:val="en-US" w:eastAsia="zh-CN"/>
        </w:rPr>
        <w:t>施工临时</w:t>
      </w:r>
      <w:r>
        <w:rPr>
          <w:rFonts w:hint="eastAsia" w:hAnsi="宋体" w:cs="宋体"/>
          <w:color w:val="auto"/>
          <w:kern w:val="0"/>
          <w:highlight w:val="none"/>
        </w:rPr>
        <w:t>占地进行场地平整，设置施工车辆临时停放场地，将设备拉运至井场，进行安装调试。地面工程施工结束后，对施工场地临时占地进行平整恢复</w:t>
      </w:r>
      <w:r>
        <w:rPr>
          <w:rFonts w:hint="eastAsia"/>
          <w:color w:val="auto"/>
          <w:highlight w:val="none"/>
        </w:rPr>
        <w:t>，清除井场临时占地内水泥基础等各类池体防渗层并进行平整</w:t>
      </w:r>
      <w:r>
        <w:rPr>
          <w:rFonts w:hint="eastAsia" w:hAnsi="宋体" w:cs="宋体"/>
          <w:color w:val="auto"/>
          <w:kern w:val="0"/>
          <w:highlight w:val="none"/>
        </w:rPr>
        <w:t>。</w:t>
      </w:r>
    </w:p>
    <w:p w14:paraId="5E21F281">
      <w:pPr>
        <w:pStyle w:val="56"/>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baseline"/>
        <w:rPr>
          <w:rFonts w:hint="eastAsia" w:hAnsi="Times New Roman"/>
          <w:b w:val="0"/>
          <w:bCs w:val="0"/>
          <w:color w:val="auto"/>
          <w:sz w:val="24"/>
          <w:szCs w:val="24"/>
          <w:highlight w:val="none"/>
          <w:lang w:val="en-US" w:eastAsia="zh-CN"/>
        </w:rPr>
      </w:pPr>
      <w:r>
        <w:rPr>
          <w:rFonts w:hint="eastAsia" w:hAnsi="Times New Roman"/>
          <w:b w:val="0"/>
          <w:bCs w:val="0"/>
          <w:color w:val="auto"/>
          <w:sz w:val="24"/>
          <w:szCs w:val="24"/>
          <w:highlight w:val="none"/>
          <w:lang w:val="en-US" w:eastAsia="zh-CN"/>
        </w:rPr>
        <w:t>井场施工过程中排污节点分析如下：</w:t>
      </w:r>
    </w:p>
    <w:p w14:paraId="1A784587">
      <w:pPr>
        <w:pStyle w:val="56"/>
        <w:keepNext w:val="0"/>
        <w:keepLines w:val="0"/>
        <w:pageBreakBefore w:val="0"/>
        <w:widowControl/>
        <w:kinsoku/>
        <w:wordWrap/>
        <w:overflowPunct/>
        <w:topLinePunct w:val="0"/>
        <w:autoSpaceDE/>
        <w:autoSpaceDN/>
        <w:bidi w:val="0"/>
        <w:snapToGrid/>
        <w:spacing w:line="360" w:lineRule="auto"/>
        <w:ind w:firstLine="500" w:firstLineChars="200"/>
        <w:jc w:val="both"/>
        <w:rPr>
          <w:rFonts w:hint="eastAsia" w:hAnsi="宋体" w:cs="宋体"/>
          <w:b w:val="0"/>
          <w:bCs w:val="0"/>
          <w:color w:val="auto"/>
          <w:sz w:val="25"/>
          <w:szCs w:val="25"/>
          <w:highlight w:val="none"/>
        </w:rPr>
      </w:pPr>
      <w:r>
        <w:rPr>
          <w:rFonts w:hint="eastAsia" w:hAnsi="宋体" w:cs="宋体"/>
          <w:b w:val="0"/>
          <w:bCs w:val="0"/>
          <w:color w:val="auto"/>
          <w:kern w:val="0"/>
          <w:sz w:val="25"/>
          <w:szCs w:val="25"/>
          <w:highlight w:val="none"/>
          <w:lang w:val="en-US" w:eastAsia="zh-CN"/>
        </w:rPr>
        <w:t>井场施工</w:t>
      </w:r>
      <w:r>
        <w:rPr>
          <w:rFonts w:hint="eastAsia" w:hAnsi="宋体" w:cs="宋体"/>
          <w:b w:val="0"/>
          <w:bCs w:val="0"/>
          <w:color w:val="auto"/>
          <w:kern w:val="0"/>
          <w:sz w:val="25"/>
          <w:szCs w:val="25"/>
          <w:highlight w:val="none"/>
        </w:rPr>
        <w:t>废气污染源主要为施工车辆尾气和焊接废气，设备运输和装卸时产生的扬尘，通过洒水抑尘减少扬尘产生量，焊接作业时使用无毒低尘焊条；噪声污染源为施工机械产生的噪声，通过选取低噪声</w:t>
      </w:r>
      <w:r>
        <w:rPr>
          <w:rFonts w:hint="eastAsia" w:hAnsi="宋体" w:cs="宋体"/>
          <w:b w:val="0"/>
          <w:bCs w:val="0"/>
          <w:color w:val="auto"/>
          <w:sz w:val="25"/>
          <w:szCs w:val="25"/>
          <w:highlight w:val="none"/>
        </w:rPr>
        <w:t>设备、加强设备维护保养降低噪声；固体废物主要为</w:t>
      </w:r>
      <w:r>
        <w:rPr>
          <w:rFonts w:hint="eastAsia"/>
          <w:b w:val="0"/>
          <w:bCs w:val="0"/>
          <w:color w:val="auto"/>
          <w:sz w:val="25"/>
          <w:szCs w:val="25"/>
          <w:highlight w:val="none"/>
        </w:rPr>
        <w:t>设备废弃包装、水泥基础和</w:t>
      </w:r>
      <w:r>
        <w:rPr>
          <w:rFonts w:hint="eastAsia" w:hAnsi="宋体" w:cs="宋体"/>
          <w:b w:val="0"/>
          <w:bCs w:val="0"/>
          <w:color w:val="auto"/>
          <w:sz w:val="25"/>
          <w:szCs w:val="25"/>
          <w:highlight w:val="none"/>
        </w:rPr>
        <w:t>生活垃圾，</w:t>
      </w:r>
      <w:r>
        <w:rPr>
          <w:rFonts w:hint="eastAsia"/>
          <w:b w:val="0"/>
          <w:bCs w:val="0"/>
          <w:color w:val="auto"/>
          <w:sz w:val="25"/>
          <w:szCs w:val="25"/>
          <w:highlight w:val="none"/>
        </w:rPr>
        <w:t>设备废弃包装、水泥基础现场收集、合规暂存，委托</w:t>
      </w:r>
      <w:r>
        <w:rPr>
          <w:rFonts w:hint="default" w:ascii="Times New Roman" w:hAnsi="Times New Roman" w:cs="Times New Roman"/>
          <w:color w:val="auto"/>
          <w:sz w:val="24"/>
          <w:szCs w:val="24"/>
          <w:highlight w:val="none"/>
          <w:lang w:eastAsia="zh-CN"/>
        </w:rPr>
        <w:t>库车绿能环保科技有限公司</w:t>
      </w:r>
      <w:r>
        <w:rPr>
          <w:rFonts w:hint="default" w:ascii="Times New Roman" w:hAnsi="Times New Roman" w:eastAsia="宋体" w:cs="Times New Roman"/>
          <w:color w:val="auto"/>
          <w:sz w:val="24"/>
          <w:szCs w:val="24"/>
          <w:highlight w:val="none"/>
        </w:rPr>
        <w:t>清运处置</w:t>
      </w:r>
      <w:r>
        <w:rPr>
          <w:rFonts w:hint="eastAsia"/>
          <w:b w:val="0"/>
          <w:bCs w:val="0"/>
          <w:color w:val="auto"/>
          <w:sz w:val="25"/>
          <w:szCs w:val="25"/>
          <w:highlight w:val="none"/>
        </w:rPr>
        <w:t>；生活垃圾</w:t>
      </w:r>
      <w:r>
        <w:rPr>
          <w:rFonts w:hint="eastAsia" w:hAnsi="宋体" w:cs="宋体"/>
          <w:b w:val="0"/>
          <w:bCs w:val="0"/>
          <w:color w:val="auto"/>
          <w:sz w:val="25"/>
          <w:szCs w:val="25"/>
          <w:highlight w:val="none"/>
        </w:rPr>
        <w:t>收集后</w:t>
      </w:r>
      <w:r>
        <w:rPr>
          <w:rFonts w:hint="eastAsia" w:ascii="Times New Roman" w:hAnsi="Times New Roman" w:eastAsia="宋体" w:cs="Times New Roman"/>
          <w:b w:val="0"/>
          <w:bCs w:val="0"/>
          <w:color w:val="auto"/>
          <w:highlight w:val="none"/>
          <w:lang w:val="en-US" w:eastAsia="zh-CN"/>
        </w:rPr>
        <w:t>由</w:t>
      </w:r>
      <w:r>
        <w:rPr>
          <w:rFonts w:hint="default" w:ascii="Times New Roman" w:hAnsi="Times New Roman" w:eastAsia="宋体" w:cs="Times New Roman"/>
          <w:b w:val="0"/>
          <w:bCs w:val="0"/>
          <w:color w:val="auto"/>
          <w:highlight w:val="none"/>
          <w:lang w:val="en-US" w:eastAsia="zh-CN"/>
        </w:rPr>
        <w:t>库车绿能环保科技有限公司</w:t>
      </w:r>
      <w:r>
        <w:rPr>
          <w:rFonts w:hint="eastAsia" w:ascii="Times New Roman" w:hAnsi="Times New Roman" w:eastAsia="宋体" w:cs="Times New Roman"/>
          <w:b w:val="0"/>
          <w:bCs w:val="0"/>
          <w:color w:val="auto"/>
          <w:highlight w:val="none"/>
          <w:lang w:val="en-US" w:eastAsia="zh-CN"/>
        </w:rPr>
        <w:t>拉运处置</w:t>
      </w:r>
      <w:r>
        <w:rPr>
          <w:rFonts w:hint="eastAsia" w:hAnsi="宋体" w:cs="宋体"/>
          <w:b w:val="0"/>
          <w:bCs w:val="0"/>
          <w:color w:val="auto"/>
          <w:sz w:val="25"/>
          <w:szCs w:val="25"/>
          <w:highlight w:val="none"/>
        </w:rPr>
        <w:t>。</w:t>
      </w:r>
    </w:p>
    <w:p w14:paraId="5EACCEE5">
      <w:pPr>
        <w:spacing w:line="360" w:lineRule="auto"/>
        <w:ind w:firstLine="482" w:firstLineChars="200"/>
        <w:jc w:val="both"/>
        <w:rPr>
          <w:rFonts w:hint="default" w:ascii="Times New Roman" w:hAnsi="Times New Roman" w:cs="Times New Roman"/>
          <w:b/>
          <w:bCs/>
          <w:color w:val="auto"/>
          <w:highlight w:val="none"/>
        </w:rPr>
      </w:pP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管线建设</w:t>
      </w:r>
    </w:p>
    <w:p w14:paraId="40A6C939">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管线施工工艺流程简介：</w:t>
      </w:r>
    </w:p>
    <w:p w14:paraId="57AB1EBC">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施工放线</w:t>
      </w:r>
    </w:p>
    <w:p w14:paraId="2C589FCC">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施工放线时，施工单位必须对设计图纸进行现场核对，根据设计图纸进行放线，打百米桩，标桩上注明标号、里程、高程，转角桩应注明角度、外矢矩及切线长度，在地形起伏及较大拐弯处应打加密桩。施工时按管道两侧土地占用范围划定临时用地边界线，特殊地段增加用地宽度时应与当地有关部门协商。</w:t>
      </w:r>
    </w:p>
    <w:p w14:paraId="682ECF0C">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管沟开挖</w:t>
      </w:r>
    </w:p>
    <w:p w14:paraId="6CAB77A3">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开挖管沟前，应根据管道施工用地宽度清理其中的杂物，平整沟、坎，以便施工机具通行，同时清除管线中心线两侧以及附近斜坡上危及管道安全的崩塌堆积物。施工前应按照设计图纸要求及各个区域的地质情况向施工人员</w:t>
      </w:r>
      <w:r>
        <w:rPr>
          <w:rFonts w:hint="eastAsia" w:cs="Times New Roman"/>
          <w:color w:val="auto"/>
          <w:highlight w:val="none"/>
          <w:lang w:eastAsia="zh-CN"/>
        </w:rPr>
        <w:t>做好</w:t>
      </w:r>
      <w:r>
        <w:rPr>
          <w:rFonts w:hint="default" w:ascii="Times New Roman" w:hAnsi="Times New Roman" w:cs="Times New Roman"/>
          <w:color w:val="auto"/>
          <w:highlight w:val="none"/>
        </w:rPr>
        <w:t>管沟断面开挖要求（开挖深度及边坡比）、堆土位置及技术要求等的交底工作。管沟开挖可采用机械开挖与人工开挖相结合的方式，有地下障碍物时，障碍物两侧5m范围内，应采用人工开挖。对于重要设施，开挖前应征得其管理方的同意，并应在其监督下开挖管沟。施工机械在纵坡上挖沟，必须根据坡度的大小、土壤的类别、性质及状态计算施工机械的稳定性，并采取相应的措施，确保安全操作。管沟沟底单管开挖宽度为0.8m，管沟边坡比为1:1.5。管沟成型后，应进行检查。</w:t>
      </w:r>
    </w:p>
    <w:p w14:paraId="5D0DE0C6">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eastAsia" w:cs="Times New Roman"/>
          <w:color w:val="auto"/>
          <w:highlight w:val="none"/>
          <w:lang w:val="en-US" w:eastAsia="zh-CN"/>
        </w:rPr>
        <w:t>新建</w:t>
      </w:r>
      <w:r>
        <w:rPr>
          <w:rFonts w:hint="default" w:ascii="Times New Roman" w:hAnsi="Times New Roman" w:cs="Times New Roman"/>
          <w:color w:val="auto"/>
          <w:highlight w:val="none"/>
        </w:rPr>
        <w:t>管道施工作业带宽度控制在</w:t>
      </w:r>
      <w:r>
        <w:rPr>
          <w:rFonts w:hint="eastAsia" w:cs="Times New Roman"/>
          <w:color w:val="auto"/>
          <w:highlight w:val="none"/>
          <w:lang w:val="en-US" w:eastAsia="zh-CN"/>
        </w:rPr>
        <w:t>7</w:t>
      </w:r>
      <w:r>
        <w:rPr>
          <w:rFonts w:hint="default" w:ascii="Times New Roman" w:hAnsi="Times New Roman" w:cs="Times New Roman"/>
          <w:color w:val="auto"/>
          <w:highlight w:val="none"/>
        </w:rPr>
        <w:t>m范围内，管线埋深为1.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m。</w:t>
      </w:r>
    </w:p>
    <w:p w14:paraId="7B912AFA">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w:t>
      </w:r>
      <w:r>
        <w:rPr>
          <w:rFonts w:hint="default" w:ascii="Times New Roman" w:hAnsi="Times New Roman" w:cs="Times New Roman"/>
          <w:color w:val="auto"/>
          <w:highlight w:val="none"/>
        </w:rPr>
        <w:t>管线组装</w:t>
      </w:r>
    </w:p>
    <w:p w14:paraId="114EFDA6">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集输管线采用柔性复合高压输送管，连接方式应符合《石油天然气工业用非金属复合管第2部分：柔性复合高压输送管》（SY/T6662.2-2012）、《柔性复合管施工及验收规范》（Q/SYTZ0407-2014）中的相关要求；燃料气管线采用无缝钢管，采用焊接方式连接，严格按照《油气田集输管道施工规范》（GB50819-2013）等相关要求执行。柔性复合高压输送管采用弹性敷设，燃料气管线采用弹性敷设、冷弯弯管、热煨弯头</w:t>
      </w:r>
      <w:r>
        <w:rPr>
          <w:rFonts w:hint="eastAsia" w:cs="Times New Roman"/>
          <w:color w:val="auto"/>
          <w:highlight w:val="none"/>
          <w:lang w:eastAsia="zh-CN"/>
        </w:rPr>
        <w:t>三种形式</w:t>
      </w:r>
      <w:r>
        <w:rPr>
          <w:rFonts w:hint="default" w:ascii="Times New Roman" w:hAnsi="Times New Roman" w:cs="Times New Roman"/>
          <w:color w:val="auto"/>
          <w:highlight w:val="none"/>
        </w:rPr>
        <w:t>来满足管道变向安装要求。</w:t>
      </w:r>
    </w:p>
    <w:p w14:paraId="495499FF">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④</w:t>
      </w:r>
      <w:r>
        <w:rPr>
          <w:rFonts w:hint="default" w:ascii="Times New Roman" w:hAnsi="Times New Roman" w:cs="Times New Roman"/>
          <w:color w:val="auto"/>
          <w:highlight w:val="none"/>
        </w:rPr>
        <w:t>管道下沟</w:t>
      </w:r>
    </w:p>
    <w:p w14:paraId="43CE5FA0">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管段下沟前，需清除沟中的石块及塌方泥土、积水等，对管道进行外观检查并及时修补；管段下沟时，不允许任何导致管段产生弯折、永久性变形、破坏管材的现象出现；管段下沟后，在不受外力的条件下，应与沟底表面贴实且放到管沟中心位置。如出现管底局部悬空应用细土填塞，不得出现浅埋。</w:t>
      </w:r>
    </w:p>
    <w:p w14:paraId="2B0FBBDC">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⑤</w:t>
      </w:r>
      <w:r>
        <w:rPr>
          <w:rFonts w:hint="default" w:ascii="Times New Roman" w:hAnsi="Times New Roman" w:cs="Times New Roman"/>
          <w:color w:val="auto"/>
          <w:highlight w:val="none"/>
        </w:rPr>
        <w:t>吹扫与试压</w:t>
      </w:r>
    </w:p>
    <w:p w14:paraId="35617D96">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管道在试压前应进行吹扫，当吹扫出的气体无铁锈、尘土、焊渣、水等脏物时为合格，吹扫气体在管道内流速应大于20m/s。</w:t>
      </w:r>
    </w:p>
    <w:p w14:paraId="7ADFEB72">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集输管线试压介质采用中性洁净水；燃料气管线使用空气试压。有高差的管道，应考虑静水压的影响，管道试验压力应以高处的压力表为准，各试压段的最低点强度试验压力应保证该试压段最低点的管道环向应力不超过其屈服强度的95%，且最高点压力应为管道设计压力的1.5倍。</w:t>
      </w:r>
    </w:p>
    <w:p w14:paraId="1353C003">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试压过程中有泄漏时，不得带压修理。缺陷修补后应重新进行试压直至合格。</w:t>
      </w:r>
    </w:p>
    <w:p w14:paraId="44C92D61">
      <w:pPr>
        <w:spacing w:line="360" w:lineRule="auto"/>
        <w:ind w:firstLine="480" w:firstLineChars="200"/>
        <w:jc w:val="both"/>
        <w:rPr>
          <w:rFonts w:hint="default" w:ascii="Times New Roman" w:hAnsi="Times New Roman" w:cs="Times New Roman"/>
          <w:color w:val="auto"/>
          <w:highlight w:val="none"/>
          <w:lang w:val="en-US"/>
        </w:rPr>
      </w:pPr>
      <w:bookmarkStart w:id="246" w:name="_Hlk96007445"/>
      <w:r>
        <w:rPr>
          <w:rFonts w:hint="default" w:ascii="Times New Roman" w:hAnsi="Times New Roman" w:cs="Times New Roman"/>
          <w:color w:val="auto"/>
          <w:highlight w:val="none"/>
          <w:lang w:val="en-US" w:eastAsia="zh-CN"/>
        </w:rPr>
        <w:t>⑥</w:t>
      </w:r>
      <w:bookmarkEnd w:id="246"/>
      <w:r>
        <w:rPr>
          <w:rFonts w:hint="eastAsia" w:cs="Times New Roman"/>
          <w:color w:val="auto"/>
          <w:highlight w:val="none"/>
          <w:lang w:val="en-US" w:eastAsia="zh-CN"/>
        </w:rPr>
        <w:t>收尾工作</w:t>
      </w:r>
    </w:p>
    <w:p w14:paraId="34D4CA5E">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收尾工作包括操作坑回填和临时场地恢复。管线连接成功并检验合格后进行操作坑回填。对操作坑实施土方回填，回填时分二次回填，回填土应与操作坑自然土相似，首先距管壁300mm范围先用较小粒径的原土进行小回填，最大回填粒径不超过10mm，然后采用原土进行回填，管顶距自然地坪不小于1.2m且管沟回填土高出自然地面300mm，沿管线铺设方向形成垄，</w:t>
      </w:r>
      <w:r>
        <w:rPr>
          <w:rFonts w:hint="eastAsia" w:cs="Times New Roman"/>
          <w:color w:val="auto"/>
          <w:highlight w:val="none"/>
          <w:lang w:eastAsia="zh-CN"/>
        </w:rPr>
        <w:t>作为</w:t>
      </w:r>
      <w:r>
        <w:rPr>
          <w:rFonts w:hint="default" w:ascii="Times New Roman" w:hAnsi="Times New Roman" w:cs="Times New Roman"/>
          <w:color w:val="auto"/>
          <w:highlight w:val="none"/>
        </w:rPr>
        <w:t>管道上方土层自然沉降</w:t>
      </w:r>
      <w:r>
        <w:rPr>
          <w:rFonts w:hint="eastAsia" w:cs="Times New Roman"/>
          <w:color w:val="auto"/>
          <w:highlight w:val="none"/>
          <w:lang w:eastAsia="zh-CN"/>
        </w:rPr>
        <w:t>富余</w:t>
      </w:r>
      <w:r>
        <w:rPr>
          <w:rFonts w:hint="default" w:ascii="Times New Roman" w:hAnsi="Times New Roman" w:cs="Times New Roman"/>
          <w:color w:val="auto"/>
          <w:highlight w:val="none"/>
        </w:rPr>
        <w:t>量，且可以作为巡视管线的地表标志，剩余土方用于场地平整和临时施工场地土地恢复。</w:t>
      </w:r>
    </w:p>
    <w:p w14:paraId="294950CB">
      <w:pPr>
        <w:pStyle w:val="56"/>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baseline"/>
        <w:rPr>
          <w:rFonts w:hint="eastAsia" w:hAnsi="Times New Roman"/>
          <w:b w:val="0"/>
          <w:bCs w:val="0"/>
          <w:color w:val="auto"/>
          <w:sz w:val="24"/>
          <w:szCs w:val="24"/>
          <w:highlight w:val="none"/>
          <w:lang w:val="en-US" w:eastAsia="zh-CN"/>
        </w:rPr>
      </w:pPr>
      <w:r>
        <w:rPr>
          <w:rFonts w:hint="eastAsia" w:hAnsi="Times New Roman"/>
          <w:b w:val="0"/>
          <w:bCs w:val="0"/>
          <w:color w:val="auto"/>
          <w:sz w:val="24"/>
          <w:szCs w:val="24"/>
          <w:highlight w:val="none"/>
          <w:lang w:val="en-US" w:eastAsia="zh-CN"/>
        </w:rPr>
        <w:t>管线施工过程中排污节点分析如下：</w:t>
      </w:r>
    </w:p>
    <w:p w14:paraId="28D32359">
      <w:pPr>
        <w:pStyle w:val="56"/>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baseline"/>
        <w:rPr>
          <w:rFonts w:hint="eastAsia" w:hAnsi="Times New Roman"/>
          <w:b w:val="0"/>
          <w:bCs w:val="0"/>
          <w:color w:val="auto"/>
          <w:sz w:val="24"/>
          <w:szCs w:val="24"/>
          <w:highlight w:val="none"/>
        </w:rPr>
      </w:pPr>
      <w:r>
        <w:rPr>
          <w:rFonts w:hint="eastAsia" w:hAnsi="Times New Roman"/>
          <w:b w:val="0"/>
          <w:bCs w:val="0"/>
          <w:color w:val="auto"/>
          <w:sz w:val="24"/>
          <w:szCs w:val="24"/>
          <w:highlight w:val="none"/>
        </w:rPr>
        <w:t>施工过程中废气污染源为施工扬尘、焊接废气和施工车辆尾气；土方开挖和倾卸时产生的扬尘，通过控制倾卸高度减少扬尘产生量</w:t>
      </w:r>
      <w:r>
        <w:rPr>
          <w:rFonts w:hint="eastAsia" w:hAnsi="宋体" w:cs="宋体"/>
          <w:b w:val="0"/>
          <w:bCs w:val="0"/>
          <w:color w:val="auto"/>
          <w:sz w:val="24"/>
          <w:szCs w:val="24"/>
          <w:highlight w:val="none"/>
        </w:rPr>
        <w:t>，焊接过</w:t>
      </w:r>
      <w:r>
        <w:rPr>
          <w:rFonts w:hint="eastAsia" w:hAnsi="宋体" w:cs="宋体"/>
          <w:b w:val="0"/>
          <w:bCs w:val="0"/>
          <w:color w:val="auto"/>
          <w:sz w:val="24"/>
          <w:szCs w:val="24"/>
          <w:highlight w:val="none"/>
          <w:lang w:eastAsia="zh-CN"/>
        </w:rPr>
        <w:t>程中</w:t>
      </w:r>
      <w:r>
        <w:rPr>
          <w:rFonts w:hint="eastAsia" w:hAnsi="宋体" w:cs="宋体"/>
          <w:b w:val="0"/>
          <w:bCs w:val="0"/>
          <w:color w:val="auto"/>
          <w:sz w:val="24"/>
          <w:szCs w:val="24"/>
          <w:highlight w:val="none"/>
        </w:rPr>
        <w:t>使用合格无毒焊条</w:t>
      </w:r>
      <w:r>
        <w:rPr>
          <w:rFonts w:hint="eastAsia" w:hAnsi="Times New Roman"/>
          <w:b w:val="0"/>
          <w:bCs w:val="0"/>
          <w:color w:val="auto"/>
          <w:sz w:val="24"/>
          <w:szCs w:val="24"/>
          <w:highlight w:val="none"/>
        </w:rPr>
        <w:t>；废水污染源主要为试压废水，由管内排出后循环使用，试压结束后用于区域降尘；噪声污染源为施工机械产生的噪声，通过选取低噪声设备、加强设备维护保养降低噪声；固体废物为管沟开挖产生的土方，施工结束后用于回填管沟及场地平整；</w:t>
      </w:r>
      <w:r>
        <w:rPr>
          <w:rFonts w:hint="eastAsia" w:hAnsi="宋体" w:cs="Microsoft Uighur"/>
          <w:b w:val="0"/>
          <w:bCs w:val="0"/>
          <w:color w:val="auto"/>
          <w:sz w:val="24"/>
          <w:szCs w:val="24"/>
          <w:highlight w:val="none"/>
        </w:rPr>
        <w:t>施工废料应首先考虑回收利用，不可回收利用部分</w:t>
      </w:r>
      <w:r>
        <w:rPr>
          <w:rFonts w:hint="default" w:ascii="Times New Roman" w:hAnsi="Times New Roman" w:eastAsia="宋体" w:cs="Times New Roman"/>
          <w:color w:val="auto"/>
          <w:sz w:val="24"/>
          <w:szCs w:val="24"/>
          <w:highlight w:val="none"/>
        </w:rPr>
        <w:t>由</w:t>
      </w:r>
      <w:r>
        <w:rPr>
          <w:rFonts w:hint="default" w:ascii="Times New Roman" w:hAnsi="Times New Roman" w:cs="Times New Roman"/>
          <w:color w:val="auto"/>
          <w:sz w:val="24"/>
          <w:szCs w:val="24"/>
          <w:highlight w:val="none"/>
          <w:lang w:eastAsia="zh-CN"/>
        </w:rPr>
        <w:t>库车绿能环保科技有限公司</w:t>
      </w:r>
      <w:r>
        <w:rPr>
          <w:rFonts w:hint="default" w:ascii="Times New Roman" w:hAnsi="Times New Roman" w:eastAsia="宋体" w:cs="Times New Roman"/>
          <w:color w:val="auto"/>
          <w:sz w:val="24"/>
          <w:szCs w:val="24"/>
          <w:highlight w:val="none"/>
        </w:rPr>
        <w:t>清运处置</w:t>
      </w:r>
      <w:r>
        <w:rPr>
          <w:rFonts w:hint="eastAsia" w:hAnsi="宋体" w:cs="Microsoft Uighur"/>
          <w:b w:val="0"/>
          <w:bCs w:val="0"/>
          <w:color w:val="auto"/>
          <w:sz w:val="24"/>
          <w:szCs w:val="24"/>
          <w:highlight w:val="none"/>
        </w:rPr>
        <w:t>。</w:t>
      </w:r>
    </w:p>
    <w:p w14:paraId="291012F6">
      <w:pPr>
        <w:keepLines/>
        <w:adjustRightInd w:val="0"/>
        <w:snapToGrid w:val="0"/>
        <w:spacing w:line="360" w:lineRule="auto"/>
        <w:jc w:val="both"/>
        <w:outlineLvl w:val="3"/>
        <w:rPr>
          <w:rFonts w:hint="default" w:ascii="Times New Roman" w:hAnsi="Times New Roman" w:eastAsia="宋体" w:cs="Times New Roman"/>
          <w:b/>
          <w:color w:val="auto"/>
          <w:szCs w:val="22"/>
          <w:highlight w:val="none"/>
          <w:lang w:eastAsia="zh-CN"/>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4</w:t>
      </w:r>
      <w:r>
        <w:rPr>
          <w:rFonts w:hint="default" w:ascii="Times New Roman" w:hAnsi="Times New Roman" w:cs="Times New Roman"/>
          <w:b/>
          <w:color w:val="auto"/>
          <w:szCs w:val="22"/>
          <w:highlight w:val="none"/>
        </w:rPr>
        <w:t>.1.</w:t>
      </w:r>
      <w:r>
        <w:rPr>
          <w:rFonts w:hint="default" w:ascii="Times New Roman" w:hAnsi="Times New Roman" w:cs="Times New Roman"/>
          <w:b/>
          <w:color w:val="auto"/>
          <w:szCs w:val="22"/>
          <w:highlight w:val="none"/>
          <w:lang w:val="en-US" w:eastAsia="zh-CN"/>
        </w:rPr>
        <w:t>2运营期</w:t>
      </w:r>
    </w:p>
    <w:p w14:paraId="1B592BF4">
      <w:pPr>
        <w:pStyle w:val="12"/>
        <w:bidi w:val="0"/>
        <w:ind w:firstLine="482" w:firstLineChars="20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采油</w:t>
      </w:r>
    </w:p>
    <w:p w14:paraId="07245234">
      <w:pPr>
        <w:spacing w:line="360" w:lineRule="auto"/>
        <w:ind w:firstLine="496" w:firstLineChars="200"/>
        <w:jc w:val="both"/>
        <w:rPr>
          <w:rFonts w:hint="default" w:ascii="Times New Roman" w:hAnsi="Times New Roman" w:cs="Times New Roman"/>
          <w:color w:val="auto"/>
          <w:spacing w:val="4"/>
          <w:kern w:val="24"/>
          <w:szCs w:val="22"/>
          <w:highlight w:val="none"/>
        </w:rPr>
      </w:pPr>
      <w:r>
        <w:rPr>
          <w:rFonts w:hint="default" w:ascii="Times New Roman" w:hAnsi="Times New Roman" w:cs="Times New Roman"/>
          <w:color w:val="auto"/>
          <w:spacing w:val="4"/>
          <w:kern w:val="24"/>
          <w:szCs w:val="22"/>
          <w:highlight w:val="none"/>
        </w:rPr>
        <w:t>采油就是借助油层的自身压力或者抽油泵等工艺方法，使原油从地下储油层中产出的工艺过程。一般来说依靠油层自身压力进行采油的方法称为自喷采油法，而需要用抽油泵等方法进行采油的则叫机械采油法。在原油开采中为了保持油层的压力，达到稳产的目的，往往需要向油层注入一定的介质，用以驱替原油。根据注入介质的不同，常见有水驱采油和蒸汽驱采油。</w:t>
      </w:r>
    </w:p>
    <w:p w14:paraId="567D03FC">
      <w:pPr>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cs="Times New Roman"/>
          <w:color w:val="auto"/>
          <w:szCs w:val="22"/>
          <w:highlight w:val="none"/>
        </w:rPr>
        <w:t>根据油气藏目前生产情况、油藏原油性质和配产情况，</w:t>
      </w:r>
      <w:r>
        <w:rPr>
          <w:rFonts w:hint="default" w:ascii="Times New Roman" w:hAnsi="Times New Roman" w:cs="Times New Roman"/>
          <w:color w:val="auto"/>
          <w:szCs w:val="22"/>
          <w:highlight w:val="none"/>
          <w:lang w:val="en-US" w:eastAsia="zh-CN"/>
        </w:rPr>
        <w:t>本项目选择自喷采油法，</w:t>
      </w:r>
      <w:r>
        <w:rPr>
          <w:rFonts w:hint="default" w:ascii="Times New Roman" w:hAnsi="Times New Roman" w:cs="Times New Roman"/>
          <w:color w:val="auto"/>
          <w:szCs w:val="22"/>
          <w:highlight w:val="none"/>
        </w:rPr>
        <w:t>初期自喷开采，当油层压力下降，油井停喷或需要提液时根据部署井不同掺稀比采用有杆泵或电泵、注水采油等。</w:t>
      </w:r>
    </w:p>
    <w:p w14:paraId="5240937A">
      <w:pPr>
        <w:pStyle w:val="12"/>
        <w:bidi w:val="0"/>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井下作业</w:t>
      </w:r>
    </w:p>
    <w:p w14:paraId="2BB7BBAE">
      <w:pPr>
        <w:pStyle w:val="12"/>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井下作业是进行采油生产的重要手段之一。一般在采油井投产前及投产以后进行，一般包括酸化、压裂、下泵、试油、洗井、修井、除砂、清蜡等一系列工艺过程。酸化、压裂作业是用不同的化学和物理方法对低渗透的油层进行处理，进一步提高原油产量；洗井、修井、除砂和清蜡作业均是在采油井使用一段时间后，因腐蚀、结垢、机具磨损和损坏等而采取的工艺措施。</w:t>
      </w:r>
    </w:p>
    <w:p w14:paraId="250E46E2">
      <w:pPr>
        <w:pStyle w:val="12"/>
        <w:bidi w:val="0"/>
        <w:ind w:firstLine="482" w:firstLineChars="200"/>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szCs w:val="20"/>
          <w:highlight w:val="none"/>
          <w:lang w:val="en-US" w:eastAsia="zh-CN" w:bidi="ar-SA"/>
        </w:rPr>
        <w:t>（</w:t>
      </w:r>
      <w:r>
        <w:rPr>
          <w:rFonts w:hint="default" w:ascii="Times New Roman" w:hAnsi="Times New Roman" w:cs="Times New Roman"/>
          <w:b/>
          <w:bCs/>
          <w:color w:val="auto"/>
          <w:sz w:val="24"/>
          <w:szCs w:val="20"/>
          <w:highlight w:val="none"/>
          <w:lang w:val="en-US" w:eastAsia="zh-CN" w:bidi="ar-SA"/>
        </w:rPr>
        <w:t>3</w:t>
      </w:r>
      <w:r>
        <w:rPr>
          <w:rFonts w:hint="default" w:ascii="Times New Roman" w:hAnsi="Times New Roman" w:eastAsia="宋体" w:cs="Times New Roman"/>
          <w:b/>
          <w:bCs/>
          <w:color w:val="auto"/>
          <w:sz w:val="24"/>
          <w:szCs w:val="20"/>
          <w:highlight w:val="none"/>
          <w:lang w:val="en-US" w:eastAsia="zh-CN" w:bidi="ar-SA"/>
        </w:rPr>
        <w:t>）</w:t>
      </w:r>
      <w:r>
        <w:rPr>
          <w:rFonts w:hint="default" w:ascii="Times New Roman" w:hAnsi="Times New Roman" w:cs="Times New Roman"/>
          <w:b/>
          <w:bCs/>
          <w:color w:val="auto"/>
          <w:highlight w:val="none"/>
        </w:rPr>
        <w:t>油气集输</w:t>
      </w:r>
      <w:r>
        <w:rPr>
          <w:rFonts w:hint="eastAsia" w:ascii="Times New Roman" w:hAnsi="Times New Roman" w:cs="Times New Roman"/>
          <w:b/>
          <w:bCs/>
          <w:color w:val="auto"/>
          <w:highlight w:val="none"/>
          <w:lang w:val="en-US" w:eastAsia="zh-CN"/>
        </w:rPr>
        <w:t>管线</w:t>
      </w:r>
    </w:p>
    <w:p w14:paraId="31EC22B8">
      <w:pPr>
        <w:pStyle w:val="12"/>
        <w:bidi w:val="0"/>
        <w:ind w:firstLine="480" w:firstLineChars="200"/>
        <w:rPr>
          <w:rFonts w:hint="default" w:ascii="Times New Roman" w:hAnsi="Times New Roman" w:cs="Times New Roman"/>
          <w:bCs/>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新建TH102117X井至T707CH</w:t>
      </w:r>
      <w:r>
        <w:rPr>
          <w:rFonts w:hint="default" w:ascii="Times New Roman" w:hAnsi="Times New Roman" w:cs="Times New Roman"/>
          <w:color w:val="auto"/>
          <w:highlight w:val="none"/>
          <w:lang w:val="en-US" w:eastAsia="zh-CN"/>
        </w:rPr>
        <w:t>井</w:t>
      </w:r>
      <w:r>
        <w:rPr>
          <w:rFonts w:hint="default" w:ascii="Times New Roman" w:hAnsi="Times New Roman" w:cs="Times New Roman"/>
          <w:color w:val="auto"/>
          <w:highlight w:val="none"/>
        </w:rPr>
        <w:t>集输管道</w:t>
      </w:r>
      <w:r>
        <w:rPr>
          <w:rFonts w:hint="default" w:ascii="Times New Roman" w:hAnsi="Times New Roman" w:cs="Times New Roman"/>
          <w:color w:val="auto"/>
          <w:highlight w:val="none"/>
          <w:lang w:val="en-US" w:eastAsia="zh-CN"/>
        </w:rPr>
        <w:t>601.1</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rPr>
        <w:t>4口</w:t>
      </w:r>
      <w:r>
        <w:rPr>
          <w:rFonts w:hint="default" w:ascii="Times New Roman" w:hAnsi="Times New Roman" w:cs="Times New Roman"/>
          <w:color w:val="auto"/>
          <w:sz w:val="24"/>
          <w:szCs w:val="24"/>
          <w:highlight w:val="none"/>
          <w:lang w:val="en-US" w:eastAsia="zh-CN"/>
        </w:rPr>
        <w:t>侧钻老</w:t>
      </w:r>
      <w:r>
        <w:rPr>
          <w:rFonts w:hint="default" w:ascii="Times New Roman" w:hAnsi="Times New Roman" w:cs="Times New Roman"/>
          <w:color w:val="auto"/>
          <w:sz w:val="24"/>
          <w:szCs w:val="24"/>
          <w:highlight w:val="none"/>
        </w:rPr>
        <w:t>井管线均可利旧</w:t>
      </w:r>
      <w:r>
        <w:rPr>
          <w:rFonts w:hint="default" w:ascii="Times New Roman" w:hAnsi="Times New Roman" w:cs="Times New Roman"/>
          <w:bCs/>
          <w:color w:val="auto"/>
          <w:highlight w:val="none"/>
          <w:lang w:val="en-US" w:eastAsia="zh-CN"/>
        </w:rPr>
        <w:t>老井已建集输管线。</w:t>
      </w:r>
    </w:p>
    <w:p w14:paraId="770A48DF">
      <w:pPr>
        <w:pStyle w:val="12"/>
        <w:bidi w:val="0"/>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侧钻采油</w:t>
      </w:r>
      <w:r>
        <w:rPr>
          <w:rFonts w:hint="default" w:ascii="Times New Roman" w:hAnsi="Times New Roman" w:cs="Times New Roman"/>
          <w:bCs/>
          <w:color w:val="auto"/>
          <w:highlight w:val="none"/>
        </w:rPr>
        <w:t>井场采出油气通过井口模块油嘴二级节流后，进入井场真空加热炉</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利旧，不新增</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进行加热，加热炉原料气气源来自周边计转站，经燃料气管线密闭输至井场；经加热后的采出油气通过管道密闭输送至周边计转站计量，最终输至</w:t>
      </w:r>
      <w:r>
        <w:rPr>
          <w:rFonts w:hint="default" w:ascii="Times New Roman" w:hAnsi="Times New Roman" w:cs="Times New Roman"/>
          <w:bCs/>
          <w:color w:val="auto"/>
          <w:highlight w:val="none"/>
          <w:lang w:val="en-US" w:eastAsia="zh-CN"/>
        </w:rPr>
        <w:t>三号</w:t>
      </w:r>
      <w:r>
        <w:rPr>
          <w:rFonts w:hint="default" w:ascii="Times New Roman" w:hAnsi="Times New Roman" w:cs="Times New Roman"/>
          <w:bCs/>
          <w:color w:val="auto"/>
          <w:highlight w:val="none"/>
        </w:rPr>
        <w:t>联合站进行处理。</w:t>
      </w:r>
    </w:p>
    <w:p w14:paraId="14C8DC2D">
      <w:pPr>
        <w:pStyle w:val="12"/>
        <w:bidi w:val="0"/>
        <w:jc w:val="both"/>
        <w:rPr>
          <w:rFonts w:hint="default" w:ascii="Times New Roman" w:hAnsi="Times New Roman" w:cs="Times New Roman"/>
          <w:color w:val="auto"/>
          <w:highlight w:val="none"/>
        </w:rPr>
      </w:pPr>
      <w:bookmarkStart w:id="247" w:name="_Hlk43717972"/>
      <w:r>
        <w:rPr>
          <w:rFonts w:hint="default" w:ascii="Times New Roman" w:hAnsi="Times New Roman" w:cs="Times New Roman"/>
          <w:color w:val="auto"/>
          <w:highlight w:val="none"/>
        </w:rPr>
        <mc:AlternateContent>
          <mc:Choice Requires="wpc">
            <w:drawing>
              <wp:inline distT="0" distB="0" distL="114300" distR="114300">
                <wp:extent cx="5581015" cy="2374900"/>
                <wp:effectExtent l="0" t="0" r="0" b="5715"/>
                <wp:docPr id="139" name="画布 4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1" name="矩形 655"/>
                        <wps:cNvSpPr/>
                        <wps:spPr>
                          <a:xfrm>
                            <a:off x="241935" y="1419225"/>
                            <a:ext cx="871220" cy="298450"/>
                          </a:xfrm>
                          <a:prstGeom prst="rect">
                            <a:avLst/>
                          </a:prstGeom>
                          <a:noFill/>
                          <a:ln>
                            <a:noFill/>
                          </a:ln>
                        </wps:spPr>
                        <wps:txbx>
                          <w:txbxContent>
                            <w:p w14:paraId="7A613C7B">
                              <w:pPr>
                                <w:jc w:val="center"/>
                                <w:rPr>
                                  <w:sz w:val="21"/>
                                  <w:szCs w:val="21"/>
                                </w:rPr>
                              </w:pPr>
                              <w:r>
                                <w:rPr>
                                  <w:rFonts w:hint="eastAsia"/>
                                  <w:sz w:val="21"/>
                                  <w:szCs w:val="21"/>
                                </w:rPr>
                                <w:t>采出液</w:t>
                              </w:r>
                            </w:p>
                          </w:txbxContent>
                        </wps:txbx>
                        <wps:bodyPr wrap="square" upright="1"/>
                      </wps:wsp>
                      <wps:wsp>
                        <wps:cNvPr id="212" name="矩形 655"/>
                        <wps:cNvSpPr/>
                        <wps:spPr>
                          <a:xfrm>
                            <a:off x="3020060" y="1413510"/>
                            <a:ext cx="211010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13F52E">
                              <w:pPr>
                                <w:jc w:val="center"/>
                                <w:rPr>
                                  <w:rFonts w:hint="eastAsia" w:eastAsia="宋体"/>
                                  <w:sz w:val="21"/>
                                  <w:szCs w:val="21"/>
                                  <w:lang w:eastAsia="zh-CN"/>
                                </w:rPr>
                              </w:pPr>
                              <w:r>
                                <w:rPr>
                                  <w:rFonts w:hint="eastAsia"/>
                                  <w:sz w:val="21"/>
                                  <w:szCs w:val="21"/>
                                </w:rPr>
                                <w:t>井口加热节流</w:t>
                              </w:r>
                              <w:r>
                                <w:rPr>
                                  <w:rFonts w:hint="eastAsia"/>
                                  <w:sz w:val="21"/>
                                  <w:szCs w:val="21"/>
                                  <w:lang w:eastAsia="zh-CN"/>
                                </w:rPr>
                                <w:t>（</w:t>
                              </w:r>
                              <w:r>
                                <w:rPr>
                                  <w:rFonts w:hint="eastAsia"/>
                                  <w:sz w:val="21"/>
                                  <w:szCs w:val="21"/>
                                  <w:lang w:val="en-US" w:eastAsia="zh-CN"/>
                                </w:rPr>
                                <w:t>利旧</w:t>
                              </w:r>
                              <w:r>
                                <w:rPr>
                                  <w:rFonts w:hint="eastAsia"/>
                                  <w:sz w:val="21"/>
                                  <w:szCs w:val="21"/>
                                  <w:lang w:eastAsia="zh-CN"/>
                                </w:rPr>
                                <w:t>）</w:t>
                              </w:r>
                            </w:p>
                          </w:txbxContent>
                        </wps:txbx>
                        <wps:bodyPr wrap="square" upright="1"/>
                      </wps:wsp>
                      <wps:wsp>
                        <wps:cNvPr id="213" name="矩形 655"/>
                        <wps:cNvSpPr/>
                        <wps:spPr>
                          <a:xfrm>
                            <a:off x="2954655" y="2040890"/>
                            <a:ext cx="105537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FB9B42">
                              <w:pPr>
                                <w:ind w:firstLine="420" w:firstLineChars="200"/>
                                <w:rPr>
                                  <w:sz w:val="21"/>
                                  <w:szCs w:val="21"/>
                                </w:rPr>
                              </w:pPr>
                              <w:r>
                                <w:rPr>
                                  <w:rFonts w:hint="eastAsia"/>
                                  <w:sz w:val="21"/>
                                  <w:szCs w:val="21"/>
                                </w:rPr>
                                <w:t>计转站</w:t>
                              </w:r>
                            </w:p>
                          </w:txbxContent>
                        </wps:txbx>
                        <wps:bodyPr wrap="square" upright="1"/>
                      </wps:wsp>
                      <wps:wsp>
                        <wps:cNvPr id="214" name="矩形 655"/>
                        <wps:cNvSpPr/>
                        <wps:spPr>
                          <a:xfrm>
                            <a:off x="7620" y="2051685"/>
                            <a:ext cx="130683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5A9B44">
                              <w:pPr>
                                <w:jc w:val="center"/>
                                <w:rPr>
                                  <w:sz w:val="21"/>
                                  <w:szCs w:val="21"/>
                                </w:rPr>
                              </w:pPr>
                              <w:r>
                                <w:rPr>
                                  <w:rFonts w:hint="eastAsia"/>
                                  <w:sz w:val="21"/>
                                  <w:szCs w:val="21"/>
                                  <w:lang w:val="en-US" w:eastAsia="zh-CN"/>
                                </w:rPr>
                                <w:t>三号</w:t>
                              </w:r>
                              <w:r>
                                <w:rPr>
                                  <w:rFonts w:hint="eastAsia"/>
                                  <w:sz w:val="21"/>
                                  <w:szCs w:val="21"/>
                                </w:rPr>
                                <w:t>联合站（依托）</w:t>
                              </w:r>
                            </w:p>
                          </w:txbxContent>
                        </wps:txbx>
                        <wps:bodyPr wrap="square" upright="1"/>
                      </wps:wsp>
                      <wps:wsp>
                        <wps:cNvPr id="215" name="矩形 655"/>
                        <wps:cNvSpPr/>
                        <wps:spPr>
                          <a:xfrm>
                            <a:off x="4297680" y="2040890"/>
                            <a:ext cx="118618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B109E9">
                              <w:pPr>
                                <w:rPr>
                                  <w:rFonts w:hint="eastAsia" w:eastAsia="宋体"/>
                                  <w:sz w:val="21"/>
                                  <w:szCs w:val="21"/>
                                  <w:lang w:eastAsia="zh-CN"/>
                                </w:rPr>
                              </w:pPr>
                              <w:r>
                                <w:rPr>
                                  <w:rFonts w:hint="eastAsia"/>
                                  <w:sz w:val="21"/>
                                  <w:szCs w:val="21"/>
                                  <w:lang w:val="en-US" w:eastAsia="zh-CN"/>
                                </w:rPr>
                                <w:t>已建管线</w:t>
                              </w:r>
                              <w:r>
                                <w:rPr>
                                  <w:rFonts w:hint="eastAsia"/>
                                  <w:sz w:val="21"/>
                                  <w:szCs w:val="21"/>
                                  <w:lang w:eastAsia="zh-CN"/>
                                </w:rPr>
                                <w:t>（</w:t>
                              </w:r>
                              <w:r>
                                <w:rPr>
                                  <w:rFonts w:hint="eastAsia"/>
                                  <w:sz w:val="21"/>
                                  <w:szCs w:val="21"/>
                                  <w:lang w:val="en-US" w:eastAsia="zh-CN"/>
                                </w:rPr>
                                <w:t>利旧</w:t>
                              </w:r>
                              <w:r>
                                <w:rPr>
                                  <w:rFonts w:hint="eastAsia"/>
                                  <w:sz w:val="21"/>
                                  <w:szCs w:val="21"/>
                                  <w:lang w:eastAsia="zh-CN"/>
                                </w:rPr>
                                <w:t>）</w:t>
                              </w:r>
                            </w:p>
                          </w:txbxContent>
                        </wps:txbx>
                        <wps:bodyPr wrap="square" upright="1"/>
                      </wps:wsp>
                      <wps:wsp>
                        <wps:cNvPr id="216" name="自选图形 579"/>
                        <wps:cNvCnPr/>
                        <wps:spPr>
                          <a:xfrm>
                            <a:off x="2557145" y="1562100"/>
                            <a:ext cx="473710" cy="635"/>
                          </a:xfrm>
                          <a:prstGeom prst="straightConnector1">
                            <a:avLst/>
                          </a:prstGeom>
                          <a:ln w="9525" cap="flat" cmpd="sng">
                            <a:solidFill>
                              <a:srgbClr val="000000"/>
                            </a:solidFill>
                            <a:prstDash val="solid"/>
                            <a:headEnd type="none" w="med" len="med"/>
                            <a:tailEnd type="triangle" w="med" len="med"/>
                          </a:ln>
                        </wps:spPr>
                        <wps:bodyPr/>
                      </wps:wsp>
                      <wps:wsp>
                        <wps:cNvPr id="218" name="自选图形 580"/>
                        <wps:cNvCnPr/>
                        <wps:spPr>
                          <a:xfrm flipH="1">
                            <a:off x="4821555" y="1711960"/>
                            <a:ext cx="635" cy="328930"/>
                          </a:xfrm>
                          <a:prstGeom prst="straightConnector1">
                            <a:avLst/>
                          </a:prstGeom>
                          <a:ln w="9525" cap="flat" cmpd="sng">
                            <a:solidFill>
                              <a:srgbClr val="000000"/>
                            </a:solidFill>
                            <a:prstDash val="solid"/>
                            <a:headEnd type="none" w="med" len="med"/>
                            <a:tailEnd type="triangle" w="med" len="med"/>
                          </a:ln>
                        </wps:spPr>
                        <wps:bodyPr/>
                      </wps:wsp>
                      <wps:wsp>
                        <wps:cNvPr id="219" name="矩形 655"/>
                        <wps:cNvSpPr/>
                        <wps:spPr>
                          <a:xfrm>
                            <a:off x="1764030" y="1937385"/>
                            <a:ext cx="748665" cy="4362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82BC87">
                              <w:pPr>
                                <w:rPr>
                                  <w:sz w:val="21"/>
                                  <w:szCs w:val="21"/>
                                </w:rPr>
                              </w:pPr>
                              <w:r>
                                <w:rPr>
                                  <w:rFonts w:hint="eastAsia"/>
                                  <w:sz w:val="21"/>
                                  <w:szCs w:val="21"/>
                                </w:rPr>
                                <w:t>已建管线（依托）</w:t>
                              </w:r>
                            </w:p>
                          </w:txbxContent>
                        </wps:txbx>
                        <wps:bodyPr wrap="square" upright="1"/>
                      </wps:wsp>
                      <wps:wsp>
                        <wps:cNvPr id="220" name="自选图形 582"/>
                        <wps:cNvCnPr/>
                        <wps:spPr>
                          <a:xfrm flipH="1" flipV="1">
                            <a:off x="2512695" y="2186940"/>
                            <a:ext cx="441960" cy="3175"/>
                          </a:xfrm>
                          <a:prstGeom prst="straightConnector1">
                            <a:avLst/>
                          </a:prstGeom>
                          <a:ln w="9525" cap="flat" cmpd="sng">
                            <a:solidFill>
                              <a:srgbClr val="000000"/>
                            </a:solidFill>
                            <a:prstDash val="solid"/>
                            <a:headEnd type="none" w="med" len="med"/>
                            <a:tailEnd type="triangle" w="med" len="med"/>
                          </a:ln>
                        </wps:spPr>
                        <wps:bodyPr/>
                      </wps:wsp>
                      <wps:wsp>
                        <wps:cNvPr id="221" name="自选图形 583"/>
                        <wps:cNvCnPr/>
                        <wps:spPr>
                          <a:xfrm flipH="1">
                            <a:off x="1306830" y="2186940"/>
                            <a:ext cx="457200" cy="635"/>
                          </a:xfrm>
                          <a:prstGeom prst="straightConnector1">
                            <a:avLst/>
                          </a:prstGeom>
                          <a:ln w="9525" cap="flat" cmpd="sng">
                            <a:solidFill>
                              <a:srgbClr val="000000"/>
                            </a:solidFill>
                            <a:prstDash val="solid"/>
                            <a:headEnd type="none" w="med" len="med"/>
                            <a:tailEnd type="triangle" w="med" len="med"/>
                          </a:ln>
                        </wps:spPr>
                        <wps:bodyPr/>
                      </wps:wsp>
                      <wps:wsp>
                        <wps:cNvPr id="222" name="自选图形 584"/>
                        <wps:cNvCnPr/>
                        <wps:spPr>
                          <a:xfrm flipH="1">
                            <a:off x="4010025" y="2190115"/>
                            <a:ext cx="287655" cy="635"/>
                          </a:xfrm>
                          <a:prstGeom prst="straightConnector1">
                            <a:avLst/>
                          </a:prstGeom>
                          <a:ln w="9525" cap="flat" cmpd="sng">
                            <a:solidFill>
                              <a:srgbClr val="000000"/>
                            </a:solidFill>
                            <a:prstDash val="solid"/>
                            <a:headEnd type="none" w="med" len="med"/>
                            <a:tailEnd type="triangle" w="med" len="med"/>
                          </a:ln>
                        </wps:spPr>
                        <wps:bodyPr/>
                      </wps:wsp>
                      <wps:wsp>
                        <wps:cNvPr id="223" name="矩形 655"/>
                        <wps:cNvSpPr/>
                        <wps:spPr>
                          <a:xfrm>
                            <a:off x="2778760" y="617855"/>
                            <a:ext cx="1056005" cy="288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2F8C2A">
                              <w:pPr>
                                <w:jc w:val="center"/>
                                <w:rPr>
                                  <w:sz w:val="21"/>
                                  <w:szCs w:val="21"/>
                                </w:rPr>
                              </w:pPr>
                              <w:r>
                                <w:rPr>
                                  <w:rFonts w:hint="eastAsia"/>
                                  <w:sz w:val="21"/>
                                  <w:szCs w:val="21"/>
                                  <w:lang w:val="en-US" w:eastAsia="zh-CN"/>
                                </w:rPr>
                                <w:t>三号</w:t>
                              </w:r>
                              <w:r>
                                <w:rPr>
                                  <w:rFonts w:hint="eastAsia"/>
                                  <w:sz w:val="21"/>
                                  <w:szCs w:val="21"/>
                                </w:rPr>
                                <w:t>联合站</w:t>
                              </w:r>
                            </w:p>
                          </w:txbxContent>
                        </wps:txbx>
                        <wps:bodyPr wrap="square" upright="1"/>
                      </wps:wsp>
                      <wps:wsp>
                        <wps:cNvPr id="224" name="自选图形 586"/>
                        <wps:cNvCnPr/>
                        <wps:spPr>
                          <a:xfrm flipH="1">
                            <a:off x="3308985" y="911860"/>
                            <a:ext cx="635" cy="507365"/>
                          </a:xfrm>
                          <a:prstGeom prst="straightConnector1">
                            <a:avLst/>
                          </a:prstGeom>
                          <a:ln w="9525" cap="flat" cmpd="sng">
                            <a:solidFill>
                              <a:srgbClr val="000000"/>
                            </a:solidFill>
                            <a:prstDash val="solid"/>
                            <a:headEnd type="none" w="med" len="med"/>
                            <a:tailEnd type="triangle" w="med" len="med"/>
                          </a:ln>
                        </wps:spPr>
                        <wps:bodyPr/>
                      </wps:wsp>
                      <wps:wsp>
                        <wps:cNvPr id="225" name="矩形 655"/>
                        <wps:cNvSpPr/>
                        <wps:spPr>
                          <a:xfrm>
                            <a:off x="2727325" y="934085"/>
                            <a:ext cx="506730" cy="479425"/>
                          </a:xfrm>
                          <a:prstGeom prst="rect">
                            <a:avLst/>
                          </a:prstGeom>
                          <a:noFill/>
                          <a:ln>
                            <a:noFill/>
                          </a:ln>
                        </wps:spPr>
                        <wps:txbx>
                          <w:txbxContent>
                            <w:p w14:paraId="09B8E0A2">
                              <w:pPr>
                                <w:jc w:val="center"/>
                                <w:rPr>
                                  <w:sz w:val="21"/>
                                  <w:szCs w:val="21"/>
                                </w:rPr>
                              </w:pPr>
                              <w:r>
                                <w:rPr>
                                  <w:rFonts w:hint="eastAsia"/>
                                  <w:sz w:val="21"/>
                                  <w:szCs w:val="21"/>
                                </w:rPr>
                                <w:t>返输干气</w:t>
                              </w:r>
                            </w:p>
                          </w:txbxContent>
                        </wps:txbx>
                        <wps:bodyPr wrap="square" upright="1"/>
                      </wps:wsp>
                      <wps:wsp>
                        <wps:cNvPr id="228" name="矩形 655"/>
                        <wps:cNvSpPr/>
                        <wps:spPr>
                          <a:xfrm>
                            <a:off x="1373505" y="1423035"/>
                            <a:ext cx="117348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158F16">
                              <w:pPr>
                                <w:jc w:val="center"/>
                                <w:rPr>
                                  <w:rFonts w:hint="default" w:eastAsia="宋体"/>
                                  <w:sz w:val="21"/>
                                  <w:szCs w:val="21"/>
                                  <w:lang w:val="en-US" w:eastAsia="zh-CN"/>
                                </w:rPr>
                              </w:pPr>
                              <w:r>
                                <w:rPr>
                                  <w:rFonts w:hint="eastAsia"/>
                                  <w:sz w:val="21"/>
                                  <w:szCs w:val="21"/>
                                </w:rPr>
                                <w:t>采油树</w:t>
                              </w:r>
                            </w:p>
                          </w:txbxContent>
                        </wps:txbx>
                        <wps:bodyPr wrap="square" upright="1"/>
                      </wps:wsp>
                      <wps:wsp>
                        <wps:cNvPr id="229" name="自选图形 591"/>
                        <wps:cNvCnPr/>
                        <wps:spPr>
                          <a:xfrm>
                            <a:off x="899795" y="1562735"/>
                            <a:ext cx="473710" cy="635"/>
                          </a:xfrm>
                          <a:prstGeom prst="straightConnector1">
                            <a:avLst/>
                          </a:prstGeom>
                          <a:ln w="9525" cap="flat" cmpd="sng">
                            <a:solidFill>
                              <a:srgbClr val="000000"/>
                            </a:solidFill>
                            <a:prstDash val="solid"/>
                            <a:headEnd type="none" w="med" len="med"/>
                            <a:tailEnd type="triangle" w="med" len="med"/>
                          </a:ln>
                        </wps:spPr>
                        <wps:bodyPr/>
                      </wps:wsp>
                      <wps:wsp>
                        <wps:cNvPr id="230" name="矩形 655"/>
                        <wps:cNvSpPr/>
                        <wps:spPr>
                          <a:xfrm>
                            <a:off x="920750" y="433705"/>
                            <a:ext cx="1345565" cy="44513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2BDA4BA">
                              <w:pPr>
                                <w:jc w:val="center"/>
                                <w:rPr>
                                  <w:rFonts w:hint="default" w:eastAsia="宋体"/>
                                  <w:sz w:val="21"/>
                                  <w:szCs w:val="21"/>
                                  <w:lang w:val="en-US" w:eastAsia="zh-CN"/>
                                </w:rPr>
                              </w:pPr>
                              <w:r>
                                <w:rPr>
                                  <w:rFonts w:hint="eastAsia"/>
                                  <w:sz w:val="21"/>
                                  <w:szCs w:val="21"/>
                                </w:rPr>
                                <w:t>无组织废气、</w:t>
                              </w:r>
                              <w:r>
                                <w:rPr>
                                  <w:rFonts w:hint="eastAsia"/>
                                  <w:sz w:val="21"/>
                                  <w:szCs w:val="21"/>
                                  <w:lang w:val="en-US" w:eastAsia="zh-CN"/>
                                </w:rPr>
                                <w:t>废水、</w:t>
                              </w:r>
                              <w:r>
                                <w:rPr>
                                  <w:rFonts w:hint="eastAsia"/>
                                  <w:sz w:val="21"/>
                                  <w:szCs w:val="21"/>
                                </w:rPr>
                                <w:t>噪声</w:t>
                              </w:r>
                              <w:r>
                                <w:rPr>
                                  <w:rFonts w:hint="eastAsia"/>
                                  <w:sz w:val="21"/>
                                  <w:szCs w:val="21"/>
                                  <w:lang w:eastAsia="zh-CN"/>
                                </w:rPr>
                                <w:t>、</w:t>
                              </w:r>
                              <w:r>
                                <w:rPr>
                                  <w:rFonts w:hint="eastAsia"/>
                                  <w:sz w:val="21"/>
                                  <w:szCs w:val="21"/>
                                  <w:lang w:val="en-US" w:eastAsia="zh-CN"/>
                                </w:rPr>
                                <w:t>固废</w:t>
                              </w:r>
                            </w:p>
                          </w:txbxContent>
                        </wps:txbx>
                        <wps:bodyPr wrap="square" upright="1"/>
                      </wps:wsp>
                      <wps:wsp>
                        <wps:cNvPr id="231" name="自选图形 593"/>
                        <wps:cNvCnPr/>
                        <wps:spPr>
                          <a:xfrm flipH="1">
                            <a:off x="1809115" y="959485"/>
                            <a:ext cx="635" cy="471805"/>
                          </a:xfrm>
                          <a:prstGeom prst="straightConnector1">
                            <a:avLst/>
                          </a:prstGeom>
                          <a:ln w="9525" cap="flat" cmpd="sng">
                            <a:solidFill>
                              <a:srgbClr val="000000"/>
                            </a:solidFill>
                            <a:prstDash val="dash"/>
                            <a:headEnd type="triangle" w="med" len="med"/>
                            <a:tailEnd type="none" w="med" len="med"/>
                          </a:ln>
                        </wps:spPr>
                        <wps:bodyPr/>
                      </wps:wsp>
                      <wps:wsp>
                        <wps:cNvPr id="232" name="矩形 655"/>
                        <wps:cNvSpPr/>
                        <wps:spPr>
                          <a:xfrm>
                            <a:off x="3345180" y="1742440"/>
                            <a:ext cx="871220" cy="298450"/>
                          </a:xfrm>
                          <a:prstGeom prst="rect">
                            <a:avLst/>
                          </a:prstGeom>
                          <a:noFill/>
                          <a:ln>
                            <a:noFill/>
                          </a:ln>
                        </wps:spPr>
                        <wps:txbx>
                          <w:txbxContent>
                            <w:p w14:paraId="2ABC322E">
                              <w:pPr>
                                <w:jc w:val="center"/>
                                <w:rPr>
                                  <w:sz w:val="21"/>
                                  <w:szCs w:val="21"/>
                                </w:rPr>
                              </w:pPr>
                            </w:p>
                          </w:txbxContent>
                        </wps:txbx>
                        <wps:bodyPr wrap="square" upright="1"/>
                      </wps:wsp>
                    </wpc:wpc>
                  </a:graphicData>
                </a:graphic>
              </wp:inline>
            </w:drawing>
          </mc:Choice>
          <mc:Fallback>
            <w:pict>
              <v:group id="画布 499" o:spid="_x0000_s1026" o:spt="203" style="height:187pt;width:439.45pt;" coordsize="5581015,2374900" editas="canvas" o:gfxdata="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DslemfXAAAABQEAAA8AAAAAAAAAAQAgAAAAIgAAAGRycy9kb3ducmV2Lnht&#10;bFBLAQIUABQAAAAIAIdO4kBSKce+wwUAAOQrAAAOAAAAAAAAAAEAIAAAACYBAABkcnMvZTJvRG9j&#10;LnhtbFBLBQYAAAAABgAGAFkBAABbCQAAAAA=&#10;">
                <o:lock v:ext="edit" aspectratio="f"/>
                <v:shape id="画布 499" o:spid="_x0000_s1026" style="position:absolute;left:0;top:0;height:2374900;width:5581015;" filled="f" stroked="f" coordsize="21600,21600" o:gfxdata="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OyV6Z9cAAAAFAQAADwAA&#10;AAAAAAABACAAAAAiAAAAZHJzL2Rvd25yZXYueG1sUEsBAhQAFAAAAAgAh07iQLYsOehuBQAAXSsA&#10;AA4AAAAAAAAAAQAgAAAAJgEAAGRycy9lMm9Eb2MueG1sUEsFBgAAAAAGAAYAWQEAAAYJAAAAAA==&#10;">
                  <v:fill on="f" focussize="0,0"/>
                  <v:stroke on="f"/>
                  <v:imagedata o:title=""/>
                  <o:lock v:ext="edit" aspectratio="t"/>
                </v:shape>
                <v:rect id="矩形 655" o:spid="_x0000_s1026" o:spt="1" style="position:absolute;left:241935;top:1419225;height:298450;width:871220;" filled="f" stroked="f" coordsize="21600,21600" o:gfxdata="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yV6Z9cAAAAFAQAADwAAAAAAAAABACAAAAAiAAAAZHJzL2Rvd25yZXYueG1sUEsBAhQA&#10;FAAAAAgAh07iQH7ZB2G6AQAAXQMAAA4AAAAAAAAAAQAgAAAAJgEAAGRycy9lMm9Eb2MueG1sUEsF&#10;BgAAAAAGAAYAWQEAAFIFAAAAAA==&#10;">
                  <v:fill on="f" focussize="0,0"/>
                  <v:stroke on="f"/>
                  <v:imagedata o:title=""/>
                  <o:lock v:ext="edit" aspectratio="f"/>
                  <v:textbox>
                    <w:txbxContent>
                      <w:p w14:paraId="7A613C7B">
                        <w:pPr>
                          <w:jc w:val="center"/>
                          <w:rPr>
                            <w:sz w:val="21"/>
                            <w:szCs w:val="21"/>
                          </w:rPr>
                        </w:pPr>
                        <w:r>
                          <w:rPr>
                            <w:rFonts w:hint="eastAsia"/>
                            <w:sz w:val="21"/>
                            <w:szCs w:val="21"/>
                          </w:rPr>
                          <w:t>采出液</w:t>
                        </w:r>
                      </w:p>
                    </w:txbxContent>
                  </v:textbox>
                </v:rect>
                <v:rect id="矩形 655" o:spid="_x0000_s1026" o:spt="1" style="position:absolute;left:3020060;top:1413510;height:298450;width:2110105;" fillcolor="#FFFFFF" filled="t" stroked="t" coordsize="21600,21600" o:gfxdata="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VgstUAAAAFAQAADwAA&#10;AAAAAAABACAAAAAiAAAAZHJzL2Rvd25yZXYueG1sUEsBAhQAFAAAAAgAh07iQOBJPMgZAgAARwQA&#10;AA4AAAAAAAAAAQAgAAAAJAEAAGRycy9lMm9Eb2MueG1sUEsFBgAAAAAGAAYAWQEAAK8FAAAAAA==&#10;">
                  <v:fill on="t" focussize="0,0"/>
                  <v:stroke color="#000000" joinstyle="miter"/>
                  <v:imagedata o:title=""/>
                  <o:lock v:ext="edit" aspectratio="f"/>
                  <v:textbox>
                    <w:txbxContent>
                      <w:p w14:paraId="6313F52E">
                        <w:pPr>
                          <w:jc w:val="center"/>
                          <w:rPr>
                            <w:rFonts w:hint="eastAsia" w:eastAsia="宋体"/>
                            <w:sz w:val="21"/>
                            <w:szCs w:val="21"/>
                            <w:lang w:eastAsia="zh-CN"/>
                          </w:rPr>
                        </w:pPr>
                        <w:r>
                          <w:rPr>
                            <w:rFonts w:hint="eastAsia"/>
                            <w:sz w:val="21"/>
                            <w:szCs w:val="21"/>
                          </w:rPr>
                          <w:t>井口加热节流</w:t>
                        </w:r>
                        <w:r>
                          <w:rPr>
                            <w:rFonts w:hint="eastAsia"/>
                            <w:sz w:val="21"/>
                            <w:szCs w:val="21"/>
                            <w:lang w:eastAsia="zh-CN"/>
                          </w:rPr>
                          <w:t>（</w:t>
                        </w:r>
                        <w:r>
                          <w:rPr>
                            <w:rFonts w:hint="eastAsia"/>
                            <w:sz w:val="21"/>
                            <w:szCs w:val="21"/>
                            <w:lang w:val="en-US" w:eastAsia="zh-CN"/>
                          </w:rPr>
                          <w:t>利旧</w:t>
                        </w:r>
                        <w:r>
                          <w:rPr>
                            <w:rFonts w:hint="eastAsia"/>
                            <w:sz w:val="21"/>
                            <w:szCs w:val="21"/>
                            <w:lang w:eastAsia="zh-CN"/>
                          </w:rPr>
                          <w:t>）</w:t>
                        </w:r>
                      </w:p>
                    </w:txbxContent>
                  </v:textbox>
                </v:rect>
                <v:rect id="矩形 655" o:spid="_x0000_s1026" o:spt="1" style="position:absolute;left:2954655;top:2040890;height:298450;width:1055370;" fillcolor="#FFFFFF" filled="t" stroked="t" coordsize="21600,21600" o:gfxdata="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VgstUAAAAFAQAADwAA&#10;AAAAAAABACAAAAAiAAAAZHJzL2Rvd25yZXYueG1sUEsBAhQAFAAAAAgAh07iQEmxoeIZAgAARwQA&#10;AA4AAAAAAAAAAQAgAAAAJAEAAGRycy9lMm9Eb2MueG1sUEsFBgAAAAAGAAYAWQEAAK8FAAAAAA==&#10;">
                  <v:fill on="t" focussize="0,0"/>
                  <v:stroke color="#000000" joinstyle="miter"/>
                  <v:imagedata o:title=""/>
                  <o:lock v:ext="edit" aspectratio="f"/>
                  <v:textbox>
                    <w:txbxContent>
                      <w:p w14:paraId="2DFB9B42">
                        <w:pPr>
                          <w:ind w:firstLine="420" w:firstLineChars="200"/>
                          <w:rPr>
                            <w:sz w:val="21"/>
                            <w:szCs w:val="21"/>
                          </w:rPr>
                        </w:pPr>
                        <w:r>
                          <w:rPr>
                            <w:rFonts w:hint="eastAsia"/>
                            <w:sz w:val="21"/>
                            <w:szCs w:val="21"/>
                          </w:rPr>
                          <w:t>计转站</w:t>
                        </w:r>
                      </w:p>
                    </w:txbxContent>
                  </v:textbox>
                </v:rect>
                <v:rect id="矩形 655" o:spid="_x0000_s1026" o:spt="1" style="position:absolute;left:7620;top:2051685;height:285750;width:1306830;" fillcolor="#FFFFFF" filled="t" stroked="t" coordsize="21600,21600" o:gfxdata="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5FYLLVAAAABQEAAA8A&#10;AAAAAAAAAQAgAAAAIgAAAGRycy9kb3ducmV2LnhtbFBLAQIUABQAAAAIAIdO4kDBhQRkGgIAAEQE&#10;AAAOAAAAAAAAAAEAIAAAACQBAABkcnMvZTJvRG9jLnhtbFBLBQYAAAAABgAGAFkBAACwBQAAAAA=&#10;">
                  <v:fill on="t" focussize="0,0"/>
                  <v:stroke color="#000000" joinstyle="miter"/>
                  <v:imagedata o:title=""/>
                  <o:lock v:ext="edit" aspectratio="f"/>
                  <v:textbox>
                    <w:txbxContent>
                      <w:p w14:paraId="195A9B44">
                        <w:pPr>
                          <w:jc w:val="center"/>
                          <w:rPr>
                            <w:sz w:val="21"/>
                            <w:szCs w:val="21"/>
                          </w:rPr>
                        </w:pPr>
                        <w:r>
                          <w:rPr>
                            <w:rFonts w:hint="eastAsia"/>
                            <w:sz w:val="21"/>
                            <w:szCs w:val="21"/>
                            <w:lang w:val="en-US" w:eastAsia="zh-CN"/>
                          </w:rPr>
                          <w:t>三号</w:t>
                        </w:r>
                        <w:r>
                          <w:rPr>
                            <w:rFonts w:hint="eastAsia"/>
                            <w:sz w:val="21"/>
                            <w:szCs w:val="21"/>
                          </w:rPr>
                          <w:t>联合站（依托）</w:t>
                        </w:r>
                      </w:p>
                    </w:txbxContent>
                  </v:textbox>
                </v:rect>
                <v:rect id="矩形 655" o:spid="_x0000_s1026" o:spt="1" style="position:absolute;left:4297680;top:2040890;height:298450;width:1186180;" fillcolor="#FFFFFF" filled="t" stroked="t" coordsize="21600,21600" o:gfxdata="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VgstUAAAAFAQAADwAA&#10;AAAAAAABACAAAAAiAAAAZHJzL2Rvd25yZXYueG1sUEsBAhQAFAAAAAgAh07iQIZY9KcZAgAARwQA&#10;AA4AAAAAAAAAAQAgAAAAJAEAAGRycy9lMm9Eb2MueG1sUEsFBgAAAAAGAAYAWQEAAK8FAAAAAA==&#10;">
                  <v:fill on="t" focussize="0,0"/>
                  <v:stroke color="#000000" joinstyle="miter"/>
                  <v:imagedata o:title=""/>
                  <o:lock v:ext="edit" aspectratio="f"/>
                  <v:textbox>
                    <w:txbxContent>
                      <w:p w14:paraId="57B109E9">
                        <w:pPr>
                          <w:rPr>
                            <w:rFonts w:hint="eastAsia" w:eastAsia="宋体"/>
                            <w:sz w:val="21"/>
                            <w:szCs w:val="21"/>
                            <w:lang w:eastAsia="zh-CN"/>
                          </w:rPr>
                        </w:pPr>
                        <w:r>
                          <w:rPr>
                            <w:rFonts w:hint="eastAsia"/>
                            <w:sz w:val="21"/>
                            <w:szCs w:val="21"/>
                            <w:lang w:val="en-US" w:eastAsia="zh-CN"/>
                          </w:rPr>
                          <w:t>已建管线</w:t>
                        </w:r>
                        <w:r>
                          <w:rPr>
                            <w:rFonts w:hint="eastAsia"/>
                            <w:sz w:val="21"/>
                            <w:szCs w:val="21"/>
                            <w:lang w:eastAsia="zh-CN"/>
                          </w:rPr>
                          <w:t>（</w:t>
                        </w:r>
                        <w:r>
                          <w:rPr>
                            <w:rFonts w:hint="eastAsia"/>
                            <w:sz w:val="21"/>
                            <w:szCs w:val="21"/>
                            <w:lang w:val="en-US" w:eastAsia="zh-CN"/>
                          </w:rPr>
                          <w:t>利旧</w:t>
                        </w:r>
                        <w:r>
                          <w:rPr>
                            <w:rFonts w:hint="eastAsia"/>
                            <w:sz w:val="21"/>
                            <w:szCs w:val="21"/>
                            <w:lang w:eastAsia="zh-CN"/>
                          </w:rPr>
                          <w:t>）</w:t>
                        </w:r>
                      </w:p>
                    </w:txbxContent>
                  </v:textbox>
                </v:rect>
                <v:shape id="自选图形 579" o:spid="_x0000_s1026" o:spt="32" type="#_x0000_t32" style="position:absolute;left:2557145;top:1562100;height:635;width:473710;" filled="f" stroked="t" coordsize="21600,21600" o:gfxdata="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mdAtgAAAAFAQAADwAAAAAAAAABACAA&#10;AAAiAAAAZHJzL2Rvd25yZXYueG1sUEsBAhQAFAAAAAgAh07iQIAtGUsNAgAA+AMAAA4AAAAAAAAA&#10;AQAgAAAAJwEAAGRycy9lMm9Eb2MueG1sUEsFBgAAAAAGAAYAWQEAAKYFAAAAAA==&#10;">
                  <v:fill on="f" focussize="0,0"/>
                  <v:stroke color="#000000" joinstyle="round" endarrow="block"/>
                  <v:imagedata o:title=""/>
                  <o:lock v:ext="edit" aspectratio="f"/>
                </v:shape>
                <v:shape id="自选图形 580" o:spid="_x0000_s1026" o:spt="32" type="#_x0000_t32" style="position:absolute;left:4821555;top:1711960;flip:x;height:328930;width:635;" filled="f" stroked="t" coordsize="21600,21600" o:gfxdata="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pbV81gAAAAUBAAAPAAAAAAAA&#10;AAEAIAAAACIAAABkcnMvZG93bnJldi54bWxQSwECFAAUAAAACACHTuJAZYuXVhQCAAACBAAADgAA&#10;AAAAAAABACAAAAAlAQAAZHJzL2Uyb0RvYy54bWxQSwUGAAAAAAYABgBZAQAAqwUAAAAA&#10;">
                  <v:fill on="f" focussize="0,0"/>
                  <v:stroke color="#000000" joinstyle="round" endarrow="block"/>
                  <v:imagedata o:title=""/>
                  <o:lock v:ext="edit" aspectratio="f"/>
                </v:shape>
                <v:rect id="矩形 655" o:spid="_x0000_s1026" o:spt="1" style="position:absolute;left:1764030;top:1937385;height:436245;width:748665;" fillcolor="#FFFFFF" filled="t" stroked="t" coordsize="21600,21600" o:gfxdata="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VgstUAAAAFAQAA&#10;DwAAAAAAAAABACAAAAAiAAAAZHJzL2Rvd25yZXYueG1sUEsBAhQAFAAAAAgAh07iQLj9xGscAgAA&#10;RgQAAA4AAAAAAAAAAQAgAAAAJAEAAGRycy9lMm9Eb2MueG1sUEsFBgAAAAAGAAYAWQEAALIFAAAA&#10;AA==&#10;">
                  <v:fill on="t" focussize="0,0"/>
                  <v:stroke color="#000000" joinstyle="miter"/>
                  <v:imagedata o:title=""/>
                  <o:lock v:ext="edit" aspectratio="f"/>
                  <v:textbox>
                    <w:txbxContent>
                      <w:p w14:paraId="7982BC87">
                        <w:pPr>
                          <w:rPr>
                            <w:sz w:val="21"/>
                            <w:szCs w:val="21"/>
                          </w:rPr>
                        </w:pPr>
                        <w:r>
                          <w:rPr>
                            <w:rFonts w:hint="eastAsia"/>
                            <w:sz w:val="21"/>
                            <w:szCs w:val="21"/>
                          </w:rPr>
                          <w:t>已建管线（依托）</w:t>
                        </w:r>
                      </w:p>
                    </w:txbxContent>
                  </v:textbox>
                </v:rect>
                <v:shape id="自选图形 582" o:spid="_x0000_s1026" o:spt="32" type="#_x0000_t32" style="position:absolute;left:2512695;top:2186940;flip:x y;height:3175;width:441960;" filled="f" stroked="t" coordsize="21600,21600" o:gfxdata="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f+NEdYAAAAFAQAADwAA&#10;AAAAAAABACAAAAAiAAAAZHJzL2Rvd25yZXYueG1sUEsBAhQAFAAAAAgAh07iQE0nDwcYAgAADQQA&#10;AA4AAAAAAAAAAQAgAAAAJQEAAGRycy9lMm9Eb2MueG1sUEsFBgAAAAAGAAYAWQEAAK8FAAAAAA==&#10;">
                  <v:fill on="f" focussize="0,0"/>
                  <v:stroke color="#000000" joinstyle="round" endarrow="block"/>
                  <v:imagedata o:title=""/>
                  <o:lock v:ext="edit" aspectratio="f"/>
                </v:shape>
                <v:shape id="自选图形 583" o:spid="_x0000_s1026" o:spt="32" type="#_x0000_t32" style="position:absolute;left:1306830;top:2186940;flip:x;height:635;width:457200;" filled="f" stroked="t" coordsize="21600,21600" o:gfxdata="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pbV81gAAAAUBAAAPAAAAAAAA&#10;AAEAIAAAACIAAABkcnMvZG93bnJldi54bWxQSwECFAAUAAAACACHTuJAPQdYaRQCAAACBAAADgAA&#10;AAAAAAABACAAAAAlAQAAZHJzL2Uyb0RvYy54bWxQSwUGAAAAAAYABgBZAQAAqwUAAAAA&#10;">
                  <v:fill on="f" focussize="0,0"/>
                  <v:stroke color="#000000" joinstyle="round" endarrow="block"/>
                  <v:imagedata o:title=""/>
                  <o:lock v:ext="edit" aspectratio="f"/>
                </v:shape>
                <v:shape id="自选图形 584" o:spid="_x0000_s1026" o:spt="32" type="#_x0000_t32" style="position:absolute;left:4010025;top:2190115;flip:x;height:635;width:287655;" filled="f" stroked="t" coordsize="21600,21600" o:gfxdata="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KW1fNYAAAAFAQAADwAAAAAA&#10;AAABACAAAAAiAAAAZHJzL2Rvd25yZXYueG1sUEsBAhQAFAAAAAgAh07iQMFiLsgVAgAAAgQAAA4A&#10;AAAAAAAAAQAgAAAAJQEAAGRycy9lMm9Eb2MueG1sUEsFBgAAAAAGAAYAWQEAAKwFAAAAAA==&#10;">
                  <v:fill on="f" focussize="0,0"/>
                  <v:stroke color="#000000" joinstyle="round" endarrow="block"/>
                  <v:imagedata o:title=""/>
                  <o:lock v:ext="edit" aspectratio="f"/>
                </v:shape>
                <v:rect id="矩形 655" o:spid="_x0000_s1026" o:spt="1" style="position:absolute;left:2778760;top:617855;height:288925;width:1056005;" fillcolor="#FFFFFF" filled="t" stroked="t" coordsize="21600,21600" o:gfxdata="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WCy1QAAAAUBAAAP&#10;AAAAAAAAAAEAIAAAACIAAABkcnMvZG93bnJldi54bWxQSwECFAAUAAAACACHTuJAlBBFyxsCAABG&#10;BAAADgAAAAAAAAABACAAAAAkAQAAZHJzL2Uyb0RvYy54bWxQSwUGAAAAAAYABgBZAQAAsQUAAAAA&#10;">
                  <v:fill on="t" focussize="0,0"/>
                  <v:stroke color="#000000" joinstyle="miter"/>
                  <v:imagedata o:title=""/>
                  <o:lock v:ext="edit" aspectratio="f"/>
                  <v:textbox>
                    <w:txbxContent>
                      <w:p w14:paraId="392F8C2A">
                        <w:pPr>
                          <w:jc w:val="center"/>
                          <w:rPr>
                            <w:sz w:val="21"/>
                            <w:szCs w:val="21"/>
                          </w:rPr>
                        </w:pPr>
                        <w:r>
                          <w:rPr>
                            <w:rFonts w:hint="eastAsia"/>
                            <w:sz w:val="21"/>
                            <w:szCs w:val="21"/>
                            <w:lang w:val="en-US" w:eastAsia="zh-CN"/>
                          </w:rPr>
                          <w:t>三号</w:t>
                        </w:r>
                        <w:r>
                          <w:rPr>
                            <w:rFonts w:hint="eastAsia"/>
                            <w:sz w:val="21"/>
                            <w:szCs w:val="21"/>
                          </w:rPr>
                          <w:t>联合站</w:t>
                        </w:r>
                      </w:p>
                    </w:txbxContent>
                  </v:textbox>
                </v:rect>
                <v:shape id="自选图形 586" o:spid="_x0000_s1026" o:spt="32" type="#_x0000_t32" style="position:absolute;left:3308985;top:911860;flip:x;height:507365;width:635;" filled="f" stroked="t" coordsize="21600,21600" o:gfxdata="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ltXzWAAAABQEAAA8AAAAAAAAA&#10;AQAgAAAAIgAAAGRycy9kb3ducmV2LnhtbFBLAQIUABQAAAAIAIdO4kBiJme9EwIAAAEEAAAOAAAA&#10;AAAAAAEAIAAAACUBAABkcnMvZTJvRG9jLnhtbFBLBQYAAAAABgAGAFkBAACqBQAAAAA=&#10;">
                  <v:fill on="f" focussize="0,0"/>
                  <v:stroke color="#000000" joinstyle="round" endarrow="block"/>
                  <v:imagedata o:title=""/>
                  <o:lock v:ext="edit" aspectratio="f"/>
                </v:shape>
                <v:rect id="矩形 655" o:spid="_x0000_s1026" o:spt="1" style="position:absolute;left:2727325;top:934085;height:479425;width:506730;" filled="f" stroked="f" coordsize="21600,21600" o:gfxdata="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JXpn1wAAAAUBAAAPAAAAAAAAAAEAIAAAACIAAABkcnMvZG93bnJldi54bWxQSwEC&#10;FAAUAAAACACHTuJAtljp6bwBAABdAwAADgAAAAAAAAABACAAAAAmAQAAZHJzL2Uyb0RvYy54bWxQ&#10;SwUGAAAAAAYABgBZAQAAVAUAAAAA&#10;">
                  <v:fill on="f" focussize="0,0"/>
                  <v:stroke on="f"/>
                  <v:imagedata o:title=""/>
                  <o:lock v:ext="edit" aspectratio="f"/>
                  <v:textbox>
                    <w:txbxContent>
                      <w:p w14:paraId="09B8E0A2">
                        <w:pPr>
                          <w:jc w:val="center"/>
                          <w:rPr>
                            <w:sz w:val="21"/>
                            <w:szCs w:val="21"/>
                          </w:rPr>
                        </w:pPr>
                        <w:r>
                          <w:rPr>
                            <w:rFonts w:hint="eastAsia"/>
                            <w:sz w:val="21"/>
                            <w:szCs w:val="21"/>
                          </w:rPr>
                          <w:t>返输干气</w:t>
                        </w:r>
                      </w:p>
                    </w:txbxContent>
                  </v:textbox>
                </v:rect>
                <v:rect id="矩形 655" o:spid="_x0000_s1026" o:spt="1" style="position:absolute;left:1373505;top:1423035;height:294640;width:1173480;" fillcolor="#FFFFFF" filled="t" stroked="t" coordsize="21600,21600" o:gfxdata="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5FYLLVAAAABQEA&#10;AA8AAAAAAAAAAQAgAAAAIgAAAGRycy9kb3ducmV2LnhtbFBLAQIUABQAAAAIAIdO4kCqvtg2HQIA&#10;AEcEAAAOAAAAAAAAAAEAIAAAACQBAABkcnMvZTJvRG9jLnhtbFBLBQYAAAAABgAGAFkBAACzBQAA&#10;AAA=&#10;">
                  <v:fill on="t" focussize="0,0"/>
                  <v:stroke color="#000000" joinstyle="miter"/>
                  <v:imagedata o:title=""/>
                  <o:lock v:ext="edit" aspectratio="f"/>
                  <v:textbox>
                    <w:txbxContent>
                      <w:p w14:paraId="15158F16">
                        <w:pPr>
                          <w:jc w:val="center"/>
                          <w:rPr>
                            <w:rFonts w:hint="default" w:eastAsia="宋体"/>
                            <w:sz w:val="21"/>
                            <w:szCs w:val="21"/>
                            <w:lang w:val="en-US" w:eastAsia="zh-CN"/>
                          </w:rPr>
                        </w:pPr>
                        <w:r>
                          <w:rPr>
                            <w:rFonts w:hint="eastAsia"/>
                            <w:sz w:val="21"/>
                            <w:szCs w:val="21"/>
                          </w:rPr>
                          <w:t>采油树</w:t>
                        </w:r>
                      </w:p>
                    </w:txbxContent>
                  </v:textbox>
                </v:rect>
                <v:shape id="自选图形 591" o:spid="_x0000_s1026" o:spt="32" type="#_x0000_t32" style="position:absolute;left:899795;top:1562735;height:635;width:473710;" filled="f" stroked="t" coordsize="21600,21600" o:gfxdata="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Z0C2AAAAAUBAAAPAAAAAAAAAAEA&#10;IAAAACIAAABkcnMvZG93bnJldi54bWxQSwECFAAUAAAACACHTuJAv/B/1w8CAAD3AwAADgAAAAAA&#10;AAABACAAAAAnAQAAZHJzL2Uyb0RvYy54bWxQSwUGAAAAAAYABgBZAQAAqAUAAAAA&#10;">
                  <v:fill on="f" focussize="0,0"/>
                  <v:stroke color="#000000" joinstyle="round" endarrow="block"/>
                  <v:imagedata o:title=""/>
                  <o:lock v:ext="edit" aspectratio="f"/>
                </v:shape>
                <v:rect id="矩形 655" o:spid="_x0000_s1026" o:spt="1" style="position:absolute;left:920750;top:433705;height:445135;width:1345565;" fillcolor="#FFFFFF" filled="t" stroked="t" coordsize="21600,21600" o:gfxdata="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P0fBNcAAAAFAQAA&#10;DwAAAAAAAAABACAAAAAiAAAAZHJzL2Rvd25yZXYueG1sUEsBAhQAFAAAAAgAh07iQCYu4ggaAgAA&#10;RAQAAA4AAAAAAAAAAQAgAAAAJgEAAGRycy9lMm9Eb2MueG1sUEsFBgAAAAAGAAYAWQEAALIFAAAA&#10;AA==&#10;">
                  <v:fill on="t" focussize="0,0"/>
                  <v:stroke color="#000000" joinstyle="miter" dashstyle="dash"/>
                  <v:imagedata o:title=""/>
                  <o:lock v:ext="edit" aspectratio="f"/>
                  <v:textbox>
                    <w:txbxContent>
                      <w:p w14:paraId="52BDA4BA">
                        <w:pPr>
                          <w:jc w:val="center"/>
                          <w:rPr>
                            <w:rFonts w:hint="default" w:eastAsia="宋体"/>
                            <w:sz w:val="21"/>
                            <w:szCs w:val="21"/>
                            <w:lang w:val="en-US" w:eastAsia="zh-CN"/>
                          </w:rPr>
                        </w:pPr>
                        <w:r>
                          <w:rPr>
                            <w:rFonts w:hint="eastAsia"/>
                            <w:sz w:val="21"/>
                            <w:szCs w:val="21"/>
                          </w:rPr>
                          <w:t>无组织废气、</w:t>
                        </w:r>
                        <w:r>
                          <w:rPr>
                            <w:rFonts w:hint="eastAsia"/>
                            <w:sz w:val="21"/>
                            <w:szCs w:val="21"/>
                            <w:lang w:val="en-US" w:eastAsia="zh-CN"/>
                          </w:rPr>
                          <w:t>废水、</w:t>
                        </w:r>
                        <w:r>
                          <w:rPr>
                            <w:rFonts w:hint="eastAsia"/>
                            <w:sz w:val="21"/>
                            <w:szCs w:val="21"/>
                          </w:rPr>
                          <w:t>噪声</w:t>
                        </w:r>
                        <w:r>
                          <w:rPr>
                            <w:rFonts w:hint="eastAsia"/>
                            <w:sz w:val="21"/>
                            <w:szCs w:val="21"/>
                            <w:lang w:eastAsia="zh-CN"/>
                          </w:rPr>
                          <w:t>、</w:t>
                        </w:r>
                        <w:r>
                          <w:rPr>
                            <w:rFonts w:hint="eastAsia"/>
                            <w:sz w:val="21"/>
                            <w:szCs w:val="21"/>
                            <w:lang w:val="en-US" w:eastAsia="zh-CN"/>
                          </w:rPr>
                          <w:t>固废</w:t>
                        </w:r>
                      </w:p>
                    </w:txbxContent>
                  </v:textbox>
                </v:rect>
                <v:shape id="自选图形 593" o:spid="_x0000_s1026" o:spt="32" type="#_x0000_t32" style="position:absolute;left:1809115;top:959485;flip:x;height:471805;width:635;" filled="f" stroked="t" coordsize="21600,21600" o:gfxdata="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yq1R/WAAAABQEAAA8AAAAAAAAA&#10;AQAgAAAAIgAAAGRycy9kb3ducmV2LnhtbFBLAQIUABQAAAAIAIdO4kB3FoRGEwIAAAAEAAAOAAAA&#10;AAAAAAEAIAAAACUBAABkcnMvZTJvRG9jLnhtbFBLBQYAAAAABgAGAFkBAACqBQAAAAA=&#10;">
                  <v:fill on="f" focussize="0,0"/>
                  <v:stroke color="#000000" joinstyle="round" dashstyle="dash" startarrow="block"/>
                  <v:imagedata o:title=""/>
                  <o:lock v:ext="edit" aspectratio="f"/>
                </v:shape>
                <v:rect id="矩形 655" o:spid="_x0000_s1026" o:spt="1" style="position:absolute;left:3345180;top:1742440;height:298450;width:871220;" filled="f" stroked="f" coordsize="21600,21600" o:gfxdata="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JXpn1wAAAAUBAAAPAAAAAAAAAAEAIAAAACIAAABkcnMvZG93bnJldi54bWxQSwEC&#10;FAAUAAAACACHTuJAiVmRSbwBAABeAwAADgAAAAAAAAABACAAAAAmAQAAZHJzL2Uyb0RvYy54bWxQ&#10;SwUGAAAAAAYABgBZAQAAVAUAAAAA&#10;">
                  <v:fill on="f" focussize="0,0"/>
                  <v:stroke on="f"/>
                  <v:imagedata o:title=""/>
                  <o:lock v:ext="edit" aspectratio="f"/>
                  <v:textbox>
                    <w:txbxContent>
                      <w:p w14:paraId="2ABC322E">
                        <w:pPr>
                          <w:jc w:val="center"/>
                          <w:rPr>
                            <w:sz w:val="21"/>
                            <w:szCs w:val="21"/>
                          </w:rPr>
                        </w:pPr>
                      </w:p>
                    </w:txbxContent>
                  </v:textbox>
                </v:rect>
                <w10:wrap type="none"/>
                <w10:anchorlock/>
              </v:group>
            </w:pict>
          </mc:Fallback>
        </mc:AlternateContent>
      </w:r>
      <w:bookmarkEnd w:id="247"/>
    </w:p>
    <w:p w14:paraId="11E05736">
      <w:pPr>
        <w:spacing w:line="360" w:lineRule="auto"/>
        <w:ind w:firstLine="436" w:firstLineChars="200"/>
        <w:jc w:val="center"/>
        <w:rPr>
          <w:rFonts w:hint="default" w:ascii="Times New Roman" w:hAnsi="Times New Roman" w:eastAsia="黑体" w:cs="Times New Roman"/>
          <w:color w:val="auto"/>
          <w:spacing w:val="4"/>
          <w:sz w:val="21"/>
          <w:szCs w:val="21"/>
          <w:highlight w:val="none"/>
          <w:lang w:val="en-US" w:eastAsia="zh-CN" w:bidi="ar-SA"/>
        </w:rPr>
      </w:pPr>
      <w:r>
        <w:rPr>
          <w:rFonts w:hint="default" w:ascii="Times New Roman" w:hAnsi="Times New Roman" w:eastAsia="黑体" w:cs="Times New Roman"/>
          <w:color w:val="auto"/>
          <w:spacing w:val="4"/>
          <w:sz w:val="21"/>
          <w:szCs w:val="21"/>
          <w:highlight w:val="none"/>
          <w:lang w:val="en-US" w:eastAsia="zh-CN" w:bidi="ar-SA"/>
        </w:rPr>
        <w:t>图3.4-</w:t>
      </w:r>
      <w:r>
        <w:rPr>
          <w:rFonts w:hint="eastAsia" w:eastAsia="黑体" w:cs="Times New Roman"/>
          <w:color w:val="auto"/>
          <w:spacing w:val="4"/>
          <w:sz w:val="21"/>
          <w:szCs w:val="21"/>
          <w:highlight w:val="none"/>
          <w:lang w:val="en-US" w:eastAsia="zh-CN" w:bidi="ar-SA"/>
        </w:rPr>
        <w:t>2</w:t>
      </w:r>
      <w:r>
        <w:rPr>
          <w:rFonts w:hint="default" w:ascii="Times New Roman" w:hAnsi="Times New Roman" w:eastAsia="黑体" w:cs="Times New Roman"/>
          <w:color w:val="auto"/>
          <w:spacing w:val="4"/>
          <w:sz w:val="21"/>
          <w:szCs w:val="21"/>
          <w:highlight w:val="none"/>
          <w:lang w:val="en-US" w:eastAsia="zh-CN" w:bidi="ar-SA"/>
        </w:rPr>
        <w:t>运营期</w:t>
      </w:r>
      <w:r>
        <w:rPr>
          <w:rFonts w:hint="eastAsia" w:eastAsia="黑体" w:cs="Times New Roman"/>
          <w:color w:val="auto"/>
          <w:spacing w:val="4"/>
          <w:sz w:val="21"/>
          <w:szCs w:val="21"/>
          <w:highlight w:val="none"/>
          <w:lang w:val="en-US" w:eastAsia="zh-CN" w:bidi="ar-SA"/>
        </w:rPr>
        <w:t>集输</w:t>
      </w:r>
      <w:r>
        <w:rPr>
          <w:rFonts w:hint="default" w:ascii="Times New Roman" w:hAnsi="Times New Roman" w:eastAsia="黑体" w:cs="Times New Roman"/>
          <w:color w:val="auto"/>
          <w:spacing w:val="4"/>
          <w:sz w:val="21"/>
          <w:szCs w:val="21"/>
          <w:highlight w:val="none"/>
          <w:lang w:val="en-US" w:eastAsia="zh-CN" w:bidi="ar-SA"/>
        </w:rPr>
        <w:t>工艺流程示意图</w:t>
      </w:r>
    </w:p>
    <w:p w14:paraId="2F4A1BC4">
      <w:pPr>
        <w:pStyle w:val="12"/>
        <w:bidi w:val="0"/>
        <w:ind w:firstLine="480" w:firstLineChars="200"/>
        <w:rPr>
          <w:rFonts w:hint="eastAsia" w:ascii="Times New Roman" w:hAnsi="Times New Roman" w:cs="Times New Roman"/>
          <w:bCs/>
          <w:color w:val="auto"/>
          <w:highlight w:val="none"/>
        </w:rPr>
      </w:pPr>
      <w:r>
        <w:rPr>
          <w:rFonts w:hint="eastAsia" w:ascii="Times New Roman" w:hAnsi="Times New Roman" w:cs="Times New Roman"/>
          <w:bCs/>
          <w:color w:val="auto"/>
          <w:highlight w:val="none"/>
          <w:lang w:val="en-US" w:eastAsia="zh-CN"/>
        </w:rPr>
        <w:t>本项目4座侧钻井场不新增井场加热炉，均可利旧，</w:t>
      </w:r>
      <w:r>
        <w:rPr>
          <w:rFonts w:hint="eastAsia" w:ascii="Times New Roman" w:hAnsi="Times New Roman" w:cs="Times New Roman"/>
          <w:bCs/>
          <w:color w:val="auto"/>
          <w:highlight w:val="none"/>
        </w:rPr>
        <w:t>现有</w:t>
      </w:r>
      <w:r>
        <w:rPr>
          <w:rFonts w:hint="eastAsia" w:ascii="Times New Roman" w:hAnsi="Times New Roman" w:cs="Times New Roman"/>
          <w:bCs/>
          <w:color w:val="auto"/>
          <w:highlight w:val="none"/>
          <w:lang w:val="en-US" w:eastAsia="zh-CN"/>
        </w:rPr>
        <w:t>井场加热炉</w:t>
      </w:r>
      <w:r>
        <w:rPr>
          <w:rFonts w:hint="eastAsia" w:ascii="Times New Roman" w:hAnsi="Times New Roman" w:cs="Times New Roman"/>
          <w:bCs/>
          <w:color w:val="auto"/>
          <w:highlight w:val="none"/>
        </w:rPr>
        <w:t>已履行过环评、验收手续，其污染物排放</w:t>
      </w:r>
      <w:r>
        <w:rPr>
          <w:rFonts w:hint="eastAsia" w:ascii="Times New Roman" w:hAnsi="Times New Roman" w:cs="Times New Roman"/>
          <w:bCs/>
          <w:color w:val="auto"/>
          <w:highlight w:val="none"/>
          <w:lang w:val="en-US" w:eastAsia="zh-CN"/>
        </w:rPr>
        <w:t>总</w:t>
      </w:r>
      <w:r>
        <w:rPr>
          <w:rFonts w:hint="eastAsia" w:ascii="Times New Roman" w:hAnsi="Times New Roman" w:cs="Times New Roman"/>
          <w:bCs/>
          <w:color w:val="auto"/>
          <w:highlight w:val="none"/>
        </w:rPr>
        <w:t>量已核算</w:t>
      </w:r>
      <w:r>
        <w:rPr>
          <w:rFonts w:hint="eastAsia" w:ascii="Times New Roman" w:hAnsi="Times New Roman" w:cs="Times New Roman"/>
          <w:bCs/>
          <w:color w:val="auto"/>
          <w:highlight w:val="none"/>
          <w:lang w:eastAsia="zh-CN"/>
        </w:rPr>
        <w:t>，</w:t>
      </w:r>
      <w:r>
        <w:rPr>
          <w:rFonts w:hint="eastAsia" w:ascii="Times New Roman" w:hAnsi="Times New Roman" w:cs="Times New Roman"/>
          <w:bCs/>
          <w:color w:val="auto"/>
          <w:highlight w:val="none"/>
          <w:lang w:val="en-US" w:eastAsia="zh-CN"/>
        </w:rPr>
        <w:t>并已进行排污许可登记</w:t>
      </w:r>
      <w:r>
        <w:rPr>
          <w:rFonts w:hint="eastAsia" w:ascii="Times New Roman" w:hAnsi="Times New Roman" w:cs="Times New Roman"/>
          <w:bCs/>
          <w:color w:val="auto"/>
          <w:highlight w:val="none"/>
        </w:rPr>
        <w:t>，故不再</w:t>
      </w:r>
      <w:r>
        <w:rPr>
          <w:rFonts w:hint="eastAsia" w:ascii="Times New Roman" w:hAnsi="Times New Roman" w:cs="Times New Roman"/>
          <w:bCs/>
          <w:color w:val="auto"/>
          <w:highlight w:val="none"/>
          <w:lang w:val="en-US" w:eastAsia="zh-CN"/>
        </w:rPr>
        <w:t>核算侧钻井场依托的4座井口加</w:t>
      </w:r>
      <w:r>
        <w:rPr>
          <w:rFonts w:hint="eastAsia" w:ascii="Times New Roman" w:hAnsi="Times New Roman" w:cs="Times New Roman"/>
          <w:bCs/>
          <w:color w:val="auto"/>
          <w:highlight w:val="none"/>
        </w:rPr>
        <w:t>热炉</w:t>
      </w:r>
      <w:r>
        <w:rPr>
          <w:rFonts w:hint="eastAsia" w:ascii="Times New Roman" w:hAnsi="Times New Roman" w:cs="Times New Roman"/>
          <w:bCs/>
          <w:color w:val="auto"/>
          <w:highlight w:val="none"/>
          <w:lang w:val="en-US" w:eastAsia="zh-CN"/>
        </w:rPr>
        <w:t>污染物排放量</w:t>
      </w:r>
      <w:r>
        <w:rPr>
          <w:rFonts w:hint="eastAsia" w:ascii="Times New Roman" w:hAnsi="Times New Roman" w:cs="Times New Roman"/>
          <w:bCs/>
          <w:color w:val="auto"/>
          <w:highlight w:val="none"/>
        </w:rPr>
        <w:t>。</w:t>
      </w:r>
    </w:p>
    <w:p w14:paraId="40238B8F">
      <w:pPr>
        <w:pStyle w:val="12"/>
        <w:bidi w:val="0"/>
        <w:ind w:firstLine="480" w:firstLineChars="200"/>
        <w:rPr>
          <w:rFonts w:hint="eastAsia"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本项目侧钻老井油气开采及集输过程中废气污染源主要为井场无组织废气，主要为非甲烷总烃和硫化氢，井场采取密闭集输工艺减少无组织废气排放；废水污染源主要为采出水和井下作业废水，其中采出水随采出液一起进入三号联合站处理达标后回注地层，井下作业废水送至塔河油田绿色环保站处理；噪声污染源主要为采油树等设备运行产生的噪声，采取基础减振的降噪措施。固废污染源主要为井下作业、采油环节和集输环节产生的落地油、井下作业产生的废防渗材料，属于危险废物，委托有资质单位进行接收处置。</w:t>
      </w:r>
    </w:p>
    <w:p w14:paraId="3E6D5C4D">
      <w:pPr>
        <w:keepLines/>
        <w:adjustRightInd w:val="0"/>
        <w:snapToGrid w:val="0"/>
        <w:spacing w:line="360" w:lineRule="auto"/>
        <w:jc w:val="both"/>
        <w:outlineLvl w:val="3"/>
        <w:rPr>
          <w:rFonts w:hint="default" w:ascii="Times New Roman" w:hAnsi="Times New Roman" w:eastAsia="宋体" w:cs="Times New Roman"/>
          <w:b/>
          <w:color w:val="auto"/>
          <w:szCs w:val="22"/>
          <w:highlight w:val="none"/>
          <w:lang w:eastAsia="zh-CN"/>
        </w:rPr>
      </w:pPr>
      <w:r>
        <w:rPr>
          <w:rFonts w:hint="default" w:ascii="Times New Roman" w:hAnsi="Times New Roman" w:cs="Times New Roman"/>
          <w:b/>
          <w:color w:val="auto"/>
          <w:szCs w:val="22"/>
          <w:highlight w:val="none"/>
        </w:rPr>
        <w:t>3.</w:t>
      </w:r>
      <w:r>
        <w:rPr>
          <w:rFonts w:hint="default" w:ascii="Times New Roman" w:hAnsi="Times New Roman" w:cs="Times New Roman"/>
          <w:b/>
          <w:color w:val="auto"/>
          <w:szCs w:val="22"/>
          <w:highlight w:val="none"/>
          <w:lang w:val="en-US" w:eastAsia="zh-CN"/>
        </w:rPr>
        <w:t>4</w:t>
      </w:r>
      <w:r>
        <w:rPr>
          <w:rFonts w:hint="default" w:ascii="Times New Roman" w:hAnsi="Times New Roman" w:cs="Times New Roman"/>
          <w:b/>
          <w:color w:val="auto"/>
          <w:szCs w:val="22"/>
          <w:highlight w:val="none"/>
        </w:rPr>
        <w:t>.1.</w:t>
      </w:r>
      <w:r>
        <w:rPr>
          <w:rFonts w:hint="default" w:ascii="Times New Roman" w:hAnsi="Times New Roman" w:cs="Times New Roman"/>
          <w:b/>
          <w:color w:val="auto"/>
          <w:szCs w:val="22"/>
          <w:highlight w:val="none"/>
          <w:lang w:val="en-US" w:eastAsia="zh-CN"/>
        </w:rPr>
        <w:t>3退役期</w:t>
      </w:r>
    </w:p>
    <w:p w14:paraId="06C6C34E">
      <w:pPr>
        <w:spacing w:line="360" w:lineRule="auto"/>
        <w:ind w:firstLine="496" w:firstLineChars="200"/>
        <w:jc w:val="both"/>
        <w:rPr>
          <w:rFonts w:hint="default" w:ascii="Times New Roman" w:hAnsi="Times New Roman" w:eastAsia="宋体" w:cs="Times New Roman"/>
          <w:color w:val="auto"/>
          <w:spacing w:val="4"/>
          <w:kern w:val="24"/>
          <w:szCs w:val="22"/>
          <w:highlight w:val="none"/>
          <w:lang w:val="en-US" w:eastAsia="zh-CN"/>
        </w:rPr>
      </w:pPr>
      <w:r>
        <w:rPr>
          <w:rFonts w:hint="default" w:ascii="Times New Roman" w:hAnsi="Times New Roman" w:eastAsia="宋体" w:cs="Times New Roman"/>
          <w:color w:val="auto"/>
          <w:spacing w:val="4"/>
          <w:kern w:val="24"/>
          <w:szCs w:val="22"/>
          <w:highlight w:val="none"/>
          <w:lang w:val="en-US" w:eastAsia="zh-CN"/>
        </w:rPr>
        <w:t>随着石油天然气开采的不断进行，其储量逐渐下降，最终井区将进入退役期。</w:t>
      </w:r>
    </w:p>
    <w:p w14:paraId="45BA8D9A">
      <w:pPr>
        <w:spacing w:line="360" w:lineRule="auto"/>
        <w:ind w:firstLine="496" w:firstLineChars="200"/>
        <w:jc w:val="both"/>
        <w:rPr>
          <w:rFonts w:hint="default" w:ascii="Times New Roman" w:hAnsi="Times New Roman" w:eastAsia="宋体" w:cs="Times New Roman"/>
          <w:color w:val="auto"/>
          <w:spacing w:val="4"/>
          <w:kern w:val="24"/>
          <w:szCs w:val="22"/>
          <w:highlight w:val="none"/>
          <w:lang w:val="en-US" w:eastAsia="zh-CN"/>
        </w:rPr>
      </w:pPr>
      <w:r>
        <w:rPr>
          <w:rFonts w:hint="default" w:ascii="Times New Roman" w:hAnsi="Times New Roman" w:eastAsia="宋体" w:cs="Times New Roman"/>
          <w:color w:val="auto"/>
          <w:spacing w:val="4"/>
          <w:kern w:val="24"/>
          <w:szCs w:val="22"/>
          <w:highlight w:val="none"/>
          <w:lang w:val="en-US" w:eastAsia="zh-CN"/>
        </w:rPr>
        <w:t>首先采用清水清洗注水通道，然后将固化堵剂和水泥浆从井口平推挤入地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14:paraId="24B534B3">
      <w:pPr>
        <w:spacing w:line="360" w:lineRule="auto"/>
        <w:ind w:firstLine="496" w:firstLineChars="200"/>
        <w:jc w:val="both"/>
        <w:rPr>
          <w:rFonts w:hint="default" w:ascii="Times New Roman" w:hAnsi="Times New Roman" w:eastAsia="宋体" w:cs="Times New Roman"/>
          <w:color w:val="auto"/>
          <w:spacing w:val="4"/>
          <w:kern w:val="24"/>
          <w:szCs w:val="22"/>
          <w:highlight w:val="none"/>
          <w:lang w:val="en-US" w:eastAsia="zh-CN"/>
        </w:rPr>
      </w:pPr>
      <w:r>
        <w:rPr>
          <w:rFonts w:hint="default" w:ascii="Times New Roman" w:hAnsi="Times New Roman" w:eastAsia="宋体" w:cs="Times New Roman"/>
          <w:color w:val="auto"/>
          <w:spacing w:val="4"/>
          <w:kern w:val="24"/>
          <w:szCs w:val="22"/>
          <w:highlight w:val="none"/>
          <w:lang w:val="en-US" w:eastAsia="zh-CN"/>
        </w:rPr>
        <w:t>完成封井后，拆除井口装置，地下截去一定深度的表层套管；将永久性占地范围内的水泥平台或砂砾石铺垫清理，清除各种固体废物。然后根据周边区域的自然现状对其进行恢复，使井场恢复到相对自然的一种状态。保证对各类废弃井采取的固井、封井措施有效可行，防止发生油水窜层，成为污染地下水的通道。</w:t>
      </w:r>
    </w:p>
    <w:p w14:paraId="753A55C8">
      <w:pPr>
        <w:pStyle w:val="12"/>
        <w:keepNext w:val="0"/>
        <w:keepLines w:val="0"/>
        <w:pageBreakBefore w:val="0"/>
        <w:widowControl/>
        <w:kinsoku/>
        <w:wordWrap/>
        <w:overflowPunct/>
        <w:topLinePunct w:val="0"/>
        <w:autoSpaceDE/>
        <w:autoSpaceDN/>
        <w:bidi w:val="0"/>
        <w:adjustRightInd w:val="0"/>
        <w:snapToGrid/>
        <w:ind w:firstLine="496" w:firstLineChars="200"/>
        <w:textAlignment w:val="auto"/>
        <w:outlineLvl w:val="9"/>
        <w:rPr>
          <w:rFonts w:hint="default" w:ascii="Times New Roman" w:hAnsi="Times New Roman" w:cs="Times New Roman"/>
          <w:b/>
          <w:bCs/>
          <w:color w:val="auto"/>
          <w:highlight w:val="none"/>
          <w:lang w:eastAsia="zh-CN"/>
        </w:rPr>
      </w:pPr>
      <w:r>
        <w:rPr>
          <w:rFonts w:hint="default" w:ascii="Times New Roman" w:hAnsi="Times New Roman" w:eastAsia="宋体" w:cs="Times New Roman"/>
          <w:color w:val="auto"/>
          <w:spacing w:val="4"/>
          <w:kern w:val="24"/>
          <w:szCs w:val="22"/>
          <w:highlight w:val="none"/>
          <w:lang w:val="en-US" w:eastAsia="zh-CN"/>
        </w:rPr>
        <w:t>退役期废气污染源主要为施工扬尘，采取洒水抑尘的措施；噪声污染源主要为车辆噪声，要求合理安排作业时间，控制车辆速度等措施；固体废物主要为封井过程中产生的废弃管道、建筑垃圾等，建筑垃圾收集后送周边工业固体废物填埋场填埋处置。废弃管线维持现状，避免因开挖管线对区域生态环境造成二次破坏，管线内物质应清空干净，并按要求进行吹扫，确保管线内无残留采出液，管线两端使用盲板封堵。</w:t>
      </w:r>
    </w:p>
    <w:p w14:paraId="7D342124">
      <w:pPr>
        <w:pStyle w:val="12"/>
        <w:bidi w:val="0"/>
        <w:outlineLvl w:val="3"/>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3.</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eastAsia="zh-CN"/>
        </w:rPr>
        <w:t>.1.</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eastAsia="zh-CN"/>
        </w:rPr>
        <w:t>环境影响因素分析</w:t>
      </w:r>
    </w:p>
    <w:p w14:paraId="4EF1DB5F">
      <w:pPr>
        <w:pStyle w:val="12"/>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建设可分为</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、退役期三个阶段。</w:t>
      </w:r>
    </w:p>
    <w:p w14:paraId="4B5A95B1">
      <w:pPr>
        <w:pStyle w:val="12"/>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环境影响的特点是持续时间短，破坏性强，在</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建设结束后，可在一定时期消失；但如果污染防治和生态保护措施不当，可能持续很长时间，并且不可逆转，例如对生态环境的破坏。</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环境影响持续时间长，并随着产能规模的增加而加大，贯穿于整个运营期。</w:t>
      </w:r>
      <w:r>
        <w:rPr>
          <w:rFonts w:hint="default" w:ascii="Times New Roman" w:hAnsi="Times New Roman" w:cs="Times New Roman"/>
          <w:color w:val="auto"/>
          <w:highlight w:val="none"/>
          <w:lang w:eastAsia="zh-CN"/>
        </w:rPr>
        <w:t>退役期</w:t>
      </w:r>
      <w:r>
        <w:rPr>
          <w:rFonts w:hint="default" w:ascii="Times New Roman" w:hAnsi="Times New Roman" w:cs="Times New Roman"/>
          <w:color w:val="auto"/>
          <w:highlight w:val="none"/>
        </w:rPr>
        <w:t>后，如果封井和井场处置等措施得当，环境影响将很小；反之若出现封井不严，可能导致地下残余油水外溢等事故发生，产生局部环境污染。</w:t>
      </w:r>
    </w:p>
    <w:p w14:paraId="02914970">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包括钻井、地面工程建设、采油、油气集输等施工作业内容，基本属于开发</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和生产运营期的建设活动。其环境影响因素主要来源于油井及与其相关钻井、采油、井下作业、油气储运等各工艺过程，影响结果包括非污染生态影响，以及排放的污染物质导致的环境污染，详见图3.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6E853E55">
      <w:pPr>
        <w:pStyle w:val="12"/>
        <w:spacing w:before="64" w:line="233" w:lineRule="auto"/>
        <w:ind w:left="119"/>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highlight w:val="none"/>
        </w:rPr>
        <w:drawing>
          <wp:inline distT="0" distB="0" distL="114300" distR="114300">
            <wp:extent cx="5166995" cy="5107305"/>
            <wp:effectExtent l="0" t="0" r="14605" b="17145"/>
            <wp:docPr id="1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9"/>
                    <pic:cNvPicPr>
                      <a:picLocks noChangeAspect="1"/>
                    </pic:cNvPicPr>
                  </pic:nvPicPr>
                  <pic:blipFill>
                    <a:blip r:embed="rId34"/>
                    <a:stretch>
                      <a:fillRect/>
                    </a:stretch>
                  </pic:blipFill>
                  <pic:spPr>
                    <a:xfrm>
                      <a:off x="0" y="0"/>
                      <a:ext cx="5167423" cy="5107305"/>
                    </a:xfrm>
                    <a:prstGeom prst="rect">
                      <a:avLst/>
                    </a:prstGeom>
                    <a:noFill/>
                    <a:ln>
                      <a:noFill/>
                    </a:ln>
                  </pic:spPr>
                </pic:pic>
              </a:graphicData>
            </a:graphic>
          </wp:inline>
        </w:drawing>
      </w:r>
    </w:p>
    <w:p w14:paraId="5A9BA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auto"/>
          <w:spacing w:val="-2"/>
          <w:sz w:val="21"/>
          <w:szCs w:val="21"/>
          <w:highlight w:val="none"/>
        </w:rPr>
      </w:pPr>
      <w:r>
        <w:rPr>
          <w:rFonts w:hint="default" w:ascii="Times New Roman" w:hAnsi="Times New Roman" w:eastAsia="黑体" w:cs="Times New Roman"/>
          <w:color w:val="auto"/>
          <w:spacing w:val="-1"/>
          <w:sz w:val="21"/>
          <w:szCs w:val="21"/>
          <w:highlight w:val="none"/>
        </w:rPr>
        <w:t>图3.</w:t>
      </w:r>
      <w:r>
        <w:rPr>
          <w:rFonts w:hint="default" w:ascii="Times New Roman" w:hAnsi="Times New Roman" w:eastAsia="黑体" w:cs="Times New Roman"/>
          <w:color w:val="auto"/>
          <w:spacing w:val="-1"/>
          <w:sz w:val="21"/>
          <w:szCs w:val="21"/>
          <w:highlight w:val="none"/>
          <w:lang w:val="en-US" w:eastAsia="zh-CN"/>
        </w:rPr>
        <w:t>4</w:t>
      </w:r>
      <w:r>
        <w:rPr>
          <w:rFonts w:hint="default" w:ascii="Times New Roman" w:hAnsi="Times New Roman" w:eastAsia="黑体" w:cs="Times New Roman"/>
          <w:color w:val="auto"/>
          <w:spacing w:val="-1"/>
          <w:sz w:val="21"/>
          <w:szCs w:val="21"/>
          <w:highlight w:val="none"/>
        </w:rPr>
        <w:t>-</w:t>
      </w:r>
      <w:r>
        <w:rPr>
          <w:rFonts w:hint="eastAsia" w:eastAsia="黑体" w:cs="Times New Roman"/>
          <w:color w:val="auto"/>
          <w:spacing w:val="-1"/>
          <w:sz w:val="21"/>
          <w:szCs w:val="21"/>
          <w:highlight w:val="none"/>
          <w:lang w:val="en-US" w:eastAsia="zh-CN"/>
        </w:rPr>
        <w:t>3</w:t>
      </w:r>
      <w:bookmarkStart w:id="811" w:name="_GoBack"/>
      <w:bookmarkEnd w:id="811"/>
      <w:r>
        <w:rPr>
          <w:rFonts w:hint="default" w:ascii="Times New Roman" w:hAnsi="Times New Roman" w:eastAsia="黑体" w:cs="Times New Roman"/>
          <w:color w:val="auto"/>
          <w:spacing w:val="-1"/>
          <w:sz w:val="21"/>
          <w:szCs w:val="21"/>
          <w:highlight w:val="none"/>
        </w:rPr>
        <w:t>油田开发过程</w:t>
      </w:r>
      <w:r>
        <w:rPr>
          <w:rFonts w:hint="default" w:ascii="Times New Roman" w:hAnsi="Times New Roman" w:eastAsia="黑体" w:cs="Times New Roman"/>
          <w:color w:val="auto"/>
          <w:spacing w:val="-2"/>
          <w:sz w:val="21"/>
          <w:szCs w:val="21"/>
          <w:highlight w:val="none"/>
        </w:rPr>
        <w:t>污染物排放流程</w:t>
      </w:r>
      <w:bookmarkStart w:id="248" w:name="_Toc10520"/>
    </w:p>
    <w:p w14:paraId="2950C81F">
      <w:pPr>
        <w:pStyle w:val="2"/>
        <w:rPr>
          <w:rFonts w:hint="default" w:ascii="Times New Roman" w:hAnsi="Times New Roman" w:eastAsia="黑体" w:cs="Times New Roman"/>
          <w:color w:val="auto"/>
          <w:spacing w:val="-2"/>
          <w:sz w:val="21"/>
          <w:szCs w:val="21"/>
          <w:highlight w:val="none"/>
        </w:rPr>
      </w:pPr>
    </w:p>
    <w:p w14:paraId="2492A140">
      <w:pPr>
        <w:pStyle w:val="6"/>
        <w:keepNext/>
        <w:keepLines/>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bookmarkStart w:id="249" w:name="_Toc7703"/>
      <w:bookmarkStart w:id="250" w:name="_Toc22827"/>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施工期环境影响因素分析</w:t>
      </w:r>
      <w:bookmarkEnd w:id="248"/>
      <w:bookmarkEnd w:id="249"/>
      <w:bookmarkEnd w:id="250"/>
    </w:p>
    <w:p w14:paraId="5BE669A9">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主要污染来自钻井工程、地面设施施工产生的燃料燃烧废气及汽车尾气排放、钻井岩屑、废弃钻井泥浆及钻井废水、钻井噪声、井队工作人员的生活污水和生活垃圾、设备渗油等，平整场地和堆放设备破坏地表等。</w:t>
      </w:r>
    </w:p>
    <w:p w14:paraId="7B5CE93D">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"3.2.3.1"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生态影响因素</w:t>
      </w:r>
    </w:p>
    <w:p w14:paraId="57302901">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生态影响主要体现在</w:t>
      </w:r>
      <w:r>
        <w:rPr>
          <w:rFonts w:hint="default" w:ascii="Times New Roman" w:hAnsi="Times New Roman" w:cs="Times New Roman"/>
          <w:color w:val="auto"/>
          <w:highlight w:val="none"/>
          <w:lang w:val="en-US" w:eastAsia="zh-CN"/>
        </w:rPr>
        <w:t>井</w:t>
      </w:r>
      <w:r>
        <w:rPr>
          <w:rFonts w:hint="default" w:ascii="Times New Roman" w:hAnsi="Times New Roman" w:cs="Times New Roman"/>
          <w:color w:val="auto"/>
          <w:highlight w:val="none"/>
        </w:rPr>
        <w:t>场、管线建设阶段，如占用土地、施工对地表植被的影响、土壤扰动等。集输管线开挖产生的弃土及时回填至管沟上方，基本可做到土石方挖填平衡。</w:t>
      </w:r>
    </w:p>
    <w:p w14:paraId="5BE2ADEF">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占用土地包括临时占地和永久占地，将暂时或永久改变土地原有使用功能。临时占地包括管线施工便道的临时占地，施工结束后临时占地可恢复原有使用功能。永久占地主要为采油井场的永久占地。</w:t>
      </w:r>
    </w:p>
    <w:p w14:paraId="7EEAEDF0">
      <w:pPr>
        <w:pStyle w:val="13"/>
        <w:rPr>
          <w:rFonts w:hint="default" w:ascii="Times New Roman" w:hAnsi="Times New Roman" w:cs="Times New Roman"/>
          <w:color w:val="auto"/>
          <w:highlight w:val="none"/>
        </w:rPr>
      </w:pPr>
      <w:r>
        <w:rPr>
          <w:rFonts w:hint="default" w:ascii="Times New Roman" w:hAnsi="Times New Roman" w:cs="Times New Roman"/>
          <w:color w:val="auto"/>
          <w:highlight w:val="none"/>
        </w:rPr>
        <w:t>地面工程施工作业包括</w:t>
      </w:r>
      <w:r>
        <w:rPr>
          <w:rFonts w:hint="default" w:ascii="Times New Roman" w:hAnsi="Times New Roman" w:cs="Times New Roman"/>
          <w:color w:val="auto"/>
          <w:highlight w:val="none"/>
          <w:lang w:val="en-US" w:eastAsia="zh-CN"/>
        </w:rPr>
        <w:t>井</w:t>
      </w:r>
      <w:r>
        <w:rPr>
          <w:rFonts w:hint="default" w:ascii="Times New Roman" w:hAnsi="Times New Roman" w:cs="Times New Roman"/>
          <w:color w:val="auto"/>
          <w:highlight w:val="none"/>
        </w:rPr>
        <w:t>场场地平整、管线敷设等，施工作业直接破坏了地面植被，造成了土壤扰动，容易导致水土流失。</w:t>
      </w:r>
    </w:p>
    <w:p w14:paraId="3237AC58">
      <w:pPr>
        <w:widowControl w:val="0"/>
        <w:spacing w:line="360" w:lineRule="auto"/>
        <w:ind w:firstLine="540" w:firstLineChars="225"/>
        <w:jc w:val="both"/>
        <w:rPr>
          <w:rFonts w:hint="default" w:ascii="Times New Roman" w:hAnsi="Times New Roman" w:cs="Times New Roman"/>
          <w:snapToGrid w:val="0"/>
          <w:color w:val="auto"/>
          <w:kern w:val="0"/>
          <w:sz w:val="24"/>
          <w:szCs w:val="24"/>
          <w:highlight w:val="none"/>
          <w:lang w:val="en-US" w:eastAsia="zh-CN"/>
        </w:rPr>
      </w:pPr>
      <w:r>
        <w:rPr>
          <w:rFonts w:hint="default" w:ascii="Times New Roman" w:hAnsi="Times New Roman" w:cs="Times New Roman"/>
          <w:color w:val="auto"/>
          <w:sz w:val="24"/>
          <w:szCs w:val="24"/>
          <w:highlight w:val="none"/>
        </w:rPr>
        <w:t>根据估算，</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总占地约</w:t>
      </w:r>
      <w:r>
        <w:rPr>
          <w:rFonts w:hint="eastAsia" w:ascii="Times New Roman" w:hAnsi="Times New Roman" w:cs="Times New Roman"/>
          <w:color w:val="auto"/>
          <w:sz w:val="24"/>
          <w:szCs w:val="24"/>
          <w:highlight w:val="none"/>
          <w:lang w:val="en-US" w:eastAsia="zh-CN"/>
        </w:rPr>
        <w:t>4.8608</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均为</w:t>
      </w:r>
      <w:r>
        <w:rPr>
          <w:rFonts w:hint="default" w:ascii="Times New Roman" w:hAnsi="Times New Roman" w:cs="Times New Roman"/>
          <w:color w:val="auto"/>
          <w:sz w:val="24"/>
          <w:szCs w:val="24"/>
          <w:highlight w:val="none"/>
        </w:rPr>
        <w:t>临时占地，</w:t>
      </w:r>
      <w:r>
        <w:rPr>
          <w:rFonts w:hint="eastAsia" w:ascii="Times New Roman" w:hAnsi="Times New Roman" w:cs="Times New Roman"/>
          <w:color w:val="auto"/>
          <w:sz w:val="24"/>
          <w:szCs w:val="24"/>
          <w:highlight w:val="none"/>
          <w:lang w:val="en-US" w:eastAsia="zh-CN"/>
        </w:rPr>
        <w:t>不新增永久占地。项目</w:t>
      </w:r>
      <w:r>
        <w:rPr>
          <w:rFonts w:hint="default" w:ascii="Times New Roman" w:hAnsi="Times New Roman" w:cs="Times New Roman"/>
          <w:color w:val="auto"/>
          <w:sz w:val="24"/>
          <w:szCs w:val="24"/>
          <w:highlight w:val="none"/>
        </w:rPr>
        <w:t>占地类型有</w:t>
      </w:r>
      <w:r>
        <w:rPr>
          <w:rFonts w:hint="eastAsia" w:cs="Times New Roman"/>
          <w:color w:val="auto"/>
          <w:kern w:val="0"/>
          <w:szCs w:val="20"/>
          <w:highlight w:val="none"/>
          <w:lang w:val="en-US" w:eastAsia="zh-CN"/>
        </w:rPr>
        <w:t>灌木林地、</w:t>
      </w:r>
      <w:r>
        <w:rPr>
          <w:rFonts w:hint="default" w:ascii="Times New Roman" w:hAnsi="Times New Roman" w:eastAsia="宋体" w:cs="Times New Roman"/>
          <w:color w:val="auto"/>
          <w:kern w:val="0"/>
          <w:szCs w:val="20"/>
          <w:highlight w:val="none"/>
        </w:rPr>
        <w:t>天然牧草地</w:t>
      </w:r>
      <w:r>
        <w:rPr>
          <w:rFonts w:hint="default" w:ascii="Times New Roman" w:hAnsi="Times New Roman" w:cs="Times New Roman"/>
          <w:color w:val="auto"/>
          <w:sz w:val="24"/>
          <w:szCs w:val="24"/>
          <w:highlight w:val="none"/>
        </w:rPr>
        <w:t>等</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其中</w:t>
      </w:r>
      <w:r>
        <w:rPr>
          <w:rFonts w:hint="eastAsia" w:ascii="Times New Roman" w:hAnsi="Times New Roman" w:cs="Times New Roman"/>
          <w:color w:val="auto"/>
          <w:sz w:val="24"/>
          <w:szCs w:val="24"/>
          <w:highlight w:val="none"/>
          <w:vertAlign w:val="baseline"/>
          <w:lang w:val="en-US" w:eastAsia="zh-CN"/>
        </w:rPr>
        <w:t>灌木林地为</w:t>
      </w:r>
      <w:r>
        <w:rPr>
          <w:rFonts w:hint="eastAsia" w:cs="Times New Roman"/>
          <w:color w:val="auto"/>
          <w:sz w:val="24"/>
          <w:szCs w:val="24"/>
          <w:highlight w:val="none"/>
          <w:vertAlign w:val="baseline"/>
          <w:lang w:val="en-US" w:eastAsia="zh-CN"/>
        </w:rPr>
        <w:t>1.5177</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vertAlign w:val="baseline"/>
          <w:lang w:eastAsia="zh-CN"/>
        </w:rPr>
        <w:t>、</w:t>
      </w:r>
      <w:r>
        <w:rPr>
          <w:rFonts w:hint="eastAsia" w:ascii="Times New Roman" w:hAnsi="Times New Roman" w:cs="Times New Roman"/>
          <w:color w:val="auto"/>
          <w:sz w:val="24"/>
          <w:szCs w:val="24"/>
          <w:highlight w:val="none"/>
          <w:vertAlign w:val="baseline"/>
          <w:lang w:val="en-US" w:eastAsia="zh-CN"/>
        </w:rPr>
        <w:t>天然牧草地为</w:t>
      </w:r>
      <w:r>
        <w:rPr>
          <w:rFonts w:hint="eastAsia" w:cs="Times New Roman"/>
          <w:color w:val="auto"/>
          <w:sz w:val="24"/>
          <w:szCs w:val="24"/>
          <w:highlight w:val="none"/>
          <w:vertAlign w:val="baseline"/>
          <w:lang w:val="en-US" w:eastAsia="zh-CN"/>
        </w:rPr>
        <w:t>3.33</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pacing w:val="1"/>
          <w:sz w:val="24"/>
          <w:szCs w:val="24"/>
          <w:highlight w:val="none"/>
        </w:rPr>
        <w:t>，</w:t>
      </w:r>
      <w:r>
        <w:rPr>
          <w:rFonts w:hint="eastAsia" w:ascii="Times New Roman" w:hAnsi="Times New Roman" w:cs="Times New Roman"/>
          <w:color w:val="auto"/>
          <w:spacing w:val="1"/>
          <w:sz w:val="24"/>
          <w:szCs w:val="24"/>
          <w:highlight w:val="none"/>
          <w:lang w:val="en-US" w:eastAsia="zh-CN"/>
        </w:rPr>
        <w:t>采矿用地为0.</w:t>
      </w:r>
      <w:r>
        <w:rPr>
          <w:rFonts w:hint="eastAsia" w:cs="Times New Roman"/>
          <w:color w:val="auto"/>
          <w:spacing w:val="1"/>
          <w:sz w:val="24"/>
          <w:szCs w:val="24"/>
          <w:highlight w:val="none"/>
          <w:lang w:val="en-US" w:eastAsia="zh-CN"/>
        </w:rPr>
        <w:t>0092</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vertAlign w:val="baseline"/>
          <w:lang w:val="en-US" w:eastAsia="zh-CN"/>
        </w:rPr>
        <w:t>，公路用地为0.0039</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pacing w:val="1"/>
          <w:sz w:val="24"/>
          <w:szCs w:val="24"/>
          <w:highlight w:val="none"/>
        </w:rPr>
        <w:t>详见表</w:t>
      </w:r>
      <w:r>
        <w:rPr>
          <w:rFonts w:hint="default" w:ascii="Times New Roman" w:hAnsi="Times New Roman" w:eastAsia="Times New Roman" w:cs="Times New Roman"/>
          <w:color w:val="auto"/>
          <w:spacing w:val="1"/>
          <w:sz w:val="24"/>
          <w:szCs w:val="24"/>
          <w:highlight w:val="none"/>
        </w:rPr>
        <w:t>3.</w:t>
      </w:r>
      <w:r>
        <w:rPr>
          <w:rFonts w:hint="default" w:ascii="Times New Roman" w:hAnsi="Times New Roman" w:cs="Times New Roman"/>
          <w:color w:val="auto"/>
          <w:spacing w:val="1"/>
          <w:sz w:val="24"/>
          <w:szCs w:val="24"/>
          <w:highlight w:val="none"/>
          <w:lang w:val="en-US" w:eastAsia="zh-CN"/>
        </w:rPr>
        <w:t>4</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cs="Times New Roman"/>
          <w:color w:val="auto"/>
          <w:spacing w:val="1"/>
          <w:sz w:val="24"/>
          <w:szCs w:val="24"/>
          <w:highlight w:val="none"/>
          <w:lang w:val="en-US" w:eastAsia="zh-CN"/>
        </w:rPr>
        <w:t>3</w:t>
      </w:r>
      <w:r>
        <w:rPr>
          <w:rFonts w:hint="default" w:ascii="Times New Roman" w:hAnsi="Times New Roman" w:cs="Times New Roman"/>
          <w:color w:val="auto"/>
          <w:spacing w:val="1"/>
          <w:sz w:val="24"/>
          <w:szCs w:val="24"/>
          <w:highlight w:val="none"/>
        </w:rPr>
        <w:t>。</w:t>
      </w:r>
      <w:r>
        <w:rPr>
          <w:rFonts w:hint="default" w:ascii="Times New Roman" w:hAnsi="Times New Roman" w:cs="Times New Roman"/>
          <w:snapToGrid w:val="0"/>
          <w:color w:val="auto"/>
          <w:kern w:val="0"/>
          <w:sz w:val="24"/>
          <w:szCs w:val="24"/>
          <w:highlight w:val="none"/>
          <w:lang w:val="en-US" w:eastAsia="zh-CN"/>
        </w:rPr>
        <w:t>具体以</w:t>
      </w:r>
      <w:r>
        <w:rPr>
          <w:rFonts w:hint="eastAsia" w:ascii="Times New Roman" w:hAnsi="Times New Roman" w:cs="Times New Roman"/>
          <w:snapToGrid w:val="0"/>
          <w:color w:val="auto"/>
          <w:kern w:val="0"/>
          <w:sz w:val="24"/>
          <w:szCs w:val="24"/>
          <w:highlight w:val="none"/>
          <w:lang w:val="en-US" w:eastAsia="zh-CN"/>
        </w:rPr>
        <w:t>征地手续</w:t>
      </w:r>
      <w:r>
        <w:rPr>
          <w:rFonts w:hint="default" w:ascii="Times New Roman" w:hAnsi="Times New Roman" w:cs="Times New Roman"/>
          <w:snapToGrid w:val="0"/>
          <w:color w:val="auto"/>
          <w:kern w:val="0"/>
          <w:sz w:val="24"/>
          <w:szCs w:val="24"/>
          <w:highlight w:val="none"/>
          <w:lang w:val="en-US" w:eastAsia="zh-CN"/>
        </w:rPr>
        <w:t>为准。</w:t>
      </w:r>
    </w:p>
    <w:p w14:paraId="48753346">
      <w:pPr>
        <w:pStyle w:val="1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i w:val="0"/>
          <w:iCs w:val="0"/>
          <w:color w:val="auto"/>
          <w:kern w:val="0"/>
          <w:sz w:val="21"/>
          <w:szCs w:val="21"/>
          <w:highlight w:val="none"/>
          <w:u w:val="none"/>
          <w:lang w:val="en-US" w:eastAsia="zh-CN" w:bidi="ar"/>
        </w:rPr>
      </w:pPr>
      <w:r>
        <w:rPr>
          <w:rFonts w:hint="default" w:ascii="Times New Roman" w:hAnsi="Times New Roman" w:eastAsia="黑体" w:cs="Times New Roman"/>
          <w:i w:val="0"/>
          <w:iCs w:val="0"/>
          <w:color w:val="auto"/>
          <w:kern w:val="0"/>
          <w:sz w:val="21"/>
          <w:szCs w:val="21"/>
          <w:highlight w:val="none"/>
          <w:u w:val="none"/>
          <w:lang w:val="en-US" w:eastAsia="zh-CN" w:bidi="ar"/>
        </w:rPr>
        <w:t>表3.4-3</w:t>
      </w:r>
      <w:r>
        <w:rPr>
          <w:rFonts w:hint="eastAsia" w:eastAsia="黑体" w:cs="Times New Roman"/>
          <w:i w:val="0"/>
          <w:iCs w:val="0"/>
          <w:color w:val="auto"/>
          <w:kern w:val="0"/>
          <w:sz w:val="21"/>
          <w:szCs w:val="21"/>
          <w:highlight w:val="none"/>
          <w:u w:val="none"/>
          <w:lang w:val="en-US" w:eastAsia="zh-CN" w:bidi="ar"/>
        </w:rPr>
        <w:t xml:space="preserve">  </w:t>
      </w:r>
      <w:r>
        <w:rPr>
          <w:rFonts w:hint="default" w:ascii="Times New Roman" w:hAnsi="Times New Roman" w:eastAsia="黑体" w:cs="Times New Roman"/>
          <w:i w:val="0"/>
          <w:iCs w:val="0"/>
          <w:color w:val="auto"/>
          <w:kern w:val="0"/>
          <w:sz w:val="21"/>
          <w:szCs w:val="21"/>
          <w:highlight w:val="none"/>
          <w:u w:val="none"/>
          <w:lang w:val="en-US" w:eastAsia="zh-CN" w:bidi="ar"/>
        </w:rPr>
        <w:t>占地面积统计表</w:t>
      </w:r>
    </w:p>
    <w:tbl>
      <w:tblPr>
        <w:tblStyle w:val="35"/>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379"/>
        <w:gridCol w:w="749"/>
        <w:gridCol w:w="981"/>
        <w:gridCol w:w="898"/>
        <w:gridCol w:w="3893"/>
      </w:tblGrid>
      <w:tr w14:paraId="14A0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377" w:type="pct"/>
            <w:vMerge w:val="restart"/>
            <w:vAlign w:val="center"/>
          </w:tcPr>
          <w:p w14:paraId="1222479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序号</w:t>
            </w:r>
          </w:p>
        </w:tc>
        <w:tc>
          <w:tcPr>
            <w:tcW w:w="807" w:type="pct"/>
            <w:vMerge w:val="restart"/>
            <w:vAlign w:val="center"/>
          </w:tcPr>
          <w:p w14:paraId="27CDED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工程内容</w:t>
            </w:r>
          </w:p>
        </w:tc>
        <w:tc>
          <w:tcPr>
            <w:tcW w:w="1537" w:type="pct"/>
            <w:gridSpan w:val="3"/>
            <w:vAlign w:val="center"/>
          </w:tcPr>
          <w:p w14:paraId="790DF8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占地面积（</w:t>
            </w:r>
            <w:r>
              <w:rPr>
                <w:rFonts w:hint="default" w:ascii="Times New Roman" w:hAnsi="Times New Roman" w:cs="Times New Roman"/>
                <w:b w:val="0"/>
                <w:bCs w:val="0"/>
                <w:color w:val="auto"/>
                <w:sz w:val="21"/>
                <w:szCs w:val="21"/>
                <w:highlight w:val="none"/>
                <w:lang w:val="en-US" w:eastAsia="zh-CN"/>
              </w:rPr>
              <w:t>h</w:t>
            </w:r>
            <w:r>
              <w:rPr>
                <w:rFonts w:hint="default" w:ascii="Times New Roman" w:hAnsi="Times New Roman" w:cs="Times New Roman"/>
                <w:b w:val="0"/>
                <w:bCs w:val="0"/>
                <w:color w:val="auto"/>
                <w:sz w:val="21"/>
                <w:szCs w:val="21"/>
                <w:highlight w:val="none"/>
              </w:rPr>
              <w:t>m²）</w:t>
            </w:r>
          </w:p>
        </w:tc>
        <w:tc>
          <w:tcPr>
            <w:tcW w:w="2277" w:type="pct"/>
            <w:vMerge w:val="restart"/>
            <w:vAlign w:val="center"/>
          </w:tcPr>
          <w:p w14:paraId="71456F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说明</w:t>
            </w:r>
          </w:p>
        </w:tc>
      </w:tr>
      <w:tr w14:paraId="40BA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blHeader/>
          <w:jc w:val="center"/>
        </w:trPr>
        <w:tc>
          <w:tcPr>
            <w:tcW w:w="377" w:type="pct"/>
            <w:vMerge w:val="continue"/>
            <w:vAlign w:val="center"/>
          </w:tcPr>
          <w:p w14:paraId="4603007C">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sz w:val="21"/>
                <w:szCs w:val="21"/>
                <w:highlight w:val="none"/>
              </w:rPr>
            </w:pPr>
          </w:p>
        </w:tc>
        <w:tc>
          <w:tcPr>
            <w:tcW w:w="807" w:type="pct"/>
            <w:vMerge w:val="continue"/>
            <w:vAlign w:val="center"/>
          </w:tcPr>
          <w:p w14:paraId="5A09444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sz w:val="21"/>
                <w:szCs w:val="21"/>
                <w:highlight w:val="none"/>
              </w:rPr>
            </w:pPr>
          </w:p>
        </w:tc>
        <w:tc>
          <w:tcPr>
            <w:tcW w:w="438" w:type="pct"/>
            <w:vAlign w:val="center"/>
          </w:tcPr>
          <w:p w14:paraId="20A760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永久</w:t>
            </w:r>
          </w:p>
        </w:tc>
        <w:tc>
          <w:tcPr>
            <w:tcW w:w="574" w:type="pct"/>
            <w:vAlign w:val="center"/>
          </w:tcPr>
          <w:p w14:paraId="6E8CD0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w:t>
            </w:r>
          </w:p>
        </w:tc>
        <w:tc>
          <w:tcPr>
            <w:tcW w:w="524" w:type="pct"/>
            <w:vAlign w:val="center"/>
          </w:tcPr>
          <w:p w14:paraId="5AC820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总占地</w:t>
            </w:r>
          </w:p>
        </w:tc>
        <w:tc>
          <w:tcPr>
            <w:tcW w:w="2277" w:type="pct"/>
            <w:vMerge w:val="continue"/>
            <w:vAlign w:val="center"/>
          </w:tcPr>
          <w:p w14:paraId="057E0DE4">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sz w:val="21"/>
                <w:szCs w:val="21"/>
                <w:highlight w:val="none"/>
              </w:rPr>
            </w:pPr>
          </w:p>
        </w:tc>
      </w:tr>
      <w:tr w14:paraId="6E9B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77" w:type="pct"/>
            <w:vAlign w:val="center"/>
          </w:tcPr>
          <w:p w14:paraId="4CF78C8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07" w:type="pct"/>
            <w:vAlign w:val="center"/>
          </w:tcPr>
          <w:p w14:paraId="3B567E2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井场</w:t>
            </w:r>
          </w:p>
        </w:tc>
        <w:tc>
          <w:tcPr>
            <w:tcW w:w="438" w:type="pct"/>
            <w:vAlign w:val="center"/>
          </w:tcPr>
          <w:p w14:paraId="60E21CF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74" w:type="pct"/>
            <w:vAlign w:val="center"/>
          </w:tcPr>
          <w:p w14:paraId="334188D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3.48</w:t>
            </w:r>
          </w:p>
        </w:tc>
        <w:tc>
          <w:tcPr>
            <w:tcW w:w="524" w:type="pct"/>
            <w:vAlign w:val="center"/>
          </w:tcPr>
          <w:p w14:paraId="62BEB13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3.48</w:t>
            </w:r>
          </w:p>
        </w:tc>
        <w:tc>
          <w:tcPr>
            <w:tcW w:w="2277" w:type="pct"/>
            <w:vAlign w:val="center"/>
          </w:tcPr>
          <w:p w14:paraId="08735E12">
            <w:pPr>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本项目</w:t>
            </w:r>
            <w:r>
              <w:rPr>
                <w:rFonts w:hint="eastAsia" w:cs="Times New Roman"/>
                <w:color w:val="auto"/>
                <w:sz w:val="21"/>
                <w:szCs w:val="21"/>
                <w:highlight w:val="none"/>
                <w:lang w:val="en-US" w:eastAsia="zh-CN"/>
              </w:rPr>
              <w:t>4口老井侧钻</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因老井已办理永久用地手续，本次老井侧钻仅办理钻井期间临时用地手续。单座井场</w:t>
            </w:r>
            <w:r>
              <w:rPr>
                <w:rFonts w:hint="default" w:ascii="Times New Roman" w:hAnsi="Times New Roman" w:cs="Times New Roman"/>
                <w:color w:val="auto"/>
                <w:sz w:val="21"/>
                <w:szCs w:val="21"/>
                <w:highlight w:val="none"/>
              </w:rPr>
              <w:t>临时占地面积为8700m</w:t>
            </w:r>
            <w:r>
              <w:rPr>
                <w:rFonts w:hint="default" w:ascii="Times New Roman" w:hAnsi="Times New Roman" w:cs="Times New Roman"/>
                <w:color w:val="auto"/>
                <w:sz w:val="21"/>
                <w:szCs w:val="21"/>
                <w:highlight w:val="none"/>
                <w:vertAlign w:val="superscript"/>
              </w:rPr>
              <w:t>2</w:t>
            </w:r>
            <w:r>
              <w:rPr>
                <w:rFonts w:hint="eastAsia" w:cs="Times New Roman"/>
                <w:color w:val="auto"/>
                <w:sz w:val="21"/>
                <w:szCs w:val="21"/>
                <w:highlight w:val="none"/>
                <w:vertAlign w:val="baseline"/>
                <w:lang w:eastAsia="zh-CN"/>
              </w:rPr>
              <w:t>，</w:t>
            </w:r>
            <w:r>
              <w:rPr>
                <w:rFonts w:hint="eastAsia" w:cs="Times New Roman"/>
                <w:color w:val="auto"/>
                <w:sz w:val="21"/>
                <w:szCs w:val="21"/>
                <w:highlight w:val="none"/>
                <w:vertAlign w:val="baseline"/>
                <w:lang w:val="en-US" w:eastAsia="zh-CN"/>
              </w:rPr>
              <w:t>不新增永久占地。</w:t>
            </w:r>
          </w:p>
        </w:tc>
      </w:tr>
      <w:tr w14:paraId="150C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77" w:type="pct"/>
            <w:vAlign w:val="center"/>
          </w:tcPr>
          <w:p w14:paraId="67A489DB">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807" w:type="pct"/>
            <w:vAlign w:val="center"/>
          </w:tcPr>
          <w:p w14:paraId="46E6427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集输管线</w:t>
            </w:r>
          </w:p>
        </w:tc>
        <w:tc>
          <w:tcPr>
            <w:tcW w:w="438" w:type="pct"/>
            <w:vAlign w:val="center"/>
          </w:tcPr>
          <w:p w14:paraId="61CA3FF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74" w:type="pct"/>
            <w:vAlign w:val="center"/>
          </w:tcPr>
          <w:p w14:paraId="2959D58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0.4208</w:t>
            </w:r>
          </w:p>
        </w:tc>
        <w:tc>
          <w:tcPr>
            <w:tcW w:w="524" w:type="pct"/>
            <w:vAlign w:val="center"/>
          </w:tcPr>
          <w:p w14:paraId="4AF60C2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0.4208</w:t>
            </w:r>
          </w:p>
        </w:tc>
        <w:tc>
          <w:tcPr>
            <w:tcW w:w="2277" w:type="pct"/>
            <w:vAlign w:val="center"/>
          </w:tcPr>
          <w:p w14:paraId="7A2DF85E">
            <w:pP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r>
              <w:rPr>
                <w:rFonts w:hint="default" w:ascii="Times New Roman" w:hAnsi="Times New Roman" w:cs="Times New Roman"/>
                <w:color w:val="auto"/>
                <w:sz w:val="21"/>
                <w:szCs w:val="21"/>
                <w:highlight w:val="none"/>
              </w:rPr>
              <w:t>掺稀管线</w:t>
            </w:r>
            <w:r>
              <w:rPr>
                <w:rFonts w:hint="eastAsia" w:cs="Times New Roman"/>
                <w:color w:val="auto"/>
                <w:sz w:val="21"/>
                <w:szCs w:val="21"/>
                <w:highlight w:val="none"/>
                <w:lang w:val="en-US" w:eastAsia="zh-CN"/>
              </w:rPr>
              <w:t>601m</w:t>
            </w:r>
            <w:r>
              <w:rPr>
                <w:rFonts w:hint="default" w:ascii="Times New Roman" w:hAnsi="Times New Roman" w:cs="Times New Roman"/>
                <w:color w:val="auto"/>
                <w:sz w:val="21"/>
                <w:szCs w:val="21"/>
                <w:highlight w:val="none"/>
              </w:rPr>
              <w:t>、燃料气管线</w:t>
            </w:r>
            <w:r>
              <w:rPr>
                <w:rFonts w:hint="eastAsia" w:cs="Times New Roman"/>
                <w:color w:val="auto"/>
                <w:sz w:val="21"/>
                <w:szCs w:val="21"/>
                <w:highlight w:val="none"/>
                <w:lang w:val="en-US" w:eastAsia="zh-CN"/>
              </w:rPr>
              <w:t>601m</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采油</w:t>
            </w:r>
            <w:r>
              <w:rPr>
                <w:rFonts w:hint="default" w:ascii="Times New Roman" w:hAnsi="Times New Roman" w:cs="Times New Roman"/>
                <w:color w:val="auto"/>
                <w:sz w:val="21"/>
                <w:szCs w:val="21"/>
                <w:highlight w:val="none"/>
              </w:rPr>
              <w:t>管线</w:t>
            </w:r>
            <w:r>
              <w:rPr>
                <w:rFonts w:hint="eastAsia" w:cs="Times New Roman"/>
                <w:color w:val="auto"/>
                <w:sz w:val="21"/>
                <w:szCs w:val="21"/>
                <w:highlight w:val="none"/>
                <w:lang w:val="en-US" w:eastAsia="zh-CN"/>
              </w:rPr>
              <w:t>601.1m，三条管线</w:t>
            </w:r>
            <w:r>
              <w:rPr>
                <w:rFonts w:hint="default" w:ascii="Times New Roman" w:hAnsi="Times New Roman" w:cs="Times New Roman"/>
                <w:color w:val="auto"/>
                <w:sz w:val="21"/>
                <w:szCs w:val="21"/>
                <w:highlight w:val="none"/>
              </w:rPr>
              <w:t>同沟敷设，作业带范围</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4口侧钻老井管线均利旧。</w:t>
            </w:r>
          </w:p>
        </w:tc>
      </w:tr>
      <w:tr w14:paraId="22DD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77" w:type="pct"/>
            <w:vAlign w:val="center"/>
          </w:tcPr>
          <w:p w14:paraId="60FD7E26">
            <w:pPr>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807" w:type="pct"/>
            <w:vAlign w:val="center"/>
          </w:tcPr>
          <w:p w14:paraId="718EEB3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临时生活区</w:t>
            </w:r>
          </w:p>
        </w:tc>
        <w:tc>
          <w:tcPr>
            <w:tcW w:w="438" w:type="pct"/>
            <w:vAlign w:val="center"/>
          </w:tcPr>
          <w:p w14:paraId="0C11F39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74" w:type="pct"/>
            <w:vAlign w:val="center"/>
          </w:tcPr>
          <w:p w14:paraId="40409FF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0.96</w:t>
            </w:r>
          </w:p>
        </w:tc>
        <w:tc>
          <w:tcPr>
            <w:tcW w:w="524" w:type="pct"/>
            <w:vAlign w:val="center"/>
          </w:tcPr>
          <w:p w14:paraId="7648241C">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0.96</w:t>
            </w:r>
          </w:p>
        </w:tc>
        <w:tc>
          <w:tcPr>
            <w:tcW w:w="2277" w:type="pct"/>
            <w:vAlign w:val="center"/>
          </w:tcPr>
          <w:p w14:paraId="58C552A4">
            <w:pPr>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每个</w:t>
            </w:r>
            <w:r>
              <w:rPr>
                <w:rFonts w:hint="eastAsia" w:cs="Times New Roman"/>
                <w:color w:val="auto"/>
                <w:sz w:val="21"/>
                <w:szCs w:val="21"/>
                <w:highlight w:val="none"/>
                <w:lang w:val="en-US" w:eastAsia="zh-CN"/>
              </w:rPr>
              <w:t>钻井</w:t>
            </w:r>
            <w:r>
              <w:rPr>
                <w:rFonts w:hint="default" w:ascii="Times New Roman" w:hAnsi="Times New Roman" w:cs="Times New Roman"/>
                <w:color w:val="auto"/>
                <w:sz w:val="21"/>
                <w:szCs w:val="21"/>
                <w:highlight w:val="none"/>
              </w:rPr>
              <w:t>井场临时生活区占地面积2400m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vertAlign w:val="baseline"/>
                <w:lang w:eastAsia="zh-CN"/>
              </w:rPr>
              <w:t>。</w:t>
            </w:r>
          </w:p>
        </w:tc>
      </w:tr>
      <w:tr w14:paraId="1FE8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84" w:type="pct"/>
            <w:gridSpan w:val="2"/>
            <w:vAlign w:val="center"/>
          </w:tcPr>
          <w:p w14:paraId="144BAE4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438" w:type="pct"/>
            <w:vAlign w:val="center"/>
          </w:tcPr>
          <w:p w14:paraId="126692E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74" w:type="pct"/>
            <w:vAlign w:val="center"/>
          </w:tcPr>
          <w:p w14:paraId="185E80D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4.8608</w:t>
            </w:r>
          </w:p>
        </w:tc>
        <w:tc>
          <w:tcPr>
            <w:tcW w:w="524" w:type="pct"/>
            <w:vAlign w:val="center"/>
          </w:tcPr>
          <w:p w14:paraId="731946E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4.8608</w:t>
            </w:r>
          </w:p>
        </w:tc>
        <w:tc>
          <w:tcPr>
            <w:tcW w:w="2277" w:type="pct"/>
            <w:vAlign w:val="center"/>
          </w:tcPr>
          <w:p w14:paraId="7AC8AE4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14:paraId="01474000">
      <w:pPr>
        <w:pStyle w:val="13"/>
        <w:jc w:val="center"/>
        <w:rPr>
          <w:rFonts w:hint="default" w:ascii="Times New Roman" w:hAnsi="Times New Roman" w:eastAsia="黑体" w:cs="Times New Roman"/>
          <w:i w:val="0"/>
          <w:iCs w:val="0"/>
          <w:color w:val="auto"/>
          <w:kern w:val="0"/>
          <w:sz w:val="21"/>
          <w:szCs w:val="21"/>
          <w:highlight w:val="none"/>
          <w:u w:val="none"/>
          <w:lang w:val="en-US" w:eastAsia="zh-CN" w:bidi="ar"/>
        </w:rPr>
      </w:pPr>
    </w:p>
    <w:p w14:paraId="1E7850FE">
      <w:pPr>
        <w:pStyle w:val="7"/>
        <w:pageBreakBefore w:val="0"/>
        <w:widowControl/>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"3.2.3.2"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.2</w:t>
      </w:r>
      <w:r>
        <w:rPr>
          <w:rFonts w:hint="default" w:ascii="Times New Roman" w:hAnsi="Times New Roman" w:cs="Times New Roman"/>
          <w:color w:val="auto"/>
          <w:highlight w:val="none"/>
        </w:rPr>
        <w:fldChar w:fldCharType="end"/>
      </w:r>
      <w:r>
        <w:rPr>
          <w:rFonts w:hint="default" w:ascii="Times New Roman" w:hAnsi="Times New Roman" w:eastAsia="宋体" w:cs="Times New Roman"/>
          <w:b/>
          <w:color w:val="auto"/>
          <w:sz w:val="24"/>
          <w:szCs w:val="22"/>
          <w:highlight w:val="none"/>
        </w:rPr>
        <w:t>施工期污染源分析</w:t>
      </w:r>
    </w:p>
    <w:p w14:paraId="035F9165">
      <w:pPr>
        <w:pStyle w:val="12"/>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废气污染源</w:t>
      </w:r>
    </w:p>
    <w:p w14:paraId="1A2C995C">
      <w:pPr>
        <w:pStyle w:val="12"/>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在施工期对环境空气的影响</w:t>
      </w:r>
      <w:r>
        <w:rPr>
          <w:rFonts w:hint="default" w:ascii="Times New Roman" w:hAnsi="Times New Roman" w:cs="Times New Roman"/>
          <w:color w:val="auto"/>
          <w:highlight w:val="none"/>
          <w:lang w:val="en-US" w:eastAsia="zh-CN"/>
        </w:rPr>
        <w:t>包括施工扬尘、施工车辆尾气、焊接废气、钻井工程废气和储层改造废气。</w:t>
      </w:r>
    </w:p>
    <w:p w14:paraId="185C85A9">
      <w:pPr>
        <w:pStyle w:val="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①施工扬尘</w:t>
      </w:r>
    </w:p>
    <w:p w14:paraId="78504A33">
      <w:pPr>
        <w:pStyle w:val="13"/>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pacing w:val="9"/>
          <w:highlight w:val="none"/>
        </w:rPr>
        <w:t>施工扬尘主要来自管沟开挖、场地平整、池体开挖、车辆运输过程中产生，井场施工过程中池体开挖、管沟开挖周期较短，且井场采取洒水抑尘，运输车辆采取减速慢行和苫盖措施，可有效降低扬尘对周围大气环境的不利影响</w:t>
      </w:r>
      <w:r>
        <w:rPr>
          <w:rFonts w:hint="default" w:ascii="Times New Roman" w:hAnsi="Times New Roman" w:cs="Times New Roman"/>
          <w:color w:val="auto"/>
          <w:spacing w:val="9"/>
          <w:highlight w:val="none"/>
          <w:lang w:eastAsia="zh-CN"/>
        </w:rPr>
        <w:t>。</w:t>
      </w:r>
    </w:p>
    <w:p w14:paraId="21BE3764">
      <w:pPr>
        <w:pStyle w:val="13"/>
        <w:rPr>
          <w:rFonts w:hint="default" w:ascii="Times New Roman" w:hAnsi="Times New Roman" w:eastAsia="宋体" w:cs="Times New Roman"/>
          <w:color w:val="auto"/>
          <w:sz w:val="24"/>
          <w:szCs w:val="20"/>
          <w:highlight w:val="none"/>
          <w:lang w:val="en-US" w:eastAsia="zh-CN" w:bidi="ar-SA"/>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4"/>
          <w:szCs w:val="20"/>
          <w:highlight w:val="none"/>
          <w:lang w:val="en-US" w:eastAsia="zh-CN" w:bidi="ar-SA"/>
        </w:rPr>
        <w:t>施工车辆尾气</w:t>
      </w:r>
    </w:p>
    <w:p w14:paraId="432F81B2">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在油气田地面工程施工中使用多种燃油机动设备和运输车辆，会产生机械设备和车辆内燃机燃料燃烧废气，其污染物主要有颗粒物、SO</w:t>
      </w:r>
      <w:r>
        <w:rPr>
          <w:rFonts w:hint="default" w:ascii="Times New Roman" w:hAnsi="Times New Roman" w:eastAsia="宋体" w:cs="Times New Roman"/>
          <w:color w:val="auto"/>
          <w:sz w:val="24"/>
          <w:szCs w:val="20"/>
          <w:highlight w:val="none"/>
          <w:vertAlign w:val="subscript"/>
          <w:lang w:val="en-US" w:eastAsia="zh-CN" w:bidi="ar-SA"/>
        </w:rPr>
        <w:t>2</w:t>
      </w:r>
      <w:r>
        <w:rPr>
          <w:rFonts w:hint="default" w:ascii="Times New Roman" w:hAnsi="Times New Roman" w:eastAsia="宋体" w:cs="Times New Roman"/>
          <w:color w:val="auto"/>
          <w:sz w:val="24"/>
          <w:szCs w:val="20"/>
          <w:highlight w:val="none"/>
          <w:lang w:val="en-US" w:eastAsia="zh-CN" w:bidi="ar-SA"/>
        </w:rPr>
        <w:t>、NO</w:t>
      </w:r>
      <w:r>
        <w:rPr>
          <w:rFonts w:hint="default" w:ascii="Times New Roman" w:hAnsi="Times New Roman" w:eastAsia="宋体" w:cs="Times New Roman"/>
          <w:color w:val="auto"/>
          <w:sz w:val="24"/>
          <w:szCs w:val="20"/>
          <w:highlight w:val="none"/>
          <w:vertAlign w:val="subscript"/>
          <w:lang w:val="en-US" w:eastAsia="zh-CN" w:bidi="ar-SA"/>
        </w:rPr>
        <w:t>X</w:t>
      </w:r>
      <w:r>
        <w:rPr>
          <w:rFonts w:hint="default" w:ascii="Times New Roman" w:hAnsi="Times New Roman" w:eastAsia="宋体" w:cs="Times New Roman"/>
          <w:color w:val="auto"/>
          <w:sz w:val="24"/>
          <w:szCs w:val="20"/>
          <w:highlight w:val="none"/>
          <w:lang w:val="en-US" w:eastAsia="zh-CN" w:bidi="ar-SA"/>
        </w:rPr>
        <w:t>等</w:t>
      </w:r>
      <w:r>
        <w:rPr>
          <w:rFonts w:hint="default" w:ascii="Times New Roman" w:hAnsi="Times New Roman" w:cs="Times New Roman"/>
          <w:color w:val="auto"/>
          <w:sz w:val="24"/>
          <w:szCs w:val="20"/>
          <w:highlight w:val="none"/>
          <w:lang w:val="en-US" w:eastAsia="zh-CN" w:bidi="ar-SA"/>
        </w:rPr>
        <w:t>。</w:t>
      </w:r>
      <w:r>
        <w:rPr>
          <w:rFonts w:hint="default" w:ascii="Times New Roman" w:hAnsi="Times New Roman" w:eastAsia="宋体" w:cs="Times New Roman"/>
          <w:color w:val="auto"/>
          <w:sz w:val="24"/>
          <w:szCs w:val="20"/>
          <w:highlight w:val="none"/>
          <w:lang w:val="en-US" w:eastAsia="zh-CN" w:bidi="ar-SA"/>
        </w:rPr>
        <w:t>施工机械和运输车辆运行时间一般都较短，从影响范围和程度来看，施工机械废气对周围大气环境的影响是有限的</w:t>
      </w:r>
      <w:r>
        <w:rPr>
          <w:rFonts w:hint="default" w:ascii="Times New Roman" w:hAnsi="Times New Roman" w:cs="Times New Roman"/>
          <w:color w:val="auto"/>
          <w:sz w:val="24"/>
          <w:szCs w:val="20"/>
          <w:highlight w:val="none"/>
          <w:lang w:val="en-US" w:eastAsia="zh-CN" w:bidi="ar-SA"/>
        </w:rPr>
        <w:t>。</w:t>
      </w:r>
    </w:p>
    <w:p w14:paraId="52ACE864">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cs="Times New Roman"/>
          <w:color w:val="auto"/>
          <w:sz w:val="24"/>
          <w:szCs w:val="20"/>
          <w:highlight w:val="none"/>
          <w:lang w:val="en-US" w:eastAsia="zh-CN" w:bidi="ar-SA"/>
        </w:rPr>
        <w:t>③</w:t>
      </w:r>
      <w:r>
        <w:rPr>
          <w:rFonts w:hint="default" w:ascii="Times New Roman" w:hAnsi="Times New Roman" w:cs="Times New Roman"/>
          <w:color w:val="auto"/>
          <w:highlight w:val="none"/>
          <w:lang w:val="en-US" w:eastAsia="zh-CN"/>
        </w:rPr>
        <w:t>焊接废气</w:t>
      </w:r>
    </w:p>
    <w:p w14:paraId="67D64C33">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金属材质管线连接过程中会产生一定量的焊接烟气，污染物主要为颗粒物。管线焊接时间一般都较短，从影响范围和程度来看，施工机械废气对周围大气环境的影响是有限的</w:t>
      </w:r>
      <w:r>
        <w:rPr>
          <w:rFonts w:hint="default" w:ascii="Times New Roman" w:hAnsi="Times New Roman" w:cs="Times New Roman"/>
          <w:color w:val="auto"/>
          <w:sz w:val="24"/>
          <w:szCs w:val="20"/>
          <w:highlight w:val="none"/>
          <w:lang w:val="en-US" w:eastAsia="zh-CN" w:bidi="ar-SA"/>
        </w:rPr>
        <w:t>。</w:t>
      </w:r>
    </w:p>
    <w:p w14:paraId="7A625043">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cs="Times New Roman"/>
          <w:color w:val="auto"/>
          <w:sz w:val="24"/>
          <w:szCs w:val="20"/>
          <w:highlight w:val="none"/>
          <w:lang w:val="en-US" w:eastAsia="zh-CN" w:bidi="ar-SA"/>
        </w:rPr>
        <w:t>④钻井工程废气</w:t>
      </w:r>
    </w:p>
    <w:p w14:paraId="2FAB5469">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cs="Times New Roman"/>
          <w:color w:val="auto"/>
          <w:sz w:val="24"/>
          <w:szCs w:val="20"/>
          <w:highlight w:val="none"/>
          <w:lang w:val="en-US" w:eastAsia="zh-CN" w:bidi="ar-SA"/>
        </w:rPr>
        <w:t>钻井结束时需进行油气测试，会产生测试放喷废气。本项目测试放喷期间分离出的天然气经管线引至放空火炬点燃。据此，测试放喷期间大气污染物主要来自放空天然气燃烧产生的废气。</w:t>
      </w:r>
    </w:p>
    <w:p w14:paraId="3E87153D">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cs="Times New Roman"/>
          <w:color w:val="auto"/>
          <w:sz w:val="24"/>
          <w:szCs w:val="20"/>
          <w:highlight w:val="none"/>
          <w:lang w:val="en-US" w:eastAsia="zh-CN" w:bidi="ar-SA"/>
        </w:rPr>
        <w:t>测试放喷期间油气通过分离器分离，油水混合物进入油水罐储存，分离出的气体燃烧放空，当伴生气含有硫化氢时，通过燃烧转化成二氧化硫，可有效降低毒性气体的毒性。天然气放空产生的废气量取决于该井目的层天然气含量和测试放喷期间释放量，依据</w:t>
      </w:r>
      <w:r>
        <w:rPr>
          <w:rFonts w:hint="eastAsia" w:cs="Times New Roman"/>
          <w:color w:val="auto"/>
          <w:sz w:val="24"/>
          <w:szCs w:val="20"/>
          <w:highlight w:val="none"/>
          <w:lang w:val="en-US" w:eastAsia="zh-CN" w:bidi="ar-SA"/>
        </w:rPr>
        <w:t>具体情况</w:t>
      </w:r>
      <w:r>
        <w:rPr>
          <w:rFonts w:hint="default" w:ascii="Times New Roman" w:hAnsi="Times New Roman" w:cs="Times New Roman"/>
          <w:color w:val="auto"/>
          <w:sz w:val="24"/>
          <w:szCs w:val="20"/>
          <w:highlight w:val="none"/>
          <w:lang w:val="en-US" w:eastAsia="zh-CN" w:bidi="ar-SA"/>
        </w:rPr>
        <w:t>设定测试放喷时间，一般为1～2d。</w:t>
      </w:r>
    </w:p>
    <w:p w14:paraId="733692BB">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cs="Times New Roman"/>
          <w:color w:val="auto"/>
          <w:sz w:val="24"/>
          <w:szCs w:val="20"/>
          <w:highlight w:val="none"/>
          <w:lang w:val="en-US" w:eastAsia="zh-CN" w:bidi="ar-SA"/>
        </w:rPr>
        <w:t>⑤储层改造废气</w:t>
      </w:r>
    </w:p>
    <w:p w14:paraId="0F2DEBFE">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cs="Times New Roman"/>
          <w:color w:val="auto"/>
          <w:sz w:val="24"/>
          <w:szCs w:val="20"/>
          <w:highlight w:val="none"/>
          <w:lang w:val="en-US" w:eastAsia="zh-CN" w:bidi="ar-SA"/>
        </w:rPr>
        <w:t>储层改造过程废气主要来源于压裂液现场暂存过程、压裂液注入过程以及压裂返排液暂存过程中产生的废气，主要成分为HCl等，采取压裂液和压裂返排液密闭罐存放措施，有效降低酸性废气排放。</w:t>
      </w:r>
    </w:p>
    <w:p w14:paraId="205DCC74">
      <w:pPr>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废水污染源</w:t>
      </w:r>
    </w:p>
    <w:p w14:paraId="38763F93">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pacing w:val="4"/>
          <w:kern w:val="24"/>
          <w:szCs w:val="22"/>
          <w:highlight w:val="none"/>
          <w:lang w:eastAsia="zh-CN"/>
        </w:rPr>
        <w:t>施工期产生的废水主要为钻井废水、酸化压裂返排液、管线试压废水和生活污水。</w:t>
      </w:r>
    </w:p>
    <w:p w14:paraId="5221C7D6">
      <w:pPr>
        <w:pStyle w:val="75"/>
        <w:pageBreakBefore w:val="0"/>
        <w:widowControl/>
        <w:kinsoku/>
        <w:wordWrap/>
        <w:overflowPunct/>
        <w:topLinePunct w:val="0"/>
        <w:autoSpaceDE/>
        <w:autoSpaceDN/>
        <w:bidi w:val="0"/>
        <w:adjustRightInd w:val="0"/>
        <w:snapToGrid w:val="0"/>
        <w:spacing w:before="0" w:after="0" w:line="360" w:lineRule="auto"/>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①钻井废</w:t>
      </w:r>
      <w:r>
        <w:rPr>
          <w:rFonts w:hint="default" w:ascii="Times New Roman" w:hAnsi="Times New Roman" w:cs="Times New Roman"/>
          <w:color w:val="auto"/>
          <w:highlight w:val="none"/>
        </w:rPr>
        <w:t>水</w:t>
      </w:r>
    </w:p>
    <w:p w14:paraId="24152167">
      <w:pPr>
        <w:pageBreakBefore w:val="0"/>
        <w:widowControl/>
        <w:kinsoku/>
        <w:wordWrap/>
        <w:overflowPunct/>
        <w:topLinePunct w:val="0"/>
        <w:autoSpaceDE/>
        <w:autoSpaceDN/>
        <w:bidi w:val="0"/>
        <w:adjustRightInd w:val="0"/>
        <w:snapToGrid w:val="0"/>
        <w:spacing w:line="360" w:lineRule="auto"/>
        <w:ind w:firstLine="500" w:firstLineChars="200"/>
        <w:jc w:val="both"/>
        <w:textAlignment w:val="auto"/>
        <w:rPr>
          <w:rFonts w:hint="default" w:ascii="Times New Roman" w:hAnsi="Times New Roman" w:cs="Times New Roman"/>
          <w:color w:val="auto"/>
          <w:spacing w:val="4"/>
          <w:kern w:val="24"/>
          <w:sz w:val="24"/>
          <w:szCs w:val="24"/>
          <w:highlight w:val="none"/>
        </w:rPr>
      </w:pPr>
      <w:r>
        <w:rPr>
          <w:rFonts w:hint="eastAsia" w:hAnsi="宋体" w:cs="宋体"/>
          <w:color w:val="auto"/>
          <w:sz w:val="25"/>
          <w:szCs w:val="25"/>
          <w:highlight w:val="none"/>
        </w:rPr>
        <w:t>钻井废水由冲洗钻台、钻具、地面、设备用水及起下钻时的泥浆流失物、泥浆循环系统的渗透物组成。</w:t>
      </w:r>
      <w:r>
        <w:rPr>
          <w:rFonts w:hint="eastAsia" w:hAnsi="宋体" w:cs="宋体"/>
          <w:color w:val="auto"/>
          <w:sz w:val="25"/>
          <w:szCs w:val="25"/>
          <w:highlight w:val="none"/>
          <w:lang w:val="en-US" w:eastAsia="zh-CN"/>
        </w:rPr>
        <w:t>钻井废水</w:t>
      </w:r>
      <w:r>
        <w:rPr>
          <w:rFonts w:hint="default" w:ascii="Times New Roman" w:hAnsi="Times New Roman" w:cs="Times New Roman"/>
          <w:color w:val="auto"/>
          <w:spacing w:val="4"/>
          <w:kern w:val="24"/>
          <w:sz w:val="24"/>
          <w:szCs w:val="24"/>
          <w:highlight w:val="none"/>
        </w:rPr>
        <w:t>钻井液等物质被水高倍稀释的产物，其组成、性质及危害与钻井液类型、处理剂的组成有关，主要污染物</w:t>
      </w:r>
      <w:r>
        <w:rPr>
          <w:rFonts w:hint="eastAsia" w:hAnsi="宋体" w:cs="宋体"/>
          <w:color w:val="auto"/>
          <w:sz w:val="25"/>
          <w:szCs w:val="25"/>
          <w:highlight w:val="none"/>
        </w:rPr>
        <w:t>有SS、挥发酚、COD、氨氮、硫化物、石油类</w:t>
      </w:r>
      <w:r>
        <w:rPr>
          <w:rFonts w:hint="default" w:ascii="Times New Roman" w:hAnsi="Times New Roman" w:cs="Times New Roman"/>
          <w:color w:val="auto"/>
          <w:spacing w:val="4"/>
          <w:kern w:val="24"/>
          <w:sz w:val="24"/>
          <w:szCs w:val="24"/>
          <w:highlight w:val="none"/>
        </w:rPr>
        <w:t>等。废水中的</w:t>
      </w:r>
      <w:r>
        <w:rPr>
          <w:rFonts w:hint="default" w:ascii="Times New Roman" w:hAnsi="Times New Roman" w:cs="Times New Roman"/>
          <w:color w:val="auto"/>
          <w:spacing w:val="4"/>
          <w:kern w:val="24"/>
          <w:sz w:val="24"/>
          <w:szCs w:val="24"/>
          <w:highlight w:val="none"/>
          <w:lang w:eastAsia="zh-CN"/>
        </w:rPr>
        <w:t>pH</w:t>
      </w:r>
      <w:r>
        <w:rPr>
          <w:rFonts w:hint="default" w:ascii="Times New Roman" w:hAnsi="Times New Roman" w:cs="Times New Roman"/>
          <w:color w:val="auto"/>
          <w:spacing w:val="4"/>
          <w:kern w:val="24"/>
          <w:sz w:val="24"/>
          <w:szCs w:val="24"/>
          <w:highlight w:val="none"/>
        </w:rPr>
        <w:t>值高，多在8.5~9.0之间；悬浮物含量多在2000~2500mg/L之间，COD多在3000~4000mg/L之间，石油类多在60~70mg/L之间。</w:t>
      </w:r>
    </w:p>
    <w:p w14:paraId="06AF4DB5">
      <w:pPr>
        <w:pageBreakBefore w:val="0"/>
        <w:kinsoku/>
        <w:overflowPunct/>
        <w:topLinePunct w:val="0"/>
        <w:autoSpaceDE/>
        <w:autoSpaceDN/>
        <w:bidi w:val="0"/>
        <w:adjustRightInd w:val="0"/>
        <w:snapToGrid w:val="0"/>
        <w:spacing w:line="360" w:lineRule="auto"/>
        <w:ind w:firstLine="500" w:firstLineChars="200"/>
        <w:jc w:val="both"/>
        <w:rPr>
          <w:rFonts w:hint="default" w:ascii="Times New Roman" w:hAnsi="Times New Roman" w:cs="Times New Roman"/>
          <w:color w:val="auto"/>
          <w:spacing w:val="4"/>
          <w:kern w:val="24"/>
          <w:sz w:val="24"/>
          <w:szCs w:val="24"/>
          <w:highlight w:val="none"/>
        </w:rPr>
      </w:pPr>
      <w:r>
        <w:rPr>
          <w:rFonts w:hint="eastAsia" w:hAnsi="宋体" w:cs="宋体"/>
          <w:color w:val="auto"/>
          <w:sz w:val="25"/>
          <w:szCs w:val="25"/>
          <w:highlight w:val="none"/>
        </w:rPr>
        <w:t>根据类比目前塔河油田钻井实际情况，井场产生的钻井废水约为0.05m</w:t>
      </w:r>
      <w:r>
        <w:rPr>
          <w:rFonts w:hint="eastAsia" w:hAnsi="宋体" w:cs="宋体"/>
          <w:color w:val="auto"/>
          <w:sz w:val="25"/>
          <w:szCs w:val="25"/>
          <w:highlight w:val="none"/>
          <w:vertAlign w:val="superscript"/>
        </w:rPr>
        <w:t>3</w:t>
      </w:r>
      <w:r>
        <w:rPr>
          <w:rFonts w:hint="eastAsia" w:hAnsi="宋体" w:cs="宋体"/>
          <w:color w:val="auto"/>
          <w:sz w:val="25"/>
          <w:szCs w:val="25"/>
          <w:highlight w:val="none"/>
        </w:rPr>
        <w:t>/m，</w:t>
      </w:r>
      <w:r>
        <w:rPr>
          <w:rFonts w:hint="default" w:ascii="Times New Roman" w:hAnsi="Times New Roman" w:cs="Times New Roman"/>
          <w:color w:val="auto"/>
          <w:highlight w:val="none"/>
          <w:lang w:eastAsia="zh-CN"/>
        </w:rPr>
        <w:t>本项目老井侧钻井</w:t>
      </w:r>
      <w:r>
        <w:rPr>
          <w:rFonts w:hint="eastAsia" w:cs="Times New Roman"/>
          <w:color w:val="auto"/>
          <w:highlight w:val="none"/>
          <w:lang w:val="en-US" w:eastAsia="zh-CN"/>
        </w:rPr>
        <w:t>4</w:t>
      </w:r>
      <w:r>
        <w:rPr>
          <w:rFonts w:hint="default" w:ascii="Times New Roman" w:hAnsi="Times New Roman" w:cs="Times New Roman"/>
          <w:color w:val="auto"/>
          <w:highlight w:val="none"/>
          <w:lang w:eastAsia="zh-CN"/>
        </w:rPr>
        <w:t>口</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总</w:t>
      </w:r>
      <w:r>
        <w:rPr>
          <w:rFonts w:hint="default" w:ascii="Times New Roman" w:hAnsi="Times New Roman" w:cs="Times New Roman"/>
          <w:color w:val="auto"/>
          <w:spacing w:val="-3"/>
          <w:sz w:val="24"/>
          <w:szCs w:val="24"/>
          <w:highlight w:val="none"/>
          <w:lang w:eastAsia="zh-CN"/>
        </w:rPr>
        <w:t>进尺</w:t>
      </w:r>
      <w:r>
        <w:rPr>
          <w:rFonts w:hint="eastAsia" w:cs="Times New Roman"/>
          <w:color w:val="auto"/>
          <w:spacing w:val="-3"/>
          <w:sz w:val="24"/>
          <w:szCs w:val="24"/>
          <w:highlight w:val="none"/>
          <w:lang w:val="en-US" w:eastAsia="zh-CN"/>
        </w:rPr>
        <w:t>2473.1</w:t>
      </w:r>
      <w:r>
        <w:rPr>
          <w:rFonts w:hint="default" w:ascii="Times New Roman" w:hAnsi="Times New Roman" w:cs="Times New Roman"/>
          <w:color w:val="auto"/>
          <w:spacing w:val="-3"/>
          <w:sz w:val="24"/>
          <w:szCs w:val="24"/>
          <w:highlight w:val="none"/>
          <w:lang w:eastAsia="zh-CN"/>
        </w:rPr>
        <w:t>m</w:t>
      </w:r>
      <w:r>
        <w:rPr>
          <w:rFonts w:hint="eastAsia" w:hAnsi="宋体" w:cs="宋体"/>
          <w:color w:val="auto"/>
          <w:sz w:val="25"/>
          <w:szCs w:val="25"/>
          <w:highlight w:val="none"/>
        </w:rPr>
        <w:t>，产生的钻井废水约为</w:t>
      </w:r>
      <w:r>
        <w:rPr>
          <w:rFonts w:hint="eastAsia" w:hAnsi="宋体" w:cs="宋体"/>
          <w:color w:val="auto"/>
          <w:sz w:val="25"/>
          <w:szCs w:val="25"/>
          <w:highlight w:val="none"/>
          <w:lang w:val="en-US" w:eastAsia="zh-CN"/>
        </w:rPr>
        <w:t>123.7</w:t>
      </w:r>
      <w:r>
        <w:rPr>
          <w:rFonts w:hint="eastAsia" w:hAnsi="宋体" w:cs="宋体"/>
          <w:color w:val="auto"/>
          <w:sz w:val="25"/>
          <w:szCs w:val="25"/>
          <w:highlight w:val="none"/>
        </w:rPr>
        <w:t>m</w:t>
      </w:r>
      <w:r>
        <w:rPr>
          <w:rFonts w:hint="eastAsia" w:hAnsi="宋体" w:cs="宋体"/>
          <w:color w:val="auto"/>
          <w:sz w:val="25"/>
          <w:szCs w:val="25"/>
          <w:highlight w:val="none"/>
          <w:vertAlign w:val="superscript"/>
        </w:rPr>
        <w:t>3</w:t>
      </w:r>
      <w:r>
        <w:rPr>
          <w:rFonts w:hint="eastAsia" w:hAnsi="宋体" w:cs="宋体"/>
          <w:color w:val="auto"/>
          <w:sz w:val="25"/>
          <w:szCs w:val="25"/>
          <w:highlight w:val="none"/>
        </w:rPr>
        <w:t>。</w:t>
      </w:r>
      <w:r>
        <w:rPr>
          <w:rFonts w:hint="default" w:ascii="Times New Roman" w:hAnsi="Times New Roman" w:cs="Times New Roman"/>
          <w:color w:val="auto"/>
          <w:highlight w:val="none"/>
        </w:rPr>
        <w:t>钻井废水与钻井泥浆、岩屑一同进入不落地系统进行分离处理，分离后的液相拉运至其他钻井回用于钻井液配制，不外排。</w:t>
      </w:r>
    </w:p>
    <w:p w14:paraId="22CAFDC0">
      <w:pPr>
        <w:pStyle w:val="75"/>
        <w:pageBreakBefore w:val="0"/>
        <w:kinsoku/>
        <w:overflowPunct/>
        <w:topLinePunct w:val="0"/>
        <w:autoSpaceDE/>
        <w:autoSpaceDN/>
        <w:bidi w:val="0"/>
        <w:adjustRightInd w:val="0"/>
        <w:snapToGrid w:val="0"/>
        <w:spacing w:before="0" w:after="0" w:line="360" w:lineRule="auto"/>
        <w:ind w:left="0" w:leftChars="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4"/>
          <w:szCs w:val="24"/>
          <w:highlight w:val="none"/>
        </w:rPr>
        <w:t>酸化压裂返排液</w:t>
      </w:r>
    </w:p>
    <w:p w14:paraId="31E801EC">
      <w:pPr>
        <w:pStyle w:val="75"/>
        <w:pageBreakBefore w:val="0"/>
        <w:kinsoku/>
        <w:overflowPunct/>
        <w:topLinePunct w:val="0"/>
        <w:autoSpaceDE/>
        <w:autoSpaceDN/>
        <w:bidi w:val="0"/>
        <w:adjustRightInd w:val="0"/>
        <w:snapToGrid w:val="0"/>
        <w:spacing w:before="0" w:after="0" w:line="360" w:lineRule="auto"/>
        <w:jc w:val="both"/>
        <w:rPr>
          <w:rFonts w:hint="default" w:ascii="Times New Roman" w:hAnsi="Times New Roman" w:cs="Times New Roman"/>
          <w:color w:val="auto"/>
          <w:highlight w:val="none"/>
        </w:rPr>
      </w:pPr>
      <w:r>
        <w:rPr>
          <w:rFonts w:hint="default" w:ascii="Times New Roman" w:hAnsi="Times New Roman" w:cs="Times New Roman"/>
          <w:color w:val="auto"/>
          <w:sz w:val="25"/>
          <w:szCs w:val="25"/>
          <w:highlight w:val="none"/>
        </w:rPr>
        <w:t>钻井固定完毕后，需进行压裂完井，在储层改造过程中排出的压裂返排液中主要含有黄原胶、石油类及其他各种添加剂。</w:t>
      </w:r>
      <w:r>
        <w:rPr>
          <w:rFonts w:hint="eastAsia" w:cs="Times New Roman"/>
          <w:color w:val="auto"/>
          <w:sz w:val="25"/>
          <w:szCs w:val="25"/>
          <w:highlight w:val="none"/>
          <w:lang w:val="en-US" w:eastAsia="zh-CN"/>
        </w:rPr>
        <w:t>根据本项目4口侧钻井储层改造设计酸化压裂液总量为2380m</w:t>
      </w:r>
      <w:r>
        <w:rPr>
          <w:rFonts w:hint="eastAsia" w:cs="Times New Roman"/>
          <w:color w:val="auto"/>
          <w:sz w:val="25"/>
          <w:szCs w:val="25"/>
          <w:highlight w:val="none"/>
          <w:vertAlign w:val="superscript"/>
          <w:lang w:val="en-US" w:eastAsia="zh-CN"/>
        </w:rPr>
        <w:t>3</w:t>
      </w:r>
      <w:r>
        <w:rPr>
          <w:rFonts w:hint="eastAsia" w:cs="Times New Roman"/>
          <w:color w:val="auto"/>
          <w:sz w:val="25"/>
          <w:szCs w:val="25"/>
          <w:highlight w:val="none"/>
          <w:vertAlign w:val="baseline"/>
          <w:lang w:val="en-US" w:eastAsia="zh-CN"/>
        </w:rPr>
        <w:t>，</w:t>
      </w:r>
      <w:r>
        <w:rPr>
          <w:rFonts w:hint="default" w:ascii="Times New Roman" w:hAnsi="Times New Roman" w:cs="Times New Roman"/>
          <w:color w:val="auto"/>
          <w:sz w:val="25"/>
          <w:szCs w:val="25"/>
          <w:highlight w:val="none"/>
        </w:rPr>
        <w:t>酸化压裂过程酸化压裂返排液返排率为60%左右，</w:t>
      </w:r>
      <w:r>
        <w:rPr>
          <w:rFonts w:hint="eastAsia" w:cs="Times New Roman"/>
          <w:color w:val="auto"/>
          <w:sz w:val="25"/>
          <w:szCs w:val="25"/>
          <w:highlight w:val="none"/>
          <w:lang w:val="en-US" w:eastAsia="zh-CN"/>
        </w:rPr>
        <w:t>则本项目</w:t>
      </w:r>
      <w:r>
        <w:rPr>
          <w:rFonts w:hint="default" w:ascii="Times New Roman" w:hAnsi="Times New Roman" w:cs="Times New Roman"/>
          <w:color w:val="auto"/>
          <w:sz w:val="25"/>
          <w:szCs w:val="25"/>
          <w:highlight w:val="none"/>
        </w:rPr>
        <w:t>酸化压裂返排液产生量为</w:t>
      </w:r>
      <w:r>
        <w:rPr>
          <w:rFonts w:hint="eastAsia" w:cs="Times New Roman"/>
          <w:color w:val="auto"/>
          <w:sz w:val="25"/>
          <w:szCs w:val="25"/>
          <w:highlight w:val="none"/>
          <w:lang w:val="en-US" w:eastAsia="zh-CN"/>
        </w:rPr>
        <w:t>1428</w:t>
      </w:r>
      <w:r>
        <w:rPr>
          <w:rFonts w:hint="default" w:ascii="Times New Roman" w:hAnsi="Times New Roman" w:cs="Times New Roman"/>
          <w:color w:val="auto"/>
          <w:sz w:val="25"/>
          <w:szCs w:val="25"/>
          <w:highlight w:val="none"/>
        </w:rPr>
        <w:t>m</w:t>
      </w:r>
      <w:r>
        <w:rPr>
          <w:rFonts w:hint="default" w:ascii="Times New Roman" w:hAnsi="Times New Roman" w:cs="Times New Roman"/>
          <w:color w:val="auto"/>
          <w:sz w:val="25"/>
          <w:szCs w:val="25"/>
          <w:highlight w:val="none"/>
          <w:vertAlign w:val="superscript"/>
        </w:rPr>
        <w:t>3</w:t>
      </w:r>
      <w:r>
        <w:rPr>
          <w:rFonts w:hint="default" w:ascii="Times New Roman" w:hAnsi="Times New Roman" w:cs="Times New Roman"/>
          <w:color w:val="auto"/>
          <w:sz w:val="25"/>
          <w:szCs w:val="25"/>
          <w:highlight w:val="none"/>
        </w:rPr>
        <w:t>，储层改造过程中产生的压裂返排液排入回收罐中，运至塔河油田绿色环保站处理，处理达标后回注</w:t>
      </w:r>
      <w:r>
        <w:rPr>
          <w:rFonts w:hint="default" w:ascii="Times New Roman" w:hAnsi="Times New Roman" w:eastAsia="宋体" w:cs="Times New Roman"/>
          <w:color w:val="auto"/>
          <w:sz w:val="24"/>
          <w:szCs w:val="24"/>
          <w:highlight w:val="none"/>
        </w:rPr>
        <w:t>。</w:t>
      </w:r>
    </w:p>
    <w:p w14:paraId="12AD4517">
      <w:pPr>
        <w:pStyle w:val="75"/>
        <w:pageBreakBefore w:val="0"/>
        <w:kinsoku/>
        <w:overflowPunct/>
        <w:topLinePunct w:val="0"/>
        <w:autoSpaceDE/>
        <w:autoSpaceDN/>
        <w:bidi w:val="0"/>
        <w:adjustRightInd w:val="0"/>
        <w:snapToGrid w:val="0"/>
        <w:spacing w:before="0" w:after="0" w:line="360" w:lineRule="auto"/>
        <w:jc w:val="both"/>
        <w:rPr>
          <w:rFonts w:hint="default" w:ascii="Times New Roman" w:hAnsi="Times New Roman" w:cs="Times New Roman"/>
          <w:color w:val="auto"/>
          <w:highlight w:val="none"/>
        </w:rPr>
      </w:pPr>
      <w:r>
        <w:rPr>
          <w:rFonts w:hint="default" w:ascii="Times New Roman" w:hAnsi="Times New Roman" w:cs="Times New Roman"/>
          <w:color w:val="auto"/>
          <w:kern w:val="2"/>
          <w:sz w:val="25"/>
          <w:szCs w:val="25"/>
          <w:highlight w:val="none"/>
        </w:rPr>
        <w:t>③</w:t>
      </w:r>
      <w:r>
        <w:rPr>
          <w:rFonts w:hint="default" w:ascii="Times New Roman" w:hAnsi="Times New Roman" w:cs="Times New Roman"/>
          <w:color w:val="auto"/>
          <w:highlight w:val="none"/>
        </w:rPr>
        <w:t>生活污水</w:t>
      </w:r>
    </w:p>
    <w:p w14:paraId="29AE26A9">
      <w:pPr>
        <w:pStyle w:val="56"/>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施工期常驻井场人员按50人，</w:t>
      </w: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侧钻井</w:t>
      </w:r>
      <w:r>
        <w:rPr>
          <w:rFonts w:hint="default" w:ascii="Times New Roman" w:hAnsi="Times New Roman" w:cs="Times New Roman"/>
          <w:color w:val="auto"/>
          <w:sz w:val="24"/>
          <w:szCs w:val="24"/>
          <w:highlight w:val="none"/>
          <w:lang w:val="en-US" w:eastAsia="zh-CN"/>
        </w:rPr>
        <w:t>周期约为24天</w:t>
      </w:r>
      <w:r>
        <w:rPr>
          <w:rFonts w:hint="default" w:ascii="Times New Roman" w:hAnsi="Times New Roman" w:cs="Times New Roman"/>
          <w:color w:val="auto"/>
          <w:sz w:val="24"/>
          <w:szCs w:val="24"/>
          <w:highlight w:val="none"/>
        </w:rPr>
        <w:t>/井，</w:t>
      </w:r>
      <w:r>
        <w:rPr>
          <w:rFonts w:hint="default" w:ascii="Times New Roman" w:hAnsi="Times New Roman" w:cs="Times New Roman"/>
          <w:color w:val="auto"/>
          <w:sz w:val="24"/>
          <w:szCs w:val="24"/>
          <w:highlight w:val="none"/>
          <w:lang w:val="en-US" w:eastAsia="zh-CN"/>
        </w:rPr>
        <w:t>4口老井侧钻</w:t>
      </w:r>
      <w:r>
        <w:rPr>
          <w:rFonts w:hint="default" w:ascii="Times New Roman" w:hAnsi="Times New Roman" w:cs="Times New Roman"/>
          <w:color w:val="auto"/>
          <w:sz w:val="24"/>
          <w:szCs w:val="24"/>
          <w:highlight w:val="none"/>
        </w:rPr>
        <w:t>合计施工周期</w:t>
      </w:r>
      <w:r>
        <w:rPr>
          <w:rFonts w:hint="default" w:ascii="Times New Roman" w:hAnsi="Times New Roman" w:cs="Times New Roman"/>
          <w:color w:val="auto"/>
          <w:sz w:val="24"/>
          <w:szCs w:val="24"/>
          <w:highlight w:val="none"/>
          <w:lang w:val="en-US" w:eastAsia="zh-CN"/>
        </w:rPr>
        <w:t>96</w:t>
      </w:r>
      <w:r>
        <w:rPr>
          <w:rFonts w:hint="default" w:ascii="Times New Roman" w:hAnsi="Times New Roman" w:cs="Times New Roman"/>
          <w:color w:val="auto"/>
          <w:sz w:val="24"/>
          <w:szCs w:val="24"/>
          <w:highlight w:val="none"/>
        </w:rPr>
        <w:t>d。每人每天生活用水最高按100L计算，生活用水总量为</w:t>
      </w:r>
      <w:r>
        <w:rPr>
          <w:rFonts w:hint="default" w:ascii="Times New Roman" w:hAnsi="Times New Roman" w:cs="Times New Roman"/>
          <w:color w:val="auto"/>
          <w:sz w:val="24"/>
          <w:szCs w:val="24"/>
          <w:highlight w:val="none"/>
          <w:lang w:val="en-US" w:eastAsia="zh-CN"/>
        </w:rPr>
        <w:t>480</w:t>
      </w:r>
      <w:r>
        <w:rPr>
          <w:rFonts w:hint="default" w:ascii="Times New Roman" w:hAnsi="Times New Roman" w:cs="Times New Roman"/>
          <w:color w:val="auto"/>
          <w:sz w:val="24"/>
          <w:szCs w:val="24"/>
          <w:highlight w:val="none"/>
        </w:rPr>
        <w:t>m³，生活污水排放量按用水量的80%计，则钻井期内生活污水总产生量为</w:t>
      </w:r>
      <w:r>
        <w:rPr>
          <w:rFonts w:hint="default" w:ascii="Times New Roman" w:hAnsi="Times New Roman" w:cs="Times New Roman"/>
          <w:color w:val="auto"/>
          <w:sz w:val="24"/>
          <w:szCs w:val="24"/>
          <w:highlight w:val="none"/>
          <w:lang w:val="en-US" w:eastAsia="zh-CN"/>
        </w:rPr>
        <w:t>384</w:t>
      </w:r>
      <w:r>
        <w:rPr>
          <w:rFonts w:hint="default" w:ascii="Times New Roman" w:hAnsi="Times New Roman" w:cs="Times New Roman"/>
          <w:color w:val="auto"/>
          <w:sz w:val="24"/>
          <w:szCs w:val="24"/>
          <w:highlight w:val="none"/>
        </w:rPr>
        <w:t>m³，生活污水主要污染物为COD、</w:t>
      </w:r>
      <w:r>
        <w:rPr>
          <w:rFonts w:hint="default" w:ascii="Times New Roman" w:hAnsi="Times New Roman" w:cs="Times New Roman"/>
          <w:color w:val="auto"/>
          <w:sz w:val="24"/>
          <w:szCs w:val="24"/>
          <w:highlight w:val="none"/>
          <w:lang w:val="en-US" w:eastAsia="zh-CN"/>
        </w:rPr>
        <w:t>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-N、SS等，类比区域内油气田现状，生活污水中主要污染物浓度COD为400mg/L、BOD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为200mg/L、NH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-N为25mg/L、SS为220mg/L；各井场钻井期间均建设1座撬装式污水处理站，采用“生化+过滤”处理工艺，经污水处理站处理后，出水可达到COD60mg/L、BOD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为20mg/L、NH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-N为15mg/L、SS为20mg/L，可满足《农村生活污水处理排放标准》(DB654275-2019)表2的B级标准，处理达标后的水用于区域荒漠灌溉。</w:t>
      </w:r>
    </w:p>
    <w:p w14:paraId="56BBB6D8">
      <w:pPr>
        <w:pStyle w:val="75"/>
        <w:keepNext w:val="0"/>
        <w:keepLines w:val="0"/>
        <w:pageBreakBefore w:val="0"/>
        <w:kinsoku/>
        <w:wordWrap/>
        <w:overflowPunct/>
        <w:topLinePunct w:val="0"/>
        <w:autoSpaceDE/>
        <w:autoSpaceDN/>
        <w:bidi w:val="0"/>
        <w:adjustRightInd w:val="0"/>
        <w:snapToGrid w:val="0"/>
        <w:spacing w:before="0" w:after="0" w:line="360" w:lineRule="auto"/>
        <w:jc w:val="both"/>
        <w:rPr>
          <w:rFonts w:hint="default" w:ascii="Times New Roman" w:hAnsi="Times New Roman" w:cs="Times New Roman"/>
          <w:color w:val="auto"/>
          <w:highlight w:val="none"/>
        </w:rPr>
      </w:pPr>
      <w:r>
        <w:rPr>
          <w:rFonts w:hint="default" w:ascii="Times New Roman" w:hAnsi="Times New Roman" w:cs="Times New Roman"/>
          <w:color w:val="auto"/>
          <w:kern w:val="2"/>
          <w:sz w:val="25"/>
          <w:szCs w:val="25"/>
          <w:highlight w:val="none"/>
        </w:rPr>
        <w:t>④</w:t>
      </w:r>
      <w:r>
        <w:rPr>
          <w:rFonts w:hint="default" w:ascii="Times New Roman" w:hAnsi="Times New Roman" w:cs="Times New Roman"/>
          <w:color w:val="auto"/>
          <w:highlight w:val="none"/>
        </w:rPr>
        <w:t>试压废水</w:t>
      </w:r>
    </w:p>
    <w:p w14:paraId="2D119B18">
      <w:pPr>
        <w:pStyle w:val="76"/>
        <w:pageBreakBefore w:val="0"/>
        <w:kinsoku/>
        <w:overflowPunct/>
        <w:topLinePunct w:val="0"/>
        <w:autoSpaceDE/>
        <w:autoSpaceDN/>
        <w:bidi w:val="0"/>
        <w:adjustRightInd w:val="0"/>
        <w:snapToGrid w:val="0"/>
        <w:spacing w:line="360" w:lineRule="auto"/>
        <w:jc w:val="both"/>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管道工程分段试压以测试管道的强度和严密性，</w:t>
      </w: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rPr>
        <w:t>管道采用无腐蚀性洁净水作为试压介质，管道试压废水中主要污染物为SS。管道试压分段进行，试压水排出后进入下一段管线循环使用</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试压废水按照每千米2.5m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计算，</w:t>
      </w:r>
      <w:r>
        <w:rPr>
          <w:rFonts w:hint="default" w:ascii="Times New Roman" w:hAnsi="Times New Roman" w:cs="Times New Roman"/>
          <w:color w:val="auto"/>
          <w:szCs w:val="24"/>
          <w:highlight w:val="none"/>
          <w:lang w:eastAsia="zh-CN"/>
        </w:rPr>
        <w:t>本项目</w:t>
      </w:r>
      <w:r>
        <w:rPr>
          <w:rFonts w:hint="eastAsia" w:cs="Times New Roman"/>
          <w:color w:val="auto"/>
          <w:szCs w:val="24"/>
          <w:highlight w:val="none"/>
          <w:lang w:val="en-US" w:eastAsia="zh-CN"/>
        </w:rPr>
        <w:t>新建各类</w:t>
      </w:r>
      <w:r>
        <w:rPr>
          <w:rFonts w:hint="default" w:ascii="Times New Roman" w:hAnsi="Times New Roman" w:cs="Times New Roman"/>
          <w:color w:val="auto"/>
          <w:szCs w:val="24"/>
          <w:highlight w:val="none"/>
        </w:rPr>
        <w:t>管线</w:t>
      </w:r>
      <w:r>
        <w:rPr>
          <w:rFonts w:hint="eastAsia" w:cs="Times New Roman"/>
          <w:color w:val="auto"/>
          <w:szCs w:val="24"/>
          <w:highlight w:val="none"/>
          <w:lang w:val="en-US" w:eastAsia="zh-CN"/>
        </w:rPr>
        <w:t>总长为1.8km，</w:t>
      </w:r>
      <w:r>
        <w:rPr>
          <w:rFonts w:hint="default" w:ascii="Times New Roman" w:hAnsi="Times New Roman" w:cs="Times New Roman"/>
          <w:color w:val="auto"/>
          <w:szCs w:val="24"/>
          <w:highlight w:val="none"/>
        </w:rPr>
        <w:t>试压废水</w:t>
      </w:r>
      <w:r>
        <w:rPr>
          <w:rFonts w:hint="eastAsia" w:cs="Times New Roman"/>
          <w:color w:val="auto"/>
          <w:szCs w:val="24"/>
          <w:highlight w:val="none"/>
          <w:lang w:val="en-US" w:eastAsia="zh-CN"/>
        </w:rPr>
        <w:t>量</w:t>
      </w:r>
      <w:r>
        <w:rPr>
          <w:rFonts w:hint="default" w:ascii="Times New Roman" w:hAnsi="Times New Roman" w:cs="Times New Roman"/>
          <w:color w:val="auto"/>
          <w:szCs w:val="24"/>
          <w:highlight w:val="none"/>
        </w:rPr>
        <w:t>约为</w:t>
      </w:r>
      <w:r>
        <w:rPr>
          <w:rFonts w:hint="eastAsia" w:cs="Times New Roman"/>
          <w:color w:val="auto"/>
          <w:szCs w:val="24"/>
          <w:highlight w:val="none"/>
          <w:lang w:val="en-US" w:eastAsia="zh-CN"/>
        </w:rPr>
        <w:t>4.5</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，主要污染物为SS。</w:t>
      </w:r>
      <w:r>
        <w:rPr>
          <w:rFonts w:hint="eastAsia" w:cs="Times New Roman"/>
          <w:color w:val="auto"/>
          <w:szCs w:val="24"/>
          <w:highlight w:val="none"/>
          <w:lang w:val="en-US" w:eastAsia="zh-CN"/>
        </w:rPr>
        <w:t>试压结束后</w:t>
      </w:r>
      <w:r>
        <w:rPr>
          <w:rFonts w:hint="default" w:ascii="Times New Roman" w:hAnsi="Times New Roman" w:cs="Times New Roman"/>
          <w:color w:val="auto"/>
          <w:szCs w:val="24"/>
          <w:highlight w:val="none"/>
        </w:rPr>
        <w:t>可用作场地降尘用水</w:t>
      </w:r>
      <w:r>
        <w:rPr>
          <w:rFonts w:hint="default" w:ascii="Times New Roman" w:hAnsi="Times New Roman" w:cs="Times New Roman"/>
          <w:color w:val="auto"/>
          <w:highlight w:val="none"/>
        </w:rPr>
        <w:t>。</w:t>
      </w:r>
    </w:p>
    <w:p w14:paraId="63421BFE">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固体废物污染源</w:t>
      </w:r>
    </w:p>
    <w:p w14:paraId="08B17E54">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5"/>
          <w:szCs w:val="25"/>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5"/>
          <w:szCs w:val="25"/>
          <w:highlight w:val="none"/>
        </w:rPr>
        <w:t>钻井泥浆</w:t>
      </w:r>
    </w:p>
    <w:p w14:paraId="11BB7EB7">
      <w:pPr>
        <w:pStyle w:val="56"/>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kern w:val="2"/>
          <w:sz w:val="24"/>
          <w:szCs w:val="24"/>
          <w:highlight w:val="none"/>
        </w:rPr>
        <w:t>钻井液是钻井过程中使用的循环的流体，是液体、固体和化学处理剂的混合物，也称为钻井泥浆。废弃钻井泥浆是钻井过程中无法利用或钻井完井后弃置泥浆池内的泥浆，废弃钻井泥浆的性质由使用的钻井泥浆决定，其产生量随钻井的深度而增加，</w:t>
      </w:r>
      <w:r>
        <w:rPr>
          <w:rFonts w:hint="default" w:ascii="Times New Roman" w:hAnsi="Times New Roman" w:cs="Times New Roman"/>
          <w:color w:val="auto"/>
          <w:sz w:val="24"/>
          <w:szCs w:val="24"/>
          <w:highlight w:val="none"/>
        </w:rPr>
        <w:t>根据《关于发布</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排放源统计调查产排污核算方法和系数手册</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的公告》</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生态环境部公告2021年第16号</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中与石油和天然气开采专业及辅助性活动行业系数手册中产排污系数，计算废弃钻井泥浆(废弃钻井液</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的产生量。</w:t>
      </w:r>
    </w:p>
    <w:p w14:paraId="4D39914F">
      <w:pPr>
        <w:spacing w:line="250" w:lineRule="auto"/>
        <w:jc w:val="center"/>
        <w:rPr>
          <w:rFonts w:ascii="黑体" w:hAnsi="黑体" w:eastAsia="黑体" w:cs="黑体"/>
          <w:bCs/>
          <w:color w:val="auto"/>
          <w:sz w:val="21"/>
          <w:szCs w:val="21"/>
          <w:highlight w:val="none"/>
        </w:rPr>
      </w:pPr>
      <w:r>
        <w:rPr>
          <w:rFonts w:hint="eastAsia" w:hAnsi="宋体" w:cs="宋体"/>
          <w:bCs/>
          <w:color w:val="auto"/>
          <w:sz w:val="21"/>
          <w:szCs w:val="21"/>
          <w:highlight w:val="none"/>
        </w:rPr>
        <w:t>表</w:t>
      </w:r>
      <w:r>
        <w:rPr>
          <w:rFonts w:hAnsi="宋体" w:cs="宋体"/>
          <w:bCs/>
          <w:color w:val="auto"/>
          <w:sz w:val="21"/>
          <w:szCs w:val="21"/>
          <w:highlight w:val="none"/>
        </w:rPr>
        <w:t>3.</w:t>
      </w:r>
      <w:r>
        <w:rPr>
          <w:rFonts w:hint="eastAsia" w:hAnsi="宋体" w:cs="宋体"/>
          <w:bCs/>
          <w:color w:val="auto"/>
          <w:sz w:val="21"/>
          <w:szCs w:val="21"/>
          <w:highlight w:val="none"/>
          <w:lang w:val="en-US" w:eastAsia="zh-CN"/>
        </w:rPr>
        <w:t>4-4</w:t>
      </w:r>
      <w:r>
        <w:rPr>
          <w:rFonts w:hint="eastAsia" w:ascii="黑体" w:hAnsi="黑体" w:eastAsia="黑体" w:cs="黑体"/>
          <w:bCs/>
          <w:color w:val="auto"/>
          <w:sz w:val="21"/>
          <w:szCs w:val="21"/>
          <w:highlight w:val="none"/>
        </w:rPr>
        <w:t>与石油和天然气开采专业及辅助性活动产排污系数一览表</w:t>
      </w:r>
    </w:p>
    <w:tbl>
      <w:tblPr>
        <w:tblStyle w:val="35"/>
        <w:tblW w:w="491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54"/>
        <w:gridCol w:w="1012"/>
        <w:gridCol w:w="1128"/>
        <w:gridCol w:w="1518"/>
        <w:gridCol w:w="1436"/>
        <w:gridCol w:w="830"/>
        <w:gridCol w:w="1141"/>
      </w:tblGrid>
      <w:tr w14:paraId="560A5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5" w:type="dxa"/>
            <w:tcBorders>
              <w:top w:val="single" w:color="auto" w:sz="8" w:space="0"/>
            </w:tcBorders>
            <w:noWrap w:val="0"/>
            <w:vAlign w:val="center"/>
          </w:tcPr>
          <w:p w14:paraId="5DA03D4F">
            <w:pPr>
              <w:spacing w:line="0" w:lineRule="atLeast"/>
              <w:jc w:val="center"/>
              <w:rPr>
                <w:color w:val="auto"/>
                <w:spacing w:val="-10"/>
                <w:sz w:val="23"/>
                <w:szCs w:val="23"/>
                <w:highlight w:val="none"/>
              </w:rPr>
            </w:pPr>
            <w:r>
              <w:rPr>
                <w:rFonts w:hint="eastAsia"/>
                <w:color w:val="auto"/>
                <w:spacing w:val="-10"/>
                <w:sz w:val="23"/>
                <w:szCs w:val="23"/>
                <w:highlight w:val="none"/>
              </w:rPr>
              <w:t>污染物类别</w:t>
            </w:r>
          </w:p>
        </w:tc>
        <w:tc>
          <w:tcPr>
            <w:tcW w:w="1012" w:type="dxa"/>
            <w:tcBorders>
              <w:top w:val="single" w:color="auto" w:sz="8" w:space="0"/>
            </w:tcBorders>
            <w:noWrap w:val="0"/>
            <w:vAlign w:val="center"/>
          </w:tcPr>
          <w:p w14:paraId="08967495">
            <w:pPr>
              <w:spacing w:line="0" w:lineRule="atLeast"/>
              <w:jc w:val="center"/>
              <w:rPr>
                <w:color w:val="auto"/>
                <w:spacing w:val="-10"/>
                <w:sz w:val="23"/>
                <w:szCs w:val="23"/>
                <w:highlight w:val="none"/>
              </w:rPr>
            </w:pPr>
            <w:r>
              <w:rPr>
                <w:rFonts w:hint="eastAsia"/>
                <w:color w:val="auto"/>
                <w:spacing w:val="-10"/>
                <w:sz w:val="23"/>
                <w:szCs w:val="23"/>
                <w:highlight w:val="none"/>
              </w:rPr>
              <w:t>原料名称</w:t>
            </w:r>
          </w:p>
        </w:tc>
        <w:tc>
          <w:tcPr>
            <w:tcW w:w="1128" w:type="dxa"/>
            <w:tcBorders>
              <w:top w:val="single" w:color="auto" w:sz="8" w:space="0"/>
            </w:tcBorders>
            <w:noWrap w:val="0"/>
            <w:vAlign w:val="center"/>
          </w:tcPr>
          <w:p w14:paraId="52159F44">
            <w:pPr>
              <w:spacing w:line="0" w:lineRule="atLeast"/>
              <w:jc w:val="center"/>
              <w:rPr>
                <w:color w:val="auto"/>
                <w:spacing w:val="-10"/>
                <w:sz w:val="23"/>
                <w:szCs w:val="23"/>
                <w:highlight w:val="none"/>
              </w:rPr>
            </w:pPr>
            <w:r>
              <w:rPr>
                <w:rFonts w:hint="eastAsia"/>
                <w:color w:val="auto"/>
                <w:spacing w:val="-10"/>
                <w:sz w:val="23"/>
                <w:szCs w:val="23"/>
                <w:highlight w:val="none"/>
              </w:rPr>
              <w:t>工艺名称</w:t>
            </w:r>
          </w:p>
        </w:tc>
        <w:tc>
          <w:tcPr>
            <w:tcW w:w="1518" w:type="dxa"/>
            <w:tcBorders>
              <w:top w:val="single" w:color="auto" w:sz="8" w:space="0"/>
            </w:tcBorders>
            <w:noWrap w:val="0"/>
            <w:vAlign w:val="center"/>
          </w:tcPr>
          <w:p w14:paraId="6BCBF821">
            <w:pPr>
              <w:spacing w:line="0" w:lineRule="atLeast"/>
              <w:jc w:val="center"/>
              <w:rPr>
                <w:color w:val="auto"/>
                <w:spacing w:val="-10"/>
                <w:sz w:val="23"/>
                <w:szCs w:val="23"/>
                <w:highlight w:val="none"/>
              </w:rPr>
            </w:pPr>
            <w:r>
              <w:rPr>
                <w:rFonts w:hint="eastAsia"/>
                <w:color w:val="auto"/>
                <w:spacing w:val="-10"/>
                <w:sz w:val="23"/>
                <w:szCs w:val="23"/>
                <w:highlight w:val="none"/>
              </w:rPr>
              <w:t>规模等级</w:t>
            </w:r>
          </w:p>
        </w:tc>
        <w:tc>
          <w:tcPr>
            <w:tcW w:w="1436" w:type="dxa"/>
            <w:tcBorders>
              <w:top w:val="single" w:color="auto" w:sz="8" w:space="0"/>
            </w:tcBorders>
            <w:noWrap w:val="0"/>
            <w:vAlign w:val="center"/>
          </w:tcPr>
          <w:p w14:paraId="24A6DB43">
            <w:pPr>
              <w:spacing w:line="0" w:lineRule="atLeast"/>
              <w:jc w:val="center"/>
              <w:rPr>
                <w:rFonts w:hAnsi="宋体" w:cs="宋体"/>
                <w:color w:val="auto"/>
                <w:spacing w:val="-10"/>
                <w:sz w:val="23"/>
                <w:szCs w:val="23"/>
                <w:highlight w:val="none"/>
              </w:rPr>
            </w:pPr>
            <w:r>
              <w:rPr>
                <w:rFonts w:hint="eastAsia" w:hAnsi="宋体" w:cs="宋体"/>
                <w:color w:val="auto"/>
                <w:spacing w:val="-10"/>
                <w:sz w:val="23"/>
                <w:szCs w:val="23"/>
                <w:highlight w:val="none"/>
              </w:rPr>
              <w:t>污染物指标</w:t>
            </w:r>
          </w:p>
        </w:tc>
        <w:tc>
          <w:tcPr>
            <w:tcW w:w="830" w:type="dxa"/>
            <w:tcBorders>
              <w:top w:val="single" w:color="auto" w:sz="8" w:space="0"/>
            </w:tcBorders>
            <w:noWrap w:val="0"/>
            <w:vAlign w:val="center"/>
          </w:tcPr>
          <w:p w14:paraId="7A3A7EEC">
            <w:pPr>
              <w:spacing w:line="0" w:lineRule="atLeast"/>
              <w:jc w:val="center"/>
              <w:rPr>
                <w:rFonts w:hAnsi="宋体" w:cs="宋体"/>
                <w:color w:val="auto"/>
                <w:spacing w:val="-10"/>
                <w:sz w:val="23"/>
                <w:szCs w:val="23"/>
                <w:highlight w:val="none"/>
              </w:rPr>
            </w:pPr>
            <w:r>
              <w:rPr>
                <w:rFonts w:hint="eastAsia" w:hAnsi="宋体" w:cs="宋体"/>
                <w:color w:val="auto"/>
                <w:spacing w:val="-10"/>
                <w:sz w:val="23"/>
                <w:szCs w:val="23"/>
                <w:highlight w:val="none"/>
              </w:rPr>
              <w:t>单位</w:t>
            </w:r>
          </w:p>
        </w:tc>
        <w:tc>
          <w:tcPr>
            <w:tcW w:w="1141" w:type="dxa"/>
            <w:tcBorders>
              <w:top w:val="single" w:color="auto" w:sz="8" w:space="0"/>
            </w:tcBorders>
            <w:noWrap w:val="0"/>
            <w:vAlign w:val="center"/>
          </w:tcPr>
          <w:p w14:paraId="617EF00A">
            <w:pPr>
              <w:spacing w:line="0" w:lineRule="atLeast"/>
              <w:jc w:val="center"/>
              <w:rPr>
                <w:rFonts w:hAnsi="宋体" w:cs="宋体"/>
                <w:color w:val="auto"/>
                <w:spacing w:val="-10"/>
                <w:sz w:val="23"/>
                <w:szCs w:val="23"/>
                <w:highlight w:val="none"/>
              </w:rPr>
            </w:pPr>
            <w:r>
              <w:rPr>
                <w:rFonts w:hint="eastAsia" w:hAnsi="宋体" w:cs="宋体"/>
                <w:color w:val="auto"/>
                <w:spacing w:val="-10"/>
                <w:sz w:val="23"/>
                <w:szCs w:val="23"/>
                <w:highlight w:val="none"/>
              </w:rPr>
              <w:t>产污系数</w:t>
            </w:r>
          </w:p>
        </w:tc>
      </w:tr>
      <w:tr w14:paraId="53F64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5" w:type="dxa"/>
            <w:tcBorders>
              <w:bottom w:val="single" w:color="auto" w:sz="8" w:space="0"/>
            </w:tcBorders>
            <w:noWrap w:val="0"/>
            <w:vAlign w:val="center"/>
          </w:tcPr>
          <w:p w14:paraId="49F36031">
            <w:pPr>
              <w:spacing w:line="0" w:lineRule="atLeast"/>
              <w:jc w:val="center"/>
              <w:rPr>
                <w:color w:val="auto"/>
                <w:spacing w:val="-10"/>
                <w:sz w:val="23"/>
                <w:szCs w:val="23"/>
                <w:highlight w:val="none"/>
              </w:rPr>
            </w:pPr>
            <w:r>
              <w:rPr>
                <w:rFonts w:hint="eastAsia"/>
                <w:color w:val="auto"/>
                <w:spacing w:val="-10"/>
                <w:sz w:val="23"/>
                <w:szCs w:val="23"/>
                <w:highlight w:val="none"/>
              </w:rPr>
              <w:t>固体废物</w:t>
            </w:r>
          </w:p>
        </w:tc>
        <w:tc>
          <w:tcPr>
            <w:tcW w:w="1012" w:type="dxa"/>
            <w:tcBorders>
              <w:bottom w:val="single" w:color="auto" w:sz="8" w:space="0"/>
            </w:tcBorders>
            <w:noWrap w:val="0"/>
            <w:vAlign w:val="center"/>
          </w:tcPr>
          <w:p w14:paraId="50EF512E">
            <w:pPr>
              <w:spacing w:line="0" w:lineRule="atLeast"/>
              <w:jc w:val="center"/>
              <w:rPr>
                <w:color w:val="auto"/>
                <w:spacing w:val="-10"/>
                <w:sz w:val="23"/>
                <w:szCs w:val="23"/>
                <w:highlight w:val="none"/>
              </w:rPr>
            </w:pPr>
            <w:r>
              <w:rPr>
                <w:rFonts w:hint="eastAsia"/>
                <w:color w:val="auto"/>
                <w:spacing w:val="-10"/>
                <w:sz w:val="23"/>
                <w:szCs w:val="23"/>
                <w:highlight w:val="none"/>
              </w:rPr>
              <w:t>钻井液</w:t>
            </w:r>
          </w:p>
        </w:tc>
        <w:tc>
          <w:tcPr>
            <w:tcW w:w="1128" w:type="dxa"/>
            <w:tcBorders>
              <w:bottom w:val="single" w:color="auto" w:sz="8" w:space="0"/>
            </w:tcBorders>
            <w:noWrap w:val="0"/>
            <w:vAlign w:val="center"/>
          </w:tcPr>
          <w:p w14:paraId="14946875">
            <w:pPr>
              <w:spacing w:line="0" w:lineRule="atLeast"/>
              <w:jc w:val="center"/>
              <w:rPr>
                <w:color w:val="auto"/>
                <w:spacing w:val="-10"/>
                <w:sz w:val="23"/>
                <w:szCs w:val="23"/>
                <w:highlight w:val="none"/>
              </w:rPr>
            </w:pPr>
            <w:r>
              <w:rPr>
                <w:rFonts w:hint="eastAsia"/>
                <w:color w:val="auto"/>
                <w:spacing w:val="-10"/>
                <w:sz w:val="23"/>
                <w:szCs w:val="23"/>
                <w:highlight w:val="none"/>
              </w:rPr>
              <w:t>普通油井</w:t>
            </w:r>
          </w:p>
        </w:tc>
        <w:tc>
          <w:tcPr>
            <w:tcW w:w="1518" w:type="dxa"/>
            <w:tcBorders>
              <w:bottom w:val="single" w:color="auto" w:sz="8" w:space="0"/>
            </w:tcBorders>
            <w:noWrap w:val="0"/>
            <w:vAlign w:val="center"/>
          </w:tcPr>
          <w:p w14:paraId="41DBDF8D">
            <w:pPr>
              <w:spacing w:line="0" w:lineRule="atLeast"/>
              <w:jc w:val="center"/>
              <w:rPr>
                <w:color w:val="auto"/>
                <w:spacing w:val="-10"/>
                <w:sz w:val="23"/>
                <w:szCs w:val="23"/>
                <w:highlight w:val="none"/>
              </w:rPr>
            </w:pPr>
            <w:r>
              <w:rPr>
                <w:rFonts w:hint="eastAsia"/>
                <w:color w:val="auto"/>
                <w:spacing w:val="-10"/>
                <w:sz w:val="23"/>
                <w:szCs w:val="23"/>
                <w:highlight w:val="none"/>
              </w:rPr>
              <w:t>≥</w:t>
            </w:r>
            <w:r>
              <w:rPr>
                <w:color w:val="auto"/>
                <w:spacing w:val="-10"/>
                <w:sz w:val="23"/>
                <w:szCs w:val="23"/>
                <w:highlight w:val="none"/>
              </w:rPr>
              <w:t>3.5</w:t>
            </w:r>
            <w:r>
              <w:rPr>
                <w:rFonts w:hint="eastAsia"/>
                <w:color w:val="auto"/>
                <w:spacing w:val="-10"/>
                <w:sz w:val="23"/>
                <w:szCs w:val="23"/>
                <w:highlight w:val="none"/>
              </w:rPr>
              <w:t>千米进尺</w:t>
            </w:r>
          </w:p>
        </w:tc>
        <w:tc>
          <w:tcPr>
            <w:tcW w:w="1436" w:type="dxa"/>
            <w:tcBorders>
              <w:bottom w:val="single" w:color="auto" w:sz="8" w:space="0"/>
            </w:tcBorders>
            <w:noWrap w:val="0"/>
            <w:vAlign w:val="center"/>
          </w:tcPr>
          <w:p w14:paraId="64C660D3">
            <w:pPr>
              <w:spacing w:line="0" w:lineRule="atLeast"/>
              <w:jc w:val="center"/>
              <w:rPr>
                <w:rFonts w:hAnsi="宋体" w:cs="宋体"/>
                <w:color w:val="auto"/>
                <w:spacing w:val="-10"/>
                <w:sz w:val="23"/>
                <w:szCs w:val="23"/>
                <w:highlight w:val="none"/>
              </w:rPr>
            </w:pPr>
            <w:r>
              <w:rPr>
                <w:rFonts w:hint="eastAsia"/>
                <w:color w:val="auto"/>
                <w:spacing w:val="-10"/>
                <w:sz w:val="23"/>
                <w:szCs w:val="23"/>
                <w:highlight w:val="none"/>
              </w:rPr>
              <w:t>废弃钻井液</w:t>
            </w:r>
          </w:p>
        </w:tc>
        <w:tc>
          <w:tcPr>
            <w:tcW w:w="830" w:type="dxa"/>
            <w:tcBorders>
              <w:bottom w:val="single" w:color="auto" w:sz="8" w:space="0"/>
            </w:tcBorders>
            <w:noWrap w:val="0"/>
            <w:vAlign w:val="center"/>
          </w:tcPr>
          <w:p w14:paraId="27555E64">
            <w:pPr>
              <w:spacing w:line="0" w:lineRule="atLeast"/>
              <w:jc w:val="center"/>
              <w:rPr>
                <w:rFonts w:hAnsi="宋体" w:cs="宋体"/>
                <w:color w:val="auto"/>
                <w:spacing w:val="-10"/>
                <w:sz w:val="23"/>
                <w:szCs w:val="23"/>
                <w:highlight w:val="none"/>
              </w:rPr>
            </w:pPr>
            <w:r>
              <w:rPr>
                <w:rFonts w:hint="eastAsia" w:hAnsi="宋体" w:cs="宋体"/>
                <w:color w:val="auto"/>
                <w:spacing w:val="-10"/>
                <w:sz w:val="23"/>
                <w:szCs w:val="23"/>
                <w:highlight w:val="none"/>
              </w:rPr>
              <w:t>吨</w:t>
            </w:r>
            <w:r>
              <w:rPr>
                <w:rFonts w:hAnsi="宋体" w:cs="宋体"/>
                <w:color w:val="auto"/>
                <w:spacing w:val="-10"/>
                <w:sz w:val="23"/>
                <w:szCs w:val="23"/>
                <w:highlight w:val="none"/>
              </w:rPr>
              <w:t>/</w:t>
            </w:r>
            <w:r>
              <w:rPr>
                <w:rFonts w:hint="eastAsia" w:hAnsi="宋体" w:cs="宋体"/>
                <w:color w:val="auto"/>
                <w:spacing w:val="-10"/>
                <w:sz w:val="23"/>
                <w:szCs w:val="23"/>
                <w:highlight w:val="none"/>
              </w:rPr>
              <w:t>百米</w:t>
            </w:r>
          </w:p>
        </w:tc>
        <w:tc>
          <w:tcPr>
            <w:tcW w:w="1141" w:type="dxa"/>
            <w:tcBorders>
              <w:bottom w:val="single" w:color="auto" w:sz="8" w:space="0"/>
            </w:tcBorders>
            <w:noWrap w:val="0"/>
            <w:vAlign w:val="center"/>
          </w:tcPr>
          <w:p w14:paraId="384100E5">
            <w:pPr>
              <w:spacing w:line="0" w:lineRule="atLeast"/>
              <w:jc w:val="center"/>
              <w:rPr>
                <w:rFonts w:hAnsi="宋体" w:cs="宋体"/>
                <w:color w:val="auto"/>
                <w:spacing w:val="-10"/>
                <w:sz w:val="23"/>
                <w:szCs w:val="23"/>
                <w:highlight w:val="none"/>
              </w:rPr>
            </w:pPr>
            <w:r>
              <w:rPr>
                <w:rFonts w:hAnsi="宋体" w:cs="宋体"/>
                <w:color w:val="auto"/>
                <w:spacing w:val="-10"/>
                <w:sz w:val="23"/>
                <w:szCs w:val="23"/>
                <w:highlight w:val="none"/>
              </w:rPr>
              <w:t>29.73</w:t>
            </w:r>
          </w:p>
        </w:tc>
      </w:tr>
    </w:tbl>
    <w:p w14:paraId="53385BD6">
      <w:pPr>
        <w:pStyle w:val="56"/>
        <w:keepNext w:val="0"/>
        <w:keepLines w:val="0"/>
        <w:pageBreakBefore w:val="0"/>
        <w:widowControl/>
        <w:kinsoku/>
        <w:wordWrap/>
        <w:overflowPunct/>
        <w:topLinePunct w:val="0"/>
        <w:autoSpaceDE/>
        <w:autoSpaceDN/>
        <w:bidi w:val="0"/>
        <w:adjustRightInd w:val="0"/>
        <w:snapToGrid/>
        <w:spacing w:before="157" w:beforeLines="50" w:after="0"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本项目侧钻井均采用水基磺化泥浆，本工程侧钻井</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口，合计侧钻井进尺为</w:t>
      </w:r>
      <w:r>
        <w:rPr>
          <w:rFonts w:hint="default" w:ascii="Times New Roman" w:hAnsi="Times New Roman" w:eastAsia="宋体" w:cs="Times New Roman"/>
          <w:color w:val="auto"/>
          <w:sz w:val="24"/>
          <w:szCs w:val="24"/>
          <w:highlight w:val="none"/>
          <w:lang w:val="en-US" w:eastAsia="zh-CN"/>
        </w:rPr>
        <w:t>2473.1</w:t>
      </w:r>
      <w:r>
        <w:rPr>
          <w:rFonts w:hint="default" w:ascii="Times New Roman" w:hAnsi="Times New Roman" w:eastAsia="宋体" w:cs="Times New Roman"/>
          <w:color w:val="auto"/>
          <w:sz w:val="24"/>
          <w:szCs w:val="24"/>
          <w:highlight w:val="none"/>
        </w:rPr>
        <w:t>m，根据上表计算，则废弃磺化</w:t>
      </w:r>
      <w:r>
        <w:rPr>
          <w:rFonts w:hint="eastAsia" w:ascii="Times New Roman" w:hAnsi="Times New Roman" w:eastAsia="宋体" w:cs="Times New Roman"/>
          <w:color w:val="auto"/>
          <w:sz w:val="24"/>
          <w:szCs w:val="24"/>
          <w:highlight w:val="none"/>
          <w:lang w:val="en-US" w:eastAsia="zh-CN"/>
        </w:rPr>
        <w:t>水泥</w:t>
      </w:r>
      <w:r>
        <w:rPr>
          <w:rFonts w:hint="default" w:ascii="Times New Roman" w:hAnsi="Times New Roman" w:eastAsia="宋体" w:cs="Times New Roman"/>
          <w:color w:val="auto"/>
          <w:sz w:val="24"/>
          <w:szCs w:val="24"/>
          <w:highlight w:val="none"/>
        </w:rPr>
        <w:t>泥浆</w:t>
      </w:r>
      <w:r>
        <w:rPr>
          <w:rFonts w:hint="eastAsia" w:ascii="Times New Roman" w:hAnsi="Times New Roman" w:eastAsia="宋体" w:cs="Times New Roman"/>
          <w:color w:val="auto"/>
          <w:sz w:val="24"/>
          <w:szCs w:val="24"/>
          <w:highlight w:val="none"/>
          <w:lang w:val="en-US" w:eastAsia="zh-CN"/>
        </w:rPr>
        <w:t>量为735.3</w:t>
      </w:r>
      <w:r>
        <w:rPr>
          <w:rFonts w:hint="default" w:ascii="Times New Roman" w:hAnsi="Times New Roman" w:eastAsia="宋体" w:cs="Times New Roman"/>
          <w:color w:val="auto"/>
          <w:sz w:val="24"/>
          <w:szCs w:val="24"/>
          <w:highlight w:val="none"/>
        </w:rPr>
        <w:t>t。</w:t>
      </w:r>
    </w:p>
    <w:p w14:paraId="7C0E74EC">
      <w:pPr>
        <w:pStyle w:val="12"/>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5"/>
          <w:szCs w:val="25"/>
          <w:highlight w:val="none"/>
        </w:rPr>
        <w:t>②钻井岩屑</w:t>
      </w:r>
    </w:p>
    <w:p w14:paraId="0424111C">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5"/>
          <w:szCs w:val="25"/>
          <w:highlight w:val="none"/>
          <w:lang w:val="en-US" w:eastAsia="zh-CN"/>
        </w:rPr>
      </w:pPr>
      <w:r>
        <w:rPr>
          <w:rFonts w:hint="default" w:ascii="Times New Roman" w:hAnsi="Times New Roman" w:cs="Times New Roman"/>
          <w:color w:val="auto"/>
          <w:highlight w:val="none"/>
        </w:rPr>
        <w:t>钻井过程中，岩石井钻头和泥浆的研磨而破碎成岩屑，其中50%的岩屑混进泥浆，剩余岩屑经泥浆循环携带至井口，在地面井振动筛分离出来，送入井场内泥浆池中。钻井岩屑产生量按以下经验公式计算：</w:t>
      </w:r>
    </w:p>
    <w:p w14:paraId="60AF5B6F">
      <w:pPr>
        <w:pStyle w:val="56"/>
        <w:pageBreakBefore w:val="0"/>
        <w:kinsoku/>
        <w:overflowPunct/>
        <w:topLinePunct w:val="0"/>
        <w:autoSpaceDE/>
        <w:autoSpaceDN/>
        <w:bidi w:val="0"/>
        <w:adjustRightInd w:val="0"/>
        <w:snapToGrid w:val="0"/>
        <w:spacing w:line="360" w:lineRule="auto"/>
        <w:ind w:firstLine="480" w:firstLineChars="200"/>
        <w:jc w:val="center"/>
        <w:rPr>
          <w:rFonts w:hint="default" w:ascii="Times New Roman" w:hAnsi="Times New Roman" w:eastAsia="宋体" w:cs="Times New Roman"/>
          <w:color w:val="auto"/>
          <w:sz w:val="25"/>
          <w:szCs w:val="25"/>
          <w:highlight w:val="none"/>
          <w:lang w:val="en-US" w:eastAsia="zh-CN"/>
        </w:rPr>
      </w:pPr>
      <w:r>
        <w:rPr>
          <w:rFonts w:hint="default" w:ascii="Times New Roman" w:hAnsi="Times New Roman" w:cs="Times New Roman"/>
          <w:color w:val="auto"/>
          <w:position w:val="-24"/>
          <w:highlight w:val="none"/>
        </w:rPr>
        <w:object>
          <v:shape id="_x0000_i1027" o:spt="75" type="#_x0000_t75" style="height:36.45pt;width:129.9pt;" o:ole="t" filled="f" o:preferrelative="t" stroked="f" coordsize="21600,21600">
            <v:path/>
            <v:fill on="f" focussize="0,0"/>
            <v:stroke on="f" joinstyle="miter"/>
            <v:imagedata r:id="rId36" o:title=""/>
            <o:lock v:ext="edit" aspectratio="t"/>
            <w10:wrap type="none"/>
            <w10:anchorlock/>
          </v:shape>
          <o:OLEObject Type="Embed" ProgID="Equation.3" ShapeID="_x0000_i1027" DrawAspect="Content" ObjectID="_1468075726" r:id="rId35">
            <o:LockedField>false</o:LockedField>
          </o:OLEObject>
        </w:object>
      </w:r>
    </w:p>
    <w:p w14:paraId="533590B5">
      <w:pPr>
        <w:pStyle w:val="56"/>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both"/>
        <w:textAlignment w:val="baseline"/>
        <w:rPr>
          <w:rFonts w:hint="default" w:ascii="Times New Roman" w:hAnsi="Times New Roman" w:eastAsia="宋体" w:cs="Times New Roman"/>
          <w:color w:val="auto"/>
          <w:sz w:val="25"/>
          <w:szCs w:val="25"/>
          <w:highlight w:val="none"/>
        </w:rPr>
      </w:pPr>
      <w:r>
        <w:rPr>
          <w:rFonts w:hint="default" w:ascii="Times New Roman" w:hAnsi="Times New Roman" w:eastAsia="宋体" w:cs="Times New Roman"/>
          <w:color w:val="auto"/>
          <w:sz w:val="25"/>
          <w:szCs w:val="25"/>
          <w:highlight w:val="none"/>
        </w:rPr>
        <w:t>式中：W——钻井岩屑产生量</w:t>
      </w:r>
      <w:r>
        <w:rPr>
          <w:rFonts w:hint="default" w:ascii="Times New Roman" w:hAnsi="Times New Roman" w:cs="Times New Roman"/>
          <w:color w:val="auto"/>
          <w:sz w:val="25"/>
          <w:szCs w:val="25"/>
          <w:highlight w:val="none"/>
          <w:lang w:eastAsia="zh-CN"/>
        </w:rPr>
        <w:t>（</w:t>
      </w:r>
      <w:r>
        <w:rPr>
          <w:rFonts w:hint="default" w:ascii="Times New Roman" w:hAnsi="Times New Roman" w:eastAsia="宋体" w:cs="Times New Roman"/>
          <w:color w:val="auto"/>
          <w:sz w:val="25"/>
          <w:szCs w:val="25"/>
          <w:highlight w:val="none"/>
        </w:rPr>
        <w:t>膨胀系数取2.2</w:t>
      </w:r>
      <w:r>
        <w:rPr>
          <w:rFonts w:hint="default" w:ascii="Times New Roman" w:hAnsi="Times New Roman" w:cs="Times New Roman"/>
          <w:color w:val="auto"/>
          <w:sz w:val="25"/>
          <w:szCs w:val="25"/>
          <w:highlight w:val="none"/>
          <w:lang w:eastAsia="zh-CN"/>
        </w:rPr>
        <w:t>）</w:t>
      </w:r>
      <w:r>
        <w:rPr>
          <w:rFonts w:hint="default" w:ascii="Times New Roman" w:hAnsi="Times New Roman" w:eastAsia="宋体" w:cs="Times New Roman"/>
          <w:color w:val="auto"/>
          <w:sz w:val="25"/>
          <w:szCs w:val="25"/>
          <w:highlight w:val="none"/>
        </w:rPr>
        <w:t>，m</w:t>
      </w:r>
      <w:r>
        <w:rPr>
          <w:rFonts w:hint="default" w:ascii="Times New Roman" w:hAnsi="Times New Roman" w:eastAsia="宋体" w:cs="Times New Roman"/>
          <w:color w:val="auto"/>
          <w:sz w:val="25"/>
          <w:szCs w:val="25"/>
          <w:highlight w:val="none"/>
          <w:vertAlign w:val="superscript"/>
        </w:rPr>
        <w:t>3</w:t>
      </w:r>
      <w:r>
        <w:rPr>
          <w:rFonts w:hint="default" w:ascii="Times New Roman" w:hAnsi="Times New Roman" w:eastAsia="宋体" w:cs="Times New Roman"/>
          <w:color w:val="auto"/>
          <w:sz w:val="25"/>
          <w:szCs w:val="25"/>
          <w:highlight w:val="none"/>
        </w:rPr>
        <w:t>；</w:t>
      </w:r>
    </w:p>
    <w:p w14:paraId="4181FE53">
      <w:pPr>
        <w:pStyle w:val="56"/>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both"/>
        <w:textAlignment w:val="baseline"/>
        <w:rPr>
          <w:rFonts w:hint="default" w:ascii="Times New Roman" w:hAnsi="Times New Roman" w:eastAsia="宋体" w:cs="Times New Roman"/>
          <w:color w:val="auto"/>
          <w:sz w:val="25"/>
          <w:szCs w:val="25"/>
          <w:highlight w:val="none"/>
        </w:rPr>
      </w:pPr>
      <w:r>
        <w:rPr>
          <w:rFonts w:hint="default" w:ascii="Times New Roman" w:hAnsi="Times New Roman" w:eastAsia="宋体" w:cs="Times New Roman"/>
          <w:color w:val="auto"/>
          <w:sz w:val="25"/>
          <w:szCs w:val="25"/>
          <w:highlight w:val="none"/>
        </w:rPr>
        <w:t>D——井眼的平均直径，</w:t>
      </w:r>
      <w:r>
        <w:rPr>
          <w:rFonts w:hint="eastAsia" w:ascii="Times New Roman" w:hAnsi="Times New Roman" w:cs="Times New Roman"/>
          <w:color w:val="auto"/>
          <w:sz w:val="25"/>
          <w:szCs w:val="25"/>
          <w:highlight w:val="none"/>
          <w:lang w:val="en-US" w:eastAsia="zh-CN"/>
        </w:rPr>
        <w:t>侧钻井</w:t>
      </w:r>
      <w:r>
        <w:rPr>
          <w:rFonts w:hint="default" w:ascii="Times New Roman" w:hAnsi="Times New Roman" w:eastAsia="宋体" w:cs="Times New Roman"/>
          <w:color w:val="auto"/>
          <w:sz w:val="25"/>
          <w:szCs w:val="25"/>
          <w:highlight w:val="none"/>
        </w:rPr>
        <w:t>取</w:t>
      </w:r>
      <w:r>
        <w:rPr>
          <w:rFonts w:hint="eastAsia" w:ascii="Times New Roman" w:hAnsi="Times New Roman" w:cs="Times New Roman"/>
          <w:color w:val="auto"/>
          <w:sz w:val="25"/>
          <w:szCs w:val="25"/>
          <w:highlight w:val="none"/>
          <w:lang w:val="en-US" w:eastAsia="zh-CN"/>
        </w:rPr>
        <w:t>0.15</w:t>
      </w:r>
      <w:r>
        <w:rPr>
          <w:rFonts w:hint="default" w:ascii="Times New Roman" w:hAnsi="Times New Roman" w:eastAsia="宋体" w:cs="Times New Roman"/>
          <w:color w:val="auto"/>
          <w:sz w:val="25"/>
          <w:szCs w:val="25"/>
          <w:highlight w:val="none"/>
        </w:rPr>
        <w:t>m；</w:t>
      </w:r>
    </w:p>
    <w:p w14:paraId="79B01C5B">
      <w:pPr>
        <w:pStyle w:val="56"/>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both"/>
        <w:textAlignment w:val="baseline"/>
        <w:rPr>
          <w:rFonts w:hint="default" w:ascii="Times New Roman" w:hAnsi="Times New Roman" w:eastAsia="宋体" w:cs="Times New Roman"/>
          <w:color w:val="auto"/>
          <w:sz w:val="25"/>
          <w:szCs w:val="25"/>
          <w:highlight w:val="none"/>
        </w:rPr>
      </w:pPr>
      <w:r>
        <w:rPr>
          <w:rFonts w:hint="default" w:ascii="Times New Roman" w:hAnsi="Times New Roman" w:eastAsia="宋体" w:cs="Times New Roman"/>
          <w:color w:val="auto"/>
          <w:sz w:val="25"/>
          <w:szCs w:val="25"/>
          <w:highlight w:val="none"/>
        </w:rPr>
        <w:t>h——井深m。</w:t>
      </w:r>
    </w:p>
    <w:p w14:paraId="18A2D77E">
      <w:pPr>
        <w:pStyle w:val="34"/>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本项目老井侧钻</w:t>
      </w:r>
      <w:r>
        <w:rPr>
          <w:rFonts w:hint="eastAsia" w:ascii="Times New Roman" w:hAnsi="Times New Roman" w:eastAsia="宋体" w:cs="Times New Roman"/>
          <w:b w:val="0"/>
          <w:color w:val="auto"/>
          <w:kern w:val="0"/>
          <w:sz w:val="24"/>
          <w:szCs w:val="24"/>
          <w:highlight w:val="none"/>
          <w:lang w:val="en-US" w:eastAsia="zh-CN" w:bidi="ar-SA"/>
        </w:rPr>
        <w:t>4</w:t>
      </w:r>
      <w:r>
        <w:rPr>
          <w:rFonts w:hint="default" w:ascii="Times New Roman" w:hAnsi="Times New Roman" w:eastAsia="宋体" w:cs="Times New Roman"/>
          <w:b w:val="0"/>
          <w:color w:val="auto"/>
          <w:kern w:val="0"/>
          <w:sz w:val="24"/>
          <w:szCs w:val="24"/>
          <w:highlight w:val="none"/>
          <w:lang w:val="en-US" w:eastAsia="zh-CN" w:bidi="ar-SA"/>
        </w:rPr>
        <w:t>口，</w:t>
      </w:r>
      <w:r>
        <w:rPr>
          <w:rFonts w:hint="eastAsia" w:ascii="Times New Roman" w:hAnsi="Times New Roman" w:eastAsia="宋体" w:cs="Times New Roman"/>
          <w:b w:val="0"/>
          <w:color w:val="auto"/>
          <w:kern w:val="0"/>
          <w:sz w:val="24"/>
          <w:szCs w:val="24"/>
          <w:highlight w:val="none"/>
          <w:lang w:val="en-US" w:eastAsia="zh-CN" w:bidi="ar-SA"/>
        </w:rPr>
        <w:t>钻井总进尺为2473.1m，</w:t>
      </w:r>
      <w:r>
        <w:rPr>
          <w:rFonts w:hint="default" w:ascii="Times New Roman" w:hAnsi="Times New Roman" w:eastAsia="宋体" w:cs="Times New Roman"/>
          <w:b w:val="0"/>
          <w:color w:val="auto"/>
          <w:kern w:val="0"/>
          <w:sz w:val="24"/>
          <w:szCs w:val="24"/>
          <w:highlight w:val="none"/>
          <w:lang w:val="en-US" w:eastAsia="zh-CN" w:bidi="ar-SA"/>
        </w:rPr>
        <w:t>根据上述计算结果，</w:t>
      </w:r>
      <w:r>
        <w:rPr>
          <w:rFonts w:hint="eastAsia" w:ascii="Times New Roman" w:hAnsi="Times New Roman" w:eastAsia="宋体" w:cs="Times New Roman"/>
          <w:b w:val="0"/>
          <w:color w:val="auto"/>
          <w:kern w:val="0"/>
          <w:sz w:val="24"/>
          <w:szCs w:val="24"/>
          <w:highlight w:val="none"/>
          <w:lang w:val="en-US" w:eastAsia="zh-CN" w:bidi="ar-SA"/>
        </w:rPr>
        <w:t>磺化</w:t>
      </w:r>
      <w:r>
        <w:rPr>
          <w:rFonts w:hint="default" w:ascii="Times New Roman" w:hAnsi="Times New Roman" w:eastAsia="宋体" w:cs="Times New Roman"/>
          <w:b w:val="0"/>
          <w:color w:val="auto"/>
          <w:kern w:val="0"/>
          <w:sz w:val="24"/>
          <w:szCs w:val="24"/>
          <w:highlight w:val="none"/>
          <w:lang w:val="en-US" w:eastAsia="zh-CN" w:bidi="ar-SA"/>
        </w:rPr>
        <w:t>岩屑产生量</w:t>
      </w:r>
      <w:r>
        <w:rPr>
          <w:rFonts w:hint="eastAsia" w:ascii="Times New Roman" w:hAnsi="Times New Roman" w:eastAsia="宋体" w:cs="Times New Roman"/>
          <w:b w:val="0"/>
          <w:color w:val="auto"/>
          <w:kern w:val="0"/>
          <w:sz w:val="24"/>
          <w:szCs w:val="24"/>
          <w:highlight w:val="none"/>
          <w:lang w:val="en-US" w:eastAsia="zh-CN" w:bidi="ar-SA"/>
        </w:rPr>
        <w:t>为</w:t>
      </w:r>
      <w:r>
        <w:rPr>
          <w:rFonts w:hint="eastAsia" w:ascii="Times New Roman" w:hAnsi="Times New Roman" w:cs="Times New Roman"/>
          <w:b w:val="0"/>
          <w:color w:val="auto"/>
          <w:kern w:val="0"/>
          <w:sz w:val="24"/>
          <w:szCs w:val="24"/>
          <w:highlight w:val="none"/>
          <w:lang w:val="en-US" w:eastAsia="zh-CN" w:bidi="ar-SA"/>
        </w:rPr>
        <w:t>196.7</w:t>
      </w:r>
      <w:r>
        <w:rPr>
          <w:rFonts w:hint="eastAsia" w:ascii="Times New Roman" w:hAnsi="Times New Roman" w:eastAsia="宋体" w:cs="Times New Roman"/>
          <w:b w:val="0"/>
          <w:color w:val="auto"/>
          <w:kern w:val="0"/>
          <w:sz w:val="24"/>
          <w:szCs w:val="24"/>
          <w:highlight w:val="none"/>
          <w:lang w:val="en-US" w:eastAsia="zh-CN" w:bidi="ar-SA"/>
        </w:rPr>
        <w:t>m</w:t>
      </w:r>
      <w:r>
        <w:rPr>
          <w:rFonts w:hint="eastAsia"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23100AFE">
      <w:pPr>
        <w:pStyle w:val="9"/>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钻井期岩屑随钻井泥浆带出，侧钻井均采用磺化水基泥浆。根据目前西北油田分公司钻井工程的要求，钻井采用泥浆不落地系统，钻井期钻井岩屑随泥浆一同进入泥浆不落地系统，采用泥浆不落地技术在井场进行固液分离，分离后的液体回用于钻井液配备，分离后的固相经检测满足《油气田钻井固体废物综合利用污染控制要求》（DB65/T3997-2017）中综合利用污染物限值要求，同时石油烃满足《土壤环境质量建设用地土壤污染风险管控标准（试行）》（GB36600-2018）中表2第二类用地风险筛选值后，用于铺垫油区内的井场、道路等。</w:t>
      </w:r>
    </w:p>
    <w:p w14:paraId="3DF47CA5">
      <w:pPr>
        <w:pStyle w:val="57"/>
        <w:pageBreakBefore w:val="0"/>
        <w:kinsoku/>
        <w:overflowPunct/>
        <w:topLinePunct w:val="0"/>
        <w:autoSpaceDE/>
        <w:autoSpaceDN/>
        <w:bidi w:val="0"/>
        <w:adjustRightInd w:val="0"/>
        <w:snapToGrid w:val="0"/>
        <w:spacing w:line="360" w:lineRule="auto"/>
        <w:ind w:firstLine="48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5"/>
          <w:szCs w:val="25"/>
          <w:highlight w:val="none"/>
        </w:rPr>
        <w:t>③</w:t>
      </w:r>
      <w:r>
        <w:rPr>
          <w:rFonts w:hint="default" w:ascii="Times New Roman" w:hAnsi="Times New Roman" w:eastAsia="宋体" w:cs="Times New Roman"/>
          <w:color w:val="auto"/>
          <w:kern w:val="2"/>
          <w:sz w:val="24"/>
          <w:szCs w:val="24"/>
          <w:highlight w:val="none"/>
        </w:rPr>
        <w:t>施工废料</w:t>
      </w:r>
    </w:p>
    <w:p w14:paraId="329476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施工废料主要包括管材边角料、焊接作业中产生的废焊渣等。根据类比调查，施工废料的产生量约为0.2t/km，</w:t>
      </w:r>
      <w:r>
        <w:rPr>
          <w:rFonts w:hint="default" w:ascii="Times New Roman" w:hAnsi="Times New Roman"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新建各类集输管线</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km，施工废料产生量约为</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t。施工废料应首先考虑回收利用，不可回收利用部分收集后定期由</w:t>
      </w:r>
      <w:r>
        <w:rPr>
          <w:rFonts w:hint="default" w:ascii="Times New Roman" w:hAnsi="Times New Roman" w:cs="Times New Roman"/>
          <w:color w:val="auto"/>
          <w:sz w:val="24"/>
          <w:szCs w:val="24"/>
          <w:highlight w:val="none"/>
          <w:lang w:eastAsia="zh-CN"/>
        </w:rPr>
        <w:t>库车绿能环保科技有限公司</w:t>
      </w:r>
      <w:r>
        <w:rPr>
          <w:rFonts w:hint="default" w:ascii="Times New Roman" w:hAnsi="Times New Roman" w:eastAsia="宋体" w:cs="Times New Roman"/>
          <w:color w:val="auto"/>
          <w:sz w:val="24"/>
          <w:szCs w:val="24"/>
          <w:highlight w:val="none"/>
        </w:rPr>
        <w:t>清运处置。</w:t>
      </w:r>
    </w:p>
    <w:p w14:paraId="3EA8ACF6">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spacing w:val="0"/>
          <w:kern w:val="2"/>
          <w:sz w:val="24"/>
          <w:szCs w:val="24"/>
          <w:highlight w:val="none"/>
        </w:rPr>
      </w:pPr>
      <w:r>
        <w:rPr>
          <w:rFonts w:hint="default" w:ascii="Times New Roman" w:hAnsi="Times New Roman" w:eastAsia="宋体" w:cs="Times New Roman"/>
          <w:color w:val="auto"/>
          <w:spacing w:val="0"/>
          <w:kern w:val="2"/>
          <w:sz w:val="24"/>
          <w:szCs w:val="24"/>
          <w:highlight w:val="none"/>
        </w:rPr>
        <w:t>④</w:t>
      </w:r>
      <w:r>
        <w:rPr>
          <w:rFonts w:hint="default" w:ascii="Times New Roman" w:hAnsi="Times New Roman" w:eastAsia="宋体" w:cs="Times New Roman"/>
          <w:bCs/>
          <w:color w:val="auto"/>
          <w:spacing w:val="0"/>
          <w:sz w:val="24"/>
          <w:szCs w:val="24"/>
          <w:highlight w:val="none"/>
        </w:rPr>
        <w:t>撬装式污水处理站产生污泥</w:t>
      </w:r>
    </w:p>
    <w:p w14:paraId="1E160BC2">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撬装式污水处理站处置过程中产生的污泥经污泥脱水装置，脱到60%含水率后，由</w:t>
      </w:r>
      <w:r>
        <w:rPr>
          <w:rFonts w:hint="default" w:ascii="Times New Roman" w:hAnsi="Times New Roman" w:cs="Times New Roman"/>
          <w:color w:val="auto"/>
          <w:kern w:val="2"/>
          <w:sz w:val="24"/>
          <w:szCs w:val="24"/>
          <w:highlight w:val="none"/>
          <w:lang w:eastAsia="zh-CN"/>
        </w:rPr>
        <w:t>库车绿能环保科技有限公司</w:t>
      </w:r>
      <w:r>
        <w:rPr>
          <w:rFonts w:hint="default" w:ascii="Times New Roman" w:hAnsi="Times New Roman" w:eastAsia="宋体" w:cs="Times New Roman"/>
          <w:color w:val="auto"/>
          <w:kern w:val="2"/>
          <w:sz w:val="24"/>
          <w:szCs w:val="24"/>
          <w:highlight w:val="none"/>
        </w:rPr>
        <w:t>拉运处置。生活污水SS产生浓度为2</w:t>
      </w:r>
      <w:r>
        <w:rPr>
          <w:rFonts w:hint="eastAsia" w:cs="Times New Roman"/>
          <w:color w:val="auto"/>
          <w:kern w:val="2"/>
          <w:sz w:val="24"/>
          <w:szCs w:val="24"/>
          <w:highlight w:val="none"/>
          <w:lang w:val="en-US" w:eastAsia="zh-CN"/>
        </w:rPr>
        <w:t>2</w:t>
      </w:r>
      <w:r>
        <w:rPr>
          <w:rFonts w:hint="default" w:ascii="Times New Roman" w:hAnsi="Times New Roman" w:eastAsia="宋体" w:cs="Times New Roman"/>
          <w:color w:val="auto"/>
          <w:kern w:val="2"/>
          <w:sz w:val="24"/>
          <w:szCs w:val="24"/>
          <w:highlight w:val="none"/>
        </w:rPr>
        <w:t>0mg/L，经污水处理站处理后SS浓度为20mg/L，</w:t>
      </w:r>
      <w:r>
        <w:rPr>
          <w:rFonts w:hint="eastAsia" w:cs="Times New Roman"/>
          <w:color w:val="auto"/>
          <w:kern w:val="2"/>
          <w:sz w:val="24"/>
          <w:szCs w:val="24"/>
          <w:highlight w:val="none"/>
          <w:lang w:val="en-US" w:eastAsia="zh-CN"/>
        </w:rPr>
        <w:t>钻井期间生活</w:t>
      </w:r>
      <w:r>
        <w:rPr>
          <w:rFonts w:hint="default" w:ascii="Times New Roman" w:hAnsi="Times New Roman" w:eastAsia="宋体" w:cs="Times New Roman"/>
          <w:color w:val="auto"/>
          <w:kern w:val="2"/>
          <w:sz w:val="24"/>
          <w:szCs w:val="24"/>
          <w:highlight w:val="none"/>
        </w:rPr>
        <w:t>污水产生</w:t>
      </w:r>
      <w:r>
        <w:rPr>
          <w:rFonts w:hint="eastAsia" w:cs="Times New Roman"/>
          <w:color w:val="auto"/>
          <w:kern w:val="2"/>
          <w:sz w:val="24"/>
          <w:szCs w:val="24"/>
          <w:highlight w:val="none"/>
          <w:lang w:val="en-US" w:eastAsia="zh-CN"/>
        </w:rPr>
        <w:t>总</w:t>
      </w:r>
      <w:r>
        <w:rPr>
          <w:rFonts w:hint="default" w:ascii="Times New Roman" w:hAnsi="Times New Roman" w:eastAsia="宋体" w:cs="Times New Roman"/>
          <w:color w:val="auto"/>
          <w:kern w:val="2"/>
          <w:sz w:val="24"/>
          <w:szCs w:val="24"/>
          <w:highlight w:val="none"/>
        </w:rPr>
        <w:t>量为</w:t>
      </w:r>
      <w:r>
        <w:rPr>
          <w:rFonts w:hint="eastAsia" w:cs="Times New Roman"/>
          <w:color w:val="auto"/>
          <w:highlight w:val="none"/>
          <w:lang w:val="en-US" w:eastAsia="zh-CN"/>
        </w:rPr>
        <w:t>384</w:t>
      </w:r>
      <w:r>
        <w:rPr>
          <w:rFonts w:hint="default" w:ascii="Times New Roman" w:hAnsi="Times New Roman" w:eastAsia="宋体" w:cs="Times New Roman"/>
          <w:color w:val="auto"/>
          <w:kern w:val="2"/>
          <w:sz w:val="24"/>
          <w:szCs w:val="24"/>
          <w:highlight w:val="none"/>
        </w:rPr>
        <w:t>m</w:t>
      </w:r>
      <w:r>
        <w:rPr>
          <w:rFonts w:hint="default" w:ascii="Times New Roman" w:hAnsi="Times New Roman" w:eastAsia="宋体" w:cs="Times New Roman"/>
          <w:color w:val="auto"/>
          <w:kern w:val="2"/>
          <w:sz w:val="24"/>
          <w:szCs w:val="24"/>
          <w:highlight w:val="none"/>
          <w:vertAlign w:val="superscript"/>
        </w:rPr>
        <w:t>3</w:t>
      </w:r>
      <w:r>
        <w:rPr>
          <w:rFonts w:hint="default" w:ascii="Times New Roman" w:hAnsi="Times New Roman" w:eastAsia="宋体" w:cs="Times New Roman"/>
          <w:color w:val="auto"/>
          <w:kern w:val="2"/>
          <w:sz w:val="24"/>
          <w:szCs w:val="24"/>
          <w:highlight w:val="none"/>
        </w:rPr>
        <w:t>，则</w:t>
      </w:r>
      <w:r>
        <w:rPr>
          <w:rFonts w:hint="eastAsia" w:cs="Times New Roman"/>
          <w:color w:val="auto"/>
          <w:kern w:val="2"/>
          <w:sz w:val="24"/>
          <w:szCs w:val="24"/>
          <w:highlight w:val="none"/>
          <w:lang w:val="en-US" w:eastAsia="zh-CN"/>
        </w:rPr>
        <w:t>撬装式污水站</w:t>
      </w:r>
      <w:r>
        <w:rPr>
          <w:rFonts w:hint="default" w:ascii="Times New Roman" w:hAnsi="Times New Roman" w:eastAsia="宋体" w:cs="Times New Roman"/>
          <w:color w:val="auto"/>
          <w:kern w:val="2"/>
          <w:sz w:val="24"/>
          <w:szCs w:val="24"/>
          <w:highlight w:val="none"/>
        </w:rPr>
        <w:t>污泥产生量为</w:t>
      </w:r>
      <w:r>
        <w:rPr>
          <w:rFonts w:hint="eastAsia" w:cs="Times New Roman"/>
          <w:color w:val="auto"/>
          <w:kern w:val="2"/>
          <w:sz w:val="24"/>
          <w:szCs w:val="24"/>
          <w:highlight w:val="none"/>
          <w:lang w:val="en-US" w:eastAsia="zh-CN"/>
        </w:rPr>
        <w:t>0.08t</w:t>
      </w:r>
      <w:r>
        <w:rPr>
          <w:rFonts w:hint="default" w:ascii="Times New Roman" w:hAnsi="Times New Roman" w:eastAsia="宋体" w:cs="Times New Roman"/>
          <w:color w:val="auto"/>
          <w:kern w:val="2"/>
          <w:sz w:val="24"/>
          <w:szCs w:val="24"/>
          <w:highlight w:val="none"/>
        </w:rPr>
        <w:t>。</w:t>
      </w:r>
    </w:p>
    <w:p w14:paraId="1C1C1C37">
      <w:pPr>
        <w:pStyle w:val="12"/>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4"/>
          <w:szCs w:val="24"/>
          <w:highlight w:val="none"/>
        </w:rPr>
        <w:t>⑤</w:t>
      </w:r>
      <w:r>
        <w:rPr>
          <w:rFonts w:hint="default" w:ascii="Times New Roman" w:hAnsi="Times New Roman" w:eastAsia="宋体" w:cs="Times New Roman"/>
          <w:color w:val="auto"/>
          <w:highlight w:val="none"/>
        </w:rPr>
        <w:t>生活垃圾</w:t>
      </w:r>
    </w:p>
    <w:p w14:paraId="2D32CBCC">
      <w:pPr>
        <w:pStyle w:val="57"/>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highlight w:val="none"/>
        </w:rPr>
        <w:t>根据</w:t>
      </w:r>
      <w:r>
        <w:rPr>
          <w:rFonts w:hint="eastAsia" w:cs="Times New Roman"/>
          <w:color w:val="auto"/>
          <w:highlight w:val="none"/>
          <w:lang w:val="en-US" w:eastAsia="zh-CN"/>
        </w:rPr>
        <w:t>设计文件</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rPr>
        <w:t>合计施工周期</w:t>
      </w:r>
      <w:r>
        <w:rPr>
          <w:rFonts w:hint="eastAsia" w:cs="Times New Roman"/>
          <w:color w:val="auto"/>
          <w:highlight w:val="none"/>
          <w:lang w:val="en-US" w:eastAsia="zh-CN"/>
        </w:rPr>
        <w:t>96</w:t>
      </w:r>
      <w:r>
        <w:rPr>
          <w:rFonts w:hint="default" w:ascii="Times New Roman" w:hAnsi="Times New Roman" w:eastAsia="宋体" w:cs="Times New Roman"/>
          <w:color w:val="auto"/>
          <w:highlight w:val="none"/>
        </w:rPr>
        <w:t>d。单井施工人数约50人，平均每人每天产生生活垃圾0.5kg。整个施工过程生活垃圾产生量共计</w:t>
      </w:r>
      <w:r>
        <w:rPr>
          <w:rFonts w:hint="eastAsia" w:cs="Times New Roman"/>
          <w:color w:val="auto"/>
          <w:highlight w:val="none"/>
          <w:lang w:val="en-US" w:eastAsia="zh-CN"/>
        </w:rPr>
        <w:t>2.4</w:t>
      </w:r>
      <w:r>
        <w:rPr>
          <w:rFonts w:hint="default" w:ascii="Times New Roman" w:hAnsi="Times New Roman" w:eastAsia="宋体" w:cs="Times New Roman"/>
          <w:color w:val="auto"/>
          <w:highlight w:val="none"/>
        </w:rPr>
        <w:t>t，生活垃圾集中收集后定期由</w:t>
      </w:r>
      <w:r>
        <w:rPr>
          <w:rFonts w:hint="default" w:ascii="Times New Roman" w:hAnsi="Times New Roman" w:cs="Times New Roman"/>
          <w:color w:val="auto"/>
          <w:highlight w:val="none"/>
          <w:lang w:eastAsia="zh-CN"/>
        </w:rPr>
        <w:t>库车绿能环保科技有限公司</w:t>
      </w:r>
      <w:r>
        <w:rPr>
          <w:rFonts w:hint="default" w:ascii="Times New Roman" w:hAnsi="Times New Roman" w:eastAsia="宋体" w:cs="Times New Roman"/>
          <w:color w:val="auto"/>
          <w:highlight w:val="none"/>
        </w:rPr>
        <w:t>清运处置</w:t>
      </w:r>
      <w:r>
        <w:rPr>
          <w:rFonts w:hint="default" w:ascii="Times New Roman" w:hAnsi="Times New Roman" w:eastAsia="宋体" w:cs="Times New Roman"/>
          <w:color w:val="auto"/>
          <w:spacing w:val="0"/>
          <w:highlight w:val="none"/>
        </w:rPr>
        <w:t>。</w:t>
      </w:r>
    </w:p>
    <w:p w14:paraId="2D525C78">
      <w:pPr>
        <w:pStyle w:val="75"/>
        <w:keepNext w:val="0"/>
        <w:keepLines w:val="0"/>
        <w:pageBreakBefore w:val="0"/>
        <w:kinsoku/>
        <w:wordWrap/>
        <w:overflowPunct/>
        <w:topLinePunct w:val="0"/>
        <w:autoSpaceDE/>
        <w:autoSpaceDN/>
        <w:bidi w:val="0"/>
        <w:adjustRightInd w:val="0"/>
        <w:snapToGrid w:val="0"/>
        <w:spacing w:before="0" w:after="0" w:line="36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rPr>
        <w:t>⑥</w:t>
      </w:r>
      <w:r>
        <w:rPr>
          <w:rFonts w:hint="default" w:ascii="Times New Roman" w:hAnsi="Times New Roman" w:eastAsia="宋体" w:cs="Times New Roman"/>
          <w:color w:val="auto"/>
          <w:sz w:val="24"/>
          <w:szCs w:val="24"/>
          <w:highlight w:val="none"/>
        </w:rPr>
        <w:t>土石方平衡</w:t>
      </w:r>
    </w:p>
    <w:p w14:paraId="47F28C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val="en-US" w:eastAsia="zh-CN"/>
        </w:rPr>
        <w:t>本项目侧钻</w:t>
      </w:r>
      <w:r>
        <w:rPr>
          <w:rFonts w:hint="default" w:ascii="Times New Roman" w:hAnsi="Times New Roman" w:eastAsia="宋体" w:cs="Times New Roman"/>
          <w:bCs/>
          <w:color w:val="auto"/>
          <w:sz w:val="24"/>
          <w:szCs w:val="24"/>
          <w:highlight w:val="none"/>
        </w:rPr>
        <w:t>井场</w:t>
      </w:r>
      <w:r>
        <w:rPr>
          <w:rFonts w:hint="eastAsia" w:cs="Times New Roman"/>
          <w:bCs/>
          <w:color w:val="auto"/>
          <w:sz w:val="24"/>
          <w:szCs w:val="24"/>
          <w:highlight w:val="none"/>
          <w:lang w:val="en-US" w:eastAsia="zh-CN"/>
        </w:rPr>
        <w:t>不需要进行挖填方，侧钻老井管线利旧，故</w:t>
      </w:r>
      <w:r>
        <w:rPr>
          <w:rFonts w:hint="default" w:ascii="Times New Roman" w:hAnsi="Times New Roman"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rPr>
        <w:t>开挖土方主要为</w:t>
      </w:r>
      <w:r>
        <w:rPr>
          <w:rFonts w:hint="eastAsia" w:ascii="Times New Roman" w:hAnsi="Times New Roman" w:eastAsia="宋体" w:cs="Times New Roman"/>
          <w:bCs/>
          <w:color w:val="auto"/>
          <w:sz w:val="24"/>
          <w:szCs w:val="24"/>
          <w:highlight w:val="none"/>
          <w:lang w:val="en-US" w:eastAsia="zh-CN"/>
        </w:rPr>
        <w:t>新建管线</w:t>
      </w:r>
      <w:r>
        <w:rPr>
          <w:rFonts w:hint="default" w:ascii="Times New Roman" w:hAnsi="Times New Roman" w:eastAsia="宋体" w:cs="Times New Roman"/>
          <w:bCs/>
          <w:color w:val="auto"/>
          <w:sz w:val="24"/>
          <w:szCs w:val="24"/>
          <w:highlight w:val="none"/>
        </w:rPr>
        <w:t>管沟开挖产生土方，回填土方主要为管沟回填</w:t>
      </w:r>
      <w:r>
        <w:rPr>
          <w:rFonts w:hint="eastAsia" w:ascii="Times New Roman" w:hAnsi="Times New Roman" w:eastAsia="宋体" w:cs="Times New Roman"/>
          <w:bCs/>
          <w:color w:val="auto"/>
          <w:sz w:val="24"/>
          <w:szCs w:val="24"/>
          <w:highlight w:val="none"/>
          <w:lang w:eastAsia="zh-CN"/>
        </w:rPr>
        <w:t>。</w:t>
      </w:r>
    </w:p>
    <w:p w14:paraId="2343847A">
      <w:pPr>
        <w:pStyle w:val="119"/>
        <w:ind w:firstLine="480"/>
        <w:rPr>
          <w:rFonts w:hint="default" w:ascii="Times New Roman" w:hAnsi="Times New Roman" w:eastAsia="宋体" w:cs="Times New Roman"/>
          <w:bCs/>
          <w:color w:val="auto"/>
          <w:sz w:val="24"/>
          <w:szCs w:val="24"/>
          <w:highlight w:val="none"/>
        </w:rPr>
      </w:pPr>
      <w:r>
        <w:rPr>
          <w:rFonts w:hint="eastAsia" w:ascii="Times New Roman" w:hAnsi="Times New Roman"/>
          <w:color w:val="auto"/>
          <w:sz w:val="24"/>
          <w:szCs w:val="24"/>
          <w:highlight w:val="none"/>
          <w:lang w:val="en-US" w:eastAsia="zh-CN"/>
        </w:rPr>
        <w:t>本项目</w:t>
      </w:r>
      <w:r>
        <w:rPr>
          <w:rFonts w:ascii="Times New Roman" w:hAnsi="Times New Roman"/>
          <w:color w:val="auto"/>
          <w:sz w:val="24"/>
          <w:szCs w:val="24"/>
          <w:highlight w:val="none"/>
        </w:rPr>
        <w:t>新建</w:t>
      </w:r>
      <w:r>
        <w:rPr>
          <w:rFonts w:hint="eastAsia" w:ascii="Times New Roman" w:hAnsi="Times New Roman"/>
          <w:color w:val="auto"/>
          <w:sz w:val="24"/>
          <w:szCs w:val="24"/>
          <w:highlight w:val="none"/>
          <w:lang w:val="en-US" w:eastAsia="zh-CN"/>
        </w:rPr>
        <w:t>采油管线、掺稀管线、燃料气管线同沟敷设，长</w:t>
      </w:r>
      <w:r>
        <w:rPr>
          <w:rFonts w:hint="eastAsia"/>
          <w:color w:val="auto"/>
          <w:sz w:val="24"/>
          <w:szCs w:val="24"/>
          <w:highlight w:val="none"/>
          <w:lang w:val="en-US" w:eastAsia="zh-CN"/>
        </w:rPr>
        <w:t>度均为</w:t>
      </w:r>
      <w:r>
        <w:rPr>
          <w:rFonts w:hint="eastAsia" w:ascii="Times New Roman" w:hAnsi="Times New Roman"/>
          <w:color w:val="auto"/>
          <w:sz w:val="24"/>
          <w:szCs w:val="24"/>
          <w:highlight w:val="none"/>
          <w:lang w:val="en-US" w:eastAsia="zh-CN"/>
        </w:rPr>
        <w:t>601m，</w:t>
      </w:r>
      <w:r>
        <w:rPr>
          <w:rFonts w:ascii="Times New Roman" w:hAnsi="Times New Roman"/>
          <w:color w:val="auto"/>
          <w:sz w:val="24"/>
          <w:szCs w:val="24"/>
          <w:highlight w:val="none"/>
        </w:rPr>
        <w:t>开挖宽度2m、开挖深度1.</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m，挖方量</w:t>
      </w:r>
      <w:bookmarkStart w:id="251" w:name="OLE_LINK686"/>
      <w:r>
        <w:rPr>
          <w:rFonts w:hint="eastAsia" w:ascii="Times New Roman" w:hAnsi="Times New Roman"/>
          <w:color w:val="auto"/>
          <w:sz w:val="24"/>
          <w:szCs w:val="24"/>
          <w:highlight w:val="none"/>
          <w:lang w:val="en-US" w:eastAsia="zh-CN"/>
        </w:rPr>
        <w:t>0.18万</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3</w:t>
      </w:r>
      <w:bookmarkEnd w:id="251"/>
      <w:r>
        <w:rPr>
          <w:rFonts w:hint="eastAsia" w:ascii="Times New Roman" w:hAnsi="Times New Roman"/>
          <w:color w:val="auto"/>
          <w:sz w:val="24"/>
          <w:szCs w:val="24"/>
          <w:highlight w:val="none"/>
          <w:vertAlign w:val="baseline"/>
          <w:lang w:eastAsia="zh-CN"/>
        </w:rPr>
        <w:t>，</w:t>
      </w:r>
      <w:r>
        <w:rPr>
          <w:rFonts w:hint="eastAsia" w:ascii="Times New Roman" w:hAnsi="Times New Roman"/>
          <w:color w:val="auto"/>
          <w:sz w:val="24"/>
          <w:szCs w:val="24"/>
          <w:highlight w:val="none"/>
          <w:vertAlign w:val="baseline"/>
          <w:lang w:val="en-US" w:eastAsia="zh-CN"/>
        </w:rPr>
        <w:t>填方量为0.18万</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无弃方</w:t>
      </w:r>
      <w:r>
        <w:rPr>
          <w:rFonts w:hint="default" w:ascii="Times New Roman" w:hAnsi="Times New Roman" w:cs="Times New Roman"/>
          <w:bCs/>
          <w:color w:val="auto"/>
          <w:sz w:val="24"/>
          <w:szCs w:val="24"/>
          <w:highlight w:val="none"/>
          <w:lang w:eastAsia="zh-CN"/>
        </w:rPr>
        <w:t>。本项目</w:t>
      </w:r>
      <w:r>
        <w:rPr>
          <w:rFonts w:hint="default" w:ascii="Times New Roman" w:hAnsi="Times New Roman" w:eastAsia="宋体" w:cs="Times New Roman"/>
          <w:bCs/>
          <w:color w:val="auto"/>
          <w:sz w:val="24"/>
          <w:szCs w:val="24"/>
          <w:highlight w:val="none"/>
        </w:rPr>
        <w:t>土石方平衡表见下表3.</w:t>
      </w:r>
      <w:r>
        <w:rPr>
          <w:rFonts w:hint="default" w:ascii="Times New Roman" w:hAnsi="Times New Roman"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w:t>
      </w:r>
    </w:p>
    <w:p w14:paraId="1536F40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黑体" w:cs="Times New Roman"/>
          <w:b w:val="0"/>
          <w:bCs w:val="0"/>
          <w:color w:val="auto"/>
          <w:sz w:val="21"/>
          <w:szCs w:val="21"/>
          <w:highlight w:val="none"/>
          <w:vertAlign w:val="superscript"/>
          <w:lang w:val="zh-CN"/>
        </w:rPr>
      </w:pPr>
      <w:r>
        <w:rPr>
          <w:rFonts w:hint="default" w:ascii="Times New Roman" w:hAnsi="Times New Roman" w:eastAsia="黑体" w:cs="Times New Roman"/>
          <w:b w:val="0"/>
          <w:bCs w:val="0"/>
          <w:color w:val="auto"/>
          <w:sz w:val="21"/>
          <w:szCs w:val="21"/>
          <w:highlight w:val="none"/>
          <w:lang w:val="zh-CN"/>
        </w:rPr>
        <w:t>表3.</w:t>
      </w:r>
      <w:r>
        <w:rPr>
          <w:rFonts w:hint="default" w:ascii="Times New Roman" w:hAnsi="Times New Roman" w:eastAsia="黑体" w:cs="Times New Roman"/>
          <w:b w:val="0"/>
          <w:bCs w:val="0"/>
          <w:color w:val="auto"/>
          <w:sz w:val="21"/>
          <w:szCs w:val="21"/>
          <w:highlight w:val="none"/>
          <w:lang w:val="en-US" w:eastAsia="zh-CN"/>
        </w:rPr>
        <w:t>4</w:t>
      </w:r>
      <w:r>
        <w:rPr>
          <w:rFonts w:hint="default" w:ascii="Times New Roman" w:hAnsi="Times New Roman" w:eastAsia="黑体" w:cs="Times New Roman"/>
          <w:b w:val="0"/>
          <w:bCs w:val="0"/>
          <w:color w:val="auto"/>
          <w:sz w:val="21"/>
          <w:szCs w:val="21"/>
          <w:highlight w:val="none"/>
        </w:rPr>
        <w:t>-</w:t>
      </w:r>
      <w:r>
        <w:rPr>
          <w:rFonts w:hint="default" w:ascii="Times New Roman" w:hAnsi="Times New Roman" w:eastAsia="黑体" w:cs="Times New Roman"/>
          <w:b w:val="0"/>
          <w:bCs w:val="0"/>
          <w:color w:val="auto"/>
          <w:sz w:val="21"/>
          <w:szCs w:val="21"/>
          <w:highlight w:val="none"/>
          <w:lang w:val="en-US" w:eastAsia="zh-CN"/>
        </w:rPr>
        <w:t>5</w:t>
      </w:r>
      <w:r>
        <w:rPr>
          <w:rFonts w:hint="eastAsia" w:eastAsia="黑体" w:cs="Times New Roman"/>
          <w:b w:val="0"/>
          <w:bCs w:val="0"/>
          <w:color w:val="auto"/>
          <w:sz w:val="21"/>
          <w:szCs w:val="21"/>
          <w:highlight w:val="none"/>
          <w:lang w:val="en-US" w:eastAsia="zh-CN"/>
        </w:rPr>
        <w:t xml:space="preserve">  </w:t>
      </w:r>
      <w:r>
        <w:rPr>
          <w:rFonts w:hint="default" w:ascii="Times New Roman" w:hAnsi="Times New Roman" w:eastAsia="黑体" w:cs="Times New Roman"/>
          <w:b w:val="0"/>
          <w:bCs w:val="0"/>
          <w:color w:val="auto"/>
          <w:sz w:val="21"/>
          <w:szCs w:val="21"/>
          <w:highlight w:val="none"/>
          <w:lang w:val="zh-CN"/>
        </w:rPr>
        <w:t>土方挖填方平衡表单位：</w:t>
      </w:r>
      <w:r>
        <w:rPr>
          <w:rFonts w:hint="default" w:ascii="Times New Roman" w:hAnsi="Times New Roman" w:eastAsia="黑体" w:cs="Times New Roman"/>
          <w:b w:val="0"/>
          <w:bCs w:val="0"/>
          <w:color w:val="auto"/>
          <w:sz w:val="21"/>
          <w:szCs w:val="21"/>
          <w:highlight w:val="none"/>
          <w:lang w:val="en-US" w:eastAsia="zh-CN"/>
        </w:rPr>
        <w:t>万</w:t>
      </w:r>
      <w:r>
        <w:rPr>
          <w:rFonts w:hint="default" w:ascii="Times New Roman" w:hAnsi="Times New Roman" w:eastAsia="黑体" w:cs="Times New Roman"/>
          <w:b w:val="0"/>
          <w:bCs w:val="0"/>
          <w:color w:val="auto"/>
          <w:sz w:val="21"/>
          <w:szCs w:val="21"/>
          <w:highlight w:val="none"/>
          <w:lang w:val="zh-CN"/>
        </w:rPr>
        <w:t>m</w:t>
      </w:r>
      <w:r>
        <w:rPr>
          <w:rFonts w:hint="default" w:ascii="Times New Roman" w:hAnsi="Times New Roman" w:eastAsia="黑体" w:cs="Times New Roman"/>
          <w:b w:val="0"/>
          <w:bCs w:val="0"/>
          <w:color w:val="auto"/>
          <w:sz w:val="21"/>
          <w:szCs w:val="21"/>
          <w:highlight w:val="none"/>
          <w:vertAlign w:val="superscript"/>
          <w:lang w:val="zh-CN"/>
        </w:rPr>
        <w:t>3</w:t>
      </w:r>
    </w:p>
    <w:tbl>
      <w:tblPr>
        <w:tblStyle w:val="3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15" w:type="dxa"/>
          <w:left w:w="28" w:type="dxa"/>
          <w:bottom w:w="15" w:type="dxa"/>
          <w:right w:w="28" w:type="dxa"/>
        </w:tblCellMar>
      </w:tblPr>
      <w:tblGrid>
        <w:gridCol w:w="1900"/>
        <w:gridCol w:w="1019"/>
        <w:gridCol w:w="961"/>
        <w:gridCol w:w="1185"/>
        <w:gridCol w:w="1570"/>
        <w:gridCol w:w="907"/>
        <w:gridCol w:w="916"/>
      </w:tblGrid>
      <w:tr w14:paraId="751CE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28" w:type="dxa"/>
            <w:bottom w:w="15" w:type="dxa"/>
            <w:right w:w="28" w:type="dxa"/>
          </w:tblCellMar>
        </w:tblPrEx>
        <w:trPr>
          <w:trHeight w:val="365" w:hRule="atLeast"/>
          <w:jc w:val="center"/>
        </w:trPr>
        <w:tc>
          <w:tcPr>
            <w:tcW w:w="1123" w:type="pct"/>
            <w:vMerge w:val="restart"/>
            <w:vAlign w:val="center"/>
          </w:tcPr>
          <w:p w14:paraId="350D1085">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工程分区</w:t>
            </w:r>
          </w:p>
        </w:tc>
        <w:tc>
          <w:tcPr>
            <w:tcW w:w="602" w:type="pct"/>
            <w:vMerge w:val="restart"/>
            <w:vAlign w:val="center"/>
          </w:tcPr>
          <w:p w14:paraId="58E8F671">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挖方</w:t>
            </w:r>
          </w:p>
        </w:tc>
        <w:tc>
          <w:tcPr>
            <w:tcW w:w="568" w:type="pct"/>
            <w:vMerge w:val="restart"/>
            <w:vAlign w:val="center"/>
          </w:tcPr>
          <w:p w14:paraId="0BF57835">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填方</w:t>
            </w:r>
          </w:p>
        </w:tc>
        <w:tc>
          <w:tcPr>
            <w:tcW w:w="1628" w:type="pct"/>
            <w:gridSpan w:val="2"/>
            <w:vAlign w:val="center"/>
          </w:tcPr>
          <w:p w14:paraId="1885DFD4">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借方</w:t>
            </w:r>
          </w:p>
        </w:tc>
        <w:tc>
          <w:tcPr>
            <w:tcW w:w="1077" w:type="pct"/>
            <w:gridSpan w:val="2"/>
            <w:vAlign w:val="center"/>
          </w:tcPr>
          <w:p w14:paraId="10C4152D">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弃方量</w:t>
            </w:r>
          </w:p>
        </w:tc>
      </w:tr>
      <w:tr w14:paraId="55AAD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28" w:type="dxa"/>
            <w:bottom w:w="15" w:type="dxa"/>
            <w:right w:w="28" w:type="dxa"/>
          </w:tblCellMar>
        </w:tblPrEx>
        <w:trPr>
          <w:trHeight w:val="90" w:hRule="atLeast"/>
          <w:jc w:val="center"/>
        </w:trPr>
        <w:tc>
          <w:tcPr>
            <w:tcW w:w="1123" w:type="pct"/>
            <w:vMerge w:val="continue"/>
            <w:vAlign w:val="center"/>
          </w:tcPr>
          <w:p w14:paraId="28939F8B">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p>
        </w:tc>
        <w:tc>
          <w:tcPr>
            <w:tcW w:w="602" w:type="pct"/>
            <w:vMerge w:val="continue"/>
            <w:vAlign w:val="center"/>
          </w:tcPr>
          <w:p w14:paraId="4EFD4937">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p>
        </w:tc>
        <w:tc>
          <w:tcPr>
            <w:tcW w:w="568" w:type="pct"/>
            <w:vMerge w:val="continue"/>
            <w:vAlign w:val="center"/>
          </w:tcPr>
          <w:p w14:paraId="287E5969">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p>
        </w:tc>
        <w:tc>
          <w:tcPr>
            <w:tcW w:w="700" w:type="pct"/>
            <w:vAlign w:val="center"/>
          </w:tcPr>
          <w:p w14:paraId="6246ED16">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数量</w:t>
            </w:r>
          </w:p>
        </w:tc>
        <w:tc>
          <w:tcPr>
            <w:tcW w:w="928" w:type="pct"/>
            <w:vAlign w:val="center"/>
          </w:tcPr>
          <w:p w14:paraId="7AF58C73">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来源</w:t>
            </w:r>
          </w:p>
        </w:tc>
        <w:tc>
          <w:tcPr>
            <w:tcW w:w="536" w:type="pct"/>
            <w:vAlign w:val="center"/>
          </w:tcPr>
          <w:p w14:paraId="71368CA9">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w:t>
            </w:r>
          </w:p>
        </w:tc>
        <w:tc>
          <w:tcPr>
            <w:tcW w:w="541" w:type="pct"/>
            <w:vAlign w:val="center"/>
          </w:tcPr>
          <w:p w14:paraId="075C83F2">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去向</w:t>
            </w:r>
          </w:p>
        </w:tc>
      </w:tr>
      <w:tr w14:paraId="2219A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28" w:type="dxa"/>
            <w:bottom w:w="15" w:type="dxa"/>
            <w:right w:w="28" w:type="dxa"/>
          </w:tblCellMar>
        </w:tblPrEx>
        <w:trPr>
          <w:trHeight w:val="312" w:hRule="atLeast"/>
          <w:jc w:val="center"/>
        </w:trPr>
        <w:tc>
          <w:tcPr>
            <w:tcW w:w="1123" w:type="pct"/>
            <w:vAlign w:val="center"/>
          </w:tcPr>
          <w:p w14:paraId="0E3670BE">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
              </w:rPr>
              <w:t>井场</w:t>
            </w:r>
            <w:r>
              <w:rPr>
                <w:rFonts w:hint="default" w:ascii="Times New Roman" w:hAnsi="Times New Roman" w:cs="Times New Roman"/>
                <w:color w:val="auto"/>
                <w:sz w:val="21"/>
                <w:szCs w:val="21"/>
                <w:highlight w:val="none"/>
                <w:lang w:bidi="ar"/>
              </w:rPr>
              <w:t>工程</w:t>
            </w:r>
          </w:p>
        </w:tc>
        <w:tc>
          <w:tcPr>
            <w:tcW w:w="602" w:type="pct"/>
            <w:vAlign w:val="center"/>
          </w:tcPr>
          <w:p w14:paraId="7500698C">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68" w:type="pct"/>
            <w:vAlign w:val="center"/>
          </w:tcPr>
          <w:p w14:paraId="731484CC">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00" w:type="pct"/>
            <w:vAlign w:val="center"/>
          </w:tcPr>
          <w:p w14:paraId="5DF18D9F">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w:t>
            </w:r>
          </w:p>
        </w:tc>
        <w:tc>
          <w:tcPr>
            <w:tcW w:w="928" w:type="pct"/>
            <w:vAlign w:val="center"/>
          </w:tcPr>
          <w:p w14:paraId="7733D5BB">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bidi="ar"/>
              </w:rPr>
            </w:pPr>
            <w:r>
              <w:rPr>
                <w:rFonts w:hint="eastAsia" w:cs="Times New Roman"/>
                <w:color w:val="auto"/>
                <w:sz w:val="21"/>
                <w:szCs w:val="21"/>
                <w:highlight w:val="none"/>
                <w:lang w:val="en-US" w:eastAsia="zh-CN" w:bidi="ar"/>
              </w:rPr>
              <w:t>-</w:t>
            </w:r>
          </w:p>
        </w:tc>
        <w:tc>
          <w:tcPr>
            <w:tcW w:w="536" w:type="pct"/>
            <w:vAlign w:val="center"/>
          </w:tcPr>
          <w:p w14:paraId="2A0CA3DA">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0</w:t>
            </w:r>
          </w:p>
        </w:tc>
        <w:tc>
          <w:tcPr>
            <w:tcW w:w="541" w:type="pct"/>
            <w:vAlign w:val="center"/>
          </w:tcPr>
          <w:p w14:paraId="3EE18D65">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sz w:val="21"/>
                <w:szCs w:val="21"/>
                <w:highlight w:val="none"/>
                <w:lang w:eastAsia="zh-CN" w:bidi="ar"/>
              </w:rPr>
            </w:pPr>
            <w:r>
              <w:rPr>
                <w:rFonts w:hint="default" w:ascii="Times New Roman" w:hAnsi="Times New Roman" w:cs="Times New Roman"/>
                <w:color w:val="auto"/>
                <w:sz w:val="21"/>
                <w:szCs w:val="21"/>
                <w:highlight w:val="none"/>
                <w:lang w:val="en-US" w:eastAsia="zh-CN" w:bidi="ar"/>
              </w:rPr>
              <w:t>-</w:t>
            </w:r>
          </w:p>
        </w:tc>
      </w:tr>
      <w:tr w14:paraId="27AC3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28" w:type="dxa"/>
            <w:bottom w:w="15" w:type="dxa"/>
            <w:right w:w="28" w:type="dxa"/>
          </w:tblCellMar>
        </w:tblPrEx>
        <w:trPr>
          <w:trHeight w:val="302" w:hRule="atLeast"/>
          <w:jc w:val="center"/>
        </w:trPr>
        <w:tc>
          <w:tcPr>
            <w:tcW w:w="1123" w:type="pct"/>
            <w:vAlign w:val="center"/>
          </w:tcPr>
          <w:p w14:paraId="7616D35D">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pacing w:val="-10"/>
                <w:kern w:val="0"/>
                <w:sz w:val="23"/>
                <w:szCs w:val="23"/>
                <w:highlight w:val="none"/>
                <w:lang w:bidi="ar"/>
              </w:rPr>
              <w:t>管道工程</w:t>
            </w:r>
          </w:p>
        </w:tc>
        <w:tc>
          <w:tcPr>
            <w:tcW w:w="602" w:type="pct"/>
            <w:vAlign w:val="center"/>
          </w:tcPr>
          <w:p w14:paraId="41E536BF">
            <w:pPr>
              <w:keepNext w:val="0"/>
              <w:keepLines w:val="0"/>
              <w:pageBreakBefore w:val="0"/>
              <w:widowControl/>
              <w:kinsoku/>
              <w:wordWrap/>
              <w:overflowPunct w:val="0"/>
              <w:topLinePunct w:val="0"/>
              <w:autoSpaceDE w:val="0"/>
              <w:autoSpaceDN w:val="0"/>
              <w:bidi w:val="0"/>
              <w:adjustRightInd w:val="0"/>
              <w:snapToGrid w:val="0"/>
              <w:spacing w:line="240" w:lineRule="exact"/>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0.18</w:t>
            </w:r>
          </w:p>
        </w:tc>
        <w:tc>
          <w:tcPr>
            <w:tcW w:w="568" w:type="pct"/>
            <w:vAlign w:val="center"/>
          </w:tcPr>
          <w:p w14:paraId="2DDCF806">
            <w:pPr>
              <w:keepNext w:val="0"/>
              <w:keepLines w:val="0"/>
              <w:pageBreakBefore w:val="0"/>
              <w:widowControl/>
              <w:kinsoku/>
              <w:wordWrap/>
              <w:overflowPunct w:val="0"/>
              <w:topLinePunct w:val="0"/>
              <w:autoSpaceDE w:val="0"/>
              <w:autoSpaceDN w:val="0"/>
              <w:bidi w:val="0"/>
              <w:adjustRightInd w:val="0"/>
              <w:snapToGrid w:val="0"/>
              <w:spacing w:line="240" w:lineRule="exact"/>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0.18</w:t>
            </w:r>
          </w:p>
        </w:tc>
        <w:tc>
          <w:tcPr>
            <w:tcW w:w="700" w:type="pct"/>
            <w:vAlign w:val="center"/>
          </w:tcPr>
          <w:p w14:paraId="5C4EF89A">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0</w:t>
            </w:r>
          </w:p>
        </w:tc>
        <w:tc>
          <w:tcPr>
            <w:tcW w:w="928" w:type="pct"/>
            <w:vAlign w:val="center"/>
          </w:tcPr>
          <w:p w14:paraId="3805030D">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val="en-US" w:eastAsia="zh-CN" w:bidi="ar"/>
              </w:rPr>
              <w:t>-</w:t>
            </w:r>
          </w:p>
        </w:tc>
        <w:tc>
          <w:tcPr>
            <w:tcW w:w="536" w:type="pct"/>
            <w:vAlign w:val="center"/>
          </w:tcPr>
          <w:p w14:paraId="5DC4CC56">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bidi="ar"/>
              </w:rPr>
              <w:t>0</w:t>
            </w:r>
          </w:p>
        </w:tc>
        <w:tc>
          <w:tcPr>
            <w:tcW w:w="541" w:type="pct"/>
            <w:vAlign w:val="center"/>
          </w:tcPr>
          <w:p w14:paraId="53ABAA14">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sz w:val="21"/>
                <w:szCs w:val="21"/>
                <w:highlight w:val="none"/>
                <w:lang w:eastAsia="zh-CN" w:bidi="ar"/>
              </w:rPr>
            </w:pPr>
            <w:r>
              <w:rPr>
                <w:rFonts w:hint="default" w:ascii="Times New Roman" w:hAnsi="Times New Roman" w:cs="Times New Roman"/>
                <w:color w:val="auto"/>
                <w:sz w:val="21"/>
                <w:szCs w:val="21"/>
                <w:highlight w:val="none"/>
                <w:lang w:val="en-US" w:eastAsia="zh-CN" w:bidi="ar"/>
              </w:rPr>
              <w:t>-</w:t>
            </w:r>
          </w:p>
        </w:tc>
      </w:tr>
      <w:tr w14:paraId="08602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28" w:type="dxa"/>
            <w:bottom w:w="15" w:type="dxa"/>
            <w:right w:w="28" w:type="dxa"/>
          </w:tblCellMar>
        </w:tblPrEx>
        <w:trPr>
          <w:trHeight w:val="130" w:hRule="atLeast"/>
          <w:jc w:val="center"/>
        </w:trPr>
        <w:tc>
          <w:tcPr>
            <w:tcW w:w="1123" w:type="pct"/>
            <w:vAlign w:val="center"/>
          </w:tcPr>
          <w:p w14:paraId="1CB6FC88">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合计</w:t>
            </w:r>
          </w:p>
        </w:tc>
        <w:tc>
          <w:tcPr>
            <w:tcW w:w="602" w:type="pct"/>
            <w:vAlign w:val="center"/>
          </w:tcPr>
          <w:p w14:paraId="309176C6">
            <w:pPr>
              <w:keepNext w:val="0"/>
              <w:keepLines w:val="0"/>
              <w:pageBreakBefore w:val="0"/>
              <w:widowControl/>
              <w:kinsoku/>
              <w:wordWrap/>
              <w:overflowPunct w:val="0"/>
              <w:topLinePunct w:val="0"/>
              <w:autoSpaceDE w:val="0"/>
              <w:autoSpaceDN w:val="0"/>
              <w:bidi w:val="0"/>
              <w:adjustRightInd w:val="0"/>
              <w:snapToGrid w:val="0"/>
              <w:spacing w:line="240" w:lineRule="exact"/>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0.18</w:t>
            </w:r>
          </w:p>
        </w:tc>
        <w:tc>
          <w:tcPr>
            <w:tcW w:w="568" w:type="pct"/>
            <w:vAlign w:val="center"/>
          </w:tcPr>
          <w:p w14:paraId="5EB499F7">
            <w:pPr>
              <w:keepNext w:val="0"/>
              <w:keepLines w:val="0"/>
              <w:pageBreakBefore w:val="0"/>
              <w:widowControl/>
              <w:kinsoku/>
              <w:wordWrap/>
              <w:overflowPunct w:val="0"/>
              <w:topLinePunct w:val="0"/>
              <w:autoSpaceDE w:val="0"/>
              <w:autoSpaceDN w:val="0"/>
              <w:bidi w:val="0"/>
              <w:adjustRightInd w:val="0"/>
              <w:snapToGrid w:val="0"/>
              <w:spacing w:line="240" w:lineRule="exact"/>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0.18</w:t>
            </w:r>
          </w:p>
        </w:tc>
        <w:tc>
          <w:tcPr>
            <w:tcW w:w="700" w:type="pct"/>
            <w:vAlign w:val="center"/>
          </w:tcPr>
          <w:p w14:paraId="63D09603">
            <w:pPr>
              <w:keepNext w:val="0"/>
              <w:keepLines w:val="0"/>
              <w:pageBreakBefore w:val="0"/>
              <w:widowControl/>
              <w:kinsoku/>
              <w:wordWrap/>
              <w:overflowPunct w:val="0"/>
              <w:topLinePunct w:val="0"/>
              <w:autoSpaceDE w:val="0"/>
              <w:autoSpaceDN w:val="0"/>
              <w:bidi w:val="0"/>
              <w:adjustRightInd w:val="0"/>
              <w:snapToGrid w:val="0"/>
              <w:spacing w:line="240" w:lineRule="exact"/>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928" w:type="pct"/>
            <w:vAlign w:val="center"/>
          </w:tcPr>
          <w:p w14:paraId="1123F0DC">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val="en-US" w:eastAsia="zh-CN" w:bidi="ar"/>
              </w:rPr>
              <w:t>-</w:t>
            </w:r>
          </w:p>
        </w:tc>
        <w:tc>
          <w:tcPr>
            <w:tcW w:w="536" w:type="pct"/>
            <w:vAlign w:val="center"/>
          </w:tcPr>
          <w:p w14:paraId="574ABC93">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0</w:t>
            </w:r>
          </w:p>
        </w:tc>
        <w:tc>
          <w:tcPr>
            <w:tcW w:w="541" w:type="pct"/>
            <w:vAlign w:val="center"/>
          </w:tcPr>
          <w:p w14:paraId="3B14989A">
            <w:pPr>
              <w:pStyle w:val="51"/>
              <w:keepNext w:val="0"/>
              <w:keepLines w:val="0"/>
              <w:pageBreakBefore w:val="0"/>
              <w:widowControl/>
              <w:kinsoku/>
              <w:wordWrap/>
              <w:overflowPunct w:val="0"/>
              <w:topLinePunct w:val="0"/>
              <w:autoSpaceDE w:val="0"/>
              <w:autoSpaceDN w:val="0"/>
              <w:bidi w:val="0"/>
              <w:adjustRightInd w:val="0"/>
              <w:snapToGrid w:val="0"/>
              <w:spacing w:line="240" w:lineRule="exact"/>
              <w:textAlignment w:val="baseline"/>
              <w:rPr>
                <w:rFonts w:hint="default" w:ascii="Times New Roman" w:hAnsi="Times New Roman" w:eastAsia="宋体" w:cs="Times New Roman"/>
                <w:color w:val="auto"/>
                <w:sz w:val="21"/>
                <w:szCs w:val="21"/>
                <w:highlight w:val="none"/>
                <w:lang w:eastAsia="zh-CN" w:bidi="ar"/>
              </w:rPr>
            </w:pPr>
            <w:r>
              <w:rPr>
                <w:rFonts w:hint="default" w:ascii="Times New Roman" w:hAnsi="Times New Roman" w:cs="Times New Roman"/>
                <w:color w:val="auto"/>
                <w:sz w:val="21"/>
                <w:szCs w:val="21"/>
                <w:highlight w:val="none"/>
                <w:lang w:val="en-US" w:eastAsia="zh-CN" w:bidi="ar"/>
              </w:rPr>
              <w:t>-</w:t>
            </w:r>
          </w:p>
        </w:tc>
      </w:tr>
    </w:tbl>
    <w:p w14:paraId="5C9465DC">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4"/>
          <w:szCs w:val="24"/>
          <w:highlight w:val="none"/>
          <w:lang w:eastAsia="zh-CN"/>
        </w:rPr>
        <w:t>⑦</w:t>
      </w:r>
      <w:r>
        <w:rPr>
          <w:rFonts w:hint="default" w:ascii="Times New Roman" w:hAnsi="Times New Roman" w:eastAsia="宋体" w:cs="Times New Roman"/>
          <w:color w:val="auto"/>
          <w:highlight w:val="none"/>
        </w:rPr>
        <w:t>废机油</w:t>
      </w:r>
    </w:p>
    <w:p w14:paraId="7D153A4D">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钻井施工过程中机械检修时会产生少量废机油，检修期间地面应铺设防渗膜，采用钢制铁桶收集后暂存于撬装式危废暂存间中，防止废机油落地污染土壤和地下水。类比同类钻井工程，钻井期间产生的废机油量约为0.1t/</w:t>
      </w:r>
      <w:r>
        <w:rPr>
          <w:rFonts w:hint="eastAsia" w:ascii="Times New Roman" w:hAnsi="Times New Roman" w:cs="Times New Roman"/>
          <w:color w:val="auto"/>
          <w:highlight w:val="none"/>
          <w:lang w:val="en-US" w:eastAsia="zh-CN"/>
        </w:rPr>
        <w:t>井</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部署侧钻井</w:t>
      </w: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口，废机油量产生量为0.</w:t>
      </w: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t，</w:t>
      </w:r>
      <w:r>
        <w:rPr>
          <w:rFonts w:hint="eastAsia" w:ascii="Times New Roman" w:hAnsi="Times New Roman" w:cs="Times New Roman"/>
          <w:color w:val="auto"/>
          <w:highlight w:val="none"/>
          <w:lang w:val="en-US" w:eastAsia="zh-CN"/>
        </w:rPr>
        <w:t>属于危险废物HW08（</w:t>
      </w:r>
      <w:r>
        <w:rPr>
          <w:rFonts w:hint="eastAsia" w:ascii="Times New Roman" w:hAnsi="Times New Roman" w:eastAsia="宋体" w:cs="Times New Roman"/>
          <w:color w:val="auto"/>
          <w:highlight w:val="none"/>
          <w:lang w:val="en-US" w:eastAsia="zh-CN"/>
        </w:rPr>
        <w:t>废物代码</w:t>
      </w:r>
      <w:r>
        <w:rPr>
          <w:rFonts w:hint="default" w:ascii="Times New Roman" w:hAnsi="Times New Roman" w:eastAsia="宋体" w:cs="Times New Roman"/>
          <w:color w:val="auto"/>
          <w:highlight w:val="none"/>
        </w:rPr>
        <w:t>900-249-08</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highlight w:val="none"/>
        </w:rPr>
        <w:t>废机油采用桶装密闭收集，定期由钻井队联系有危险废物经营许可证的单位清运处置。</w:t>
      </w:r>
    </w:p>
    <w:p w14:paraId="17D6F712">
      <w:pPr>
        <w:pStyle w:val="75"/>
        <w:pageBreakBefore w:val="0"/>
        <w:kinsoku/>
        <w:overflowPunct/>
        <w:topLinePunct w:val="0"/>
        <w:autoSpaceDE/>
        <w:autoSpaceDN/>
        <w:bidi w:val="0"/>
        <w:adjustRightInd w:val="0"/>
        <w:snapToGrid w:val="0"/>
        <w:spacing w:before="0" w:after="0"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4"/>
          <w:szCs w:val="24"/>
          <w:highlight w:val="none"/>
          <w:lang w:eastAsia="zh-CN"/>
        </w:rPr>
        <w:t>⑧</w:t>
      </w:r>
      <w:r>
        <w:rPr>
          <w:rFonts w:hint="default" w:ascii="Times New Roman" w:hAnsi="Times New Roman" w:eastAsia="宋体" w:cs="Times New Roman"/>
          <w:color w:val="auto"/>
          <w:highlight w:val="none"/>
        </w:rPr>
        <w:t>废烧碱包装袋</w:t>
      </w:r>
    </w:p>
    <w:p w14:paraId="31847D43">
      <w:pPr>
        <w:pStyle w:val="75"/>
        <w:pageBreakBefore w:val="0"/>
        <w:kinsoku/>
        <w:overflowPunct/>
        <w:topLinePunct w:val="0"/>
        <w:autoSpaceDE/>
        <w:autoSpaceDN/>
        <w:bidi w:val="0"/>
        <w:adjustRightInd w:val="0"/>
        <w:snapToGrid w:val="0"/>
        <w:spacing w:before="0" w:after="0" w:line="360" w:lineRule="auto"/>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highlight w:val="none"/>
        </w:rPr>
        <w:t>钻井施工过程中配制钻井泥浆时会产生少量烧碱废包装袋。类比同类钻井工程，钻井期间产生的烧碱废包装袋约为0.05t/口，</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部署侧钻井</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口，烧碱废包装袋产生量为0.</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t</w:t>
      </w:r>
      <w:r>
        <w:rPr>
          <w:rFonts w:hint="eastAsia" w:cs="Times New Roman"/>
          <w:color w:val="auto"/>
          <w:highlight w:val="none"/>
          <w:lang w:eastAsia="zh-CN"/>
        </w:rPr>
        <w:t>，</w:t>
      </w:r>
      <w:r>
        <w:rPr>
          <w:rFonts w:hint="eastAsia" w:ascii="Times New Roman" w:hAnsi="Times New Roman" w:eastAsia="宋体" w:cs="Times New Roman"/>
          <w:color w:val="auto"/>
          <w:sz w:val="24"/>
          <w:highlight w:val="none"/>
          <w:lang w:eastAsia="zh-CN"/>
        </w:rPr>
        <w:t>属于危险废物</w:t>
      </w:r>
      <w:r>
        <w:rPr>
          <w:rFonts w:hint="eastAsia" w:ascii="Times New Roman" w:hAnsi="Times New Roman" w:eastAsia="宋体" w:cs="Times New Roman"/>
          <w:color w:val="auto"/>
          <w:sz w:val="24"/>
          <w:highlight w:val="none"/>
          <w:lang w:val="en-US" w:eastAsia="zh-CN"/>
        </w:rPr>
        <w:t>HW49（废物代码：900-041-49）</w:t>
      </w:r>
      <w:r>
        <w:rPr>
          <w:rFonts w:hint="default" w:ascii="Times New Roman" w:hAnsi="Times New Roman" w:eastAsia="宋体" w:cs="Times New Roman"/>
          <w:color w:val="auto"/>
          <w:highlight w:val="none"/>
        </w:rPr>
        <w:t>，废烧碱包装袋折叠打包后，定期由钻井队联系有危险废物经营许可证的单位清运处置。</w:t>
      </w:r>
    </w:p>
    <w:p w14:paraId="49AC6618">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9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cs="Times New Roman"/>
          <w:color w:val="auto"/>
          <w:highlight w:val="none"/>
        </w:rPr>
        <w:t>⑨</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kern w:val="2"/>
          <w:sz w:val="24"/>
          <w:szCs w:val="24"/>
          <w:highlight w:val="none"/>
          <w:lang w:eastAsia="zh-CN"/>
        </w:rPr>
        <w:t>废防渗材料</w:t>
      </w:r>
    </w:p>
    <w:p w14:paraId="72E6DC33">
      <w:pPr>
        <w:pStyle w:val="75"/>
        <w:pageBreakBefore w:val="0"/>
        <w:kinsoku/>
        <w:overflowPunct/>
        <w:topLinePunct w:val="0"/>
        <w:autoSpaceDE/>
        <w:autoSpaceDN/>
        <w:bidi w:val="0"/>
        <w:adjustRightInd w:val="0"/>
        <w:snapToGrid w:val="0"/>
        <w:spacing w:before="0" w:after="0" w:line="360" w:lineRule="auto"/>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工程钻井期产生少量废防渗材料属于危险废物，类比同类钻井工程，钻井期间产生的废防渗材料约为0.2t/口，</w:t>
      </w:r>
      <w:r>
        <w:rPr>
          <w:rFonts w:hint="default" w:ascii="Times New Roman" w:hAnsi="Times New Roman" w:cs="Times New Roman"/>
          <w:color w:val="auto"/>
          <w:kern w:val="2"/>
          <w:sz w:val="24"/>
          <w:szCs w:val="24"/>
          <w:highlight w:val="none"/>
          <w:lang w:eastAsia="zh-CN"/>
        </w:rPr>
        <w:t>本项目</w:t>
      </w:r>
      <w:r>
        <w:rPr>
          <w:rFonts w:hint="default" w:ascii="Times New Roman" w:hAnsi="Times New Roman" w:eastAsia="宋体" w:cs="Times New Roman"/>
          <w:color w:val="auto"/>
          <w:highlight w:val="none"/>
        </w:rPr>
        <w:t>部署侧钻井</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口</w:t>
      </w:r>
      <w:r>
        <w:rPr>
          <w:rFonts w:hint="default" w:ascii="Times New Roman" w:hAnsi="Times New Roman" w:eastAsia="宋体" w:cs="Times New Roman"/>
          <w:color w:val="auto"/>
          <w:kern w:val="2"/>
          <w:sz w:val="24"/>
          <w:szCs w:val="24"/>
          <w:highlight w:val="none"/>
          <w:lang w:eastAsia="zh-CN"/>
        </w:rPr>
        <w:t>，废防渗材料产生量为</w:t>
      </w:r>
      <w:r>
        <w:rPr>
          <w:rFonts w:hint="eastAsia" w:cs="Times New Roman"/>
          <w:color w:val="auto"/>
          <w:kern w:val="2"/>
          <w:sz w:val="24"/>
          <w:szCs w:val="24"/>
          <w:highlight w:val="none"/>
          <w:lang w:val="en-US" w:eastAsia="zh-CN"/>
        </w:rPr>
        <w:t>0.8</w:t>
      </w:r>
      <w:r>
        <w:rPr>
          <w:rFonts w:hint="default" w:ascii="Times New Roman" w:hAnsi="Times New Roman" w:eastAsia="宋体" w:cs="Times New Roman"/>
          <w:color w:val="auto"/>
          <w:kern w:val="2"/>
          <w:sz w:val="24"/>
          <w:szCs w:val="24"/>
          <w:highlight w:val="none"/>
          <w:lang w:eastAsia="zh-CN"/>
        </w:rPr>
        <w:t>t，</w:t>
      </w:r>
      <w:r>
        <w:rPr>
          <w:rFonts w:hint="eastAsia" w:cs="Times New Roman"/>
          <w:color w:val="auto"/>
          <w:kern w:val="2"/>
          <w:sz w:val="24"/>
          <w:szCs w:val="24"/>
          <w:highlight w:val="none"/>
          <w:lang w:val="en-US" w:eastAsia="zh-CN"/>
        </w:rPr>
        <w:t>属于危险废物</w:t>
      </w:r>
      <w:r>
        <w:rPr>
          <w:rFonts w:hint="eastAsia" w:cs="Times New Roman"/>
          <w:color w:val="auto"/>
          <w:spacing w:val="0"/>
          <w:sz w:val="24"/>
          <w:szCs w:val="24"/>
          <w:highlight w:val="none"/>
          <w:lang w:val="en-US" w:eastAsia="zh-CN"/>
        </w:rPr>
        <w:t>HW08（废物代码900-249-08），</w:t>
      </w:r>
      <w:r>
        <w:rPr>
          <w:rFonts w:hint="default" w:ascii="Times New Roman" w:hAnsi="Times New Roman" w:eastAsia="宋体" w:cs="Times New Roman"/>
          <w:color w:val="auto"/>
          <w:highlight w:val="none"/>
        </w:rPr>
        <w:t>定期由钻井队联系有危险废物经营许可证的单位清运处置。</w:t>
      </w:r>
    </w:p>
    <w:p w14:paraId="2C225DC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施工噪声源强</w:t>
      </w:r>
    </w:p>
    <w:p w14:paraId="02B7EA57">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rPr>
        <w:t>项目施工期噪声主要包括钻井、土方施工等过程中各种</w:t>
      </w:r>
      <w:r>
        <w:rPr>
          <w:rFonts w:hint="default" w:ascii="Times New Roman" w:hAnsi="Times New Roman" w:cs="Times New Roman"/>
          <w:color w:val="auto"/>
          <w:szCs w:val="24"/>
          <w:highlight w:val="none"/>
          <w:lang w:val="en-US" w:eastAsia="zh-CN"/>
        </w:rPr>
        <w:t>施工</w:t>
      </w:r>
      <w:r>
        <w:rPr>
          <w:rFonts w:hint="default" w:ascii="Times New Roman" w:hAnsi="Times New Roman" w:cs="Times New Roman"/>
          <w:color w:val="auto"/>
          <w:szCs w:val="24"/>
          <w:highlight w:val="none"/>
        </w:rPr>
        <w:t>机械设备噪声</w:t>
      </w:r>
      <w:r>
        <w:rPr>
          <w:rFonts w:hint="default" w:ascii="Times New Roman" w:hAnsi="Times New Roman" w:cs="Times New Roman"/>
          <w:color w:val="auto"/>
          <w:szCs w:val="24"/>
          <w:highlight w:val="none"/>
          <w:lang w:val="en-US" w:eastAsia="zh-CN"/>
        </w:rPr>
        <w:t>以及</w:t>
      </w:r>
      <w:r>
        <w:rPr>
          <w:rFonts w:hint="default" w:ascii="Times New Roman" w:hAnsi="Times New Roman" w:cs="Times New Roman"/>
          <w:color w:val="auto"/>
          <w:szCs w:val="24"/>
          <w:highlight w:val="none"/>
        </w:rPr>
        <w:t>物料运输车辆噪声。参照《环境噪声与振动控制工程技术导则》</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HJ2034-2013</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中表A.2和类比油田开发工程中井场、内部道路、管线铺设和钻井工程实际情况，项目施工期拟采用的各类施工设备产噪值见表3.</w:t>
      </w:r>
      <w:r>
        <w:rPr>
          <w:rFonts w:hint="default"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6。</w:t>
      </w:r>
    </w:p>
    <w:p w14:paraId="6DB688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1"/>
          <w:szCs w:val="21"/>
          <w:highlight w:val="none"/>
          <w:lang w:eastAsia="zh-CN"/>
        </w:rPr>
      </w:pPr>
      <w:r>
        <w:rPr>
          <w:rFonts w:hint="default" w:ascii="Times New Roman" w:hAnsi="Times New Roman" w:eastAsia="黑体" w:cs="Times New Roman"/>
          <w:color w:val="auto"/>
          <w:sz w:val="21"/>
          <w:szCs w:val="21"/>
          <w:highlight w:val="none"/>
        </w:rPr>
        <w:t>表3.</w:t>
      </w:r>
      <w:r>
        <w:rPr>
          <w:rFonts w:hint="default" w:ascii="Times New Roman" w:hAnsi="Times New Roman" w:eastAsia="黑体" w:cs="Times New Roman"/>
          <w:color w:val="auto"/>
          <w:sz w:val="21"/>
          <w:szCs w:val="21"/>
          <w:highlight w:val="none"/>
          <w:lang w:val="en-US" w:eastAsia="zh-CN"/>
        </w:rPr>
        <w:t>4</w:t>
      </w:r>
      <w:r>
        <w:rPr>
          <w:rFonts w:hint="default" w:ascii="Times New Roman" w:hAnsi="Times New Roman" w:eastAsia="黑体" w:cs="Times New Roman"/>
          <w:color w:val="auto"/>
          <w:sz w:val="21"/>
          <w:szCs w:val="21"/>
          <w:highlight w:val="none"/>
        </w:rPr>
        <w:t>-</w:t>
      </w:r>
      <w:r>
        <w:rPr>
          <w:rFonts w:hint="default" w:ascii="Times New Roman" w:hAnsi="Times New Roman" w:eastAsia="黑体" w:cs="Times New Roman"/>
          <w:color w:val="auto"/>
          <w:sz w:val="21"/>
          <w:szCs w:val="21"/>
          <w:highlight w:val="none"/>
          <w:lang w:val="en-US" w:eastAsia="zh-CN"/>
        </w:rPr>
        <w:t>6</w:t>
      </w:r>
      <w:r>
        <w:rPr>
          <w:rFonts w:hint="eastAsia" w:eastAsia="黑体"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主要施工设备噪声源不同距离声压级单位：dB</w:t>
      </w:r>
      <w:r>
        <w:rPr>
          <w:rFonts w:hint="default" w:ascii="Times New Roman" w:hAnsi="Times New Roman" w:eastAsia="黑体" w:cs="Times New Roman"/>
          <w:color w:val="auto"/>
          <w:sz w:val="21"/>
          <w:szCs w:val="21"/>
          <w:highlight w:val="none"/>
          <w:lang w:eastAsia="zh-CN"/>
        </w:rPr>
        <w:t>（</w:t>
      </w:r>
      <w:r>
        <w:rPr>
          <w:rFonts w:hint="default" w:ascii="Times New Roman" w:hAnsi="Times New Roman" w:eastAsia="黑体" w:cs="Times New Roman"/>
          <w:color w:val="auto"/>
          <w:sz w:val="21"/>
          <w:szCs w:val="21"/>
          <w:highlight w:val="none"/>
        </w:rPr>
        <w:t>A</w:t>
      </w:r>
      <w:r>
        <w:rPr>
          <w:rFonts w:hint="default" w:ascii="Times New Roman" w:hAnsi="Times New Roman" w:eastAsia="黑体" w:cs="Times New Roman"/>
          <w:color w:val="auto"/>
          <w:sz w:val="21"/>
          <w:szCs w:val="21"/>
          <w:highlight w:val="none"/>
          <w:lang w:eastAsia="zh-CN"/>
        </w:rPr>
        <w:t>）</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290"/>
        <w:gridCol w:w="2294"/>
        <w:gridCol w:w="589"/>
        <w:gridCol w:w="1604"/>
        <w:gridCol w:w="2326"/>
      </w:tblGrid>
      <w:tr w14:paraId="0AA4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1DE475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序号</w:t>
            </w:r>
          </w:p>
        </w:tc>
        <w:tc>
          <w:tcPr>
            <w:tcW w:w="747" w:type="pct"/>
            <w:vAlign w:val="center"/>
          </w:tcPr>
          <w:p w14:paraId="739A1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设备名称</w:t>
            </w:r>
          </w:p>
        </w:tc>
        <w:tc>
          <w:tcPr>
            <w:tcW w:w="1330" w:type="pct"/>
            <w:vAlign w:val="center"/>
          </w:tcPr>
          <w:p w14:paraId="3C833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lang w:bidi="ar"/>
              </w:rPr>
            </w:pPr>
            <w:r>
              <w:rPr>
                <w:rFonts w:hint="default" w:ascii="Times New Roman" w:hAnsi="Times New Roman" w:cs="Times New Roman" w:eastAsiaTheme="minorEastAsia"/>
                <w:color w:val="auto"/>
                <w:kern w:val="2"/>
                <w:sz w:val="21"/>
                <w:szCs w:val="21"/>
                <w:highlight w:val="none"/>
                <w:lang w:bidi="ar"/>
              </w:rPr>
              <w:t>噪声值/距离</w:t>
            </w:r>
          </w:p>
          <w:p w14:paraId="1338E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lang w:eastAsia="zh-CN" w:bidi="ar"/>
              </w:rPr>
              <w:t>（</w:t>
            </w:r>
            <w:r>
              <w:rPr>
                <w:rFonts w:hint="default" w:ascii="Times New Roman" w:hAnsi="Times New Roman" w:cs="Times New Roman" w:eastAsiaTheme="minorEastAsia"/>
                <w:color w:val="auto"/>
                <w:kern w:val="2"/>
                <w:sz w:val="21"/>
                <w:szCs w:val="21"/>
                <w:highlight w:val="none"/>
                <w:lang w:bidi="ar"/>
              </w:rPr>
              <w:t>dB</w:t>
            </w:r>
            <w:r>
              <w:rPr>
                <w:rFonts w:hint="default" w:ascii="Times New Roman" w:hAnsi="Times New Roman" w:cs="Times New Roman" w:eastAsiaTheme="minorEastAsia"/>
                <w:color w:val="auto"/>
                <w:kern w:val="2"/>
                <w:sz w:val="21"/>
                <w:szCs w:val="21"/>
                <w:highlight w:val="none"/>
                <w:lang w:eastAsia="zh-CN" w:bidi="ar"/>
              </w:rPr>
              <w:t>（</w:t>
            </w:r>
            <w:r>
              <w:rPr>
                <w:rFonts w:hint="default" w:ascii="Times New Roman" w:hAnsi="Times New Roman" w:cs="Times New Roman" w:eastAsiaTheme="minorEastAsia"/>
                <w:color w:val="auto"/>
                <w:kern w:val="2"/>
                <w:sz w:val="21"/>
                <w:szCs w:val="21"/>
                <w:highlight w:val="none"/>
                <w:lang w:bidi="ar"/>
              </w:rPr>
              <w:t>A</w:t>
            </w:r>
            <w:r>
              <w:rPr>
                <w:rFonts w:hint="default" w:ascii="Times New Roman" w:hAnsi="Times New Roman" w:cs="Times New Roman" w:eastAsiaTheme="minorEastAsia"/>
                <w:color w:val="auto"/>
                <w:kern w:val="2"/>
                <w:sz w:val="21"/>
                <w:szCs w:val="21"/>
                <w:highlight w:val="none"/>
                <w:lang w:eastAsia="zh-CN" w:bidi="ar"/>
              </w:rPr>
              <w:t>）</w:t>
            </w:r>
            <w:r>
              <w:rPr>
                <w:rFonts w:hint="default" w:ascii="Times New Roman" w:hAnsi="Times New Roman" w:cs="Times New Roman" w:eastAsiaTheme="minorEastAsia"/>
                <w:color w:val="auto"/>
                <w:kern w:val="2"/>
                <w:sz w:val="21"/>
                <w:szCs w:val="21"/>
                <w:highlight w:val="none"/>
                <w:lang w:bidi="ar"/>
              </w:rPr>
              <w:t>/m</w:t>
            </w:r>
            <w:r>
              <w:rPr>
                <w:rFonts w:hint="default" w:ascii="Times New Roman" w:hAnsi="Times New Roman" w:cs="Times New Roman" w:eastAsiaTheme="minorEastAsia"/>
                <w:color w:val="auto"/>
                <w:kern w:val="2"/>
                <w:sz w:val="21"/>
                <w:szCs w:val="21"/>
                <w:highlight w:val="none"/>
                <w:lang w:eastAsia="zh-CN" w:bidi="ar"/>
              </w:rPr>
              <w:t>）</w:t>
            </w:r>
          </w:p>
        </w:tc>
        <w:tc>
          <w:tcPr>
            <w:tcW w:w="341" w:type="pct"/>
            <w:vAlign w:val="center"/>
          </w:tcPr>
          <w:p w14:paraId="4B6C8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序号</w:t>
            </w:r>
          </w:p>
        </w:tc>
        <w:tc>
          <w:tcPr>
            <w:tcW w:w="930" w:type="pct"/>
            <w:vAlign w:val="center"/>
          </w:tcPr>
          <w:p w14:paraId="057F5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设备名称</w:t>
            </w:r>
          </w:p>
        </w:tc>
        <w:tc>
          <w:tcPr>
            <w:tcW w:w="1348" w:type="pct"/>
            <w:vAlign w:val="center"/>
          </w:tcPr>
          <w:p w14:paraId="589A9F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lang w:bidi="ar"/>
              </w:rPr>
            </w:pPr>
            <w:r>
              <w:rPr>
                <w:rFonts w:hint="default" w:ascii="Times New Roman" w:hAnsi="Times New Roman" w:cs="Times New Roman" w:eastAsiaTheme="minorEastAsia"/>
                <w:color w:val="auto"/>
                <w:kern w:val="2"/>
                <w:sz w:val="21"/>
                <w:szCs w:val="21"/>
                <w:highlight w:val="none"/>
                <w:lang w:bidi="ar"/>
              </w:rPr>
              <w:t>噪声值/距离</w:t>
            </w:r>
          </w:p>
          <w:p w14:paraId="57BB93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lang w:eastAsia="zh-CN" w:bidi="ar"/>
              </w:rPr>
              <w:t>（</w:t>
            </w:r>
            <w:r>
              <w:rPr>
                <w:rFonts w:hint="default" w:ascii="Times New Roman" w:hAnsi="Times New Roman" w:cs="Times New Roman" w:eastAsiaTheme="minorEastAsia"/>
                <w:color w:val="auto"/>
                <w:kern w:val="2"/>
                <w:sz w:val="21"/>
                <w:szCs w:val="21"/>
                <w:highlight w:val="none"/>
                <w:lang w:bidi="ar"/>
              </w:rPr>
              <w:t>dB</w:t>
            </w:r>
            <w:r>
              <w:rPr>
                <w:rFonts w:hint="default" w:ascii="Times New Roman" w:hAnsi="Times New Roman" w:cs="Times New Roman" w:eastAsiaTheme="minorEastAsia"/>
                <w:color w:val="auto"/>
                <w:kern w:val="2"/>
                <w:sz w:val="21"/>
                <w:szCs w:val="21"/>
                <w:highlight w:val="none"/>
                <w:lang w:eastAsia="zh-CN" w:bidi="ar"/>
              </w:rPr>
              <w:t>（</w:t>
            </w:r>
            <w:r>
              <w:rPr>
                <w:rFonts w:hint="default" w:ascii="Times New Roman" w:hAnsi="Times New Roman" w:cs="Times New Roman" w:eastAsiaTheme="minorEastAsia"/>
                <w:color w:val="auto"/>
                <w:kern w:val="2"/>
                <w:sz w:val="21"/>
                <w:szCs w:val="21"/>
                <w:highlight w:val="none"/>
                <w:lang w:bidi="ar"/>
              </w:rPr>
              <w:t>A</w:t>
            </w:r>
            <w:r>
              <w:rPr>
                <w:rFonts w:hint="default" w:ascii="Times New Roman" w:hAnsi="Times New Roman" w:cs="Times New Roman" w:eastAsiaTheme="minorEastAsia"/>
                <w:color w:val="auto"/>
                <w:kern w:val="2"/>
                <w:sz w:val="21"/>
                <w:szCs w:val="21"/>
                <w:highlight w:val="none"/>
                <w:lang w:eastAsia="zh-CN" w:bidi="ar"/>
              </w:rPr>
              <w:t>）</w:t>
            </w:r>
            <w:r>
              <w:rPr>
                <w:rFonts w:hint="default" w:ascii="Times New Roman" w:hAnsi="Times New Roman" w:cs="Times New Roman" w:eastAsiaTheme="minorEastAsia"/>
                <w:color w:val="auto"/>
                <w:kern w:val="2"/>
                <w:sz w:val="21"/>
                <w:szCs w:val="21"/>
                <w:highlight w:val="none"/>
                <w:lang w:bidi="ar"/>
              </w:rPr>
              <w:t>/m</w:t>
            </w:r>
            <w:r>
              <w:rPr>
                <w:rFonts w:hint="default" w:ascii="Times New Roman" w:hAnsi="Times New Roman" w:cs="Times New Roman" w:eastAsiaTheme="minorEastAsia"/>
                <w:color w:val="auto"/>
                <w:kern w:val="2"/>
                <w:sz w:val="21"/>
                <w:szCs w:val="21"/>
                <w:highlight w:val="none"/>
                <w:lang w:eastAsia="zh-CN" w:bidi="ar"/>
              </w:rPr>
              <w:t>）</w:t>
            </w:r>
          </w:p>
        </w:tc>
      </w:tr>
      <w:tr w14:paraId="6B25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7DE11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1</w:t>
            </w:r>
          </w:p>
        </w:tc>
        <w:tc>
          <w:tcPr>
            <w:tcW w:w="747" w:type="pct"/>
            <w:vAlign w:val="center"/>
          </w:tcPr>
          <w:p w14:paraId="59836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装载机</w:t>
            </w:r>
          </w:p>
        </w:tc>
        <w:tc>
          <w:tcPr>
            <w:tcW w:w="1330" w:type="pct"/>
            <w:vAlign w:val="center"/>
          </w:tcPr>
          <w:p w14:paraId="124EC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88/5</w:t>
            </w:r>
          </w:p>
        </w:tc>
        <w:tc>
          <w:tcPr>
            <w:tcW w:w="341" w:type="pct"/>
            <w:vAlign w:val="center"/>
          </w:tcPr>
          <w:p w14:paraId="6B6C9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5</w:t>
            </w:r>
          </w:p>
        </w:tc>
        <w:tc>
          <w:tcPr>
            <w:tcW w:w="930" w:type="pct"/>
            <w:vAlign w:val="center"/>
          </w:tcPr>
          <w:p w14:paraId="4A76A0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吊装机</w:t>
            </w:r>
          </w:p>
        </w:tc>
        <w:tc>
          <w:tcPr>
            <w:tcW w:w="1348" w:type="pct"/>
            <w:vAlign w:val="center"/>
          </w:tcPr>
          <w:p w14:paraId="5959C5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84/5</w:t>
            </w:r>
          </w:p>
        </w:tc>
      </w:tr>
      <w:tr w14:paraId="6850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5C0E4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2</w:t>
            </w:r>
          </w:p>
        </w:tc>
        <w:tc>
          <w:tcPr>
            <w:tcW w:w="747" w:type="pct"/>
            <w:vAlign w:val="center"/>
          </w:tcPr>
          <w:p w14:paraId="18B8D8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挖掘机</w:t>
            </w:r>
          </w:p>
        </w:tc>
        <w:tc>
          <w:tcPr>
            <w:tcW w:w="1330" w:type="pct"/>
            <w:vAlign w:val="center"/>
          </w:tcPr>
          <w:p w14:paraId="3E62A8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90/5</w:t>
            </w:r>
          </w:p>
        </w:tc>
        <w:tc>
          <w:tcPr>
            <w:tcW w:w="341" w:type="pct"/>
            <w:vAlign w:val="center"/>
          </w:tcPr>
          <w:p w14:paraId="45C77A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6</w:t>
            </w:r>
          </w:p>
        </w:tc>
        <w:tc>
          <w:tcPr>
            <w:tcW w:w="930" w:type="pct"/>
            <w:vAlign w:val="center"/>
          </w:tcPr>
          <w:p w14:paraId="0CFAE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钻机</w:t>
            </w:r>
          </w:p>
        </w:tc>
        <w:tc>
          <w:tcPr>
            <w:tcW w:w="1348" w:type="pct"/>
            <w:vAlign w:val="center"/>
          </w:tcPr>
          <w:p w14:paraId="0DD9F2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95</w:t>
            </w:r>
            <w:r>
              <w:rPr>
                <w:rFonts w:hint="default" w:ascii="Times New Roman" w:hAnsi="Times New Roman" w:cs="Times New Roman" w:eastAsiaTheme="minorEastAsia"/>
                <w:color w:val="auto"/>
                <w:kern w:val="2"/>
                <w:sz w:val="21"/>
                <w:szCs w:val="21"/>
                <w:highlight w:val="none"/>
                <w:lang w:bidi="ar"/>
              </w:rPr>
              <w:t>/5</w:t>
            </w:r>
          </w:p>
        </w:tc>
      </w:tr>
      <w:tr w14:paraId="4467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6589C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3</w:t>
            </w:r>
          </w:p>
        </w:tc>
        <w:tc>
          <w:tcPr>
            <w:tcW w:w="747" w:type="pct"/>
            <w:vAlign w:val="center"/>
          </w:tcPr>
          <w:p w14:paraId="16EA03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运输车辆</w:t>
            </w:r>
          </w:p>
        </w:tc>
        <w:tc>
          <w:tcPr>
            <w:tcW w:w="1330" w:type="pct"/>
            <w:vAlign w:val="center"/>
          </w:tcPr>
          <w:p w14:paraId="5255A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90/5</w:t>
            </w:r>
          </w:p>
        </w:tc>
        <w:tc>
          <w:tcPr>
            <w:tcW w:w="341" w:type="pct"/>
            <w:vAlign w:val="center"/>
          </w:tcPr>
          <w:p w14:paraId="03973C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7</w:t>
            </w:r>
          </w:p>
        </w:tc>
        <w:tc>
          <w:tcPr>
            <w:tcW w:w="930" w:type="pct"/>
            <w:vAlign w:val="center"/>
          </w:tcPr>
          <w:p w14:paraId="1736FD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泥浆泵</w:t>
            </w:r>
          </w:p>
        </w:tc>
        <w:tc>
          <w:tcPr>
            <w:tcW w:w="1348" w:type="pct"/>
            <w:vAlign w:val="center"/>
          </w:tcPr>
          <w:p w14:paraId="4D8C30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95</w:t>
            </w:r>
            <w:r>
              <w:rPr>
                <w:rFonts w:hint="default" w:ascii="Times New Roman" w:hAnsi="Times New Roman" w:cs="Times New Roman" w:eastAsiaTheme="minorEastAsia"/>
                <w:color w:val="auto"/>
                <w:kern w:val="2"/>
                <w:sz w:val="21"/>
                <w:szCs w:val="21"/>
                <w:highlight w:val="none"/>
                <w:lang w:bidi="ar"/>
              </w:rPr>
              <w:t>/5</w:t>
            </w:r>
          </w:p>
        </w:tc>
      </w:tr>
      <w:tr w14:paraId="27FF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6153C8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4</w:t>
            </w:r>
          </w:p>
        </w:tc>
        <w:tc>
          <w:tcPr>
            <w:tcW w:w="747" w:type="pct"/>
            <w:vAlign w:val="center"/>
          </w:tcPr>
          <w:p w14:paraId="337F3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压路机</w:t>
            </w:r>
          </w:p>
        </w:tc>
        <w:tc>
          <w:tcPr>
            <w:tcW w:w="1330" w:type="pct"/>
            <w:vAlign w:val="center"/>
          </w:tcPr>
          <w:p w14:paraId="22BD31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90/5</w:t>
            </w:r>
          </w:p>
        </w:tc>
        <w:tc>
          <w:tcPr>
            <w:tcW w:w="341" w:type="pct"/>
            <w:vAlign w:val="center"/>
          </w:tcPr>
          <w:p w14:paraId="5CC560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bidi="ar"/>
              </w:rPr>
              <w:t>8</w:t>
            </w:r>
          </w:p>
        </w:tc>
        <w:tc>
          <w:tcPr>
            <w:tcW w:w="930" w:type="pct"/>
            <w:vAlign w:val="center"/>
          </w:tcPr>
          <w:p w14:paraId="50F32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振动筛</w:t>
            </w:r>
          </w:p>
        </w:tc>
        <w:tc>
          <w:tcPr>
            <w:tcW w:w="1348" w:type="pct"/>
            <w:vAlign w:val="center"/>
          </w:tcPr>
          <w:p w14:paraId="1F6F5B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90/5</w:t>
            </w:r>
          </w:p>
        </w:tc>
      </w:tr>
      <w:tr w14:paraId="5A61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51E30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
              </w:rPr>
            </w:pPr>
            <w:r>
              <w:rPr>
                <w:rFonts w:hint="eastAsia" w:cs="Times New Roman" w:eastAsiaTheme="minorEastAsia"/>
                <w:color w:val="auto"/>
                <w:kern w:val="2"/>
                <w:sz w:val="21"/>
                <w:szCs w:val="21"/>
                <w:highlight w:val="none"/>
                <w:lang w:val="en-US" w:eastAsia="zh-CN" w:bidi="ar"/>
              </w:rPr>
              <w:t>9</w:t>
            </w:r>
          </w:p>
        </w:tc>
        <w:tc>
          <w:tcPr>
            <w:tcW w:w="747" w:type="pct"/>
            <w:vAlign w:val="center"/>
          </w:tcPr>
          <w:p w14:paraId="5B3EF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
              </w:rPr>
            </w:pPr>
            <w:r>
              <w:rPr>
                <w:rFonts w:hint="eastAsia" w:cs="Times New Roman" w:eastAsiaTheme="minorEastAsia"/>
                <w:color w:val="auto"/>
                <w:kern w:val="2"/>
                <w:sz w:val="21"/>
                <w:szCs w:val="21"/>
                <w:highlight w:val="none"/>
                <w:lang w:val="en-US" w:eastAsia="zh-CN" w:bidi="ar"/>
              </w:rPr>
              <w:t>压裂车</w:t>
            </w:r>
          </w:p>
        </w:tc>
        <w:tc>
          <w:tcPr>
            <w:tcW w:w="1330" w:type="pct"/>
            <w:vAlign w:val="center"/>
          </w:tcPr>
          <w:p w14:paraId="3ABFC1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
              </w:rPr>
            </w:pPr>
            <w:r>
              <w:rPr>
                <w:rFonts w:hint="eastAsia" w:cs="Times New Roman" w:eastAsiaTheme="minorEastAsia"/>
                <w:color w:val="auto"/>
                <w:kern w:val="2"/>
                <w:sz w:val="21"/>
                <w:szCs w:val="21"/>
                <w:highlight w:val="none"/>
                <w:lang w:val="en-US" w:eastAsia="zh-CN" w:bidi="ar"/>
              </w:rPr>
              <w:t>120/5</w:t>
            </w:r>
          </w:p>
        </w:tc>
        <w:tc>
          <w:tcPr>
            <w:tcW w:w="341" w:type="pct"/>
            <w:vAlign w:val="center"/>
          </w:tcPr>
          <w:p w14:paraId="2E64D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lang w:bidi="ar"/>
              </w:rPr>
            </w:pPr>
          </w:p>
        </w:tc>
        <w:tc>
          <w:tcPr>
            <w:tcW w:w="930" w:type="pct"/>
            <w:vAlign w:val="center"/>
          </w:tcPr>
          <w:p w14:paraId="513DA2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p>
        </w:tc>
        <w:tc>
          <w:tcPr>
            <w:tcW w:w="1348" w:type="pct"/>
            <w:vAlign w:val="center"/>
          </w:tcPr>
          <w:p w14:paraId="3CE672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highlight w:val="none"/>
              </w:rPr>
            </w:pPr>
          </w:p>
        </w:tc>
      </w:tr>
    </w:tbl>
    <w:p w14:paraId="16447633">
      <w:pPr>
        <w:pStyle w:val="12"/>
        <w:bidi w:val="0"/>
        <w:ind w:firstLine="480" w:firstLineChars="20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污染物排放汇总表</w:t>
      </w:r>
    </w:p>
    <w:p w14:paraId="1B217963">
      <w:pPr>
        <w:pStyle w:val="12"/>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污染物排放汇总见表3.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14:paraId="3D071E8D">
      <w:pPr>
        <w:pStyle w:val="13"/>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highlight w:val="none"/>
        </w:rPr>
      </w:pPr>
      <w:r>
        <w:rPr>
          <w:rFonts w:hint="default" w:ascii="Times New Roman" w:hAnsi="Times New Roman" w:eastAsia="黑体" w:cs="Times New Roman"/>
          <w:i w:val="0"/>
          <w:iCs w:val="0"/>
          <w:color w:val="auto"/>
          <w:kern w:val="0"/>
          <w:sz w:val="21"/>
          <w:szCs w:val="21"/>
          <w:highlight w:val="none"/>
          <w:u w:val="none"/>
          <w:lang w:val="en-US" w:eastAsia="zh-CN" w:bidi="ar"/>
        </w:rPr>
        <w:t>表3.4-7</w:t>
      </w:r>
      <w:r>
        <w:rPr>
          <w:rFonts w:hint="eastAsia" w:eastAsia="黑体" w:cs="Times New Roman"/>
          <w:i w:val="0"/>
          <w:iCs w:val="0"/>
          <w:color w:val="auto"/>
          <w:kern w:val="0"/>
          <w:sz w:val="21"/>
          <w:szCs w:val="21"/>
          <w:highlight w:val="none"/>
          <w:u w:val="none"/>
          <w:lang w:val="en-US" w:eastAsia="zh-CN" w:bidi="ar"/>
        </w:rPr>
        <w:t xml:space="preserve">  </w:t>
      </w:r>
      <w:r>
        <w:rPr>
          <w:rFonts w:hint="default" w:ascii="Times New Roman" w:hAnsi="Times New Roman" w:eastAsia="黑体" w:cs="Times New Roman"/>
          <w:i w:val="0"/>
          <w:iCs w:val="0"/>
          <w:color w:val="auto"/>
          <w:kern w:val="0"/>
          <w:sz w:val="21"/>
          <w:szCs w:val="21"/>
          <w:highlight w:val="none"/>
          <w:u w:val="none"/>
          <w:lang w:val="en-US" w:eastAsia="zh-CN" w:bidi="ar"/>
        </w:rPr>
        <w:t>施工期污染物排放汇总</w:t>
      </w:r>
    </w:p>
    <w:tbl>
      <w:tblPr>
        <w:tblStyle w:val="35"/>
        <w:tblW w:w="86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6"/>
        <w:gridCol w:w="846"/>
        <w:gridCol w:w="1495"/>
        <w:gridCol w:w="1251"/>
        <w:gridCol w:w="1326"/>
        <w:gridCol w:w="3250"/>
      </w:tblGrid>
      <w:tr w14:paraId="39793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12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40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41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污染源</w:t>
            </w:r>
          </w:p>
        </w:tc>
        <w:tc>
          <w:tcPr>
            <w:tcW w:w="25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453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主要污染物及排放量</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C5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排放去向</w:t>
            </w:r>
          </w:p>
        </w:tc>
      </w:tr>
      <w:tr w14:paraId="5BDA2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51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7E19C8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大气污染物</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16EF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井场进场道路</w:t>
            </w:r>
          </w:p>
        </w:tc>
        <w:tc>
          <w:tcPr>
            <w:tcW w:w="1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3D3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扬尘机械、车辆尾气放喷伴生气燃烧废气</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5A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70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阶段性排放</w:t>
            </w:r>
          </w:p>
        </w:tc>
        <w:tc>
          <w:tcPr>
            <w:tcW w:w="3250"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F9BB4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大气</w:t>
            </w:r>
          </w:p>
        </w:tc>
      </w:tr>
      <w:tr w14:paraId="26DA7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51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E8B887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C8AF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1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A8E9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F7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38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阶段性排放</w:t>
            </w:r>
          </w:p>
        </w:tc>
        <w:tc>
          <w:tcPr>
            <w:tcW w:w="325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34F154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r>
      <w:tr w14:paraId="33AC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516"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1FF0BB8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8DACAF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149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8FD2F1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1251" w:type="dxa"/>
            <w:tcBorders>
              <w:top w:val="single" w:color="000000" w:sz="4" w:space="0"/>
              <w:left w:val="single" w:color="000000" w:sz="4" w:space="0"/>
              <w:bottom w:val="single" w:color="auto" w:sz="4" w:space="0"/>
              <w:right w:val="single" w:color="000000" w:sz="4" w:space="0"/>
            </w:tcBorders>
            <w:shd w:val="clear" w:color="auto" w:fill="auto"/>
            <w:vAlign w:val="center"/>
          </w:tcPr>
          <w:p w14:paraId="10F730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6" w:type="dxa"/>
            <w:tcBorders>
              <w:top w:val="single" w:color="000000" w:sz="4" w:space="0"/>
              <w:left w:val="single" w:color="000000" w:sz="4" w:space="0"/>
              <w:bottom w:val="single" w:color="auto" w:sz="4" w:space="0"/>
              <w:right w:val="single" w:color="000000" w:sz="4" w:space="0"/>
            </w:tcBorders>
            <w:shd w:val="clear" w:color="auto" w:fill="auto"/>
            <w:vAlign w:val="center"/>
          </w:tcPr>
          <w:p w14:paraId="723A8C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阶段性排放</w:t>
            </w:r>
          </w:p>
        </w:tc>
        <w:tc>
          <w:tcPr>
            <w:tcW w:w="3250" w:type="dxa"/>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6C95016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r>
      <w:tr w14:paraId="3E845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309DE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336AB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14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46473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12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46FC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烃类</w:t>
            </w:r>
          </w:p>
        </w:tc>
        <w:tc>
          <w:tcPr>
            <w:tcW w:w="1326" w:type="dxa"/>
            <w:tcBorders>
              <w:top w:val="single" w:color="auto" w:sz="4" w:space="0"/>
              <w:left w:val="single" w:color="auto" w:sz="4" w:space="0"/>
              <w:bottom w:val="single" w:color="auto" w:sz="4" w:space="0"/>
              <w:right w:val="single" w:color="auto" w:sz="4" w:space="0"/>
            </w:tcBorders>
            <w:shd w:val="clear" w:color="auto" w:fill="auto"/>
            <w:vAlign w:val="center"/>
          </w:tcPr>
          <w:p w14:paraId="6C73AD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阶段性排放</w:t>
            </w:r>
          </w:p>
        </w:tc>
        <w:tc>
          <w:tcPr>
            <w:tcW w:w="32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D8C85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r>
      <w:tr w14:paraId="39A89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1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722835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水污染物</w:t>
            </w:r>
          </w:p>
        </w:tc>
        <w:tc>
          <w:tcPr>
            <w:tcW w:w="846" w:type="dxa"/>
            <w:vMerge w:val="restart"/>
            <w:tcBorders>
              <w:top w:val="single" w:color="auto" w:sz="4" w:space="0"/>
              <w:left w:val="single" w:color="000000" w:sz="4" w:space="0"/>
              <w:right w:val="single" w:color="000000" w:sz="4" w:space="0"/>
            </w:tcBorders>
            <w:shd w:val="clear" w:color="auto" w:fill="auto"/>
            <w:vAlign w:val="center"/>
          </w:tcPr>
          <w:p w14:paraId="18797D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井场</w:t>
            </w:r>
          </w:p>
        </w:tc>
        <w:tc>
          <w:tcPr>
            <w:tcW w:w="1495" w:type="dxa"/>
            <w:tcBorders>
              <w:top w:val="single" w:color="auto" w:sz="4" w:space="0"/>
              <w:left w:val="single" w:color="000000" w:sz="4" w:space="0"/>
              <w:bottom w:val="single" w:color="000000" w:sz="4" w:space="0"/>
              <w:right w:val="single" w:color="000000" w:sz="4" w:space="0"/>
            </w:tcBorders>
            <w:shd w:val="clear" w:color="auto" w:fill="auto"/>
            <w:vAlign w:val="center"/>
          </w:tcPr>
          <w:p w14:paraId="30A076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钻井废水</w:t>
            </w:r>
          </w:p>
        </w:tc>
        <w:tc>
          <w:tcPr>
            <w:tcW w:w="1251" w:type="dxa"/>
            <w:tcBorders>
              <w:top w:val="single" w:color="auto" w:sz="4" w:space="0"/>
              <w:left w:val="single" w:color="000000" w:sz="4" w:space="0"/>
              <w:bottom w:val="single" w:color="000000" w:sz="4" w:space="0"/>
              <w:right w:val="single" w:color="000000" w:sz="4" w:space="0"/>
            </w:tcBorders>
            <w:shd w:val="clear" w:color="auto" w:fill="auto"/>
            <w:vAlign w:val="center"/>
          </w:tcPr>
          <w:p w14:paraId="6526AB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SS、COD、石油类、挥发酚、硫化物</w:t>
            </w:r>
          </w:p>
        </w:tc>
        <w:tc>
          <w:tcPr>
            <w:tcW w:w="1326" w:type="dxa"/>
            <w:tcBorders>
              <w:top w:val="single" w:color="auto" w:sz="4" w:space="0"/>
              <w:left w:val="single" w:color="000000" w:sz="4" w:space="0"/>
              <w:bottom w:val="single" w:color="000000" w:sz="4" w:space="0"/>
              <w:right w:val="single" w:color="000000" w:sz="4" w:space="0"/>
            </w:tcBorders>
            <w:shd w:val="clear" w:color="auto" w:fill="auto"/>
            <w:vAlign w:val="center"/>
          </w:tcPr>
          <w:p w14:paraId="220A32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123.7</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250" w:type="dxa"/>
            <w:tcBorders>
              <w:top w:val="single" w:color="auto" w:sz="4" w:space="0"/>
              <w:left w:val="single" w:color="000000" w:sz="4" w:space="0"/>
              <w:bottom w:val="single" w:color="000000" w:sz="4" w:space="0"/>
              <w:right w:val="single" w:color="000000" w:sz="4" w:space="0"/>
            </w:tcBorders>
            <w:shd w:val="clear" w:color="auto" w:fill="auto"/>
            <w:vAlign w:val="center"/>
          </w:tcPr>
          <w:p w14:paraId="030B359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钻井废水与钻井泥浆、岩屑一同进入不落地系统进行分离处理，分离后的液相拉运至其他钻井回用于钻井液配制，不外排。</w:t>
            </w:r>
          </w:p>
        </w:tc>
      </w:tr>
      <w:tr w14:paraId="3500D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516" w:type="dxa"/>
            <w:vMerge w:val="continue"/>
            <w:tcBorders>
              <w:left w:val="single" w:color="000000" w:sz="4" w:space="0"/>
              <w:right w:val="single" w:color="000000" w:sz="4" w:space="0"/>
            </w:tcBorders>
            <w:shd w:val="clear" w:color="auto" w:fill="auto"/>
            <w:vAlign w:val="center"/>
          </w:tcPr>
          <w:p w14:paraId="61C55B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46" w:type="dxa"/>
            <w:vMerge w:val="continue"/>
            <w:tcBorders>
              <w:left w:val="single" w:color="000000" w:sz="4" w:space="0"/>
              <w:right w:val="single" w:color="000000" w:sz="4" w:space="0"/>
            </w:tcBorders>
            <w:shd w:val="clear" w:color="auto" w:fill="auto"/>
            <w:vAlign w:val="center"/>
          </w:tcPr>
          <w:p w14:paraId="442C6D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95" w:type="dxa"/>
            <w:tcBorders>
              <w:top w:val="single" w:color="auto" w:sz="4" w:space="0"/>
              <w:left w:val="single" w:color="000000" w:sz="4" w:space="0"/>
              <w:bottom w:val="single" w:color="000000" w:sz="4" w:space="0"/>
              <w:right w:val="single" w:color="000000" w:sz="4" w:space="0"/>
            </w:tcBorders>
            <w:shd w:val="clear" w:color="auto" w:fill="auto"/>
            <w:vAlign w:val="center"/>
          </w:tcPr>
          <w:p w14:paraId="32EE1B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酸化压裂返排液</w:t>
            </w:r>
          </w:p>
        </w:tc>
        <w:tc>
          <w:tcPr>
            <w:tcW w:w="1251" w:type="dxa"/>
            <w:tcBorders>
              <w:top w:val="single" w:color="auto" w:sz="4" w:space="0"/>
              <w:left w:val="single" w:color="000000" w:sz="4" w:space="0"/>
              <w:bottom w:val="single" w:color="000000" w:sz="4" w:space="0"/>
              <w:right w:val="single" w:color="000000" w:sz="4" w:space="0"/>
            </w:tcBorders>
            <w:shd w:val="clear" w:color="auto" w:fill="auto"/>
            <w:vAlign w:val="center"/>
          </w:tcPr>
          <w:p w14:paraId="0FE707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COD、挥发酚、硫化物</w:t>
            </w:r>
          </w:p>
        </w:tc>
        <w:tc>
          <w:tcPr>
            <w:tcW w:w="1326" w:type="dxa"/>
            <w:tcBorders>
              <w:top w:val="single" w:color="auto" w:sz="4" w:space="0"/>
              <w:left w:val="single" w:color="000000" w:sz="4" w:space="0"/>
              <w:bottom w:val="single" w:color="000000" w:sz="4" w:space="0"/>
              <w:right w:val="single" w:color="000000" w:sz="4" w:space="0"/>
            </w:tcBorders>
            <w:shd w:val="clear" w:color="auto" w:fill="auto"/>
            <w:vAlign w:val="center"/>
          </w:tcPr>
          <w:p w14:paraId="4FDF57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1428</w:t>
            </w:r>
            <w:r>
              <w:rPr>
                <w:rFonts w:hint="default" w:ascii="Times New Roman" w:hAnsi="Times New Roman" w:cs="Times New Roman"/>
                <w:i w:val="0"/>
                <w:iCs w:val="0"/>
                <w:color w:val="auto"/>
                <w:kern w:val="0"/>
                <w:sz w:val="21"/>
                <w:szCs w:val="21"/>
                <w:highlight w:val="none"/>
                <w:u w:val="none"/>
                <w:lang w:val="en-US" w:eastAsia="zh-CN" w:bidi="ar"/>
              </w:rPr>
              <w:t>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c>
          <w:tcPr>
            <w:tcW w:w="3250" w:type="dxa"/>
            <w:tcBorders>
              <w:top w:val="single" w:color="auto" w:sz="4" w:space="0"/>
              <w:left w:val="single" w:color="000000" w:sz="4" w:space="0"/>
              <w:bottom w:val="single" w:color="000000" w:sz="4" w:space="0"/>
              <w:right w:val="single" w:color="000000" w:sz="4" w:space="0"/>
            </w:tcBorders>
            <w:shd w:val="clear" w:color="auto" w:fill="auto"/>
            <w:vAlign w:val="center"/>
          </w:tcPr>
          <w:p w14:paraId="5A7E901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酸化压裂作业结束后压裂返排液排入回收罐中，运至塔河油田绿色环保站处理，处理达标后回注。</w:t>
            </w:r>
          </w:p>
        </w:tc>
      </w:tr>
      <w:tr w14:paraId="2420A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516" w:type="dxa"/>
            <w:vMerge w:val="continue"/>
            <w:tcBorders>
              <w:left w:val="single" w:color="000000" w:sz="4" w:space="0"/>
              <w:right w:val="single" w:color="000000" w:sz="4" w:space="0"/>
            </w:tcBorders>
            <w:shd w:val="clear" w:color="auto" w:fill="auto"/>
            <w:vAlign w:val="center"/>
          </w:tcPr>
          <w:p w14:paraId="66AA99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46" w:type="dxa"/>
            <w:vMerge w:val="continue"/>
            <w:tcBorders>
              <w:left w:val="single" w:color="000000" w:sz="4" w:space="0"/>
              <w:right w:val="single" w:color="000000" w:sz="4" w:space="0"/>
            </w:tcBorders>
            <w:shd w:val="clear" w:color="auto" w:fill="auto"/>
            <w:vAlign w:val="center"/>
          </w:tcPr>
          <w:p w14:paraId="3FC729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95" w:type="dxa"/>
            <w:tcBorders>
              <w:top w:val="single" w:color="auto" w:sz="4" w:space="0"/>
              <w:left w:val="single" w:color="000000" w:sz="4" w:space="0"/>
              <w:bottom w:val="single" w:color="000000" w:sz="4" w:space="0"/>
              <w:right w:val="single" w:color="000000" w:sz="4" w:space="0"/>
            </w:tcBorders>
            <w:shd w:val="clear" w:color="auto" w:fill="auto"/>
            <w:vAlign w:val="center"/>
          </w:tcPr>
          <w:p w14:paraId="735ED0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生活污水</w:t>
            </w:r>
          </w:p>
        </w:tc>
        <w:tc>
          <w:tcPr>
            <w:tcW w:w="1251" w:type="dxa"/>
            <w:tcBorders>
              <w:top w:val="single" w:color="auto" w:sz="4" w:space="0"/>
              <w:left w:val="single" w:color="000000" w:sz="4" w:space="0"/>
              <w:bottom w:val="single" w:color="000000" w:sz="4" w:space="0"/>
              <w:right w:val="single" w:color="000000" w:sz="4" w:space="0"/>
            </w:tcBorders>
            <w:shd w:val="clear" w:color="auto" w:fill="auto"/>
            <w:vAlign w:val="center"/>
          </w:tcPr>
          <w:p w14:paraId="653240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-N、SS</w:t>
            </w:r>
          </w:p>
        </w:tc>
        <w:tc>
          <w:tcPr>
            <w:tcW w:w="1326" w:type="dxa"/>
            <w:tcBorders>
              <w:top w:val="single" w:color="auto" w:sz="4" w:space="0"/>
              <w:left w:val="single" w:color="000000" w:sz="4" w:space="0"/>
              <w:bottom w:val="single" w:color="000000" w:sz="4" w:space="0"/>
              <w:right w:val="single" w:color="000000" w:sz="4" w:space="0"/>
            </w:tcBorders>
            <w:shd w:val="clear" w:color="auto" w:fill="auto"/>
            <w:vAlign w:val="center"/>
          </w:tcPr>
          <w:p w14:paraId="54D4A7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384</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250" w:type="dxa"/>
            <w:tcBorders>
              <w:top w:val="single" w:color="auto" w:sz="4" w:space="0"/>
              <w:left w:val="single" w:color="000000" w:sz="4" w:space="0"/>
              <w:bottom w:val="single" w:color="000000" w:sz="4" w:space="0"/>
              <w:right w:val="single" w:color="000000" w:sz="4" w:space="0"/>
            </w:tcBorders>
            <w:shd w:val="clear" w:color="auto" w:fill="auto"/>
            <w:vAlign w:val="center"/>
          </w:tcPr>
          <w:p w14:paraId="2303A4A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生活污水经井场撬装式污水处理站处理后，用于生活区、井场及通井路降尘，不外排地表水环境。</w:t>
            </w:r>
          </w:p>
        </w:tc>
      </w:tr>
      <w:tr w14:paraId="02C54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D889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bottom w:val="single" w:color="000000" w:sz="4" w:space="0"/>
              <w:right w:val="single" w:color="000000" w:sz="4" w:space="0"/>
            </w:tcBorders>
            <w:shd w:val="clear" w:color="auto" w:fill="auto"/>
            <w:vAlign w:val="center"/>
          </w:tcPr>
          <w:p w14:paraId="65CF6D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D7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管道试压</w:t>
            </w:r>
            <w:r>
              <w:rPr>
                <w:rFonts w:hint="default" w:ascii="Times New Roman" w:hAnsi="Times New Roman" w:cs="Times New Roman"/>
                <w:i w:val="0"/>
                <w:iCs w:val="0"/>
                <w:color w:val="auto"/>
                <w:kern w:val="0"/>
                <w:sz w:val="21"/>
                <w:szCs w:val="21"/>
                <w:highlight w:val="none"/>
                <w:u w:val="none"/>
                <w:lang w:val="en-US" w:eastAsia="zh-CN" w:bidi="ar"/>
              </w:rPr>
              <w:t>废水</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BC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BB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color w:val="auto"/>
                <w:sz w:val="21"/>
                <w:szCs w:val="21"/>
                <w:highlight w:val="none"/>
                <w:lang w:val="en-US" w:eastAsia="zh-CN"/>
              </w:rPr>
              <w:t>4.5</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B78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管道试压分段进行，试压水排出后进入下一段管线循环使用，试压结束后用于场地降尘用水。</w:t>
            </w:r>
          </w:p>
        </w:tc>
      </w:tr>
      <w:tr w14:paraId="540ED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8" w:hRule="atLeast"/>
          <w:jc w:val="center"/>
        </w:trPr>
        <w:tc>
          <w:tcPr>
            <w:tcW w:w="516" w:type="dxa"/>
            <w:vMerge w:val="restart"/>
            <w:tcBorders>
              <w:top w:val="single" w:color="000000" w:sz="4" w:space="0"/>
              <w:left w:val="single" w:color="000000" w:sz="4" w:space="0"/>
              <w:right w:val="single" w:color="000000" w:sz="4" w:space="0"/>
            </w:tcBorders>
            <w:shd w:val="clear" w:color="auto" w:fill="auto"/>
            <w:vAlign w:val="center"/>
          </w:tcPr>
          <w:p w14:paraId="388463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固体废物</w:t>
            </w:r>
          </w:p>
        </w:tc>
        <w:tc>
          <w:tcPr>
            <w:tcW w:w="846" w:type="dxa"/>
            <w:vMerge w:val="restart"/>
            <w:tcBorders>
              <w:top w:val="single" w:color="000000" w:sz="4" w:space="0"/>
              <w:left w:val="single" w:color="000000" w:sz="4" w:space="0"/>
              <w:right w:val="single" w:color="000000" w:sz="4" w:space="0"/>
            </w:tcBorders>
            <w:shd w:val="clear" w:color="auto" w:fill="auto"/>
            <w:vAlign w:val="center"/>
          </w:tcPr>
          <w:p w14:paraId="1CC43D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井场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8E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钻井岩屑</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4E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废弃磺化</w:t>
            </w:r>
            <w:r>
              <w:rPr>
                <w:rFonts w:hint="default" w:ascii="Times New Roman" w:hAnsi="Times New Roman" w:eastAsia="宋体" w:cs="Times New Roman"/>
                <w:i w:val="0"/>
                <w:iCs w:val="0"/>
                <w:color w:val="auto"/>
                <w:kern w:val="0"/>
                <w:sz w:val="21"/>
                <w:szCs w:val="21"/>
                <w:highlight w:val="none"/>
                <w:u w:val="none"/>
                <w:lang w:val="en-US" w:eastAsia="zh-CN" w:bidi="ar"/>
              </w:rPr>
              <w:t>岩屑</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36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196.7</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F8E4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钻井期岩屑随钻井泥浆带出</w:t>
            </w:r>
            <w:r>
              <w:rPr>
                <w:rFonts w:hint="eastAsia" w:cs="Times New Roman"/>
                <w:i w:val="0"/>
                <w:iCs w:val="0"/>
                <w:color w:val="auto"/>
                <w:kern w:val="0"/>
                <w:sz w:val="21"/>
                <w:szCs w:val="21"/>
                <w:highlight w:val="none"/>
                <w:u w:val="none"/>
                <w:lang w:val="en-US" w:eastAsia="zh-CN" w:bidi="ar"/>
              </w:rPr>
              <w:t>本项目</w:t>
            </w:r>
            <w:r>
              <w:rPr>
                <w:rFonts w:hint="default" w:ascii="Times New Roman" w:hAnsi="Times New Roman" w:eastAsia="宋体" w:cs="Times New Roman"/>
                <w:i w:val="0"/>
                <w:iCs w:val="0"/>
                <w:color w:val="auto"/>
                <w:kern w:val="0"/>
                <w:sz w:val="21"/>
                <w:szCs w:val="21"/>
                <w:highlight w:val="none"/>
                <w:u w:val="none"/>
                <w:lang w:val="en-US" w:eastAsia="zh-CN" w:bidi="ar"/>
              </w:rPr>
              <w:t>侧钻井均采用磺化水基泥浆。根据目前西北油田分公司钻井工程的要求，钻井采用泥浆不落地系统，钻井期钻井岩屑随泥浆一同进入泥浆不落地系统，采用泥浆不落地技术在井场进行固液分离，分离后的液体回用于钻井液配备，分离后的固相经检测能够</w:t>
            </w:r>
            <w:r>
              <w:rPr>
                <w:rFonts w:hint="default" w:ascii="Times New Roman" w:hAnsi="Times New Roman" w:cs="Times New Roman"/>
                <w:i w:val="0"/>
                <w:iCs w:val="0"/>
                <w:color w:val="auto"/>
                <w:kern w:val="0"/>
                <w:sz w:val="21"/>
                <w:szCs w:val="21"/>
                <w:highlight w:val="none"/>
                <w:u w:val="none"/>
                <w:lang w:val="en-US" w:eastAsia="zh-CN" w:bidi="ar"/>
              </w:rPr>
              <w:t>满足《油气田钻井固体废物综合利用污染控制要求》（DB65/T3997-2017）中综合利用污染物限值要求，同时石油烃满足《土壤环境质量建设用地土壤污染风险管控标准（试行）》（GB36600-2018）中表2第二类用地风险筛选值后，</w:t>
            </w:r>
            <w:r>
              <w:rPr>
                <w:rFonts w:hint="default" w:ascii="Times New Roman" w:hAnsi="Times New Roman" w:eastAsia="宋体" w:cs="Times New Roman"/>
                <w:i w:val="0"/>
                <w:iCs w:val="0"/>
                <w:color w:val="auto"/>
                <w:kern w:val="0"/>
                <w:sz w:val="21"/>
                <w:szCs w:val="21"/>
                <w:highlight w:val="none"/>
                <w:u w:val="none"/>
                <w:lang w:val="en-US" w:eastAsia="zh-CN" w:bidi="ar"/>
              </w:rPr>
              <w:t>用于铺垫油区内的井场、道路等</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cs="Times New Roman"/>
                <w:color w:val="auto"/>
                <w:sz w:val="21"/>
                <w:szCs w:val="21"/>
                <w:highlight w:val="none"/>
                <w:lang w:val="en-US" w:eastAsia="zh-CN"/>
              </w:rPr>
              <w:t>一次处理后检测不合格，现场进行二次处理，达标后用于铺垫油区内的井场、道路等。</w:t>
            </w:r>
          </w:p>
        </w:tc>
      </w:tr>
      <w:tr w14:paraId="2231C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atLeast"/>
          <w:jc w:val="center"/>
        </w:trPr>
        <w:tc>
          <w:tcPr>
            <w:tcW w:w="516" w:type="dxa"/>
            <w:vMerge w:val="continue"/>
            <w:tcBorders>
              <w:left w:val="single" w:color="000000" w:sz="4" w:space="0"/>
              <w:right w:val="single" w:color="000000" w:sz="4" w:space="0"/>
            </w:tcBorders>
            <w:shd w:val="clear" w:color="auto" w:fill="auto"/>
            <w:vAlign w:val="center"/>
          </w:tcPr>
          <w:p w14:paraId="3F2C692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right w:val="single" w:color="000000" w:sz="4" w:space="0"/>
            </w:tcBorders>
            <w:shd w:val="clear" w:color="auto" w:fill="auto"/>
            <w:vAlign w:val="center"/>
          </w:tcPr>
          <w:p w14:paraId="50EA01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E4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钻井废弃泥浆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62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废弃</w:t>
            </w:r>
            <w:r>
              <w:rPr>
                <w:rFonts w:hint="eastAsia" w:cs="Times New Roman"/>
                <w:i w:val="0"/>
                <w:iCs w:val="0"/>
                <w:color w:val="auto"/>
                <w:kern w:val="0"/>
                <w:sz w:val="21"/>
                <w:szCs w:val="21"/>
                <w:highlight w:val="none"/>
                <w:u w:val="none"/>
                <w:lang w:val="en-US" w:eastAsia="zh-CN" w:bidi="ar"/>
              </w:rPr>
              <w:t>磺化</w:t>
            </w:r>
            <w:r>
              <w:rPr>
                <w:rFonts w:hint="default" w:ascii="Times New Roman" w:hAnsi="Times New Roman" w:eastAsia="宋体" w:cs="Times New Roman"/>
                <w:i w:val="0"/>
                <w:iCs w:val="0"/>
                <w:color w:val="auto"/>
                <w:kern w:val="0"/>
                <w:sz w:val="21"/>
                <w:szCs w:val="21"/>
                <w:highlight w:val="none"/>
                <w:u w:val="none"/>
                <w:lang w:val="en-US" w:eastAsia="zh-CN" w:bidi="ar"/>
              </w:rPr>
              <w:t>泥浆</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A8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735.3</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0D7A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r>
      <w:tr w14:paraId="2163F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16" w:type="dxa"/>
            <w:vMerge w:val="continue"/>
            <w:tcBorders>
              <w:left w:val="single" w:color="000000" w:sz="4" w:space="0"/>
              <w:right w:val="single" w:color="000000" w:sz="4" w:space="0"/>
            </w:tcBorders>
            <w:shd w:val="clear" w:color="auto" w:fill="auto"/>
            <w:vAlign w:val="center"/>
          </w:tcPr>
          <w:p w14:paraId="7B29318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right w:val="single" w:color="000000" w:sz="4" w:space="0"/>
            </w:tcBorders>
            <w:shd w:val="clear" w:color="auto" w:fill="auto"/>
            <w:vAlign w:val="center"/>
          </w:tcPr>
          <w:p w14:paraId="453FC7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1E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54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10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2.4</w:t>
            </w:r>
            <w:r>
              <w:rPr>
                <w:rFonts w:hint="default" w:ascii="Times New Roman" w:hAnsi="Times New Roman" w:cs="Times New Roman"/>
                <w:i w:val="0"/>
                <w:iCs w:val="0"/>
                <w:color w:val="auto"/>
                <w:kern w:val="0"/>
                <w:sz w:val="21"/>
                <w:szCs w:val="21"/>
                <w:highlight w:val="none"/>
                <w:u w:val="none"/>
                <w:lang w:val="en-US" w:eastAsia="zh-CN" w:bidi="ar"/>
              </w:rPr>
              <w:t>t</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41E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集中收集后定期由</w:t>
            </w:r>
            <w:r>
              <w:rPr>
                <w:rFonts w:hint="default" w:ascii="Times New Roman" w:hAnsi="Times New Roman" w:cs="Times New Roman"/>
                <w:i w:val="0"/>
                <w:iCs w:val="0"/>
                <w:color w:val="auto"/>
                <w:kern w:val="0"/>
                <w:sz w:val="21"/>
                <w:szCs w:val="21"/>
                <w:highlight w:val="none"/>
                <w:u w:val="none"/>
                <w:lang w:val="en-US" w:eastAsia="zh-CN" w:bidi="ar"/>
              </w:rPr>
              <w:t>库车绿能环保科技有限公司清运处置。</w:t>
            </w:r>
          </w:p>
        </w:tc>
      </w:tr>
      <w:tr w14:paraId="21B91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16" w:type="dxa"/>
            <w:vMerge w:val="continue"/>
            <w:tcBorders>
              <w:left w:val="single" w:color="000000" w:sz="4" w:space="0"/>
              <w:right w:val="single" w:color="000000" w:sz="4" w:space="0"/>
            </w:tcBorders>
            <w:shd w:val="clear" w:color="auto" w:fill="auto"/>
            <w:vAlign w:val="center"/>
          </w:tcPr>
          <w:p w14:paraId="285109C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right w:val="single" w:color="000000" w:sz="4" w:space="0"/>
            </w:tcBorders>
            <w:shd w:val="clear" w:color="auto" w:fill="auto"/>
            <w:vAlign w:val="center"/>
          </w:tcPr>
          <w:p w14:paraId="7C7187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79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撬装式污水处理站产生污泥</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51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rPr>
              <w:t>SS</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3D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rPr>
              <w:t>0.08</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55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库车绿能环保科技有限公司</w:t>
            </w:r>
            <w:r>
              <w:rPr>
                <w:rFonts w:hint="default" w:ascii="Times New Roman" w:hAnsi="Times New Roman" w:eastAsia="宋体" w:cs="Times New Roman"/>
                <w:i w:val="0"/>
                <w:iCs w:val="0"/>
                <w:color w:val="auto"/>
                <w:kern w:val="0"/>
                <w:sz w:val="21"/>
                <w:szCs w:val="21"/>
                <w:highlight w:val="none"/>
                <w:u w:val="none"/>
                <w:lang w:val="en-US" w:eastAsia="zh-CN" w:bidi="ar"/>
              </w:rPr>
              <w:t>拉运处置。</w:t>
            </w:r>
          </w:p>
        </w:tc>
      </w:tr>
      <w:tr w14:paraId="61089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16" w:type="dxa"/>
            <w:vMerge w:val="continue"/>
            <w:tcBorders>
              <w:left w:val="single" w:color="000000" w:sz="4" w:space="0"/>
              <w:right w:val="single" w:color="000000" w:sz="4" w:space="0"/>
            </w:tcBorders>
            <w:shd w:val="clear" w:color="auto" w:fill="auto"/>
            <w:vAlign w:val="center"/>
          </w:tcPr>
          <w:p w14:paraId="5208BAE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right w:val="single" w:color="000000" w:sz="4" w:space="0"/>
            </w:tcBorders>
            <w:shd w:val="clear" w:color="auto" w:fill="auto"/>
            <w:vAlign w:val="center"/>
          </w:tcPr>
          <w:p w14:paraId="436E38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42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施工废料</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49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43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0.36</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DB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首先考虑回收利用，不可回收利用部分收集后定期由</w:t>
            </w:r>
            <w:r>
              <w:rPr>
                <w:rFonts w:hint="default" w:ascii="Times New Roman" w:hAnsi="Times New Roman" w:cs="Times New Roman"/>
                <w:i w:val="0"/>
                <w:iCs w:val="0"/>
                <w:color w:val="auto"/>
                <w:kern w:val="0"/>
                <w:sz w:val="21"/>
                <w:szCs w:val="21"/>
                <w:highlight w:val="none"/>
                <w:u w:val="none"/>
                <w:lang w:val="en-US" w:eastAsia="zh-CN" w:bidi="ar"/>
              </w:rPr>
              <w:t>库车绿能环保科技有限公司清运处置。</w:t>
            </w:r>
          </w:p>
        </w:tc>
      </w:tr>
      <w:tr w14:paraId="19E3F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16" w:type="dxa"/>
            <w:vMerge w:val="continue"/>
            <w:tcBorders>
              <w:left w:val="single" w:color="000000" w:sz="4" w:space="0"/>
              <w:right w:val="single" w:color="000000" w:sz="4" w:space="0"/>
            </w:tcBorders>
            <w:shd w:val="clear" w:color="auto" w:fill="auto"/>
            <w:vAlign w:val="center"/>
          </w:tcPr>
          <w:p w14:paraId="4A41600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right w:val="single" w:color="000000" w:sz="4" w:space="0"/>
            </w:tcBorders>
            <w:shd w:val="clear" w:color="auto" w:fill="auto"/>
            <w:vAlign w:val="center"/>
          </w:tcPr>
          <w:p w14:paraId="13F482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25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废机油</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46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F2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t</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FAE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采用桶装密闭收集，定期由钻井队联系有危险废物经营许可证的单位处置。</w:t>
            </w:r>
          </w:p>
        </w:tc>
      </w:tr>
      <w:tr w14:paraId="1FD5D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16" w:type="dxa"/>
            <w:vMerge w:val="continue"/>
            <w:tcBorders>
              <w:left w:val="single" w:color="000000" w:sz="4" w:space="0"/>
              <w:right w:val="single" w:color="000000" w:sz="4" w:space="0"/>
            </w:tcBorders>
            <w:shd w:val="clear" w:color="auto" w:fill="auto"/>
            <w:vAlign w:val="center"/>
          </w:tcPr>
          <w:p w14:paraId="420EDF5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right w:val="single" w:color="000000" w:sz="4" w:space="0"/>
            </w:tcBorders>
            <w:shd w:val="clear" w:color="auto" w:fill="auto"/>
            <w:vAlign w:val="center"/>
          </w:tcPr>
          <w:p w14:paraId="4095A2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D8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废烧碱包装袋</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0D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0A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D47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定期由钻井队联系有危险废物经营许可证的单位处置</w:t>
            </w:r>
            <w:r>
              <w:rPr>
                <w:rFonts w:hint="default" w:ascii="Times New Roman" w:hAnsi="Times New Roman" w:cs="Times New Roman"/>
                <w:i w:val="0"/>
                <w:iCs w:val="0"/>
                <w:color w:val="auto"/>
                <w:kern w:val="0"/>
                <w:sz w:val="21"/>
                <w:szCs w:val="21"/>
                <w:highlight w:val="none"/>
                <w:u w:val="none"/>
                <w:lang w:val="en-US" w:eastAsia="zh-CN" w:bidi="ar"/>
              </w:rPr>
              <w:t>。</w:t>
            </w:r>
          </w:p>
        </w:tc>
      </w:tr>
      <w:tr w14:paraId="21B8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516" w:type="dxa"/>
            <w:vMerge w:val="continue"/>
            <w:tcBorders>
              <w:left w:val="single" w:color="000000" w:sz="4" w:space="0"/>
              <w:right w:val="single" w:color="000000" w:sz="4" w:space="0"/>
            </w:tcBorders>
            <w:shd w:val="clear" w:color="auto" w:fill="auto"/>
            <w:vAlign w:val="center"/>
          </w:tcPr>
          <w:p w14:paraId="79BA147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sz w:val="21"/>
                <w:szCs w:val="21"/>
                <w:highlight w:val="none"/>
                <w:u w:val="none"/>
              </w:rPr>
            </w:pPr>
          </w:p>
        </w:tc>
        <w:tc>
          <w:tcPr>
            <w:tcW w:w="846" w:type="dxa"/>
            <w:vMerge w:val="continue"/>
            <w:tcBorders>
              <w:left w:val="single" w:color="000000" w:sz="4" w:space="0"/>
              <w:right w:val="single" w:color="000000" w:sz="4" w:space="0"/>
            </w:tcBorders>
            <w:shd w:val="clear" w:color="auto" w:fill="auto"/>
            <w:vAlign w:val="center"/>
          </w:tcPr>
          <w:p w14:paraId="76B74B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95" w:type="dxa"/>
            <w:tcBorders>
              <w:top w:val="single" w:color="000000" w:sz="4" w:space="0"/>
              <w:left w:val="single" w:color="000000" w:sz="4" w:space="0"/>
              <w:right w:val="single" w:color="000000" w:sz="4" w:space="0"/>
            </w:tcBorders>
            <w:shd w:val="clear" w:color="auto" w:fill="auto"/>
            <w:vAlign w:val="center"/>
          </w:tcPr>
          <w:p w14:paraId="0E30BB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废防渗材料</w:t>
            </w:r>
          </w:p>
        </w:tc>
        <w:tc>
          <w:tcPr>
            <w:tcW w:w="1251" w:type="dxa"/>
            <w:tcBorders>
              <w:top w:val="single" w:color="000000" w:sz="4" w:space="0"/>
              <w:left w:val="single" w:color="000000" w:sz="4" w:space="0"/>
              <w:right w:val="single" w:color="000000" w:sz="4" w:space="0"/>
            </w:tcBorders>
            <w:shd w:val="clear" w:color="auto" w:fill="auto"/>
            <w:vAlign w:val="center"/>
          </w:tcPr>
          <w:p w14:paraId="499EDC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6" w:type="dxa"/>
            <w:tcBorders>
              <w:top w:val="single" w:color="000000" w:sz="4" w:space="0"/>
              <w:left w:val="single" w:color="000000" w:sz="4" w:space="0"/>
              <w:right w:val="single" w:color="000000" w:sz="4" w:space="0"/>
            </w:tcBorders>
            <w:shd w:val="clear" w:color="auto" w:fill="auto"/>
            <w:vAlign w:val="center"/>
          </w:tcPr>
          <w:p w14:paraId="426142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0.8</w:t>
            </w:r>
            <w:r>
              <w:rPr>
                <w:rFonts w:hint="default" w:ascii="Times New Roman" w:hAnsi="Times New Roman" w:eastAsia="宋体" w:cs="Times New Roman"/>
                <w:color w:val="auto"/>
                <w:sz w:val="21"/>
                <w:szCs w:val="21"/>
                <w:highlight w:val="none"/>
              </w:rPr>
              <w:t>t</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8D5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定期由钻井队联系有危险废物经营许可证的单位处置</w:t>
            </w:r>
            <w:r>
              <w:rPr>
                <w:rFonts w:hint="default" w:ascii="Times New Roman" w:hAnsi="Times New Roman" w:cs="Times New Roman"/>
                <w:i w:val="0"/>
                <w:iCs w:val="0"/>
                <w:color w:val="auto"/>
                <w:kern w:val="0"/>
                <w:sz w:val="21"/>
                <w:szCs w:val="21"/>
                <w:highlight w:val="none"/>
                <w:u w:val="none"/>
                <w:lang w:val="en-US" w:eastAsia="zh-CN" w:bidi="ar"/>
              </w:rPr>
              <w:t>。</w:t>
            </w:r>
          </w:p>
        </w:tc>
      </w:tr>
      <w:tr w14:paraId="25440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3C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噪声</w:t>
            </w:r>
          </w:p>
        </w:tc>
        <w:tc>
          <w:tcPr>
            <w:tcW w:w="846" w:type="dxa"/>
            <w:tcBorders>
              <w:top w:val="single" w:color="000000" w:sz="4" w:space="0"/>
              <w:left w:val="single" w:color="000000" w:sz="4" w:space="0"/>
              <w:bottom w:val="single" w:color="000000" w:sz="4" w:space="0"/>
              <w:right w:val="single" w:color="auto" w:sz="4" w:space="0"/>
            </w:tcBorders>
            <w:shd w:val="clear" w:color="auto" w:fill="auto"/>
            <w:vAlign w:val="center"/>
          </w:tcPr>
          <w:p w14:paraId="2D2F5A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钻井、压裂、地面施工</w:t>
            </w:r>
          </w:p>
        </w:tc>
        <w:tc>
          <w:tcPr>
            <w:tcW w:w="1495" w:type="dxa"/>
            <w:tcBorders>
              <w:top w:val="single" w:color="auto" w:sz="4" w:space="0"/>
              <w:left w:val="single" w:color="auto" w:sz="4" w:space="0"/>
              <w:bottom w:val="single" w:color="auto" w:sz="4" w:space="0"/>
              <w:right w:val="single" w:color="auto" w:sz="4" w:space="0"/>
            </w:tcBorders>
            <w:shd w:val="clear" w:color="auto" w:fill="auto"/>
            <w:vAlign w:val="center"/>
          </w:tcPr>
          <w:p w14:paraId="293C541C">
            <w:pPr>
              <w:widowControl w:val="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kern w:val="2"/>
                <w:sz w:val="21"/>
                <w:szCs w:val="21"/>
                <w:highlight w:val="none"/>
              </w:rPr>
              <w:t>施工机械、</w:t>
            </w:r>
            <w:r>
              <w:rPr>
                <w:rFonts w:hint="eastAsia" w:cs="Times New Roman"/>
                <w:color w:val="auto"/>
                <w:kern w:val="2"/>
                <w:sz w:val="21"/>
                <w:szCs w:val="21"/>
                <w:highlight w:val="none"/>
                <w:lang w:val="en-US" w:eastAsia="zh-CN"/>
              </w:rPr>
              <w:t>压裂车、</w:t>
            </w:r>
            <w:r>
              <w:rPr>
                <w:rFonts w:hint="eastAsia" w:ascii="Times New Roman" w:hAnsi="Times New Roman" w:cs="Times New Roman"/>
                <w:color w:val="auto"/>
                <w:kern w:val="2"/>
                <w:sz w:val="21"/>
                <w:szCs w:val="21"/>
                <w:highlight w:val="none"/>
              </w:rPr>
              <w:t>运输车辆</w:t>
            </w:r>
          </w:p>
        </w:tc>
        <w:tc>
          <w:tcPr>
            <w:tcW w:w="257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5833B0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kern w:val="2"/>
                <w:sz w:val="21"/>
                <w:szCs w:val="21"/>
                <w:highlight w:val="none"/>
                <w:lang w:val="en-US" w:eastAsia="zh-CN"/>
              </w:rPr>
              <w:t>84</w:t>
            </w:r>
            <w:r>
              <w:rPr>
                <w:rFonts w:ascii="Times New Roman" w:hAnsi="Times New Roman" w:cs="Times New Roman"/>
                <w:color w:val="auto"/>
                <w:kern w:val="2"/>
                <w:sz w:val="21"/>
                <w:szCs w:val="21"/>
                <w:highlight w:val="none"/>
              </w:rPr>
              <w:t>~</w:t>
            </w:r>
            <w:r>
              <w:rPr>
                <w:rFonts w:hint="eastAsia" w:cs="Times New Roman"/>
                <w:color w:val="auto"/>
                <w:kern w:val="2"/>
                <w:sz w:val="21"/>
                <w:szCs w:val="21"/>
                <w:highlight w:val="none"/>
                <w:lang w:val="en-US" w:eastAsia="zh-CN"/>
              </w:rPr>
              <w:t>120</w:t>
            </w:r>
            <w:r>
              <w:rPr>
                <w:rFonts w:hint="eastAsia" w:ascii="Times New Roman" w:hAnsi="Times New Roman" w:cs="Times New Roman"/>
                <w:color w:val="auto"/>
                <w:kern w:val="2"/>
                <w:sz w:val="21"/>
                <w:szCs w:val="21"/>
                <w:highlight w:val="none"/>
              </w:rPr>
              <w:t>dB（A）</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B3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声环境</w:t>
            </w:r>
          </w:p>
        </w:tc>
      </w:tr>
    </w:tbl>
    <w:p w14:paraId="47398F5E">
      <w:pPr>
        <w:pStyle w:val="6"/>
        <w:bidi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w:t>
      </w: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.3运营期环境影响因素分析</w:t>
      </w:r>
    </w:p>
    <w:p w14:paraId="4905234A">
      <w:pPr>
        <w:pStyle w:val="32"/>
        <w:keepNext w:val="0"/>
        <w:keepLines w:val="0"/>
        <w:widowControl w:val="0"/>
        <w:suppressLineNumbers w:val="0"/>
        <w:adjustRightInd w:val="0"/>
        <w:spacing w:before="0" w:beforeAutospacing="0" w:after="0" w:afterAutospacing="0" w:line="360" w:lineRule="auto"/>
        <w:ind w:right="0"/>
        <w:jc w:val="both"/>
        <w:outlineLvl w:val="3"/>
        <w:rPr>
          <w:rFonts w:hint="default" w:ascii="Times New Roman" w:hAnsi="Times New Roman" w:eastAsia="宋体" w:cs="Times New Roman"/>
          <w:b/>
          <w:bCs/>
          <w:color w:val="auto"/>
          <w:kern w:val="2"/>
          <w:sz w:val="24"/>
          <w:szCs w:val="20"/>
          <w:highlight w:val="none"/>
          <w:lang w:val="en-US" w:eastAsia="zh-CN" w:bidi="ar"/>
        </w:rPr>
      </w:pPr>
      <w:r>
        <w:rPr>
          <w:rFonts w:hint="default" w:ascii="Times New Roman" w:hAnsi="Times New Roman" w:eastAsia="宋体" w:cs="Times New Roman"/>
          <w:b/>
          <w:bCs/>
          <w:color w:val="auto"/>
          <w:kern w:val="2"/>
          <w:sz w:val="24"/>
          <w:szCs w:val="20"/>
          <w:highlight w:val="none"/>
          <w:lang w:val="en-US" w:eastAsia="zh-CN" w:bidi="ar"/>
        </w:rPr>
        <w:t>3.</w:t>
      </w:r>
      <w:r>
        <w:rPr>
          <w:rFonts w:hint="default" w:ascii="Times New Roman" w:hAnsi="Times New Roman" w:cs="Times New Roman"/>
          <w:b/>
          <w:bCs/>
          <w:color w:val="auto"/>
          <w:kern w:val="2"/>
          <w:sz w:val="24"/>
          <w:szCs w:val="20"/>
          <w:highlight w:val="none"/>
          <w:lang w:val="en-US" w:eastAsia="zh-CN" w:bidi="ar"/>
        </w:rPr>
        <w:t>4</w:t>
      </w:r>
      <w:r>
        <w:rPr>
          <w:rFonts w:hint="default" w:ascii="Times New Roman" w:hAnsi="Times New Roman" w:eastAsia="宋体" w:cs="Times New Roman"/>
          <w:b/>
          <w:bCs/>
          <w:color w:val="auto"/>
          <w:kern w:val="2"/>
          <w:sz w:val="24"/>
          <w:szCs w:val="20"/>
          <w:highlight w:val="none"/>
          <w:lang w:val="en-US" w:eastAsia="zh-CN" w:bidi="ar"/>
        </w:rPr>
        <w:t>.3.1废水污染源</w:t>
      </w:r>
    </w:p>
    <w:p w14:paraId="044C0523">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1</w:t>
      </w: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采出水</w:t>
      </w:r>
    </w:p>
    <w:p w14:paraId="3DF57A07">
      <w:pPr>
        <w:pStyle w:val="57"/>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油气田开发过程中的采出水是伴随着原油从地层开采出来的，主要来源于油藏本身的底水、边水和注汽凝结水。</w:t>
      </w:r>
      <w:r>
        <w:rPr>
          <w:rFonts w:hint="default" w:ascii="Times New Roman" w:hAnsi="Times New Roman" w:cs="Times New Roman"/>
          <w:color w:val="auto"/>
          <w:highlight w:val="none"/>
          <w:lang w:val="en-US" w:eastAsia="zh-CN"/>
        </w:rPr>
        <w:t>本项目</w:t>
      </w:r>
      <w:r>
        <w:rPr>
          <w:rFonts w:hint="eastAsia" w:cs="Times New Roman"/>
          <w:color w:val="auto"/>
          <w:highlight w:val="none"/>
          <w:lang w:val="en-US" w:eastAsia="zh-CN"/>
        </w:rPr>
        <w:t>井场</w:t>
      </w:r>
      <w:r>
        <w:rPr>
          <w:rFonts w:hint="default" w:ascii="Times New Roman" w:hAnsi="Times New Roman" w:cs="Times New Roman"/>
          <w:color w:val="auto"/>
          <w:highlight w:val="none"/>
        </w:rPr>
        <w:t>不设油水分离设施，经计转站进行气液分离后的采出液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油、水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，运至</w:t>
      </w:r>
      <w:r>
        <w:rPr>
          <w:rFonts w:hint="default" w:ascii="Times New Roman" w:hAnsi="Times New Roman" w:cs="Times New Roman"/>
          <w:color w:val="auto"/>
          <w:highlight w:val="none"/>
          <w:lang w:eastAsia="zh-CN"/>
        </w:rPr>
        <w:t>塔河油田三号联合站</w:t>
      </w:r>
      <w:r>
        <w:rPr>
          <w:rFonts w:hint="default" w:ascii="Times New Roman" w:hAnsi="Times New Roman" w:cs="Times New Roman"/>
          <w:color w:val="auto"/>
          <w:highlight w:val="none"/>
        </w:rPr>
        <w:t>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4"/>
          <w:highlight w:val="none"/>
        </w:rPr>
        <w:t>根据方案预测，</w:t>
      </w: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rPr>
        <w:t>运营期累计采出油藏采出水最大为</w:t>
      </w:r>
      <w:r>
        <w:rPr>
          <w:rFonts w:hint="eastAsia" w:cs="Times New Roman"/>
          <w:color w:val="auto"/>
          <w:spacing w:val="4"/>
          <w:kern w:val="24"/>
          <w:szCs w:val="22"/>
          <w:highlight w:val="none"/>
          <w:lang w:val="en-US" w:eastAsia="zh-CN"/>
        </w:rPr>
        <w:t>112</w:t>
      </w:r>
      <w:r>
        <w:rPr>
          <w:rFonts w:hint="default" w:ascii="Times New Roman" w:hAnsi="Times New Roman" w:cs="Times New Roman"/>
          <w:color w:val="auto"/>
          <w:spacing w:val="4"/>
          <w:kern w:val="24"/>
          <w:szCs w:val="22"/>
          <w:highlight w:val="none"/>
        </w:rPr>
        <w:t>m³/d（</w:t>
      </w:r>
      <w:r>
        <w:rPr>
          <w:rFonts w:hint="eastAsia" w:cs="Times New Roman"/>
          <w:color w:val="auto"/>
          <w:spacing w:val="4"/>
          <w:kern w:val="24"/>
          <w:szCs w:val="22"/>
          <w:highlight w:val="none"/>
          <w:lang w:val="en-US" w:eastAsia="zh-CN"/>
        </w:rPr>
        <w:t>3.7</w:t>
      </w:r>
      <w:r>
        <w:rPr>
          <w:rFonts w:hint="default" w:ascii="Times New Roman" w:hAnsi="Times New Roman" w:cs="Times New Roman"/>
          <w:color w:val="auto"/>
          <w:spacing w:val="4"/>
          <w:kern w:val="24"/>
          <w:szCs w:val="22"/>
          <w:highlight w:val="none"/>
        </w:rPr>
        <w:t>×10</w:t>
      </w:r>
      <w:r>
        <w:rPr>
          <w:rFonts w:hint="default" w:ascii="Times New Roman" w:hAnsi="Times New Roman" w:cs="Times New Roman"/>
          <w:color w:val="auto"/>
          <w:spacing w:val="4"/>
          <w:kern w:val="24"/>
          <w:szCs w:val="22"/>
          <w:highlight w:val="none"/>
          <w:vertAlign w:val="superscript"/>
        </w:rPr>
        <w:t>4</w:t>
      </w:r>
      <w:r>
        <w:rPr>
          <w:rFonts w:hint="default" w:ascii="Times New Roman" w:hAnsi="Times New Roman" w:cs="Times New Roman"/>
          <w:color w:val="auto"/>
          <w:spacing w:val="4"/>
          <w:kern w:val="24"/>
          <w:szCs w:val="22"/>
          <w:highlight w:val="none"/>
        </w:rPr>
        <w:t>m</w:t>
      </w:r>
      <w:r>
        <w:rPr>
          <w:rFonts w:hint="default" w:ascii="Times New Roman" w:hAnsi="Times New Roman" w:cs="Times New Roman"/>
          <w:color w:val="auto"/>
          <w:spacing w:val="4"/>
          <w:kern w:val="24"/>
          <w:szCs w:val="22"/>
          <w:highlight w:val="none"/>
          <w:vertAlign w:val="superscript"/>
        </w:rPr>
        <w:t>3</w:t>
      </w:r>
      <w:r>
        <w:rPr>
          <w:rFonts w:hint="default" w:ascii="Times New Roman" w:hAnsi="Times New Roman" w:cs="Times New Roman"/>
          <w:color w:val="auto"/>
          <w:spacing w:val="4"/>
          <w:kern w:val="24"/>
          <w:szCs w:val="22"/>
          <w:highlight w:val="none"/>
        </w:rPr>
        <w:t>/a）</w:t>
      </w:r>
      <w:r>
        <w:rPr>
          <w:rFonts w:hint="eastAsia" w:cs="Times New Roman"/>
          <w:color w:val="auto"/>
          <w:spacing w:val="4"/>
          <w:kern w:val="24"/>
          <w:szCs w:val="22"/>
          <w:highlight w:val="none"/>
          <w:lang w:eastAsia="zh-CN"/>
        </w:rPr>
        <w:t>，</w:t>
      </w:r>
      <w:r>
        <w:rPr>
          <w:rFonts w:hint="default" w:ascii="Times New Roman" w:hAnsi="Times New Roman" w:cs="Times New Roman"/>
          <w:color w:val="auto"/>
          <w:kern w:val="0"/>
          <w:sz w:val="24"/>
          <w:highlight w:val="none"/>
        </w:rPr>
        <w:t>采出</w:t>
      </w:r>
      <w:r>
        <w:rPr>
          <w:rFonts w:hint="eastAsia" w:cs="Times New Roman"/>
          <w:color w:val="auto"/>
          <w:kern w:val="0"/>
          <w:sz w:val="24"/>
          <w:highlight w:val="none"/>
          <w:lang w:val="en-US" w:eastAsia="zh-CN"/>
        </w:rPr>
        <w:t>水</w:t>
      </w:r>
      <w:r>
        <w:rPr>
          <w:rFonts w:hint="eastAsia" w:ascii="Times New Roman" w:hAnsi="Times New Roman" w:cs="Times New Roman"/>
          <w:color w:val="auto"/>
          <w:kern w:val="0"/>
          <w:sz w:val="24"/>
          <w:highlight w:val="none"/>
          <w:lang w:val="en-US" w:eastAsia="zh-CN"/>
        </w:rPr>
        <w:t>依托</w:t>
      </w:r>
      <w:r>
        <w:rPr>
          <w:rFonts w:hint="default" w:ascii="Times New Roman" w:hAnsi="Times New Roman" w:cs="Times New Roman"/>
          <w:color w:val="auto"/>
          <w:spacing w:val="4"/>
          <w:kern w:val="24"/>
          <w:szCs w:val="22"/>
          <w:highlight w:val="none"/>
          <w:lang w:eastAsia="zh-CN"/>
        </w:rPr>
        <w:t>塔河油田三号联合站</w:t>
      </w:r>
      <w:r>
        <w:rPr>
          <w:rFonts w:hint="default" w:ascii="Times New Roman" w:hAnsi="Times New Roman" w:cs="Times New Roman"/>
          <w:color w:val="auto"/>
          <w:szCs w:val="24"/>
          <w:highlight w:val="none"/>
        </w:rPr>
        <w:t>采出水处理系统处理后达到</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碎屑岩油藏注水水质指标技术要求及分析方法</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SY/T5329-2022</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标准中有关指标后回注油层，不外排。</w:t>
      </w:r>
    </w:p>
    <w:p w14:paraId="5EBF770E">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2</w:t>
      </w: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生活污水</w:t>
      </w:r>
    </w:p>
    <w:p w14:paraId="4437D84A">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2"/>
          <w:sz w:val="24"/>
          <w:szCs w:val="20"/>
          <w:highlight w:val="none"/>
          <w:lang w:val="en-US" w:eastAsia="zh-CN" w:bidi="ar"/>
        </w:rPr>
        <w:t>井场无人值守，通过远程监控、人员定期巡检进行管理。运营期工作人员由内部调剂解决，故不新增生活污水。</w:t>
      </w:r>
    </w:p>
    <w:p w14:paraId="32956AEE">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color w:val="auto"/>
          <w:kern w:val="2"/>
          <w:sz w:val="24"/>
          <w:szCs w:val="20"/>
          <w:highlight w:val="none"/>
          <w:lang w:val="en-US" w:eastAsia="zh-CN" w:bidi="ar"/>
        </w:rPr>
      </w:pP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3</w:t>
      </w:r>
      <w:r>
        <w:rPr>
          <w:rFonts w:hint="default" w:ascii="Times New Roman" w:hAnsi="Times New Roman" w:cs="Times New Roman"/>
          <w:color w:val="auto"/>
          <w:kern w:val="2"/>
          <w:sz w:val="24"/>
          <w:szCs w:val="20"/>
          <w:highlight w:val="none"/>
          <w:lang w:val="en-US" w:eastAsia="zh-CN" w:bidi="ar"/>
        </w:rPr>
        <w:t>）井下作业废水</w:t>
      </w:r>
    </w:p>
    <w:p w14:paraId="101CB081">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井下作业主要包括油井维修、大修、酸化、压裂等，井下作业废水的主要来源为修井过程产生的压井水和压井液、修井时的循环水及洗井时产生的洗井废水。根据</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highlight w:val="none"/>
          <w:lang w:val="en"/>
        </w:rPr>
        <w:fldChar w:fldCharType="begin"/>
      </w:r>
      <w:r>
        <w:rPr>
          <w:rFonts w:hint="default" w:ascii="Times New Roman" w:hAnsi="Times New Roman" w:cs="Times New Roman"/>
          <w:color w:val="auto"/>
          <w:highlight w:val="none"/>
          <w:lang w:val="en"/>
        </w:rPr>
        <w:instrText xml:space="preserve"> HYPERLINK "https://www.mee.gov.cn/xxgk2018/xxgk/xxgk01/202104/W020210430349811955644.pdf" </w:instrText>
      </w:r>
      <w:r>
        <w:rPr>
          <w:rFonts w:hint="default" w:ascii="Times New Roman" w:hAnsi="Times New Roman" w:cs="Times New Roman"/>
          <w:color w:val="auto"/>
          <w:highlight w:val="none"/>
          <w:lang w:val="en"/>
        </w:rPr>
        <w:fldChar w:fldCharType="separate"/>
      </w:r>
      <w:r>
        <w:rPr>
          <w:rStyle w:val="39"/>
          <w:rFonts w:hint="default" w:ascii="Times New Roman" w:hAnsi="Times New Roman" w:cs="Times New Roman"/>
          <w:color w:val="auto"/>
          <w:highlight w:val="none"/>
          <w:u w:val="none"/>
          <w:lang w:val="en"/>
        </w:rPr>
        <w:t>生态环境部已发布的排放源统计调查制度排（产）污系数清单</w:t>
      </w:r>
      <w:r>
        <w:rPr>
          <w:rFonts w:hint="default" w:ascii="Times New Roman" w:hAnsi="Times New Roman" w:cs="Times New Roman"/>
          <w:color w:val="auto"/>
          <w:highlight w:val="none"/>
          <w:lang w:val="en"/>
        </w:rPr>
        <w:fldChar w:fldCharType="end"/>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公告2021年第16号</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中与石油和天然气开采有关的服务活动产排污系数见表3.</w:t>
      </w:r>
      <w:r>
        <w:rPr>
          <w:rFonts w:hint="default" w:ascii="Times New Roman" w:hAnsi="Times New Roman" w:cs="Times New Roman"/>
          <w:color w:val="auto"/>
          <w:kern w:val="2"/>
          <w:highlight w:val="none"/>
          <w:lang w:val="en-US" w:eastAsia="zh-CN"/>
        </w:rPr>
        <w:t>4</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highlight w:val="none"/>
          <w:lang w:val="en-US" w:eastAsia="zh-CN"/>
        </w:rPr>
        <w:t>8</w:t>
      </w:r>
      <w:r>
        <w:rPr>
          <w:rFonts w:hint="default" w:ascii="Times New Roman" w:hAnsi="Times New Roman" w:cs="Times New Roman"/>
          <w:color w:val="auto"/>
          <w:kern w:val="2"/>
          <w:highlight w:val="none"/>
        </w:rPr>
        <w:t>，计算井下作业废水的产生量。</w:t>
      </w:r>
    </w:p>
    <w:p w14:paraId="3CEA4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kern w:val="0"/>
          <w:sz w:val="21"/>
          <w:szCs w:val="21"/>
          <w:highlight w:val="none"/>
        </w:rPr>
      </w:pPr>
      <w:r>
        <w:rPr>
          <w:rFonts w:hint="default" w:ascii="Times New Roman" w:hAnsi="Times New Roman" w:eastAsia="黑体" w:cs="Times New Roman"/>
          <w:b w:val="0"/>
          <w:bCs/>
          <w:color w:val="auto"/>
          <w:kern w:val="0"/>
          <w:sz w:val="21"/>
          <w:szCs w:val="21"/>
          <w:highlight w:val="none"/>
        </w:rPr>
        <w:t>表3.</w:t>
      </w:r>
      <w:r>
        <w:rPr>
          <w:rFonts w:hint="default" w:ascii="Times New Roman" w:hAnsi="Times New Roman" w:eastAsia="黑体" w:cs="Times New Roman"/>
          <w:b w:val="0"/>
          <w:bCs/>
          <w:color w:val="auto"/>
          <w:kern w:val="0"/>
          <w:sz w:val="21"/>
          <w:szCs w:val="21"/>
          <w:highlight w:val="none"/>
          <w:lang w:val="en-US" w:eastAsia="zh-CN"/>
        </w:rPr>
        <w:t>4</w:t>
      </w:r>
      <w:r>
        <w:rPr>
          <w:rFonts w:hint="default" w:ascii="Times New Roman" w:hAnsi="Times New Roman" w:eastAsia="黑体" w:cs="Times New Roman"/>
          <w:b w:val="0"/>
          <w:bCs/>
          <w:color w:val="auto"/>
          <w:kern w:val="0"/>
          <w:sz w:val="21"/>
          <w:szCs w:val="21"/>
          <w:highlight w:val="none"/>
        </w:rPr>
        <w:t>-</w:t>
      </w:r>
      <w:r>
        <w:rPr>
          <w:rFonts w:hint="default" w:ascii="Times New Roman" w:hAnsi="Times New Roman" w:eastAsia="黑体" w:cs="Times New Roman"/>
          <w:b w:val="0"/>
          <w:bCs/>
          <w:color w:val="auto"/>
          <w:kern w:val="0"/>
          <w:sz w:val="21"/>
          <w:szCs w:val="21"/>
          <w:highlight w:val="none"/>
          <w:lang w:val="en-US" w:eastAsia="zh-CN"/>
        </w:rPr>
        <w:t>8</w:t>
      </w:r>
      <w:r>
        <w:rPr>
          <w:rFonts w:hint="default" w:ascii="Times New Roman" w:hAnsi="Times New Roman" w:eastAsia="黑体" w:cs="Times New Roman"/>
          <w:b w:val="0"/>
          <w:bCs/>
          <w:color w:val="auto"/>
          <w:kern w:val="0"/>
          <w:sz w:val="21"/>
          <w:szCs w:val="21"/>
          <w:highlight w:val="none"/>
        </w:rPr>
        <w:t>与石油和天然气开采有关的服务活动产排污系数一览表</w:t>
      </w:r>
    </w:p>
    <w:tbl>
      <w:tblPr>
        <w:tblStyle w:val="35"/>
        <w:tblW w:w="50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56"/>
        <w:gridCol w:w="914"/>
        <w:gridCol w:w="675"/>
        <w:gridCol w:w="1335"/>
        <w:gridCol w:w="1455"/>
        <w:gridCol w:w="1020"/>
        <w:gridCol w:w="1110"/>
        <w:gridCol w:w="675"/>
      </w:tblGrid>
      <w:tr w14:paraId="6495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noWrap w:val="0"/>
            <w:vAlign w:val="center"/>
          </w:tcPr>
          <w:p w14:paraId="3018D160">
            <w:pPr>
              <w:spacing w:line="24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产品</w:t>
            </w:r>
          </w:p>
          <w:p w14:paraId="6FE4B0FD">
            <w:pPr>
              <w:spacing w:line="24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490" w:type="pct"/>
            <w:noWrap w:val="0"/>
            <w:vAlign w:val="center"/>
          </w:tcPr>
          <w:p w14:paraId="72FE3DD5">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w:t>
            </w:r>
          </w:p>
          <w:p w14:paraId="34D7898B">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523" w:type="pct"/>
            <w:noWrap w:val="0"/>
            <w:vAlign w:val="center"/>
          </w:tcPr>
          <w:p w14:paraId="3DDA35F5">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w:t>
            </w:r>
          </w:p>
          <w:p w14:paraId="6AC4FA67">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386" w:type="pct"/>
            <w:noWrap w:val="0"/>
            <w:vAlign w:val="center"/>
          </w:tcPr>
          <w:p w14:paraId="6F8092B4">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规模</w:t>
            </w:r>
          </w:p>
          <w:p w14:paraId="5558DF54">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等级</w:t>
            </w:r>
          </w:p>
        </w:tc>
        <w:tc>
          <w:tcPr>
            <w:tcW w:w="764" w:type="pct"/>
            <w:noWrap w:val="0"/>
            <w:vAlign w:val="center"/>
          </w:tcPr>
          <w:p w14:paraId="533D3E36">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污染物指标</w:t>
            </w:r>
          </w:p>
        </w:tc>
        <w:tc>
          <w:tcPr>
            <w:tcW w:w="833" w:type="pct"/>
            <w:noWrap w:val="0"/>
            <w:vAlign w:val="center"/>
          </w:tcPr>
          <w:p w14:paraId="61E67C0C">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584" w:type="pct"/>
            <w:noWrap w:val="0"/>
            <w:vAlign w:val="center"/>
          </w:tcPr>
          <w:p w14:paraId="707B2D7E">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w:t>
            </w:r>
          </w:p>
          <w:p w14:paraId="2A63B536">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系数</w:t>
            </w:r>
          </w:p>
        </w:tc>
        <w:tc>
          <w:tcPr>
            <w:tcW w:w="635" w:type="pct"/>
            <w:noWrap w:val="0"/>
            <w:vAlign w:val="center"/>
          </w:tcPr>
          <w:p w14:paraId="087B35C5">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末端治理技术名称</w:t>
            </w:r>
          </w:p>
        </w:tc>
        <w:tc>
          <w:tcPr>
            <w:tcW w:w="386" w:type="pct"/>
            <w:noWrap w:val="0"/>
            <w:vAlign w:val="center"/>
          </w:tcPr>
          <w:p w14:paraId="5A5C7649">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w:t>
            </w:r>
          </w:p>
          <w:p w14:paraId="49C42323">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系数</w:t>
            </w:r>
          </w:p>
        </w:tc>
      </w:tr>
      <w:tr w14:paraId="29AE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noWrap w:val="0"/>
            <w:vAlign w:val="center"/>
          </w:tcPr>
          <w:p w14:paraId="4F2C51B7">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井下作业</w:t>
            </w:r>
          </w:p>
        </w:tc>
        <w:tc>
          <w:tcPr>
            <w:tcW w:w="490" w:type="pct"/>
            <w:vMerge w:val="restart"/>
            <w:noWrap w:val="0"/>
            <w:vAlign w:val="center"/>
          </w:tcPr>
          <w:p w14:paraId="7EC5C962">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洗井液</w:t>
            </w:r>
          </w:p>
          <w:p w14:paraId="758F2575">
            <w:pPr>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水</w:t>
            </w:r>
            <w:r>
              <w:rPr>
                <w:rFonts w:hint="default" w:ascii="Times New Roman" w:hAnsi="Times New Roman" w:cs="Times New Roman"/>
                <w:color w:val="auto"/>
                <w:sz w:val="21"/>
                <w:szCs w:val="21"/>
                <w:highlight w:val="none"/>
                <w:lang w:eastAsia="zh-CN"/>
              </w:rPr>
              <w:t>）</w:t>
            </w:r>
          </w:p>
        </w:tc>
        <w:tc>
          <w:tcPr>
            <w:tcW w:w="523" w:type="pct"/>
            <w:vMerge w:val="restart"/>
            <w:noWrap w:val="0"/>
            <w:vAlign w:val="center"/>
          </w:tcPr>
          <w:p w14:paraId="236B313D">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非低渗透油井洗井作业</w:t>
            </w:r>
          </w:p>
        </w:tc>
        <w:tc>
          <w:tcPr>
            <w:tcW w:w="386" w:type="pct"/>
            <w:vMerge w:val="restart"/>
            <w:noWrap w:val="0"/>
            <w:vAlign w:val="center"/>
          </w:tcPr>
          <w:p w14:paraId="70901D74">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所有规模</w:t>
            </w:r>
          </w:p>
        </w:tc>
        <w:tc>
          <w:tcPr>
            <w:tcW w:w="764" w:type="pct"/>
            <w:noWrap w:val="0"/>
            <w:vAlign w:val="center"/>
          </w:tcPr>
          <w:p w14:paraId="10612F83">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工业废水量</w:t>
            </w:r>
          </w:p>
        </w:tc>
        <w:tc>
          <w:tcPr>
            <w:tcW w:w="833" w:type="pct"/>
            <w:noWrap w:val="0"/>
            <w:vAlign w:val="center"/>
          </w:tcPr>
          <w:p w14:paraId="128E73B5">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吨/井次-产品</w:t>
            </w:r>
          </w:p>
        </w:tc>
        <w:tc>
          <w:tcPr>
            <w:tcW w:w="584" w:type="pct"/>
            <w:noWrap w:val="0"/>
            <w:vAlign w:val="center"/>
          </w:tcPr>
          <w:p w14:paraId="016D6376">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76.04</w:t>
            </w:r>
          </w:p>
        </w:tc>
        <w:tc>
          <w:tcPr>
            <w:tcW w:w="635" w:type="pct"/>
            <w:noWrap w:val="0"/>
            <w:vAlign w:val="center"/>
          </w:tcPr>
          <w:p w14:paraId="77A81D79">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6" w:type="pct"/>
            <w:noWrap w:val="0"/>
            <w:vAlign w:val="center"/>
          </w:tcPr>
          <w:p w14:paraId="07DEAC9B">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5EE6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noWrap w:val="0"/>
            <w:vAlign w:val="center"/>
          </w:tcPr>
          <w:p w14:paraId="49819595">
            <w:pPr>
              <w:spacing w:line="240" w:lineRule="exact"/>
              <w:jc w:val="center"/>
              <w:rPr>
                <w:rFonts w:hint="default" w:ascii="Times New Roman" w:hAnsi="Times New Roman" w:cs="Times New Roman"/>
                <w:color w:val="auto"/>
                <w:sz w:val="21"/>
                <w:szCs w:val="21"/>
                <w:highlight w:val="none"/>
              </w:rPr>
            </w:pPr>
          </w:p>
        </w:tc>
        <w:tc>
          <w:tcPr>
            <w:tcW w:w="490" w:type="pct"/>
            <w:vMerge w:val="continue"/>
            <w:noWrap w:val="0"/>
            <w:vAlign w:val="center"/>
          </w:tcPr>
          <w:p w14:paraId="390138BE">
            <w:pPr>
              <w:spacing w:line="240" w:lineRule="exact"/>
              <w:jc w:val="center"/>
              <w:rPr>
                <w:rFonts w:hint="default" w:ascii="Times New Roman" w:hAnsi="Times New Roman" w:cs="Times New Roman"/>
                <w:color w:val="auto"/>
                <w:sz w:val="21"/>
                <w:szCs w:val="21"/>
                <w:highlight w:val="none"/>
              </w:rPr>
            </w:pPr>
          </w:p>
        </w:tc>
        <w:tc>
          <w:tcPr>
            <w:tcW w:w="523" w:type="pct"/>
            <w:vMerge w:val="continue"/>
            <w:noWrap w:val="0"/>
            <w:vAlign w:val="center"/>
          </w:tcPr>
          <w:p w14:paraId="6CFFFC6B">
            <w:pPr>
              <w:spacing w:line="240" w:lineRule="exact"/>
              <w:jc w:val="center"/>
              <w:rPr>
                <w:rFonts w:hint="default" w:ascii="Times New Roman" w:hAnsi="Times New Roman" w:cs="Times New Roman"/>
                <w:color w:val="auto"/>
                <w:sz w:val="21"/>
                <w:szCs w:val="21"/>
                <w:highlight w:val="none"/>
              </w:rPr>
            </w:pPr>
          </w:p>
        </w:tc>
        <w:tc>
          <w:tcPr>
            <w:tcW w:w="386" w:type="pct"/>
            <w:vMerge w:val="continue"/>
            <w:noWrap w:val="0"/>
            <w:vAlign w:val="center"/>
          </w:tcPr>
          <w:p w14:paraId="5E3AA5B6">
            <w:pPr>
              <w:spacing w:line="240" w:lineRule="exact"/>
              <w:jc w:val="center"/>
              <w:rPr>
                <w:rFonts w:hint="default" w:ascii="Times New Roman" w:hAnsi="Times New Roman" w:cs="Times New Roman"/>
                <w:color w:val="auto"/>
                <w:sz w:val="21"/>
                <w:szCs w:val="21"/>
                <w:highlight w:val="none"/>
              </w:rPr>
            </w:pPr>
          </w:p>
        </w:tc>
        <w:tc>
          <w:tcPr>
            <w:tcW w:w="764" w:type="pct"/>
            <w:noWrap w:val="0"/>
            <w:vAlign w:val="center"/>
          </w:tcPr>
          <w:p w14:paraId="50CEFB4B">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化学需氧量</w:t>
            </w:r>
          </w:p>
        </w:tc>
        <w:tc>
          <w:tcPr>
            <w:tcW w:w="833" w:type="pct"/>
            <w:noWrap w:val="0"/>
            <w:vAlign w:val="center"/>
          </w:tcPr>
          <w:p w14:paraId="385D34E0">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584" w:type="pct"/>
            <w:noWrap w:val="0"/>
            <w:vAlign w:val="center"/>
          </w:tcPr>
          <w:p w14:paraId="1EFBCDA2">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104525.3</w:t>
            </w:r>
          </w:p>
        </w:tc>
        <w:tc>
          <w:tcPr>
            <w:tcW w:w="635" w:type="pct"/>
            <w:noWrap w:val="0"/>
            <w:vAlign w:val="center"/>
          </w:tcPr>
          <w:p w14:paraId="2731B9C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6" w:type="pct"/>
            <w:noWrap w:val="0"/>
            <w:vAlign w:val="center"/>
          </w:tcPr>
          <w:p w14:paraId="293A7906">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1A16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noWrap w:val="0"/>
            <w:vAlign w:val="center"/>
          </w:tcPr>
          <w:p w14:paraId="596F5817">
            <w:pPr>
              <w:spacing w:line="240" w:lineRule="exact"/>
              <w:jc w:val="center"/>
              <w:rPr>
                <w:rFonts w:hint="default" w:ascii="Times New Roman" w:hAnsi="Times New Roman" w:cs="Times New Roman"/>
                <w:color w:val="auto"/>
                <w:sz w:val="21"/>
                <w:szCs w:val="21"/>
                <w:highlight w:val="none"/>
              </w:rPr>
            </w:pPr>
          </w:p>
        </w:tc>
        <w:tc>
          <w:tcPr>
            <w:tcW w:w="490" w:type="pct"/>
            <w:vMerge w:val="continue"/>
            <w:noWrap w:val="0"/>
            <w:vAlign w:val="center"/>
          </w:tcPr>
          <w:p w14:paraId="607C7D5B">
            <w:pPr>
              <w:spacing w:line="240" w:lineRule="exact"/>
              <w:jc w:val="center"/>
              <w:rPr>
                <w:rFonts w:hint="default" w:ascii="Times New Roman" w:hAnsi="Times New Roman" w:cs="Times New Roman"/>
                <w:color w:val="auto"/>
                <w:sz w:val="21"/>
                <w:szCs w:val="21"/>
                <w:highlight w:val="none"/>
              </w:rPr>
            </w:pPr>
          </w:p>
        </w:tc>
        <w:tc>
          <w:tcPr>
            <w:tcW w:w="523" w:type="pct"/>
            <w:vMerge w:val="continue"/>
            <w:noWrap w:val="0"/>
            <w:vAlign w:val="center"/>
          </w:tcPr>
          <w:p w14:paraId="697B2907">
            <w:pPr>
              <w:spacing w:line="240" w:lineRule="exact"/>
              <w:jc w:val="center"/>
              <w:rPr>
                <w:rFonts w:hint="default" w:ascii="Times New Roman" w:hAnsi="Times New Roman" w:cs="Times New Roman"/>
                <w:color w:val="auto"/>
                <w:sz w:val="21"/>
                <w:szCs w:val="21"/>
                <w:highlight w:val="none"/>
              </w:rPr>
            </w:pPr>
          </w:p>
        </w:tc>
        <w:tc>
          <w:tcPr>
            <w:tcW w:w="386" w:type="pct"/>
            <w:vMerge w:val="continue"/>
            <w:noWrap w:val="0"/>
            <w:vAlign w:val="center"/>
          </w:tcPr>
          <w:p w14:paraId="56943B8F">
            <w:pPr>
              <w:spacing w:line="240" w:lineRule="exact"/>
              <w:jc w:val="center"/>
              <w:rPr>
                <w:rFonts w:hint="default" w:ascii="Times New Roman" w:hAnsi="Times New Roman" w:cs="Times New Roman"/>
                <w:color w:val="auto"/>
                <w:sz w:val="21"/>
                <w:szCs w:val="21"/>
                <w:highlight w:val="none"/>
              </w:rPr>
            </w:pPr>
          </w:p>
        </w:tc>
        <w:tc>
          <w:tcPr>
            <w:tcW w:w="764" w:type="pct"/>
            <w:noWrap w:val="0"/>
            <w:vAlign w:val="center"/>
          </w:tcPr>
          <w:p w14:paraId="3BA775CB">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833" w:type="pct"/>
            <w:noWrap w:val="0"/>
            <w:vAlign w:val="center"/>
          </w:tcPr>
          <w:p w14:paraId="2A8D7E8D">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584" w:type="pct"/>
            <w:noWrap w:val="0"/>
            <w:vAlign w:val="center"/>
          </w:tcPr>
          <w:p w14:paraId="1298A52C">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17645</w:t>
            </w:r>
          </w:p>
        </w:tc>
        <w:tc>
          <w:tcPr>
            <w:tcW w:w="635" w:type="pct"/>
            <w:noWrap w:val="0"/>
            <w:vAlign w:val="center"/>
          </w:tcPr>
          <w:p w14:paraId="69BA621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6" w:type="pct"/>
            <w:noWrap w:val="0"/>
            <w:vAlign w:val="center"/>
          </w:tcPr>
          <w:p w14:paraId="72D78831">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53DA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noWrap w:val="0"/>
            <w:vAlign w:val="center"/>
          </w:tcPr>
          <w:p w14:paraId="72708AF9">
            <w:pPr>
              <w:spacing w:line="240" w:lineRule="exact"/>
              <w:jc w:val="center"/>
              <w:rPr>
                <w:rFonts w:hint="default" w:ascii="Times New Roman" w:hAnsi="Times New Roman" w:cs="Times New Roman"/>
                <w:color w:val="auto"/>
                <w:sz w:val="21"/>
                <w:szCs w:val="21"/>
                <w:highlight w:val="none"/>
              </w:rPr>
            </w:pPr>
          </w:p>
        </w:tc>
        <w:tc>
          <w:tcPr>
            <w:tcW w:w="490" w:type="pct"/>
            <w:vMerge w:val="continue"/>
            <w:noWrap w:val="0"/>
            <w:vAlign w:val="center"/>
          </w:tcPr>
          <w:p w14:paraId="6723D166">
            <w:pPr>
              <w:spacing w:line="240" w:lineRule="exact"/>
              <w:jc w:val="center"/>
              <w:rPr>
                <w:rFonts w:hint="default" w:ascii="Times New Roman" w:hAnsi="Times New Roman" w:cs="Times New Roman"/>
                <w:color w:val="auto"/>
                <w:sz w:val="21"/>
                <w:szCs w:val="21"/>
                <w:highlight w:val="none"/>
              </w:rPr>
            </w:pPr>
          </w:p>
        </w:tc>
        <w:tc>
          <w:tcPr>
            <w:tcW w:w="523" w:type="pct"/>
            <w:vMerge w:val="restart"/>
            <w:noWrap w:val="0"/>
            <w:vAlign w:val="center"/>
          </w:tcPr>
          <w:p w14:paraId="6D644D2C">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低渗透油井洗井作业</w:t>
            </w:r>
          </w:p>
        </w:tc>
        <w:tc>
          <w:tcPr>
            <w:tcW w:w="386" w:type="pct"/>
            <w:vMerge w:val="restart"/>
            <w:noWrap w:val="0"/>
            <w:vAlign w:val="center"/>
          </w:tcPr>
          <w:p w14:paraId="4A668F8C">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所有规模</w:t>
            </w:r>
          </w:p>
        </w:tc>
        <w:tc>
          <w:tcPr>
            <w:tcW w:w="764" w:type="pct"/>
            <w:noWrap w:val="0"/>
            <w:vAlign w:val="center"/>
          </w:tcPr>
          <w:p w14:paraId="16124AD4">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工业废水量</w:t>
            </w:r>
          </w:p>
        </w:tc>
        <w:tc>
          <w:tcPr>
            <w:tcW w:w="833" w:type="pct"/>
            <w:noWrap w:val="0"/>
            <w:vAlign w:val="center"/>
          </w:tcPr>
          <w:p w14:paraId="615DB5E0">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吨/井次-产品</w:t>
            </w:r>
          </w:p>
        </w:tc>
        <w:tc>
          <w:tcPr>
            <w:tcW w:w="584" w:type="pct"/>
            <w:noWrap w:val="0"/>
            <w:vAlign w:val="center"/>
          </w:tcPr>
          <w:p w14:paraId="272F3E3F">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27.13</w:t>
            </w:r>
          </w:p>
        </w:tc>
        <w:tc>
          <w:tcPr>
            <w:tcW w:w="635" w:type="pct"/>
            <w:noWrap w:val="0"/>
            <w:vAlign w:val="center"/>
          </w:tcPr>
          <w:p w14:paraId="2C4AD49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6" w:type="pct"/>
            <w:noWrap w:val="0"/>
            <w:vAlign w:val="center"/>
          </w:tcPr>
          <w:p w14:paraId="2D7890EB">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31BC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noWrap w:val="0"/>
            <w:vAlign w:val="center"/>
          </w:tcPr>
          <w:p w14:paraId="57494F12">
            <w:pPr>
              <w:spacing w:line="240" w:lineRule="exact"/>
              <w:jc w:val="center"/>
              <w:rPr>
                <w:rFonts w:hint="default" w:ascii="Times New Roman" w:hAnsi="Times New Roman" w:cs="Times New Roman"/>
                <w:color w:val="auto"/>
                <w:sz w:val="21"/>
                <w:szCs w:val="21"/>
                <w:highlight w:val="none"/>
              </w:rPr>
            </w:pPr>
          </w:p>
        </w:tc>
        <w:tc>
          <w:tcPr>
            <w:tcW w:w="490" w:type="pct"/>
            <w:vMerge w:val="continue"/>
            <w:noWrap w:val="0"/>
            <w:vAlign w:val="center"/>
          </w:tcPr>
          <w:p w14:paraId="461706C3">
            <w:pPr>
              <w:spacing w:line="240" w:lineRule="exact"/>
              <w:jc w:val="center"/>
              <w:rPr>
                <w:rFonts w:hint="default" w:ascii="Times New Roman" w:hAnsi="Times New Roman" w:cs="Times New Roman"/>
                <w:color w:val="auto"/>
                <w:sz w:val="21"/>
                <w:szCs w:val="21"/>
                <w:highlight w:val="none"/>
              </w:rPr>
            </w:pPr>
          </w:p>
        </w:tc>
        <w:tc>
          <w:tcPr>
            <w:tcW w:w="523" w:type="pct"/>
            <w:vMerge w:val="continue"/>
            <w:noWrap w:val="0"/>
            <w:vAlign w:val="center"/>
          </w:tcPr>
          <w:p w14:paraId="0060BA65">
            <w:pPr>
              <w:spacing w:line="240" w:lineRule="exact"/>
              <w:jc w:val="center"/>
              <w:rPr>
                <w:rFonts w:hint="default" w:ascii="Times New Roman" w:hAnsi="Times New Roman" w:cs="Times New Roman"/>
                <w:color w:val="auto"/>
                <w:sz w:val="21"/>
                <w:szCs w:val="21"/>
                <w:highlight w:val="none"/>
              </w:rPr>
            </w:pPr>
          </w:p>
        </w:tc>
        <w:tc>
          <w:tcPr>
            <w:tcW w:w="386" w:type="pct"/>
            <w:vMerge w:val="continue"/>
            <w:noWrap w:val="0"/>
            <w:vAlign w:val="center"/>
          </w:tcPr>
          <w:p w14:paraId="0B8D38D8">
            <w:pPr>
              <w:spacing w:line="240" w:lineRule="exact"/>
              <w:jc w:val="center"/>
              <w:rPr>
                <w:rFonts w:hint="default" w:ascii="Times New Roman" w:hAnsi="Times New Roman" w:cs="Times New Roman"/>
                <w:color w:val="auto"/>
                <w:sz w:val="21"/>
                <w:szCs w:val="21"/>
                <w:highlight w:val="none"/>
              </w:rPr>
            </w:pPr>
          </w:p>
        </w:tc>
        <w:tc>
          <w:tcPr>
            <w:tcW w:w="764" w:type="pct"/>
            <w:noWrap w:val="0"/>
            <w:vAlign w:val="center"/>
          </w:tcPr>
          <w:p w14:paraId="124291F4">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化学需氧量</w:t>
            </w:r>
          </w:p>
        </w:tc>
        <w:tc>
          <w:tcPr>
            <w:tcW w:w="833" w:type="pct"/>
            <w:noWrap w:val="0"/>
            <w:vAlign w:val="center"/>
          </w:tcPr>
          <w:p w14:paraId="0D45A034">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584" w:type="pct"/>
            <w:noWrap w:val="0"/>
            <w:vAlign w:val="center"/>
          </w:tcPr>
          <w:p w14:paraId="287A2F22">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34679.3</w:t>
            </w:r>
          </w:p>
        </w:tc>
        <w:tc>
          <w:tcPr>
            <w:tcW w:w="635" w:type="pct"/>
            <w:noWrap w:val="0"/>
            <w:vAlign w:val="center"/>
          </w:tcPr>
          <w:p w14:paraId="236178A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6" w:type="pct"/>
            <w:noWrap w:val="0"/>
            <w:vAlign w:val="center"/>
          </w:tcPr>
          <w:p w14:paraId="1C846D13">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7F80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noWrap w:val="0"/>
            <w:vAlign w:val="center"/>
          </w:tcPr>
          <w:p w14:paraId="0AF5CEE0">
            <w:pPr>
              <w:spacing w:line="240" w:lineRule="exact"/>
              <w:jc w:val="center"/>
              <w:rPr>
                <w:rFonts w:hint="default" w:ascii="Times New Roman" w:hAnsi="Times New Roman" w:cs="Times New Roman"/>
                <w:color w:val="auto"/>
                <w:sz w:val="21"/>
                <w:szCs w:val="21"/>
                <w:highlight w:val="none"/>
              </w:rPr>
            </w:pPr>
          </w:p>
        </w:tc>
        <w:tc>
          <w:tcPr>
            <w:tcW w:w="490" w:type="pct"/>
            <w:vMerge w:val="continue"/>
            <w:noWrap w:val="0"/>
            <w:vAlign w:val="center"/>
          </w:tcPr>
          <w:p w14:paraId="2ACCA6C1">
            <w:pPr>
              <w:spacing w:line="240" w:lineRule="exact"/>
              <w:jc w:val="center"/>
              <w:rPr>
                <w:rFonts w:hint="default" w:ascii="Times New Roman" w:hAnsi="Times New Roman" w:cs="Times New Roman"/>
                <w:color w:val="auto"/>
                <w:sz w:val="21"/>
                <w:szCs w:val="21"/>
                <w:highlight w:val="none"/>
              </w:rPr>
            </w:pPr>
          </w:p>
        </w:tc>
        <w:tc>
          <w:tcPr>
            <w:tcW w:w="523" w:type="pct"/>
            <w:vMerge w:val="continue"/>
            <w:noWrap w:val="0"/>
            <w:vAlign w:val="center"/>
          </w:tcPr>
          <w:p w14:paraId="5F60885D">
            <w:pPr>
              <w:spacing w:line="240" w:lineRule="exact"/>
              <w:jc w:val="center"/>
              <w:rPr>
                <w:rFonts w:hint="default" w:ascii="Times New Roman" w:hAnsi="Times New Roman" w:cs="Times New Roman"/>
                <w:color w:val="auto"/>
                <w:sz w:val="21"/>
                <w:szCs w:val="21"/>
                <w:highlight w:val="none"/>
              </w:rPr>
            </w:pPr>
          </w:p>
        </w:tc>
        <w:tc>
          <w:tcPr>
            <w:tcW w:w="386" w:type="pct"/>
            <w:vMerge w:val="continue"/>
            <w:noWrap w:val="0"/>
            <w:vAlign w:val="center"/>
          </w:tcPr>
          <w:p w14:paraId="2C220762">
            <w:pPr>
              <w:spacing w:line="240" w:lineRule="exact"/>
              <w:jc w:val="center"/>
              <w:rPr>
                <w:rFonts w:hint="default" w:ascii="Times New Roman" w:hAnsi="Times New Roman" w:cs="Times New Roman"/>
                <w:color w:val="auto"/>
                <w:sz w:val="21"/>
                <w:szCs w:val="21"/>
                <w:highlight w:val="none"/>
              </w:rPr>
            </w:pPr>
          </w:p>
        </w:tc>
        <w:tc>
          <w:tcPr>
            <w:tcW w:w="764" w:type="pct"/>
            <w:noWrap w:val="0"/>
            <w:vAlign w:val="center"/>
          </w:tcPr>
          <w:p w14:paraId="34A1368C">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833" w:type="pct"/>
            <w:noWrap w:val="0"/>
            <w:vAlign w:val="center"/>
          </w:tcPr>
          <w:p w14:paraId="0732B4B8">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584" w:type="pct"/>
            <w:noWrap w:val="0"/>
            <w:vAlign w:val="center"/>
          </w:tcPr>
          <w:p w14:paraId="0A3DD12B">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6122.1</w:t>
            </w:r>
          </w:p>
        </w:tc>
        <w:tc>
          <w:tcPr>
            <w:tcW w:w="635" w:type="pct"/>
            <w:noWrap w:val="0"/>
            <w:vAlign w:val="center"/>
          </w:tcPr>
          <w:p w14:paraId="643298E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6" w:type="pct"/>
            <w:noWrap w:val="0"/>
            <w:vAlign w:val="center"/>
          </w:tcPr>
          <w:p w14:paraId="2624D430">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bl>
    <w:p w14:paraId="0AC9E8BE">
      <w:pPr>
        <w:pStyle w:val="61"/>
        <w:keepNext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szCs w:val="21"/>
          <w:highlight w:val="none"/>
        </w:rPr>
      </w:pPr>
      <w:r>
        <w:rPr>
          <w:rFonts w:hint="default" w:ascii="Times New Roman" w:hAnsi="Times New Roman" w:cs="Times New Roman"/>
          <w:bCs/>
          <w:color w:val="auto"/>
          <w:highlight w:val="none"/>
          <w:lang w:eastAsia="zh-CN"/>
        </w:rPr>
        <w:t>本项目</w:t>
      </w:r>
      <w:r>
        <w:rPr>
          <w:rFonts w:hint="default" w:ascii="Times New Roman" w:hAnsi="Times New Roman" w:cs="Times New Roman"/>
          <w:bCs/>
          <w:color w:val="auto"/>
          <w:highlight w:val="none"/>
        </w:rPr>
        <w:t>油藏</w:t>
      </w:r>
      <w:r>
        <w:rPr>
          <w:rFonts w:hint="default" w:ascii="Times New Roman" w:hAnsi="Times New Roman" w:cs="Times New Roman"/>
          <w:color w:val="auto"/>
          <w:highlight w:val="none"/>
        </w:rPr>
        <w:t>储层为</w:t>
      </w:r>
      <w:r>
        <w:rPr>
          <w:rFonts w:hint="default" w:ascii="Times New Roman" w:hAnsi="Times New Roman" w:cs="Times New Roman"/>
          <w:color w:val="auto"/>
          <w:szCs w:val="21"/>
          <w:highlight w:val="none"/>
        </w:rPr>
        <w:t>非低渗透</w:t>
      </w:r>
      <w:r>
        <w:rPr>
          <w:rFonts w:hint="default" w:ascii="Times New Roman" w:hAnsi="Times New Roman" w:cs="Times New Roman"/>
          <w:color w:val="auto"/>
          <w:highlight w:val="none"/>
        </w:rPr>
        <w:t>储层，根据表3.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计算井下作业工业废水产生量为76.04t/井次，化学需氧量产生量为104525.3g/井次，石油类产生量为17645g/井次。按井下作业每2年1次计算，则单井每年产生井下作业工业废水38.02t、化学需氧量52262.7g、石油类8822.5g</w:t>
      </w:r>
      <w:r>
        <w:rPr>
          <w:rFonts w:hint="default" w:ascii="Times New Roman" w:hAnsi="Times New Roman" w:cs="Times New Roman"/>
          <w:color w:val="auto"/>
          <w:szCs w:val="22"/>
          <w:highlight w:val="none"/>
        </w:rPr>
        <w:t>。</w:t>
      </w:r>
      <w:r>
        <w:rPr>
          <w:rFonts w:hint="default" w:ascii="Times New Roman" w:hAnsi="Times New Roman" w:cs="Times New Roman"/>
          <w:color w:val="auto"/>
          <w:szCs w:val="21"/>
          <w:highlight w:val="none"/>
          <w:lang w:eastAsia="zh-CN"/>
        </w:rPr>
        <w:t>本项目</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口井下作业工程产生的井下作业工业废水、化学需氧量、石油类分别为</w:t>
      </w:r>
      <w:r>
        <w:rPr>
          <w:rFonts w:hint="eastAsia" w:ascii="Times New Roman" w:hAnsi="Times New Roman" w:cs="Times New Roman"/>
          <w:color w:val="auto"/>
          <w:szCs w:val="21"/>
          <w:highlight w:val="none"/>
          <w:lang w:val="en-US" w:eastAsia="zh-CN"/>
        </w:rPr>
        <w:t>152.08</w:t>
      </w:r>
      <w:r>
        <w:rPr>
          <w:rFonts w:hint="default" w:ascii="Times New Roman" w:hAnsi="Times New Roman" w:cs="Times New Roman"/>
          <w:color w:val="auto"/>
          <w:szCs w:val="21"/>
          <w:highlight w:val="none"/>
        </w:rPr>
        <w:t>t/a、</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21</w:t>
      </w:r>
      <w:r>
        <w:rPr>
          <w:rFonts w:hint="default" w:ascii="Times New Roman" w:hAnsi="Times New Roman" w:cs="Times New Roman"/>
          <w:color w:val="auto"/>
          <w:szCs w:val="21"/>
          <w:highlight w:val="none"/>
        </w:rPr>
        <w:t>t/a、0.</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t/a。</w:t>
      </w:r>
    </w:p>
    <w:p w14:paraId="14B92E93">
      <w:pPr>
        <w:pStyle w:val="61"/>
        <w:keepNext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rPr>
        <w:t>井下作业废水自带回收罐回收作业废水，拉运至塔河油田绿色环保站进行处理达到《碎屑岩油藏注水水质指标技术要求及分析方法》（SY/T5329-2022）中的有关标准后回注油层。</w:t>
      </w:r>
    </w:p>
    <w:p w14:paraId="0FD9C6AE">
      <w:pPr>
        <w:keepNext w:val="0"/>
        <w:keepLines/>
        <w:pageBreakBefore w:val="0"/>
        <w:widowControl w:val="0"/>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eastAsia="宋体" w:cs="Times New Roman"/>
          <w:b/>
          <w:color w:val="auto"/>
          <w:sz w:val="24"/>
          <w:szCs w:val="22"/>
          <w:highlight w:val="none"/>
          <w:lang w:val="en-US"/>
        </w:rPr>
      </w:pPr>
      <w:r>
        <w:rPr>
          <w:rFonts w:hint="default" w:ascii="Times New Roman" w:hAnsi="Times New Roman" w:eastAsia="宋体" w:cs="Times New Roman"/>
          <w:b/>
          <w:color w:val="auto"/>
          <w:sz w:val="24"/>
          <w:szCs w:val="22"/>
          <w:highlight w:val="none"/>
          <w:lang w:val="en-US"/>
        </w:rPr>
        <w:fldChar w:fldCharType="begin"/>
      </w:r>
      <w:r>
        <w:rPr>
          <w:rFonts w:hint="default" w:ascii="Times New Roman" w:hAnsi="Times New Roman" w:eastAsia="宋体" w:cs="Times New Roman"/>
          <w:b/>
          <w:color w:val="auto"/>
          <w:sz w:val="24"/>
          <w:szCs w:val="22"/>
          <w:highlight w:val="none"/>
          <w:lang w:val="en-US"/>
        </w:rPr>
        <w:instrText xml:space="preserve">HYPERLINK "../(孟媛)/TK788X（0905）/3.2.4.2"</w:instrText>
      </w:r>
      <w:r>
        <w:rPr>
          <w:rFonts w:hint="default" w:ascii="Times New Roman" w:hAnsi="Times New Roman" w:eastAsia="宋体" w:cs="Times New Roman"/>
          <w:b/>
          <w:color w:val="auto"/>
          <w:sz w:val="24"/>
          <w:szCs w:val="22"/>
          <w:highlight w:val="none"/>
          <w:lang w:val="en-US"/>
        </w:rPr>
        <w:fldChar w:fldCharType="separate"/>
      </w:r>
      <w:r>
        <w:rPr>
          <w:rFonts w:hint="default" w:ascii="Times New Roman" w:hAnsi="Times New Roman" w:eastAsia="宋体" w:cs="Times New Roman"/>
          <w:b/>
          <w:color w:val="auto"/>
          <w:sz w:val="24"/>
          <w:szCs w:val="22"/>
          <w:highlight w:val="none"/>
          <w:lang w:val="en-US"/>
        </w:rPr>
        <w:t>3.</w:t>
      </w:r>
      <w:r>
        <w:rPr>
          <w:rFonts w:hint="default" w:ascii="Times New Roman" w:hAnsi="Times New Roman" w:cs="Times New Roman"/>
          <w:b/>
          <w:color w:val="auto"/>
          <w:sz w:val="24"/>
          <w:szCs w:val="22"/>
          <w:highlight w:val="none"/>
          <w:lang w:val="en-US" w:eastAsia="zh-CN"/>
        </w:rPr>
        <w:t>4</w:t>
      </w:r>
      <w:r>
        <w:rPr>
          <w:rFonts w:hint="default" w:ascii="Times New Roman" w:hAnsi="Times New Roman" w:eastAsia="宋体" w:cs="Times New Roman"/>
          <w:b/>
          <w:color w:val="auto"/>
          <w:sz w:val="24"/>
          <w:szCs w:val="22"/>
          <w:highlight w:val="none"/>
          <w:lang w:val="en-US"/>
        </w:rPr>
        <w:t>.</w:t>
      </w:r>
      <w:r>
        <w:rPr>
          <w:rFonts w:hint="default" w:ascii="Times New Roman" w:hAnsi="Times New Roman" w:cs="Times New Roman"/>
          <w:b/>
          <w:color w:val="auto"/>
          <w:sz w:val="24"/>
          <w:szCs w:val="22"/>
          <w:highlight w:val="none"/>
          <w:lang w:val="en-US" w:eastAsia="zh-CN"/>
        </w:rPr>
        <w:t>3</w:t>
      </w:r>
      <w:r>
        <w:rPr>
          <w:rFonts w:hint="default" w:ascii="Times New Roman" w:hAnsi="Times New Roman" w:eastAsia="宋体" w:cs="Times New Roman"/>
          <w:b/>
          <w:color w:val="auto"/>
          <w:sz w:val="24"/>
          <w:szCs w:val="22"/>
          <w:highlight w:val="none"/>
          <w:lang w:val="en-US"/>
        </w:rPr>
        <w:t>.2</w:t>
      </w:r>
      <w:r>
        <w:rPr>
          <w:rFonts w:hint="default" w:ascii="Times New Roman" w:hAnsi="Times New Roman" w:eastAsia="宋体" w:cs="Times New Roman"/>
          <w:b/>
          <w:color w:val="auto"/>
          <w:sz w:val="24"/>
          <w:szCs w:val="22"/>
          <w:highlight w:val="none"/>
          <w:lang w:val="en-US"/>
        </w:rPr>
        <w:fldChar w:fldCharType="end"/>
      </w:r>
      <w:r>
        <w:rPr>
          <w:rFonts w:hint="default" w:ascii="Times New Roman" w:hAnsi="Times New Roman" w:eastAsia="宋体" w:cs="Times New Roman"/>
          <w:b/>
          <w:color w:val="auto"/>
          <w:sz w:val="24"/>
          <w:szCs w:val="22"/>
          <w:highlight w:val="none"/>
          <w:lang w:val="en-US"/>
        </w:rPr>
        <w:t>废气污染源</w:t>
      </w:r>
    </w:p>
    <w:p w14:paraId="4F77F124">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大气污染物的主要来源是</w:t>
      </w:r>
      <w:r>
        <w:rPr>
          <w:rFonts w:hint="eastAsia" w:ascii="Times New Roman" w:hAnsi="Times New Roman" w:cs="Times New Roman"/>
          <w:color w:val="auto"/>
          <w:highlight w:val="none"/>
          <w:lang w:val="en-US" w:eastAsia="zh-CN"/>
        </w:rPr>
        <w:t>采油</w:t>
      </w:r>
      <w:r>
        <w:rPr>
          <w:rFonts w:hint="default" w:ascii="Times New Roman" w:hAnsi="Times New Roman" w:cs="Times New Roman"/>
          <w:color w:val="auto"/>
          <w:highlight w:val="none"/>
        </w:rPr>
        <w:t>、集输过程中无组织废气排放。无组织排放的污染物主要为站场、井口、管线接口、阀门等处产生的无组织挥发烃类和硫化氢。</w:t>
      </w:r>
    </w:p>
    <w:p w14:paraId="2B79A727">
      <w:pPr>
        <w:keepNext w:val="0"/>
        <w:keepLines w:val="0"/>
        <w:pageBreakBefore w:val="0"/>
        <w:widowControl/>
        <w:kinsoku/>
        <w:wordWrap/>
        <w:overflowPunct/>
        <w:topLinePunct w:val="0"/>
        <w:bidi w:val="0"/>
        <w:snapToGrid w:val="0"/>
        <w:spacing w:line="360" w:lineRule="auto"/>
        <w:ind w:firstLine="482" w:firstLineChars="200"/>
        <w:jc w:val="both"/>
        <w:textAlignment w:val="auto"/>
        <w:rPr>
          <w:rFonts w:hint="default" w:ascii="Times New Roman" w:hAnsi="Times New Roman" w:cs="Times New Roman"/>
          <w:b/>
          <w:bCs/>
          <w:color w:val="auto"/>
          <w:szCs w:val="28"/>
          <w:highlight w:val="none"/>
        </w:rPr>
      </w:pP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）无组织</w:t>
      </w:r>
      <w:r>
        <w:rPr>
          <w:rFonts w:hint="default" w:ascii="Times New Roman" w:hAnsi="Times New Roman" w:cs="Times New Roman"/>
          <w:b/>
          <w:bCs/>
          <w:color w:val="auto"/>
          <w:szCs w:val="28"/>
          <w:highlight w:val="none"/>
        </w:rPr>
        <w:t>非甲烷总烃</w:t>
      </w:r>
    </w:p>
    <w:p w14:paraId="7136C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非甲烷总烃主要来源于油气集输过程中烃类无组织挥发。</w:t>
      </w:r>
      <w:r>
        <w:rPr>
          <w:rFonts w:hint="default" w:ascii="Times New Roman" w:hAnsi="Times New Roman" w:cs="Times New Roman"/>
          <w:bCs/>
          <w:snapToGrid w:val="0"/>
          <w:color w:val="auto"/>
          <w:highlight w:val="none"/>
        </w:rPr>
        <w:t>在油气集输环节产生的挥发性有机物（VOCs）主要包括非甲烷总烃（</w:t>
      </w:r>
      <w:r>
        <w:rPr>
          <w:rFonts w:hint="default" w:ascii="Times New Roman" w:hAnsi="Times New Roman" w:cs="Times New Roman"/>
          <w:color w:val="auto"/>
          <w:highlight w:val="none"/>
        </w:rPr>
        <w:t>烷烃、烯烃、芳香烃、炔烃等</w:t>
      </w:r>
      <w:r>
        <w:rPr>
          <w:rFonts w:hint="default" w:ascii="Times New Roman" w:hAnsi="Times New Roman" w:cs="Times New Roman"/>
          <w:bCs/>
          <w:snapToGrid w:val="0"/>
          <w:color w:val="auto"/>
          <w:highlight w:val="none"/>
        </w:rPr>
        <w:t>）、含氧有机化合物（</w:t>
      </w:r>
      <w:r>
        <w:rPr>
          <w:rFonts w:hint="default" w:ascii="Times New Roman" w:hAnsi="Times New Roman" w:cs="Times New Roman"/>
          <w:color w:val="auto"/>
          <w:highlight w:val="none"/>
        </w:rPr>
        <w:t>醛、酮、醇、醚、酯、酚等</w:t>
      </w:r>
      <w:r>
        <w:rPr>
          <w:rFonts w:hint="default" w:ascii="Times New Roman" w:hAnsi="Times New Roman" w:cs="Times New Roman"/>
          <w:bCs/>
          <w:snapToGrid w:val="0"/>
          <w:color w:val="auto"/>
          <w:highlight w:val="none"/>
        </w:rPr>
        <w:t>）、</w:t>
      </w:r>
      <w:r>
        <w:rPr>
          <w:rFonts w:hint="default" w:ascii="Times New Roman" w:hAnsi="Times New Roman" w:cs="Times New Roman"/>
          <w:color w:val="auto"/>
          <w:highlight w:val="none"/>
        </w:rPr>
        <w:t>卤代烃，含氮有机化合物，含硫有机化合物等，对</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而言，</w:t>
      </w:r>
      <w:r>
        <w:rPr>
          <w:rFonts w:hint="default" w:ascii="Times New Roman" w:hAnsi="Times New Roman" w:cs="Times New Roman"/>
          <w:bCs/>
          <w:snapToGrid w:val="0"/>
          <w:color w:val="auto"/>
          <w:highlight w:val="none"/>
        </w:rPr>
        <w:t>VOCs主要为非甲烷总烃。</w:t>
      </w:r>
    </w:p>
    <w:p w14:paraId="5BB86C52">
      <w:pPr>
        <w:pStyle w:val="57"/>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运营过程中井场和阀组无组织废气主要污染物为从阀门等部分逸散无组织非甲烷总烃，参照《排污许可证申请与核发技术规范石化工业》（HJ853-2017）中5.2.3.1.2设备与管线组件密封点泄漏的挥发性有机物年许可排放量计算公式对</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无组织</w:t>
      </w:r>
      <w:r>
        <w:rPr>
          <w:rFonts w:hint="default" w:ascii="Times New Roman" w:hAnsi="Times New Roman" w:cs="Times New Roman"/>
          <w:color w:val="auto"/>
          <w:szCs w:val="28"/>
          <w:highlight w:val="none"/>
        </w:rPr>
        <w:t>挥发的非甲烷总烃</w:t>
      </w:r>
      <w:r>
        <w:rPr>
          <w:rFonts w:hint="default" w:ascii="Times New Roman" w:hAnsi="Times New Roman" w:cs="Times New Roman"/>
          <w:color w:val="auto"/>
          <w:highlight w:val="none"/>
        </w:rPr>
        <w:t>进行核算。</w:t>
      </w:r>
    </w:p>
    <w:p w14:paraId="53E0BFA6">
      <w:pPr>
        <w:pStyle w:val="57"/>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公式如下：</w:t>
      </w:r>
    </w:p>
    <w:p w14:paraId="7912F13E">
      <w:pPr>
        <w:ind w:firstLine="480" w:firstLineChars="20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drawing>
          <wp:inline distT="0" distB="0" distL="0" distR="0">
            <wp:extent cx="3735070" cy="509905"/>
            <wp:effectExtent l="0" t="0" r="17780" b="4445"/>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735070" cy="509905"/>
                    </a:xfrm>
                    <a:prstGeom prst="rect">
                      <a:avLst/>
                    </a:prstGeom>
                    <a:noFill/>
                    <a:ln>
                      <a:noFill/>
                    </a:ln>
                    <a:effectLst/>
                  </pic:spPr>
                </pic:pic>
              </a:graphicData>
            </a:graphic>
          </wp:inline>
        </w:drawing>
      </w:r>
    </w:p>
    <w:p w14:paraId="7B1B4507">
      <w:pPr>
        <w:pStyle w:val="57"/>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E</w:t>
      </w:r>
      <w:r>
        <w:rPr>
          <w:rFonts w:hint="default" w:ascii="Times New Roman" w:hAnsi="Times New Roman" w:cs="Times New Roman"/>
          <w:color w:val="auto"/>
          <w:highlight w:val="none"/>
          <w:vertAlign w:val="subscript"/>
          <w:lang w:val="zh-CN"/>
        </w:rPr>
        <w:t>设备</w:t>
      </w:r>
      <w:r>
        <w:rPr>
          <w:rFonts w:hint="default" w:ascii="Times New Roman" w:hAnsi="Times New Roman" w:cs="Times New Roman"/>
          <w:color w:val="auto"/>
          <w:highlight w:val="none"/>
          <w:lang w:val="zh-CN"/>
        </w:rPr>
        <w:t>——设备与管线组件密封点泄漏的挥发性有机物年许可排放量，</w:t>
      </w:r>
      <w:r>
        <w:rPr>
          <w:rFonts w:hint="default" w:ascii="Times New Roman" w:hAnsi="Times New Roman" w:cs="Times New Roman"/>
          <w:color w:val="auto"/>
          <w:highlight w:val="none"/>
        </w:rPr>
        <w:t>kg/a</w:t>
      </w:r>
      <w:r>
        <w:rPr>
          <w:rFonts w:hint="default" w:ascii="Times New Roman" w:hAnsi="Times New Roman" w:cs="Times New Roman"/>
          <w:color w:val="auto"/>
          <w:highlight w:val="none"/>
          <w:lang w:val="zh-CN"/>
        </w:rPr>
        <w:t>；</w:t>
      </w:r>
    </w:p>
    <w:p w14:paraId="4E4EEEBB">
      <w:pPr>
        <w:pStyle w:val="57"/>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t</w:t>
      </w:r>
      <w:r>
        <w:rPr>
          <w:rFonts w:hint="default" w:ascii="Times New Roman" w:hAnsi="Times New Roman" w:cs="Times New Roman"/>
          <w:color w:val="auto"/>
          <w:highlight w:val="none"/>
          <w:vertAlign w:val="subscript"/>
          <w:lang w:val="zh-CN"/>
        </w:rPr>
        <w:t>i</w:t>
      </w:r>
      <w:r>
        <w:rPr>
          <w:rFonts w:hint="default" w:ascii="Times New Roman" w:hAnsi="Times New Roman" w:cs="Times New Roman"/>
          <w:color w:val="auto"/>
          <w:highlight w:val="none"/>
          <w:lang w:val="zh-CN"/>
        </w:rPr>
        <w:t>——密封点i的年运行时间，</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zh-CN"/>
        </w:rPr>
        <w:t>；</w:t>
      </w:r>
    </w:p>
    <w:p w14:paraId="78D7699C">
      <w:pPr>
        <w:pStyle w:val="57"/>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e</w:t>
      </w:r>
      <w:r>
        <w:rPr>
          <w:rFonts w:hint="default" w:ascii="Times New Roman" w:hAnsi="Times New Roman" w:cs="Times New Roman"/>
          <w:color w:val="auto"/>
          <w:highlight w:val="none"/>
          <w:vertAlign w:val="subscript"/>
        </w:rPr>
        <w:t>TOC，</w:t>
      </w:r>
      <w:r>
        <w:rPr>
          <w:rFonts w:hint="default" w:ascii="Times New Roman" w:hAnsi="Times New Roman" w:cs="Times New Roman"/>
          <w:color w:val="auto"/>
          <w:highlight w:val="none"/>
          <w:vertAlign w:val="subscript"/>
          <w:lang w:val="zh-CN"/>
        </w:rPr>
        <w:t>i</w:t>
      </w:r>
      <w:r>
        <w:rPr>
          <w:rFonts w:hint="default" w:ascii="Times New Roman" w:hAnsi="Times New Roman" w:cs="Times New Roman"/>
          <w:color w:val="auto"/>
          <w:highlight w:val="none"/>
          <w:lang w:val="zh-CN"/>
        </w:rPr>
        <w:t>——密封点</w:t>
      </w:r>
      <w:r>
        <w:rPr>
          <w:rFonts w:hint="default" w:ascii="Times New Roman" w:hAnsi="Times New Roman" w:cs="Times New Roman"/>
          <w:color w:val="auto"/>
          <w:highlight w:val="none"/>
        </w:rPr>
        <w:t>i的总有机碳（TOC）排放速率</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kg</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h；</w:t>
      </w:r>
    </w:p>
    <w:p w14:paraId="29E479C8">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WF</w:t>
      </w:r>
      <w:r>
        <w:rPr>
          <w:rFonts w:hint="default" w:ascii="Times New Roman" w:hAnsi="Times New Roman" w:cs="Times New Roman"/>
          <w:color w:val="auto"/>
          <w:highlight w:val="none"/>
          <w:vertAlign w:val="subscript"/>
        </w:rPr>
        <w:t>VOCs，</w:t>
      </w:r>
      <w:r>
        <w:rPr>
          <w:rFonts w:hint="default" w:ascii="Times New Roman" w:hAnsi="Times New Roman" w:cs="Times New Roman"/>
          <w:color w:val="auto"/>
          <w:highlight w:val="none"/>
          <w:vertAlign w:val="subscript"/>
          <w:lang w:val="zh-CN"/>
        </w:rPr>
        <w:t>i</w:t>
      </w:r>
      <w:r>
        <w:rPr>
          <w:rFonts w:hint="default" w:ascii="Times New Roman" w:hAnsi="Times New Roman" w:cs="Times New Roman"/>
          <w:color w:val="auto"/>
          <w:highlight w:val="none"/>
          <w:lang w:val="zh-CN"/>
        </w:rPr>
        <w:t>——流经密封点</w:t>
      </w:r>
      <w:r>
        <w:rPr>
          <w:rFonts w:hint="default" w:ascii="Times New Roman" w:hAnsi="Times New Roman" w:cs="Times New Roman"/>
          <w:color w:val="auto"/>
          <w:highlight w:val="none"/>
        </w:rPr>
        <w:t>i的物料中挥发性有机物平均质量分数，根据设计文件取值；</w:t>
      </w:r>
    </w:p>
    <w:p w14:paraId="4876C120">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WF</w:t>
      </w:r>
      <w:r>
        <w:rPr>
          <w:rFonts w:hint="default" w:ascii="Times New Roman" w:hAnsi="Times New Roman" w:cs="Times New Roman"/>
          <w:color w:val="auto"/>
          <w:highlight w:val="none"/>
          <w:vertAlign w:val="subscript"/>
        </w:rPr>
        <w:t>TOC，</w:t>
      </w:r>
      <w:r>
        <w:rPr>
          <w:rFonts w:hint="default" w:ascii="Times New Roman" w:hAnsi="Times New Roman" w:cs="Times New Roman"/>
          <w:color w:val="auto"/>
          <w:highlight w:val="none"/>
          <w:vertAlign w:val="subscript"/>
          <w:lang w:val="zh-CN"/>
        </w:rPr>
        <w:t>i</w:t>
      </w:r>
      <w:r>
        <w:rPr>
          <w:rFonts w:hint="default" w:ascii="Times New Roman" w:hAnsi="Times New Roman" w:cs="Times New Roman"/>
          <w:color w:val="auto"/>
          <w:highlight w:val="none"/>
          <w:lang w:val="zh-CN"/>
        </w:rPr>
        <w:t>——流经密封点</w:t>
      </w:r>
      <w:r>
        <w:rPr>
          <w:rFonts w:hint="default" w:ascii="Times New Roman" w:hAnsi="Times New Roman" w:cs="Times New Roman"/>
          <w:color w:val="auto"/>
          <w:highlight w:val="none"/>
        </w:rPr>
        <w:t>i的物料中总有机碳（TOC）平均质量分数，根据设计文件取值；</w:t>
      </w:r>
    </w:p>
    <w:p w14:paraId="6908C917">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zh-CN"/>
        </w:rPr>
        <w:t>——挥发性有机物流经的设备与管线组件密封点数。</w:t>
      </w:r>
    </w:p>
    <w:p w14:paraId="190A0C30">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rPr>
      </w:pPr>
      <w:r>
        <w:rPr>
          <w:rFonts w:hint="default" w:ascii="Times New Roman" w:hAnsi="Times New Roman" w:eastAsia="黑体" w:cs="Times New Roman"/>
          <w:b w:val="0"/>
          <w:bCs/>
          <w:color w:val="auto"/>
          <w:kern w:val="2"/>
          <w:sz w:val="21"/>
          <w:szCs w:val="21"/>
          <w:highlight w:val="none"/>
          <w:lang w:val="en-US" w:eastAsia="zh-CN" w:bidi="ar"/>
        </w:rPr>
        <w:t>表3.4-14</w:t>
      </w:r>
      <w:r>
        <w:rPr>
          <w:rFonts w:hint="eastAsia" w:eastAsia="黑体" w:cs="Times New Roman"/>
          <w:b w:val="0"/>
          <w:bCs/>
          <w:color w:val="auto"/>
          <w:kern w:val="2"/>
          <w:sz w:val="21"/>
          <w:szCs w:val="21"/>
          <w:highlight w:val="none"/>
          <w:lang w:val="en-US" w:eastAsia="zh-CN" w:bidi="ar"/>
        </w:rPr>
        <w:t xml:space="preserve">   </w:t>
      </w:r>
      <w:r>
        <w:rPr>
          <w:rFonts w:hint="default" w:ascii="Times New Roman" w:hAnsi="Times New Roman" w:eastAsia="黑体" w:cs="Times New Roman"/>
          <w:b w:val="0"/>
          <w:bCs/>
          <w:color w:val="auto"/>
          <w:kern w:val="2"/>
          <w:sz w:val="21"/>
          <w:szCs w:val="21"/>
          <w:highlight w:val="none"/>
          <w:lang w:val="zh-CN" w:eastAsia="zh-CN" w:bidi="ar"/>
        </w:rPr>
        <w:t>设备与管线组件eTOC，i取值参数表</w:t>
      </w:r>
    </w:p>
    <w:tbl>
      <w:tblPr>
        <w:tblStyle w:val="35"/>
        <w:tblW w:w="50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667"/>
        <w:gridCol w:w="3613"/>
        <w:gridCol w:w="3185"/>
      </w:tblGrid>
      <w:tr w14:paraId="7009E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5" w:type="pct"/>
            <w:vAlign w:val="center"/>
          </w:tcPr>
          <w:p w14:paraId="16F1CED3">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类型</w:t>
            </w:r>
          </w:p>
        </w:tc>
        <w:tc>
          <w:tcPr>
            <w:tcW w:w="2134" w:type="pct"/>
            <w:vAlign w:val="center"/>
          </w:tcPr>
          <w:p w14:paraId="5FBB8A82">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设备类型</w:t>
            </w:r>
          </w:p>
        </w:tc>
        <w:tc>
          <w:tcPr>
            <w:tcW w:w="1881" w:type="pct"/>
            <w:vAlign w:val="center"/>
          </w:tcPr>
          <w:p w14:paraId="6F1043FE">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pacing w:val="-10"/>
                <w:sz w:val="23"/>
                <w:szCs w:val="23"/>
                <w:highlight w:val="none"/>
                <w:lang w:eastAsia="zh-CN"/>
              </w:rPr>
            </w:pPr>
            <w:r>
              <w:rPr>
                <w:rFonts w:hint="default" w:ascii="Times New Roman" w:hAnsi="Times New Roman" w:cs="Times New Roman"/>
                <w:color w:val="auto"/>
                <w:spacing w:val="-10"/>
                <w:sz w:val="23"/>
                <w:szCs w:val="23"/>
                <w:highlight w:val="none"/>
              </w:rPr>
              <w:t>排放速率e</w:t>
            </w:r>
            <w:r>
              <w:rPr>
                <w:rFonts w:hint="default" w:ascii="Times New Roman" w:hAnsi="Times New Roman" w:cs="Times New Roman"/>
                <w:color w:val="auto"/>
                <w:spacing w:val="-10"/>
                <w:sz w:val="23"/>
                <w:szCs w:val="23"/>
                <w:highlight w:val="none"/>
                <w:vertAlign w:val="subscript"/>
              </w:rPr>
              <w:t>TOC，i</w:t>
            </w:r>
            <w:r>
              <w:rPr>
                <w:rFonts w:hint="default" w:ascii="Times New Roman" w:hAnsi="Times New Roman" w:cs="Times New Roman"/>
                <w:color w:val="auto"/>
                <w:spacing w:val="-10"/>
                <w:sz w:val="23"/>
                <w:szCs w:val="23"/>
                <w:highlight w:val="none"/>
              </w:rPr>
              <w:t>/</w:t>
            </w:r>
            <w:r>
              <w:rPr>
                <w:rFonts w:hint="default" w:ascii="Times New Roman" w:hAnsi="Times New Roman" w:cs="Times New Roman"/>
                <w:color w:val="auto"/>
                <w:spacing w:val="-10"/>
                <w:sz w:val="23"/>
                <w:szCs w:val="23"/>
                <w:highlight w:val="none"/>
                <w:lang w:eastAsia="zh-CN"/>
              </w:rPr>
              <w:t>（</w:t>
            </w:r>
            <w:r>
              <w:rPr>
                <w:rFonts w:hint="default" w:ascii="Times New Roman" w:hAnsi="Times New Roman" w:cs="Times New Roman"/>
                <w:color w:val="auto"/>
                <w:spacing w:val="-10"/>
                <w:sz w:val="23"/>
                <w:szCs w:val="23"/>
                <w:highlight w:val="none"/>
              </w:rPr>
              <w:t>kg/h排放源</w:t>
            </w:r>
            <w:r>
              <w:rPr>
                <w:rFonts w:hint="default" w:ascii="Times New Roman" w:hAnsi="Times New Roman" w:cs="Times New Roman"/>
                <w:color w:val="auto"/>
                <w:spacing w:val="-10"/>
                <w:sz w:val="23"/>
                <w:szCs w:val="23"/>
                <w:highlight w:val="none"/>
                <w:lang w:eastAsia="zh-CN"/>
              </w:rPr>
              <w:t>）</w:t>
            </w:r>
          </w:p>
        </w:tc>
      </w:tr>
      <w:tr w14:paraId="084EF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5" w:type="pct"/>
            <w:vMerge w:val="restart"/>
            <w:vAlign w:val="center"/>
          </w:tcPr>
          <w:p w14:paraId="5EE2AFDA">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石油</w:t>
            </w:r>
            <w:r>
              <w:rPr>
                <w:rFonts w:hint="eastAsia" w:cs="Times New Roman"/>
                <w:color w:val="auto"/>
                <w:spacing w:val="-10"/>
                <w:sz w:val="23"/>
                <w:szCs w:val="23"/>
                <w:highlight w:val="none"/>
                <w:lang w:val="en-US" w:eastAsia="zh-CN"/>
              </w:rPr>
              <w:t>炼制</w:t>
            </w:r>
            <w:r>
              <w:rPr>
                <w:rFonts w:hint="default" w:ascii="Times New Roman" w:hAnsi="Times New Roman" w:cs="Times New Roman"/>
                <w:color w:val="auto"/>
                <w:spacing w:val="-10"/>
                <w:sz w:val="23"/>
                <w:szCs w:val="23"/>
                <w:highlight w:val="none"/>
              </w:rPr>
              <w:t>工业</w:t>
            </w:r>
          </w:p>
        </w:tc>
        <w:tc>
          <w:tcPr>
            <w:tcW w:w="2134" w:type="pct"/>
            <w:vAlign w:val="center"/>
          </w:tcPr>
          <w:p w14:paraId="20A9C8A6">
            <w:pPr>
              <w:keepNext w:val="0"/>
              <w:keepLines w:val="0"/>
              <w:pageBreakBefore w:val="0"/>
              <w:widowControl/>
              <w:kinsoku/>
              <w:wordWrap/>
              <w:overflowPunct/>
              <w:topLinePunct w:val="0"/>
              <w:autoSpaceDE/>
              <w:autoSpaceDN/>
              <w:bidi w:val="0"/>
              <w:spacing w:line="280" w:lineRule="exact"/>
              <w:jc w:val="center"/>
              <w:textAlignment w:val="auto"/>
              <w:rPr>
                <w:rFonts w:hint="eastAsia" w:ascii="Times New Roman" w:hAnsi="Times New Roman" w:eastAsia="宋体" w:cs="Times New Roman"/>
                <w:color w:val="auto"/>
                <w:spacing w:val="-10"/>
                <w:sz w:val="23"/>
                <w:szCs w:val="23"/>
                <w:highlight w:val="none"/>
                <w:lang w:eastAsia="zh-CN"/>
              </w:rPr>
            </w:pPr>
            <w:r>
              <w:rPr>
                <w:rFonts w:hint="eastAsia" w:cs="Times New Roman"/>
                <w:color w:val="auto"/>
                <w:spacing w:val="-10"/>
                <w:sz w:val="23"/>
                <w:szCs w:val="23"/>
                <w:highlight w:val="none"/>
                <w:lang w:val="en-US" w:eastAsia="zh-CN"/>
              </w:rPr>
              <w:t>连接件</w:t>
            </w:r>
          </w:p>
        </w:tc>
        <w:tc>
          <w:tcPr>
            <w:tcW w:w="1881" w:type="pct"/>
            <w:vAlign w:val="center"/>
          </w:tcPr>
          <w:p w14:paraId="1B6FF8A5">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pacing w:val="-10"/>
                <w:sz w:val="23"/>
                <w:szCs w:val="23"/>
                <w:highlight w:val="none"/>
                <w:lang w:val="en-US" w:eastAsia="zh-CN"/>
              </w:rPr>
            </w:pPr>
            <w:r>
              <w:rPr>
                <w:rFonts w:hint="eastAsia" w:cs="Times New Roman"/>
                <w:color w:val="auto"/>
                <w:spacing w:val="-10"/>
                <w:sz w:val="23"/>
                <w:szCs w:val="23"/>
                <w:highlight w:val="none"/>
                <w:lang w:val="en-US" w:eastAsia="zh-CN"/>
              </w:rPr>
              <w:t>0.028</w:t>
            </w:r>
          </w:p>
        </w:tc>
      </w:tr>
      <w:tr w14:paraId="530A8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5" w:type="pct"/>
            <w:vMerge w:val="continue"/>
            <w:vAlign w:val="center"/>
          </w:tcPr>
          <w:p w14:paraId="6856CA7B">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p>
        </w:tc>
        <w:tc>
          <w:tcPr>
            <w:tcW w:w="2134" w:type="pct"/>
            <w:vAlign w:val="center"/>
          </w:tcPr>
          <w:p w14:paraId="76C77B1F">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开口阀或开口管线</w:t>
            </w:r>
          </w:p>
        </w:tc>
        <w:tc>
          <w:tcPr>
            <w:tcW w:w="1881" w:type="pct"/>
            <w:vAlign w:val="center"/>
          </w:tcPr>
          <w:p w14:paraId="4DD20BEC">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0.03</w:t>
            </w:r>
          </w:p>
        </w:tc>
      </w:tr>
      <w:tr w14:paraId="075A9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85" w:type="pct"/>
            <w:vMerge w:val="continue"/>
            <w:vAlign w:val="center"/>
          </w:tcPr>
          <w:p w14:paraId="669CDE3E">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p>
        </w:tc>
        <w:tc>
          <w:tcPr>
            <w:tcW w:w="2134" w:type="pct"/>
            <w:vAlign w:val="center"/>
          </w:tcPr>
          <w:p w14:paraId="55995B6B">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阀门</w:t>
            </w:r>
          </w:p>
        </w:tc>
        <w:tc>
          <w:tcPr>
            <w:tcW w:w="1881" w:type="pct"/>
            <w:vAlign w:val="center"/>
          </w:tcPr>
          <w:p w14:paraId="1366E2DC">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pacing w:val="-10"/>
                <w:sz w:val="23"/>
                <w:szCs w:val="23"/>
                <w:highlight w:val="none"/>
                <w:lang w:val="en-US" w:eastAsia="zh-CN"/>
              </w:rPr>
            </w:pPr>
            <w:r>
              <w:rPr>
                <w:rFonts w:hint="eastAsia" w:cs="Times New Roman"/>
                <w:color w:val="auto"/>
                <w:spacing w:val="-10"/>
                <w:sz w:val="23"/>
                <w:szCs w:val="23"/>
                <w:highlight w:val="none"/>
                <w:lang w:val="en-US" w:eastAsia="zh-CN"/>
              </w:rPr>
              <w:t>0.064</w:t>
            </w:r>
          </w:p>
        </w:tc>
      </w:tr>
      <w:tr w14:paraId="0D73E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985" w:type="pct"/>
            <w:vMerge w:val="continue"/>
            <w:vAlign w:val="center"/>
          </w:tcPr>
          <w:p w14:paraId="680D96CA">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p>
        </w:tc>
        <w:tc>
          <w:tcPr>
            <w:tcW w:w="2134" w:type="pct"/>
            <w:vAlign w:val="center"/>
          </w:tcPr>
          <w:p w14:paraId="7772421B">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压缩机、搅拌器、泄压设备</w:t>
            </w:r>
          </w:p>
        </w:tc>
        <w:tc>
          <w:tcPr>
            <w:tcW w:w="1881" w:type="pct"/>
            <w:vAlign w:val="center"/>
          </w:tcPr>
          <w:p w14:paraId="082F24FE">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pacing w:val="-10"/>
                <w:sz w:val="23"/>
                <w:szCs w:val="23"/>
                <w:highlight w:val="none"/>
                <w:lang w:val="en-US" w:eastAsia="zh-CN"/>
              </w:rPr>
            </w:pPr>
            <w:r>
              <w:rPr>
                <w:rFonts w:hint="eastAsia" w:cs="Times New Roman"/>
                <w:color w:val="auto"/>
                <w:spacing w:val="-10"/>
                <w:sz w:val="23"/>
                <w:szCs w:val="23"/>
                <w:highlight w:val="none"/>
                <w:lang w:val="en-US" w:eastAsia="zh-CN"/>
              </w:rPr>
              <w:t>0.073</w:t>
            </w:r>
          </w:p>
        </w:tc>
      </w:tr>
      <w:tr w14:paraId="37C63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985" w:type="pct"/>
            <w:vMerge w:val="continue"/>
            <w:vAlign w:val="center"/>
          </w:tcPr>
          <w:p w14:paraId="78EBC52A">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p>
        </w:tc>
        <w:tc>
          <w:tcPr>
            <w:tcW w:w="2134" w:type="pct"/>
            <w:vAlign w:val="center"/>
          </w:tcPr>
          <w:p w14:paraId="0DA347F7">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泵</w:t>
            </w:r>
          </w:p>
        </w:tc>
        <w:tc>
          <w:tcPr>
            <w:tcW w:w="1881" w:type="pct"/>
            <w:vAlign w:val="center"/>
          </w:tcPr>
          <w:p w14:paraId="16AB506A">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pacing w:val="-10"/>
                <w:sz w:val="23"/>
                <w:szCs w:val="23"/>
                <w:highlight w:val="none"/>
                <w:lang w:val="en-US" w:eastAsia="zh-CN"/>
              </w:rPr>
            </w:pPr>
            <w:r>
              <w:rPr>
                <w:rFonts w:hint="eastAsia" w:cs="Times New Roman"/>
                <w:color w:val="auto"/>
                <w:spacing w:val="-10"/>
                <w:sz w:val="23"/>
                <w:szCs w:val="23"/>
                <w:highlight w:val="none"/>
                <w:lang w:val="en-US" w:eastAsia="zh-CN"/>
              </w:rPr>
              <w:t>0.074</w:t>
            </w:r>
          </w:p>
        </w:tc>
      </w:tr>
      <w:tr w14:paraId="26137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85" w:type="pct"/>
            <w:vMerge w:val="continue"/>
            <w:vAlign w:val="center"/>
          </w:tcPr>
          <w:p w14:paraId="64730704">
            <w:pPr>
              <w:keepNext w:val="0"/>
              <w:keepLines w:val="0"/>
              <w:pageBreakBefore w:val="0"/>
              <w:widowControl/>
              <w:kinsoku/>
              <w:wordWrap/>
              <w:overflowPunct/>
              <w:topLinePunct w:val="0"/>
              <w:autoSpaceDE/>
              <w:autoSpaceDN/>
              <w:bidi w:val="0"/>
              <w:spacing w:line="280" w:lineRule="exact"/>
              <w:jc w:val="center"/>
              <w:textAlignment w:val="auto"/>
              <w:rPr>
                <w:rFonts w:hint="eastAsia" w:ascii="Times New Roman" w:hAnsi="Times New Roman" w:eastAsia="宋体" w:cs="Times New Roman"/>
                <w:color w:val="auto"/>
                <w:spacing w:val="-10"/>
                <w:sz w:val="23"/>
                <w:szCs w:val="23"/>
                <w:highlight w:val="none"/>
                <w:lang w:val="en-US" w:eastAsia="zh-CN"/>
              </w:rPr>
            </w:pPr>
            <w:r>
              <w:rPr>
                <w:rFonts w:hint="eastAsia" w:cs="Times New Roman"/>
                <w:color w:val="auto"/>
                <w:spacing w:val="-10"/>
                <w:sz w:val="23"/>
                <w:szCs w:val="23"/>
                <w:highlight w:val="none"/>
                <w:lang w:val="en-US" w:eastAsia="zh-CN"/>
              </w:rPr>
              <w:t>Fa</w:t>
            </w:r>
          </w:p>
        </w:tc>
        <w:tc>
          <w:tcPr>
            <w:tcW w:w="2134" w:type="pct"/>
            <w:vAlign w:val="center"/>
          </w:tcPr>
          <w:p w14:paraId="5BEB612B">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pacing w:val="-10"/>
                <w:sz w:val="23"/>
                <w:szCs w:val="23"/>
                <w:highlight w:val="none"/>
                <w:lang w:val="en-US" w:eastAsia="zh-CN"/>
              </w:rPr>
            </w:pPr>
            <w:r>
              <w:rPr>
                <w:rFonts w:hint="eastAsia" w:cs="Times New Roman"/>
                <w:color w:val="auto"/>
                <w:spacing w:val="-10"/>
                <w:sz w:val="23"/>
                <w:szCs w:val="23"/>
                <w:highlight w:val="none"/>
                <w:lang w:val="en-US" w:eastAsia="zh-CN"/>
              </w:rPr>
              <w:t>法兰</w:t>
            </w:r>
          </w:p>
        </w:tc>
        <w:tc>
          <w:tcPr>
            <w:tcW w:w="1881" w:type="pct"/>
            <w:vAlign w:val="center"/>
          </w:tcPr>
          <w:p w14:paraId="2BFC2CC0">
            <w:pPr>
              <w:keepNext w:val="0"/>
              <w:keepLines w:val="0"/>
              <w:pageBreakBefore w:val="0"/>
              <w:widowControl/>
              <w:kinsoku/>
              <w:wordWrap/>
              <w:overflowPunct/>
              <w:topLinePunct w:val="0"/>
              <w:autoSpaceDE/>
              <w:autoSpaceDN/>
              <w:bidi w:val="0"/>
              <w:spacing w:line="280" w:lineRule="exact"/>
              <w:jc w:val="center"/>
              <w:textAlignment w:val="auto"/>
              <w:rPr>
                <w:rFonts w:hint="default" w:cs="Times New Roman"/>
                <w:color w:val="auto"/>
                <w:spacing w:val="-10"/>
                <w:sz w:val="23"/>
                <w:szCs w:val="23"/>
                <w:highlight w:val="none"/>
                <w:lang w:val="en-US" w:eastAsia="zh-CN"/>
              </w:rPr>
            </w:pPr>
            <w:r>
              <w:rPr>
                <w:rFonts w:hint="eastAsia" w:cs="Times New Roman"/>
                <w:color w:val="auto"/>
                <w:spacing w:val="-10"/>
                <w:sz w:val="23"/>
                <w:szCs w:val="23"/>
                <w:highlight w:val="none"/>
                <w:lang w:val="en-US" w:eastAsia="zh-CN"/>
              </w:rPr>
              <w:t>0.085</w:t>
            </w:r>
          </w:p>
        </w:tc>
      </w:tr>
      <w:tr w14:paraId="5C58D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85" w:type="pct"/>
            <w:vMerge w:val="continue"/>
            <w:vAlign w:val="center"/>
          </w:tcPr>
          <w:p w14:paraId="3192D260">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p>
        </w:tc>
        <w:tc>
          <w:tcPr>
            <w:tcW w:w="2134" w:type="pct"/>
            <w:vAlign w:val="center"/>
          </w:tcPr>
          <w:p w14:paraId="52334835">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其他</w:t>
            </w:r>
          </w:p>
        </w:tc>
        <w:tc>
          <w:tcPr>
            <w:tcW w:w="1881" w:type="pct"/>
            <w:vAlign w:val="center"/>
          </w:tcPr>
          <w:p w14:paraId="2EFBCE51">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0.073</w:t>
            </w:r>
          </w:p>
        </w:tc>
      </w:tr>
    </w:tbl>
    <w:p w14:paraId="1380B07A">
      <w:pPr>
        <w:pStyle w:val="57"/>
        <w:jc w:val="both"/>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参照《石化行业VOCs污染源排查工作指南》，若未提供TOC中VOCs的质量分数，则取1进行核算，则</w:t>
      </w:r>
      <w:r>
        <w:rPr>
          <w:rFonts w:hint="default" w:ascii="Times New Roman" w:hAnsi="Times New Roman" w:cs="Times New Roman"/>
          <w:color w:val="auto"/>
          <w:szCs w:val="28"/>
          <w:highlight w:val="none"/>
          <w:lang w:eastAsia="zh-CN"/>
        </w:rPr>
        <w:t>本项目</w:t>
      </w:r>
      <w:r>
        <w:rPr>
          <w:rFonts w:hint="default" w:ascii="Times New Roman" w:hAnsi="Times New Roman" w:cs="Times New Roman"/>
          <w:i w:val="0"/>
          <w:iCs w:val="0"/>
          <w:color w:val="auto"/>
          <w:szCs w:val="28"/>
          <w:highlight w:val="none"/>
        </w:rPr>
        <w:t>采出液中</w:t>
      </w:r>
      <w:r>
        <w:rPr>
          <w:rFonts w:hint="default" w:ascii="Times New Roman" w:hAnsi="Times New Roman" w:cs="Times New Roman"/>
          <w:i w:val="0"/>
          <w:iCs w:val="0"/>
          <w:color w:val="auto"/>
          <w:highlight w:val="none"/>
        </w:rPr>
        <w:t>WF</w:t>
      </w:r>
      <w:r>
        <w:rPr>
          <w:rFonts w:hint="default" w:ascii="Times New Roman" w:hAnsi="Times New Roman" w:cs="Times New Roman"/>
          <w:i w:val="0"/>
          <w:iCs w:val="0"/>
          <w:color w:val="auto"/>
          <w:highlight w:val="none"/>
          <w:vertAlign w:val="subscript"/>
        </w:rPr>
        <w:t>VOCs，i</w:t>
      </w:r>
      <w:r>
        <w:rPr>
          <w:rFonts w:hint="default" w:ascii="Times New Roman" w:hAnsi="Times New Roman" w:cs="Times New Roman"/>
          <w:i w:val="0"/>
          <w:iCs w:val="0"/>
          <w:color w:val="auto"/>
          <w:highlight w:val="none"/>
          <w:lang w:val="zh-CN"/>
        </w:rPr>
        <w:t>和</w:t>
      </w:r>
      <w:r>
        <w:rPr>
          <w:rFonts w:hint="default" w:ascii="Times New Roman" w:hAnsi="Times New Roman" w:cs="Times New Roman"/>
          <w:i w:val="0"/>
          <w:iCs w:val="0"/>
          <w:color w:val="auto"/>
          <w:highlight w:val="none"/>
        </w:rPr>
        <w:t>WF</w:t>
      </w:r>
      <w:r>
        <w:rPr>
          <w:rFonts w:hint="default" w:ascii="Times New Roman" w:hAnsi="Times New Roman" w:cs="Times New Roman"/>
          <w:i w:val="0"/>
          <w:iCs w:val="0"/>
          <w:color w:val="auto"/>
          <w:highlight w:val="none"/>
          <w:vertAlign w:val="subscript"/>
        </w:rPr>
        <w:t>TOC，i</w:t>
      </w:r>
      <w:r>
        <w:rPr>
          <w:rFonts w:hint="default" w:ascii="Times New Roman" w:hAnsi="Times New Roman" w:cs="Times New Roman"/>
          <w:i w:val="0"/>
          <w:iCs w:val="0"/>
          <w:color w:val="auto"/>
          <w:highlight w:val="none"/>
          <w:lang w:val="zh-CN"/>
        </w:rPr>
        <w:t>比值取1</w:t>
      </w:r>
      <w:r>
        <w:rPr>
          <w:rFonts w:hint="eastAsia" w:cs="Times New Roman"/>
          <w:i w:val="0"/>
          <w:iCs w:val="0"/>
          <w:color w:val="auto"/>
          <w:highlight w:val="none"/>
          <w:lang w:val="zh-CN"/>
        </w:rPr>
        <w:t>。</w:t>
      </w:r>
      <w:r>
        <w:rPr>
          <w:rFonts w:hint="default" w:ascii="Times New Roman" w:hAnsi="Times New Roman" w:cs="Times New Roman"/>
          <w:i w:val="0"/>
          <w:iCs w:val="0"/>
          <w:color w:val="auto"/>
          <w:highlight w:val="none"/>
        </w:rPr>
        <w:t>根据设计单位提供的数据，项目单座井场涉及的阀门、法</w:t>
      </w:r>
      <w:r>
        <w:rPr>
          <w:rFonts w:hint="default" w:ascii="Times New Roman" w:hAnsi="Times New Roman" w:cs="Times New Roman"/>
          <w:color w:val="auto"/>
          <w:highlight w:val="none"/>
        </w:rPr>
        <w:t>兰数量如表3.3-1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所示。</w:t>
      </w:r>
    </w:p>
    <w:p w14:paraId="6518609D">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黑体" w:cs="Times New Roman"/>
          <w:b w:val="0"/>
          <w:bCs/>
          <w:color w:val="auto"/>
          <w:kern w:val="2"/>
          <w:sz w:val="21"/>
          <w:szCs w:val="21"/>
          <w:highlight w:val="none"/>
          <w:lang w:val="en-US" w:eastAsia="zh-CN" w:bidi="ar"/>
        </w:rPr>
      </w:pPr>
    </w:p>
    <w:p w14:paraId="48E41E67">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黑体" w:cs="Times New Roman"/>
          <w:b w:val="0"/>
          <w:bCs/>
          <w:color w:val="auto"/>
          <w:kern w:val="2"/>
          <w:sz w:val="21"/>
          <w:szCs w:val="21"/>
          <w:highlight w:val="none"/>
          <w:lang w:val="en-US" w:eastAsia="zh-CN" w:bidi="ar"/>
        </w:rPr>
      </w:pPr>
    </w:p>
    <w:p w14:paraId="152D2A94">
      <w:pPr>
        <w:pStyle w:val="5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黑体" w:cs="Times New Roman"/>
          <w:b w:val="0"/>
          <w:bCs/>
          <w:color w:val="auto"/>
          <w:kern w:val="2"/>
          <w:sz w:val="21"/>
          <w:szCs w:val="21"/>
          <w:highlight w:val="none"/>
          <w:lang w:val="en-US" w:eastAsia="zh-CN" w:bidi="ar"/>
        </w:rPr>
      </w:pPr>
      <w:r>
        <w:rPr>
          <w:rFonts w:hint="default" w:ascii="Times New Roman" w:hAnsi="Times New Roman" w:eastAsia="黑体" w:cs="Times New Roman"/>
          <w:b w:val="0"/>
          <w:bCs/>
          <w:color w:val="auto"/>
          <w:kern w:val="2"/>
          <w:sz w:val="21"/>
          <w:szCs w:val="21"/>
          <w:highlight w:val="none"/>
          <w:lang w:val="en-US" w:eastAsia="zh-CN" w:bidi="ar"/>
        </w:rPr>
        <w:t>表3.4-15本项目井场无组织废气核算一览表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92"/>
        <w:gridCol w:w="883"/>
        <w:gridCol w:w="928"/>
        <w:gridCol w:w="989"/>
        <w:gridCol w:w="1769"/>
        <w:gridCol w:w="1104"/>
        <w:gridCol w:w="1182"/>
        <w:gridCol w:w="1116"/>
      </w:tblGrid>
      <w:tr w14:paraId="23C7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1" w:type="pct"/>
            <w:noWrap w:val="0"/>
            <w:vAlign w:val="center"/>
          </w:tcPr>
          <w:p w14:paraId="0FE72464">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1070" w:type="pct"/>
            <w:gridSpan w:val="2"/>
            <w:noWrap w:val="0"/>
            <w:vAlign w:val="center"/>
          </w:tcPr>
          <w:p w14:paraId="56EDF7A9">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设备名称</w:t>
            </w:r>
          </w:p>
        </w:tc>
        <w:tc>
          <w:tcPr>
            <w:tcW w:w="584" w:type="pct"/>
            <w:noWrap w:val="0"/>
            <w:vAlign w:val="center"/>
          </w:tcPr>
          <w:p w14:paraId="57840873">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密封点数量</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个</w:t>
            </w:r>
            <w:r>
              <w:rPr>
                <w:rFonts w:hint="default" w:ascii="Times New Roman" w:hAnsi="Times New Roman" w:cs="Times New Roman"/>
                <w:b w:val="0"/>
                <w:bCs w:val="0"/>
                <w:color w:val="auto"/>
                <w:sz w:val="21"/>
                <w:szCs w:val="21"/>
                <w:highlight w:val="none"/>
                <w:lang w:eastAsia="zh-CN"/>
              </w:rPr>
              <w:t>）</w:t>
            </w:r>
          </w:p>
        </w:tc>
        <w:tc>
          <w:tcPr>
            <w:tcW w:w="1043" w:type="pct"/>
            <w:noWrap w:val="0"/>
            <w:vAlign w:val="center"/>
          </w:tcPr>
          <w:p w14:paraId="295BB92B">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2"/>
                <w:sz w:val="21"/>
                <w:szCs w:val="21"/>
                <w:highlight w:val="none"/>
                <w:lang w:bidi="ar"/>
              </w:rPr>
              <w:t>排放速率eTOC,i/（kg/h/排放源）</w:t>
            </w:r>
          </w:p>
        </w:tc>
        <w:tc>
          <w:tcPr>
            <w:tcW w:w="652" w:type="pct"/>
            <w:noWrap w:val="0"/>
            <w:vAlign w:val="center"/>
          </w:tcPr>
          <w:p w14:paraId="7A3E8633">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排放速率</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kg/h</w:t>
            </w:r>
            <w:r>
              <w:rPr>
                <w:rFonts w:hint="default" w:ascii="Times New Roman" w:hAnsi="Times New Roman" w:cs="Times New Roman"/>
                <w:b w:val="0"/>
                <w:bCs w:val="0"/>
                <w:color w:val="auto"/>
                <w:sz w:val="21"/>
                <w:szCs w:val="21"/>
                <w:highlight w:val="none"/>
                <w:lang w:eastAsia="zh-CN"/>
              </w:rPr>
              <w:t>）</w:t>
            </w:r>
          </w:p>
        </w:tc>
        <w:tc>
          <w:tcPr>
            <w:tcW w:w="697" w:type="pct"/>
            <w:noWrap w:val="0"/>
            <w:vAlign w:val="center"/>
          </w:tcPr>
          <w:p w14:paraId="16E6135F">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年运行时间</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h</w:t>
            </w:r>
            <w:r>
              <w:rPr>
                <w:rFonts w:hint="default" w:ascii="Times New Roman" w:hAnsi="Times New Roman" w:cs="Times New Roman"/>
                <w:b w:val="0"/>
                <w:bCs w:val="0"/>
                <w:color w:val="auto"/>
                <w:sz w:val="21"/>
                <w:szCs w:val="21"/>
                <w:highlight w:val="none"/>
                <w:lang w:eastAsia="zh-CN"/>
              </w:rPr>
              <w:t>）</w:t>
            </w:r>
          </w:p>
        </w:tc>
        <w:tc>
          <w:tcPr>
            <w:tcW w:w="659" w:type="pct"/>
            <w:noWrap w:val="0"/>
            <w:vAlign w:val="center"/>
          </w:tcPr>
          <w:p w14:paraId="65C71D9E">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年排放量</w:t>
            </w:r>
          </w:p>
          <w:p w14:paraId="217AD4B7">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t</w:t>
            </w:r>
            <w:r>
              <w:rPr>
                <w:rFonts w:hint="default" w:ascii="Times New Roman" w:hAnsi="Times New Roman" w:cs="Times New Roman"/>
                <w:b w:val="0"/>
                <w:bCs w:val="0"/>
                <w:color w:val="auto"/>
                <w:sz w:val="21"/>
                <w:szCs w:val="21"/>
                <w:highlight w:val="none"/>
                <w:lang w:eastAsia="zh-CN"/>
              </w:rPr>
              <w:t>）</w:t>
            </w:r>
          </w:p>
        </w:tc>
      </w:tr>
      <w:tr w14:paraId="3D48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291" w:type="pct"/>
            <w:noWrap w:val="0"/>
            <w:vAlign w:val="center"/>
          </w:tcPr>
          <w:p w14:paraId="5D77BAC6">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22" w:type="pct"/>
            <w:vMerge w:val="restart"/>
            <w:noWrap w:val="0"/>
            <w:vAlign w:val="center"/>
          </w:tcPr>
          <w:p w14:paraId="09DA068F">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w:t>
            </w:r>
          </w:p>
        </w:tc>
        <w:tc>
          <w:tcPr>
            <w:tcW w:w="548" w:type="pct"/>
            <w:noWrap w:val="0"/>
            <w:vAlign w:val="center"/>
          </w:tcPr>
          <w:p w14:paraId="1D28F133">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
              </w:rPr>
              <w:t>阀门</w:t>
            </w:r>
          </w:p>
        </w:tc>
        <w:tc>
          <w:tcPr>
            <w:tcW w:w="584" w:type="pct"/>
            <w:noWrap w:val="0"/>
            <w:vAlign w:val="center"/>
          </w:tcPr>
          <w:p w14:paraId="0D1D72E8">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1043" w:type="pct"/>
            <w:noWrap w:val="0"/>
            <w:vAlign w:val="center"/>
          </w:tcPr>
          <w:p w14:paraId="029EECB0">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064</w:t>
            </w:r>
          </w:p>
        </w:tc>
        <w:tc>
          <w:tcPr>
            <w:tcW w:w="652" w:type="pct"/>
            <w:noWrap w:val="0"/>
            <w:vAlign w:val="center"/>
          </w:tcPr>
          <w:p w14:paraId="56B324A5">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0.0031</w:t>
            </w:r>
          </w:p>
        </w:tc>
        <w:tc>
          <w:tcPr>
            <w:tcW w:w="697" w:type="pct"/>
            <w:noWrap w:val="0"/>
            <w:vAlign w:val="center"/>
          </w:tcPr>
          <w:p w14:paraId="0EB74531">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8000</w:t>
            </w:r>
          </w:p>
        </w:tc>
        <w:tc>
          <w:tcPr>
            <w:tcW w:w="659" w:type="pct"/>
            <w:noWrap w:val="0"/>
            <w:vAlign w:val="center"/>
          </w:tcPr>
          <w:p w14:paraId="699165C2">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25</w:t>
            </w:r>
          </w:p>
        </w:tc>
      </w:tr>
      <w:tr w14:paraId="12EC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1" w:type="pct"/>
            <w:noWrap w:val="0"/>
            <w:vAlign w:val="center"/>
          </w:tcPr>
          <w:p w14:paraId="6BA12D5B">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22" w:type="pct"/>
            <w:vMerge w:val="continue"/>
            <w:noWrap w:val="0"/>
            <w:vAlign w:val="center"/>
          </w:tcPr>
          <w:p w14:paraId="6C4E1F76">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p>
        </w:tc>
        <w:tc>
          <w:tcPr>
            <w:tcW w:w="548" w:type="pct"/>
            <w:noWrap w:val="0"/>
            <w:vAlign w:val="center"/>
          </w:tcPr>
          <w:p w14:paraId="342ED0E1">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法兰</w:t>
            </w:r>
          </w:p>
        </w:tc>
        <w:tc>
          <w:tcPr>
            <w:tcW w:w="584" w:type="pct"/>
            <w:noWrap w:val="0"/>
            <w:vAlign w:val="center"/>
          </w:tcPr>
          <w:p w14:paraId="254E60D7">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w:t>
            </w:r>
          </w:p>
        </w:tc>
        <w:tc>
          <w:tcPr>
            <w:tcW w:w="1043" w:type="pct"/>
            <w:noWrap w:val="0"/>
            <w:vAlign w:val="center"/>
          </w:tcPr>
          <w:p w14:paraId="6CFA5679">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85</w:t>
            </w:r>
          </w:p>
        </w:tc>
        <w:tc>
          <w:tcPr>
            <w:tcW w:w="652" w:type="pct"/>
            <w:noWrap w:val="0"/>
            <w:vAlign w:val="center"/>
          </w:tcPr>
          <w:p w14:paraId="7D82327B">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0.0082</w:t>
            </w:r>
          </w:p>
        </w:tc>
        <w:tc>
          <w:tcPr>
            <w:tcW w:w="697" w:type="pct"/>
            <w:noWrap w:val="0"/>
            <w:vAlign w:val="center"/>
          </w:tcPr>
          <w:p w14:paraId="0DFA401B">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8000</w:t>
            </w:r>
          </w:p>
        </w:tc>
        <w:tc>
          <w:tcPr>
            <w:tcW w:w="659" w:type="pct"/>
            <w:noWrap w:val="0"/>
            <w:vAlign w:val="center"/>
          </w:tcPr>
          <w:p w14:paraId="02730A2D">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066</w:t>
            </w:r>
          </w:p>
        </w:tc>
      </w:tr>
      <w:tr w14:paraId="1C71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90" w:type="pct"/>
            <w:gridSpan w:val="5"/>
            <w:noWrap w:val="0"/>
            <w:vAlign w:val="center"/>
          </w:tcPr>
          <w:p w14:paraId="78EAF2B2">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单座井场</w:t>
            </w:r>
          </w:p>
        </w:tc>
        <w:tc>
          <w:tcPr>
            <w:tcW w:w="652" w:type="pct"/>
            <w:noWrap w:val="0"/>
            <w:vAlign w:val="center"/>
          </w:tcPr>
          <w:p w14:paraId="0143C8B8">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0.0113</w:t>
            </w:r>
          </w:p>
        </w:tc>
        <w:tc>
          <w:tcPr>
            <w:tcW w:w="697" w:type="pct"/>
            <w:noWrap w:val="0"/>
            <w:vAlign w:val="center"/>
          </w:tcPr>
          <w:p w14:paraId="15343596">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59" w:type="pct"/>
            <w:noWrap w:val="0"/>
            <w:vAlign w:val="center"/>
          </w:tcPr>
          <w:p w14:paraId="33291682">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91</w:t>
            </w:r>
          </w:p>
        </w:tc>
      </w:tr>
      <w:tr w14:paraId="1D08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40" w:type="pct"/>
            <w:gridSpan w:val="7"/>
            <w:noWrap w:val="0"/>
            <w:vAlign w:val="center"/>
          </w:tcPr>
          <w:p w14:paraId="771F25AD">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4座井场合计</w:t>
            </w:r>
          </w:p>
        </w:tc>
        <w:tc>
          <w:tcPr>
            <w:tcW w:w="659" w:type="pct"/>
            <w:noWrap w:val="0"/>
            <w:vAlign w:val="center"/>
          </w:tcPr>
          <w:p w14:paraId="3DD49DA1">
            <w:pPr>
              <w:pStyle w:val="145"/>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0.364</w:t>
            </w:r>
          </w:p>
        </w:tc>
      </w:tr>
    </w:tbl>
    <w:p w14:paraId="1A6DF3C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经核算，</w:t>
      </w:r>
      <w:r>
        <w:rPr>
          <w:rFonts w:hint="default" w:ascii="Times New Roman" w:hAnsi="Times New Roman" w:cs="Times New Roman"/>
          <w:color w:val="auto"/>
          <w:szCs w:val="28"/>
          <w:highlight w:val="none"/>
          <w:lang w:eastAsia="zh-CN"/>
        </w:rPr>
        <w:t>本项目</w:t>
      </w:r>
      <w:r>
        <w:rPr>
          <w:rFonts w:hint="default" w:ascii="Times New Roman" w:hAnsi="Times New Roman" w:cs="Times New Roman"/>
          <w:color w:val="auto"/>
          <w:szCs w:val="28"/>
          <w:highlight w:val="none"/>
        </w:rPr>
        <w:t>单座井场新增烃类挥发总量为</w:t>
      </w:r>
      <w:r>
        <w:rPr>
          <w:rFonts w:hint="eastAsia" w:cs="Times New Roman"/>
          <w:color w:val="auto"/>
          <w:szCs w:val="28"/>
          <w:highlight w:val="none"/>
          <w:lang w:val="en-US" w:eastAsia="zh-CN"/>
        </w:rPr>
        <w:t>0.091</w:t>
      </w:r>
      <w:r>
        <w:rPr>
          <w:rFonts w:hint="default" w:ascii="Times New Roman" w:hAnsi="Times New Roman" w:cs="Times New Roman"/>
          <w:color w:val="auto"/>
          <w:szCs w:val="28"/>
          <w:highlight w:val="none"/>
        </w:rPr>
        <w:t>t/a，则</w:t>
      </w:r>
      <w:r>
        <w:rPr>
          <w:rFonts w:hint="default" w:ascii="Times New Roman" w:hAnsi="Times New Roman" w:cs="Times New Roman"/>
          <w:color w:val="auto"/>
          <w:szCs w:val="28"/>
          <w:highlight w:val="none"/>
          <w:lang w:eastAsia="zh-CN"/>
        </w:rPr>
        <w:t>本项目</w:t>
      </w:r>
      <w:r>
        <w:rPr>
          <w:rFonts w:hint="eastAsia" w:cs="Times New Roman"/>
          <w:color w:val="auto"/>
          <w:szCs w:val="28"/>
          <w:highlight w:val="none"/>
          <w:lang w:val="en-US" w:eastAsia="zh-CN"/>
        </w:rPr>
        <w:t>4座井场</w:t>
      </w:r>
      <w:r>
        <w:rPr>
          <w:rFonts w:hint="default" w:ascii="Times New Roman" w:hAnsi="Times New Roman" w:cs="Times New Roman"/>
          <w:color w:val="auto"/>
          <w:szCs w:val="28"/>
          <w:highlight w:val="none"/>
        </w:rPr>
        <w:t>新增</w:t>
      </w:r>
      <w:r>
        <w:rPr>
          <w:rFonts w:hint="default" w:ascii="Times New Roman" w:hAnsi="Times New Roman" w:cs="Times New Roman"/>
          <w:color w:val="auto"/>
          <w:sz w:val="24"/>
          <w:szCs w:val="21"/>
          <w:highlight w:val="none"/>
          <w:lang w:val="en-US" w:eastAsia="zh-CN" w:bidi="en-US"/>
        </w:rPr>
        <w:t>非甲烷总烃</w:t>
      </w:r>
      <w:r>
        <w:rPr>
          <w:rFonts w:hint="default" w:ascii="Times New Roman" w:hAnsi="Times New Roman" w:cs="Times New Roman"/>
          <w:color w:val="auto"/>
          <w:szCs w:val="28"/>
          <w:highlight w:val="none"/>
        </w:rPr>
        <w:t>无组织</w:t>
      </w:r>
      <w:r>
        <w:rPr>
          <w:rFonts w:hint="default" w:ascii="Times New Roman" w:hAnsi="Times New Roman" w:cs="Times New Roman"/>
          <w:color w:val="auto"/>
          <w:szCs w:val="28"/>
          <w:highlight w:val="none"/>
          <w:lang w:val="en-US" w:eastAsia="zh-CN"/>
        </w:rPr>
        <w:t>排放量</w:t>
      </w:r>
      <w:r>
        <w:rPr>
          <w:rFonts w:hint="default" w:ascii="Times New Roman" w:hAnsi="Times New Roman" w:cs="Times New Roman"/>
          <w:color w:val="auto"/>
          <w:szCs w:val="28"/>
          <w:highlight w:val="none"/>
        </w:rPr>
        <w:t>为</w:t>
      </w:r>
      <w:r>
        <w:rPr>
          <w:rFonts w:hint="eastAsia" w:cs="Times New Roman"/>
          <w:color w:val="auto"/>
          <w:szCs w:val="28"/>
          <w:highlight w:val="none"/>
          <w:lang w:val="en-US" w:eastAsia="zh-CN"/>
        </w:rPr>
        <w:t>0.364</w:t>
      </w:r>
      <w:r>
        <w:rPr>
          <w:rFonts w:hint="default" w:ascii="Times New Roman" w:hAnsi="Times New Roman" w:cs="Times New Roman"/>
          <w:color w:val="auto"/>
          <w:szCs w:val="28"/>
          <w:highlight w:val="none"/>
        </w:rPr>
        <w:t>t/a。</w:t>
      </w:r>
    </w:p>
    <w:p w14:paraId="1EF18F16">
      <w:pPr>
        <w:autoSpaceDE w:val="0"/>
        <w:autoSpaceDN w:val="0"/>
        <w:spacing w:line="360" w:lineRule="auto"/>
        <w:ind w:firstLine="482" w:firstLineChars="200"/>
        <w:jc w:val="both"/>
        <w:rPr>
          <w:rFonts w:hint="default" w:ascii="Times New Roman" w:hAnsi="Times New Roman" w:cs="Times New Roman"/>
          <w:b/>
          <w:bCs/>
          <w:color w:val="auto"/>
          <w:szCs w:val="28"/>
          <w:highlight w:val="none"/>
        </w:rPr>
      </w:pPr>
      <w:r>
        <w:rPr>
          <w:rFonts w:hint="eastAsia" w:cs="Times New Roman"/>
          <w:b/>
          <w:bCs/>
          <w:color w:val="auto"/>
          <w:szCs w:val="28"/>
          <w:highlight w:val="none"/>
          <w:lang w:eastAsia="zh-CN"/>
        </w:rPr>
        <w:t>（</w:t>
      </w:r>
      <w:r>
        <w:rPr>
          <w:rFonts w:hint="default" w:ascii="Times New Roman" w:hAnsi="Times New Roman" w:cs="Times New Roman"/>
          <w:b/>
          <w:bCs/>
          <w:color w:val="auto"/>
          <w:szCs w:val="28"/>
          <w:highlight w:val="none"/>
        </w:rPr>
        <w:t>2）硫化氢</w:t>
      </w:r>
    </w:p>
    <w:p w14:paraId="66F0698B">
      <w:pPr>
        <w:pStyle w:val="13"/>
        <w:rPr>
          <w:rFonts w:hint="default"/>
          <w:color w:val="auto"/>
          <w:highlight w:val="none"/>
        </w:rPr>
      </w:pPr>
      <w:r>
        <w:rPr>
          <w:rFonts w:hint="default" w:ascii="Times New Roman" w:hAnsi="Times New Roman" w:eastAsia="宋体" w:cs="Times New Roman"/>
          <w:color w:val="auto"/>
          <w:sz w:val="24"/>
          <w:szCs w:val="24"/>
          <w:highlight w:val="none"/>
        </w:rPr>
        <w:t>根据设计提供油气水物性资料，</w:t>
      </w:r>
      <w:r>
        <w:rPr>
          <w:rFonts w:hint="eastAsia" w:ascii="Times New Roman" w:hAnsi="Times New Roman" w:eastAsia="宋体" w:cs="Times New Roman"/>
          <w:color w:val="auto"/>
          <w:sz w:val="24"/>
          <w:szCs w:val="24"/>
          <w:highlight w:val="none"/>
          <w:lang w:val="en-US" w:eastAsia="zh-CN"/>
        </w:rPr>
        <w:t>8区伴生气</w:t>
      </w:r>
      <w:r>
        <w:rPr>
          <w:rFonts w:hint="default" w:ascii="Times New Roman" w:hAnsi="Times New Roman" w:eastAsia="宋体" w:cs="Times New Roman"/>
          <w:color w:val="auto"/>
          <w:sz w:val="24"/>
          <w:szCs w:val="24"/>
          <w:highlight w:val="none"/>
        </w:rPr>
        <w:t>（C1）含量平均</w:t>
      </w:r>
      <w:r>
        <w:rPr>
          <w:rFonts w:hint="eastAsia" w:ascii="Times New Roman" w:hAnsi="Times New Roman" w:eastAsia="宋体" w:cs="Times New Roman"/>
          <w:color w:val="auto"/>
          <w:sz w:val="24"/>
          <w:szCs w:val="24"/>
          <w:highlight w:val="none"/>
          <w:lang w:val="en-US" w:eastAsia="zh-CN"/>
        </w:rPr>
        <w:t>58.85</w:t>
      </w:r>
      <w:r>
        <w:rPr>
          <w:rFonts w:hint="default" w:ascii="Times New Roman" w:hAnsi="Times New Roman" w:eastAsia="宋体" w:cs="Times New Roman"/>
          <w:color w:val="auto"/>
          <w:sz w:val="24"/>
          <w:szCs w:val="24"/>
          <w:highlight w:val="none"/>
        </w:rPr>
        <w:t>%，非甲烷总烃含量约为</w:t>
      </w:r>
      <w:r>
        <w:rPr>
          <w:rFonts w:hint="eastAsia" w:ascii="Times New Roman" w:hAnsi="Times New Roman" w:eastAsia="宋体" w:cs="Times New Roman"/>
          <w:color w:val="auto"/>
          <w:sz w:val="24"/>
          <w:szCs w:val="24"/>
          <w:highlight w:val="none"/>
          <w:lang w:val="en-US" w:eastAsia="zh-CN"/>
        </w:rPr>
        <w:t>24.2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10区伴生气</w:t>
      </w:r>
      <w:r>
        <w:rPr>
          <w:rFonts w:hint="default" w:ascii="Times New Roman" w:hAnsi="Times New Roman" w:eastAsia="宋体" w:cs="Times New Roman"/>
          <w:color w:val="auto"/>
          <w:sz w:val="24"/>
          <w:szCs w:val="24"/>
          <w:highlight w:val="none"/>
        </w:rPr>
        <w:t>（C1）含量平均</w:t>
      </w:r>
      <w:r>
        <w:rPr>
          <w:rFonts w:hint="eastAsia" w:ascii="Times New Roman" w:hAnsi="Times New Roman" w:eastAsia="宋体" w:cs="Times New Roman"/>
          <w:color w:val="auto"/>
          <w:sz w:val="24"/>
          <w:szCs w:val="24"/>
          <w:highlight w:val="none"/>
          <w:lang w:val="en-US" w:eastAsia="zh-CN"/>
        </w:rPr>
        <w:t>60.85</w:t>
      </w:r>
      <w:r>
        <w:rPr>
          <w:rFonts w:hint="default" w:ascii="Times New Roman" w:hAnsi="Times New Roman" w:eastAsia="宋体" w:cs="Times New Roman"/>
          <w:color w:val="auto"/>
          <w:sz w:val="24"/>
          <w:szCs w:val="24"/>
          <w:highlight w:val="none"/>
        </w:rPr>
        <w:t>%，非甲烷总烃含量约为</w:t>
      </w:r>
      <w:r>
        <w:rPr>
          <w:rFonts w:hint="eastAsia" w:ascii="Times New Roman" w:hAnsi="Times New Roman" w:eastAsia="宋体" w:cs="Times New Roman"/>
          <w:color w:val="auto"/>
          <w:sz w:val="24"/>
          <w:szCs w:val="24"/>
          <w:highlight w:val="none"/>
          <w:lang w:val="en-US" w:eastAsia="zh-CN"/>
        </w:rPr>
        <w:t>16.34</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根据上文计算可知新建单座井场非甲烷总烃排放量为0.0</w:t>
      </w:r>
      <w:r>
        <w:rPr>
          <w:rFonts w:hint="eastAsia"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t/a，则</w:t>
      </w:r>
      <w:r>
        <w:rPr>
          <w:rFonts w:hint="eastAsia" w:ascii="Times New Roman" w:hAnsi="Times New Roman" w:eastAsia="宋体" w:cs="Times New Roman"/>
          <w:color w:val="auto"/>
          <w:sz w:val="24"/>
          <w:szCs w:val="24"/>
          <w:highlight w:val="none"/>
          <w:lang w:val="en-US" w:eastAsia="zh-CN"/>
        </w:rPr>
        <w:t>8区1口井</w:t>
      </w:r>
      <w:r>
        <w:rPr>
          <w:rFonts w:hint="default" w:ascii="Times New Roman" w:hAnsi="Times New Roman" w:eastAsia="宋体" w:cs="Times New Roman"/>
          <w:color w:val="auto"/>
          <w:sz w:val="24"/>
          <w:szCs w:val="24"/>
          <w:highlight w:val="none"/>
        </w:rPr>
        <w:t>无组织的天然气排放量为</w:t>
      </w:r>
      <w:r>
        <w:rPr>
          <w:rFonts w:hint="eastAsia" w:ascii="Times New Roman" w:hAnsi="Times New Roman" w:eastAsia="宋体" w:cs="Times New Roman"/>
          <w:color w:val="auto"/>
          <w:sz w:val="24"/>
          <w:szCs w:val="24"/>
          <w:highlight w:val="none"/>
          <w:lang w:val="en-US" w:eastAsia="zh-CN"/>
        </w:rPr>
        <w:t>0.38</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10区3口井</w:t>
      </w:r>
      <w:r>
        <w:rPr>
          <w:rFonts w:hint="default" w:ascii="Times New Roman" w:hAnsi="Times New Roman" w:eastAsia="宋体" w:cs="Times New Roman"/>
          <w:color w:val="auto"/>
          <w:sz w:val="24"/>
          <w:szCs w:val="24"/>
          <w:highlight w:val="none"/>
        </w:rPr>
        <w:t>无组织的天然气排放量为</w:t>
      </w:r>
      <w:r>
        <w:rPr>
          <w:rFonts w:hint="eastAsia" w:ascii="Times New Roman" w:hAnsi="Times New Roman" w:eastAsia="宋体" w:cs="Times New Roman"/>
          <w:color w:val="auto"/>
          <w:sz w:val="24"/>
          <w:szCs w:val="24"/>
          <w:highlight w:val="none"/>
          <w:lang w:val="en-US" w:eastAsia="zh-CN"/>
        </w:rPr>
        <w:t>1.67</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根据设计资料可知，伴生气</w:t>
      </w:r>
      <w:r>
        <w:rPr>
          <w:rFonts w:hint="eastAsia" w:ascii="Times New Roman" w:hAnsi="Times New Roman" w:eastAsia="宋体" w:cs="Times New Roman"/>
          <w:color w:val="auto"/>
          <w:sz w:val="24"/>
          <w:szCs w:val="24"/>
          <w:highlight w:val="none"/>
          <w:lang w:val="en-US" w:eastAsia="zh-CN"/>
        </w:rPr>
        <w:t>相对密度为0.829，故伴生气</w:t>
      </w:r>
      <w:r>
        <w:rPr>
          <w:rFonts w:hint="default" w:ascii="Times New Roman" w:hAnsi="Times New Roman" w:eastAsia="宋体" w:cs="Times New Roman"/>
          <w:color w:val="auto"/>
          <w:sz w:val="24"/>
          <w:szCs w:val="24"/>
          <w:highlight w:val="none"/>
        </w:rPr>
        <w:t>密度为0.</w:t>
      </w:r>
      <w:r>
        <w:rPr>
          <w:rFonts w:hint="eastAsia" w:ascii="Times New Roman" w:hAnsi="Times New Roman" w:eastAsia="宋体" w:cs="Times New Roman"/>
          <w:color w:val="auto"/>
          <w:sz w:val="24"/>
          <w:szCs w:val="24"/>
          <w:highlight w:val="none"/>
          <w:lang w:val="en-US" w:eastAsia="zh-CN"/>
        </w:rPr>
        <w:t>99</w:t>
      </w:r>
      <w:r>
        <w:rPr>
          <w:rFonts w:hint="default" w:ascii="Times New Roman" w:hAnsi="Times New Roman" w:eastAsia="宋体" w:cs="Times New Roman"/>
          <w:color w:val="auto"/>
          <w:sz w:val="24"/>
          <w:szCs w:val="24"/>
          <w:highlight w:val="none"/>
        </w:rPr>
        <w:t>kg/m³，</w:t>
      </w:r>
      <w:r>
        <w:rPr>
          <w:rFonts w:hint="eastAsia" w:ascii="Times New Roman" w:hAnsi="Times New Roman" w:eastAsia="宋体" w:cs="Times New Roman"/>
          <w:color w:val="auto"/>
          <w:sz w:val="24"/>
          <w:szCs w:val="24"/>
          <w:highlight w:val="none"/>
          <w:lang w:val="en-US" w:eastAsia="zh-CN"/>
        </w:rPr>
        <w:t>8区1</w:t>
      </w:r>
      <w:r>
        <w:rPr>
          <w:rFonts w:hint="default" w:ascii="Times New Roman" w:hAnsi="Times New Roman" w:eastAsia="宋体" w:cs="Times New Roman"/>
          <w:color w:val="auto"/>
          <w:sz w:val="24"/>
          <w:szCs w:val="24"/>
          <w:highlight w:val="none"/>
        </w:rPr>
        <w:t>座井场无组织排放的天然气体积为</w:t>
      </w:r>
      <w:r>
        <w:rPr>
          <w:rFonts w:hint="eastAsia" w:ascii="Times New Roman" w:hAnsi="Times New Roman" w:eastAsia="宋体" w:cs="Times New Roman"/>
          <w:color w:val="auto"/>
          <w:sz w:val="24"/>
          <w:szCs w:val="24"/>
          <w:highlight w:val="none"/>
          <w:lang w:val="en-US" w:eastAsia="zh-CN"/>
        </w:rPr>
        <w:t>383.8</w:t>
      </w:r>
      <w:r>
        <w:rPr>
          <w:rFonts w:hint="default" w:ascii="Times New Roman" w:hAnsi="Times New Roman" w:eastAsia="宋体" w:cs="Times New Roman"/>
          <w:color w:val="auto"/>
          <w:sz w:val="24"/>
          <w:szCs w:val="24"/>
          <w:highlight w:val="none"/>
        </w:rPr>
        <w:t>m³/a，硫化氢含量为</w:t>
      </w:r>
      <w:r>
        <w:rPr>
          <w:rFonts w:hint="eastAsia" w:ascii="Times New Roman" w:hAnsi="Times New Roman" w:eastAsia="宋体" w:cs="Times New Roman"/>
          <w:color w:val="auto"/>
          <w:sz w:val="24"/>
          <w:szCs w:val="24"/>
          <w:highlight w:val="none"/>
          <w:lang w:val="en-US" w:eastAsia="zh-CN"/>
        </w:rPr>
        <w:t>2233.8</w:t>
      </w:r>
      <w:r>
        <w:rPr>
          <w:rFonts w:hint="default" w:ascii="Times New Roman" w:hAnsi="Times New Roman" w:eastAsia="宋体" w:cs="Times New Roman"/>
          <w:color w:val="auto"/>
          <w:sz w:val="24"/>
          <w:szCs w:val="24"/>
          <w:highlight w:val="none"/>
        </w:rPr>
        <w:t>mg/m³，则</w:t>
      </w:r>
      <w:r>
        <w:rPr>
          <w:rFonts w:hint="eastAsia" w:ascii="Times New Roman" w:hAnsi="Times New Roman" w:eastAsia="宋体" w:cs="Times New Roman"/>
          <w:color w:val="auto"/>
          <w:sz w:val="24"/>
          <w:szCs w:val="24"/>
          <w:highlight w:val="none"/>
          <w:lang w:val="en-US" w:eastAsia="zh-CN"/>
        </w:rPr>
        <w:t>8区1</w:t>
      </w:r>
      <w:r>
        <w:rPr>
          <w:rFonts w:hint="default" w:ascii="Times New Roman" w:hAnsi="Times New Roman" w:eastAsia="宋体" w:cs="Times New Roman"/>
          <w:color w:val="auto"/>
          <w:sz w:val="24"/>
          <w:szCs w:val="24"/>
          <w:highlight w:val="none"/>
        </w:rPr>
        <w:t>座井场硫化氢排放量为0.0</w:t>
      </w:r>
      <w:r>
        <w:rPr>
          <w:rFonts w:hint="eastAsia" w:ascii="Times New Roman" w:hAnsi="Times New Roman" w:eastAsia="宋体" w:cs="Times New Roman"/>
          <w:color w:val="auto"/>
          <w:sz w:val="24"/>
          <w:szCs w:val="24"/>
          <w:highlight w:val="none"/>
          <w:lang w:val="en-US" w:eastAsia="zh-CN"/>
        </w:rPr>
        <w:t>0086</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10区3</w:t>
      </w:r>
      <w:r>
        <w:rPr>
          <w:rFonts w:hint="default" w:ascii="Times New Roman" w:hAnsi="Times New Roman" w:eastAsia="宋体" w:cs="Times New Roman"/>
          <w:color w:val="auto"/>
          <w:sz w:val="24"/>
          <w:szCs w:val="24"/>
          <w:highlight w:val="none"/>
        </w:rPr>
        <w:t>座井场无组织排放的天然气体积为</w:t>
      </w:r>
      <w:r>
        <w:rPr>
          <w:rFonts w:hint="eastAsia" w:ascii="Times New Roman" w:hAnsi="Times New Roman" w:eastAsia="宋体" w:cs="Times New Roman"/>
          <w:color w:val="auto"/>
          <w:sz w:val="24"/>
          <w:szCs w:val="24"/>
          <w:highlight w:val="none"/>
          <w:lang w:val="en-US" w:eastAsia="zh-CN"/>
        </w:rPr>
        <w:t>1686.9</w:t>
      </w:r>
      <w:r>
        <w:rPr>
          <w:rFonts w:hint="default" w:ascii="Times New Roman" w:hAnsi="Times New Roman" w:eastAsia="宋体" w:cs="Times New Roman"/>
          <w:color w:val="auto"/>
          <w:sz w:val="24"/>
          <w:szCs w:val="24"/>
          <w:highlight w:val="none"/>
        </w:rPr>
        <w:t>m³/a，硫化氢含量为</w:t>
      </w:r>
      <w:r>
        <w:rPr>
          <w:rFonts w:hint="eastAsia" w:ascii="Times New Roman" w:hAnsi="Times New Roman" w:eastAsia="宋体" w:cs="Times New Roman"/>
          <w:color w:val="auto"/>
          <w:sz w:val="24"/>
          <w:szCs w:val="24"/>
          <w:highlight w:val="none"/>
          <w:lang w:val="en-US" w:eastAsia="zh-CN"/>
        </w:rPr>
        <w:t>5600</w:t>
      </w:r>
      <w:r>
        <w:rPr>
          <w:rFonts w:hint="default" w:ascii="Times New Roman" w:hAnsi="Times New Roman" w:eastAsia="宋体" w:cs="Times New Roman"/>
          <w:color w:val="auto"/>
          <w:sz w:val="24"/>
          <w:szCs w:val="24"/>
          <w:highlight w:val="none"/>
        </w:rPr>
        <w:t>mg/m³，则</w:t>
      </w:r>
      <w:r>
        <w:rPr>
          <w:rFonts w:hint="eastAsia" w:ascii="Times New Roman" w:hAnsi="Times New Roman" w:eastAsia="宋体" w:cs="Times New Roman"/>
          <w:color w:val="auto"/>
          <w:sz w:val="24"/>
          <w:szCs w:val="24"/>
          <w:highlight w:val="none"/>
          <w:lang w:val="en-US" w:eastAsia="zh-CN"/>
        </w:rPr>
        <w:t>10区3</w:t>
      </w:r>
      <w:r>
        <w:rPr>
          <w:rFonts w:hint="default" w:ascii="Times New Roman" w:hAnsi="Times New Roman" w:eastAsia="宋体" w:cs="Times New Roman"/>
          <w:color w:val="auto"/>
          <w:sz w:val="24"/>
          <w:szCs w:val="24"/>
          <w:highlight w:val="none"/>
        </w:rPr>
        <w:t>座井场硫化氢排放量为0.0</w:t>
      </w:r>
      <w:r>
        <w:rPr>
          <w:rFonts w:hint="eastAsia" w:ascii="Times New Roman" w:hAnsi="Times New Roman" w:eastAsia="宋体" w:cs="Times New Roman"/>
          <w:color w:val="auto"/>
          <w:sz w:val="24"/>
          <w:szCs w:val="24"/>
          <w:highlight w:val="none"/>
          <w:lang w:val="en-US" w:eastAsia="zh-CN"/>
        </w:rPr>
        <w:t>094</w:t>
      </w:r>
      <w:r>
        <w:rPr>
          <w:rFonts w:hint="default" w:ascii="Times New Roman" w:hAnsi="Times New Roman" w:eastAsia="宋体" w:cs="Times New Roman"/>
          <w:color w:val="auto"/>
          <w:sz w:val="24"/>
          <w:szCs w:val="24"/>
          <w:highlight w:val="none"/>
        </w:rPr>
        <w:t>t/a。经核算，本</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废气无组织排放中硫化氢排放量约为0.0</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t/a。</w:t>
      </w:r>
    </w:p>
    <w:p w14:paraId="3B19F8E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w:t>
      </w:r>
      <w:r>
        <w:rPr>
          <w:rFonts w:hint="default" w:ascii="Times New Roman" w:hAnsi="Times New Roman" w:eastAsia="宋体" w:cs="Times New Roman"/>
          <w:b/>
          <w:bCs/>
          <w:color w:val="auto"/>
          <w:spacing w:val="0"/>
          <w:highlight w:val="none"/>
          <w:lang w:val="en-US" w:eastAsia="zh-CN"/>
        </w:rPr>
        <w:t>3</w:t>
      </w:r>
      <w:r>
        <w:rPr>
          <w:rFonts w:hint="default" w:ascii="Times New Roman" w:hAnsi="Times New Roman" w:eastAsia="宋体" w:cs="Times New Roman"/>
          <w:b/>
          <w:bCs/>
          <w:color w:val="auto"/>
          <w:spacing w:val="0"/>
          <w:highlight w:val="none"/>
        </w:rPr>
        <w:t>）非正常工况</w:t>
      </w:r>
      <w:r>
        <w:rPr>
          <w:rFonts w:hint="default" w:ascii="Times New Roman" w:hAnsi="Times New Roman" w:eastAsia="宋体" w:cs="Times New Roman"/>
          <w:b/>
          <w:bCs/>
          <w:color w:val="auto"/>
          <w:spacing w:val="0"/>
          <w:highlight w:val="none"/>
          <w:lang w:val="en-US" w:eastAsia="zh-CN"/>
        </w:rPr>
        <w:t>排放</w:t>
      </w:r>
    </w:p>
    <w:p w14:paraId="319F4C2A">
      <w:pPr>
        <w:pStyle w:val="13"/>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油气集输过程中，若井口压力过高，此时利用防喷器迅速封闭井口，打开放喷管线阀门泄压，采出液通过放喷管线直接进入放喷池，事故放喷一般时间较短。本次评价将井口压力异常情况作为非正常排放考虑，本项目放喷非正常工况下污染物源强情况见表3.4-17。</w:t>
      </w:r>
    </w:p>
    <w:p w14:paraId="48599E3B">
      <w:pPr>
        <w:jc w:val="center"/>
        <w:rPr>
          <w:rFonts w:hint="default" w:ascii="Times New Roman" w:hAnsi="Times New Roman" w:eastAsia="黑体" w:cs="Times New Roman"/>
          <w:color w:val="auto"/>
          <w:spacing w:val="0"/>
          <w:sz w:val="21"/>
          <w:szCs w:val="21"/>
          <w:highlight w:val="none"/>
        </w:rPr>
      </w:pPr>
      <w:r>
        <w:rPr>
          <w:rFonts w:hint="default" w:ascii="Times New Roman" w:hAnsi="Times New Roman" w:eastAsia="黑体" w:cs="Times New Roman"/>
          <w:color w:val="auto"/>
          <w:spacing w:val="0"/>
          <w:sz w:val="21"/>
          <w:szCs w:val="21"/>
          <w:highlight w:val="none"/>
        </w:rPr>
        <w:t>表</w:t>
      </w:r>
      <w:r>
        <w:rPr>
          <w:rFonts w:hint="default" w:ascii="Times New Roman" w:hAnsi="Times New Roman" w:eastAsia="黑体" w:cs="Times New Roman"/>
          <w:color w:val="auto"/>
          <w:spacing w:val="0"/>
          <w:sz w:val="21"/>
          <w:szCs w:val="21"/>
          <w:highlight w:val="none"/>
          <w:lang w:val="en-US" w:eastAsia="zh-CN"/>
        </w:rPr>
        <w:t>3.4-17</w:t>
      </w:r>
      <w:r>
        <w:rPr>
          <w:rFonts w:hint="default" w:ascii="Times New Roman" w:hAnsi="Times New Roman" w:eastAsia="黑体" w:cs="Times New Roman"/>
          <w:color w:val="auto"/>
          <w:spacing w:val="0"/>
          <w:sz w:val="21"/>
          <w:szCs w:val="21"/>
          <w:highlight w:val="none"/>
        </w:rPr>
        <w:t>非正常工况下污染物排放一览表</w:t>
      </w:r>
    </w:p>
    <w:tbl>
      <w:tblPr>
        <w:tblStyle w:val="35"/>
        <w:tblW w:w="51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97"/>
        <w:gridCol w:w="1514"/>
        <w:gridCol w:w="1661"/>
        <w:gridCol w:w="1661"/>
        <w:gridCol w:w="1661"/>
        <w:gridCol w:w="1662"/>
      </w:tblGrid>
      <w:tr w14:paraId="5D689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69" w:hRule="atLeast"/>
          <w:jc w:val="center"/>
        </w:trPr>
        <w:tc>
          <w:tcPr>
            <w:tcW w:w="287" w:type="pct"/>
            <w:noWrap w:val="0"/>
            <w:vAlign w:val="center"/>
          </w:tcPr>
          <w:p w14:paraId="607D990B">
            <w:pPr>
              <w:topLinePunct/>
              <w:adjustRightInd w:val="0"/>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序号</w:t>
            </w:r>
          </w:p>
        </w:tc>
        <w:tc>
          <w:tcPr>
            <w:tcW w:w="874" w:type="pct"/>
            <w:noWrap w:val="0"/>
            <w:vAlign w:val="center"/>
          </w:tcPr>
          <w:p w14:paraId="41AEB746">
            <w:pPr>
              <w:topLinePunct/>
              <w:adjustRightInd w:val="0"/>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rPr>
              <w:t>项目</w:t>
            </w:r>
          </w:p>
        </w:tc>
        <w:tc>
          <w:tcPr>
            <w:tcW w:w="959" w:type="pct"/>
            <w:noWrap w:val="0"/>
            <w:vAlign w:val="center"/>
          </w:tcPr>
          <w:p w14:paraId="045FEDC1">
            <w:pPr>
              <w:topLinePunct/>
              <w:adjustRightInd w:val="0"/>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年排放小时数/h</w:t>
            </w:r>
          </w:p>
        </w:tc>
        <w:tc>
          <w:tcPr>
            <w:tcW w:w="959" w:type="pct"/>
            <w:noWrap w:val="0"/>
            <w:vAlign w:val="center"/>
          </w:tcPr>
          <w:p w14:paraId="702E88E9">
            <w:pPr>
              <w:topLinePunct/>
              <w:adjustRightInd w:val="0"/>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排放工况</w:t>
            </w:r>
          </w:p>
        </w:tc>
        <w:tc>
          <w:tcPr>
            <w:tcW w:w="959" w:type="pct"/>
            <w:noWrap w:val="0"/>
            <w:vAlign w:val="center"/>
          </w:tcPr>
          <w:p w14:paraId="661C5839">
            <w:pPr>
              <w:topLinePunct/>
              <w:adjustRightInd w:val="0"/>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评价因子</w:t>
            </w:r>
          </w:p>
        </w:tc>
        <w:tc>
          <w:tcPr>
            <w:tcW w:w="960" w:type="pct"/>
            <w:noWrap w:val="0"/>
            <w:vAlign w:val="center"/>
          </w:tcPr>
          <w:p w14:paraId="11643735">
            <w:pPr>
              <w:topLinePunct/>
              <w:adjustRightInd w:val="0"/>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排放速率/(kg/h)</w:t>
            </w:r>
          </w:p>
        </w:tc>
      </w:tr>
      <w:tr w14:paraId="6C6B4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0" w:hRule="atLeast"/>
          <w:jc w:val="center"/>
        </w:trPr>
        <w:tc>
          <w:tcPr>
            <w:tcW w:w="287" w:type="pct"/>
            <w:vMerge w:val="restart"/>
            <w:noWrap w:val="0"/>
            <w:vAlign w:val="center"/>
          </w:tcPr>
          <w:p w14:paraId="437488AF">
            <w:pPr>
              <w:adjustRightInd w:val="0"/>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p>
        </w:tc>
        <w:tc>
          <w:tcPr>
            <w:tcW w:w="874" w:type="pct"/>
            <w:vMerge w:val="restart"/>
            <w:noWrap w:val="0"/>
            <w:vAlign w:val="center"/>
          </w:tcPr>
          <w:p w14:paraId="4201654D">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放喷池</w:t>
            </w:r>
          </w:p>
        </w:tc>
        <w:tc>
          <w:tcPr>
            <w:tcW w:w="959" w:type="pct"/>
            <w:vMerge w:val="restart"/>
            <w:noWrap w:val="0"/>
            <w:vAlign w:val="center"/>
          </w:tcPr>
          <w:p w14:paraId="0A8AA7F6">
            <w:pPr>
              <w:spacing w:line="0" w:lineRule="atLeast"/>
              <w:jc w:val="center"/>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0.17</w:t>
            </w:r>
          </w:p>
        </w:tc>
        <w:tc>
          <w:tcPr>
            <w:tcW w:w="959" w:type="pct"/>
            <w:vMerge w:val="restart"/>
            <w:noWrap w:val="0"/>
            <w:vAlign w:val="center"/>
          </w:tcPr>
          <w:p w14:paraId="088793CF">
            <w:pPr>
              <w:adjustRightInd w:val="0"/>
              <w:spacing w:line="0" w:lineRule="atLeast"/>
              <w:jc w:val="center"/>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非正常</w:t>
            </w:r>
          </w:p>
        </w:tc>
        <w:tc>
          <w:tcPr>
            <w:tcW w:w="959" w:type="pct"/>
            <w:noWrap w:val="0"/>
            <w:vAlign w:val="center"/>
          </w:tcPr>
          <w:p w14:paraId="30B7B6F4">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H</w:t>
            </w:r>
            <w:r>
              <w:rPr>
                <w:rFonts w:hint="default" w:ascii="Times New Roman" w:hAnsi="Times New Roman" w:eastAsia="宋体" w:cs="Times New Roman"/>
                <w:color w:val="auto"/>
                <w:spacing w:val="0"/>
                <w:sz w:val="21"/>
                <w:szCs w:val="21"/>
                <w:highlight w:val="none"/>
                <w:vertAlign w:val="subscript"/>
              </w:rPr>
              <w:t>2</w:t>
            </w:r>
            <w:r>
              <w:rPr>
                <w:rFonts w:hint="default" w:ascii="Times New Roman" w:hAnsi="Times New Roman" w:eastAsia="宋体" w:cs="Times New Roman"/>
                <w:color w:val="auto"/>
                <w:spacing w:val="0"/>
                <w:sz w:val="21"/>
                <w:szCs w:val="21"/>
                <w:highlight w:val="none"/>
              </w:rPr>
              <w:t>S</w:t>
            </w:r>
          </w:p>
        </w:tc>
        <w:tc>
          <w:tcPr>
            <w:tcW w:w="960" w:type="pct"/>
            <w:noWrap w:val="0"/>
            <w:vAlign w:val="center"/>
          </w:tcPr>
          <w:p w14:paraId="5B1D771D">
            <w:pPr>
              <w:adjustRightInd w:val="0"/>
              <w:spacing w:line="0" w:lineRule="atLeast"/>
              <w:jc w:val="center"/>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0.001</w:t>
            </w:r>
          </w:p>
        </w:tc>
      </w:tr>
      <w:tr w14:paraId="5CA98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87" w:type="pct"/>
            <w:vMerge w:val="continue"/>
            <w:noWrap w:val="0"/>
            <w:vAlign w:val="center"/>
          </w:tcPr>
          <w:p w14:paraId="3AAC0E8F">
            <w:pPr>
              <w:spacing w:line="0" w:lineRule="atLeast"/>
              <w:jc w:val="left"/>
              <w:rPr>
                <w:rFonts w:hint="default" w:ascii="Times New Roman" w:hAnsi="Times New Roman" w:eastAsia="宋体" w:cs="Times New Roman"/>
                <w:snapToGrid w:val="0"/>
                <w:color w:val="auto"/>
                <w:spacing w:val="0"/>
                <w:sz w:val="21"/>
                <w:szCs w:val="21"/>
                <w:highlight w:val="none"/>
              </w:rPr>
            </w:pPr>
          </w:p>
        </w:tc>
        <w:tc>
          <w:tcPr>
            <w:tcW w:w="874" w:type="pct"/>
            <w:vMerge w:val="continue"/>
            <w:noWrap w:val="0"/>
            <w:vAlign w:val="center"/>
          </w:tcPr>
          <w:p w14:paraId="4D06BE45">
            <w:pPr>
              <w:spacing w:line="0" w:lineRule="atLeast"/>
              <w:jc w:val="left"/>
              <w:rPr>
                <w:rFonts w:hint="default" w:ascii="Times New Roman" w:hAnsi="Times New Roman" w:eastAsia="宋体" w:cs="Times New Roman"/>
                <w:snapToGrid w:val="0"/>
                <w:color w:val="auto"/>
                <w:spacing w:val="0"/>
                <w:sz w:val="21"/>
                <w:szCs w:val="21"/>
                <w:highlight w:val="none"/>
              </w:rPr>
            </w:pPr>
          </w:p>
        </w:tc>
        <w:tc>
          <w:tcPr>
            <w:tcW w:w="959" w:type="pct"/>
            <w:vMerge w:val="continue"/>
            <w:noWrap w:val="0"/>
            <w:vAlign w:val="center"/>
          </w:tcPr>
          <w:p w14:paraId="371AE040">
            <w:pPr>
              <w:spacing w:line="0" w:lineRule="atLeast"/>
              <w:jc w:val="left"/>
              <w:rPr>
                <w:rFonts w:hint="default" w:ascii="Times New Roman" w:hAnsi="Times New Roman" w:eastAsia="宋体" w:cs="Times New Roman"/>
                <w:snapToGrid w:val="0"/>
                <w:color w:val="auto"/>
                <w:spacing w:val="0"/>
                <w:sz w:val="21"/>
                <w:szCs w:val="21"/>
                <w:highlight w:val="none"/>
              </w:rPr>
            </w:pPr>
          </w:p>
        </w:tc>
        <w:tc>
          <w:tcPr>
            <w:tcW w:w="959" w:type="pct"/>
            <w:vMerge w:val="continue"/>
            <w:noWrap w:val="0"/>
            <w:vAlign w:val="center"/>
          </w:tcPr>
          <w:p w14:paraId="4B656D28">
            <w:pPr>
              <w:spacing w:line="0" w:lineRule="atLeast"/>
              <w:jc w:val="left"/>
              <w:rPr>
                <w:rFonts w:hint="default" w:ascii="Times New Roman" w:hAnsi="Times New Roman" w:eastAsia="宋体" w:cs="Times New Roman"/>
                <w:snapToGrid w:val="0"/>
                <w:color w:val="auto"/>
                <w:spacing w:val="0"/>
                <w:sz w:val="21"/>
                <w:szCs w:val="21"/>
                <w:highlight w:val="none"/>
              </w:rPr>
            </w:pPr>
          </w:p>
        </w:tc>
        <w:tc>
          <w:tcPr>
            <w:tcW w:w="959" w:type="pct"/>
            <w:noWrap w:val="0"/>
            <w:vAlign w:val="center"/>
          </w:tcPr>
          <w:p w14:paraId="17E3F59D">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非甲烷总烃</w:t>
            </w:r>
          </w:p>
        </w:tc>
        <w:tc>
          <w:tcPr>
            <w:tcW w:w="960" w:type="pct"/>
            <w:noWrap w:val="0"/>
            <w:vAlign w:val="center"/>
          </w:tcPr>
          <w:p w14:paraId="5A645AEA">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0.1</w:t>
            </w:r>
          </w:p>
        </w:tc>
      </w:tr>
    </w:tbl>
    <w:p w14:paraId="3339B1A4">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"3.2.4.3"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固体废物污染源</w:t>
      </w:r>
    </w:p>
    <w:p w14:paraId="7C848AFF">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w:t>
      </w:r>
      <w:r>
        <w:rPr>
          <w:rFonts w:hint="eastAsia" w:cs="Times New Roman"/>
          <w:color w:val="auto"/>
          <w:kern w:val="0"/>
          <w:sz w:val="24"/>
          <w:highlight w:val="none"/>
          <w:lang w:val="en-US" w:eastAsia="zh-CN"/>
        </w:rPr>
        <w:t>项目</w:t>
      </w:r>
      <w:r>
        <w:rPr>
          <w:rFonts w:hint="default" w:ascii="Times New Roman" w:hAnsi="Times New Roman" w:cs="Times New Roman"/>
          <w:color w:val="auto"/>
          <w:kern w:val="0"/>
          <w:sz w:val="24"/>
          <w:highlight w:val="none"/>
        </w:rPr>
        <w:t>运营期产生的固体废物主要为</w:t>
      </w:r>
      <w:r>
        <w:rPr>
          <w:rFonts w:hint="eastAsia" w:ascii="Times New Roman" w:hAnsi="Times New Roman" w:cs="Times New Roman"/>
          <w:color w:val="auto"/>
          <w:kern w:val="0"/>
          <w:sz w:val="24"/>
          <w:highlight w:val="none"/>
          <w:lang w:val="en-US" w:eastAsia="zh-CN"/>
        </w:rPr>
        <w:t>落地油、清管废渣、</w:t>
      </w:r>
      <w:r>
        <w:rPr>
          <w:rFonts w:hint="default" w:ascii="Times New Roman" w:hAnsi="Times New Roman" w:cs="Times New Roman"/>
          <w:color w:val="auto"/>
          <w:kern w:val="0"/>
          <w:sz w:val="24"/>
          <w:highlight w:val="none"/>
        </w:rPr>
        <w:t>废润滑油</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废防渗膜</w:t>
      </w:r>
      <w:r>
        <w:rPr>
          <w:rFonts w:hint="default" w:ascii="Times New Roman" w:hAnsi="Times New Roman" w:cs="Times New Roman"/>
          <w:color w:val="auto"/>
          <w:kern w:val="0"/>
          <w:sz w:val="24"/>
          <w:highlight w:val="none"/>
        </w:rPr>
        <w:t>等。</w:t>
      </w:r>
    </w:p>
    <w:p w14:paraId="02B094F1">
      <w:pPr>
        <w:pStyle w:val="57"/>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落地原油</w:t>
      </w:r>
    </w:p>
    <w:p w14:paraId="74215350">
      <w:pPr>
        <w:spacing w:line="360" w:lineRule="auto"/>
        <w:ind w:firstLine="480" w:firstLineChars="200"/>
        <w:jc w:val="both"/>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落地油主要为阀门、法兰等设施油品渗漏及井下作业油品溅溢产生的落地油</w:t>
      </w:r>
      <w:r>
        <w:rPr>
          <w:rFonts w:hint="eastAsia" w:ascii="Times New Roman" w:hAnsi="Times New Roman" w:eastAsia="宋体" w:cs="Times New Roman"/>
          <w:color w:val="auto"/>
          <w:highlight w:val="none"/>
          <w:lang w:eastAsia="zh-CN"/>
        </w:rPr>
        <w:t>，</w:t>
      </w:r>
      <w:r>
        <w:rPr>
          <w:rFonts w:hint="default" w:ascii="Times New Roman" w:hAnsi="Times New Roman" w:cs="Times New Roman"/>
          <w:snapToGrid w:val="0"/>
          <w:color w:val="auto"/>
          <w:spacing w:val="4"/>
          <w:szCs w:val="22"/>
          <w:highlight w:val="none"/>
        </w:rPr>
        <w:t>属于《国家危险废物名录》（2021本）HW08类危险废物（废物代码：071-001-08）。</w:t>
      </w:r>
    </w:p>
    <w:p w14:paraId="17CFFB1C">
      <w:pPr>
        <w:spacing w:line="360" w:lineRule="auto"/>
        <w:ind w:firstLine="496" w:firstLineChars="200"/>
        <w:jc w:val="both"/>
        <w:rPr>
          <w:rFonts w:hint="default" w:ascii="Times New Roman" w:hAnsi="Times New Roman" w:cs="Times New Roman"/>
          <w:snapToGrid w:val="0"/>
          <w:color w:val="auto"/>
          <w:spacing w:val="4"/>
          <w:szCs w:val="22"/>
          <w:highlight w:val="none"/>
        </w:rPr>
      </w:pPr>
      <w:r>
        <w:rPr>
          <w:rFonts w:hint="default" w:ascii="Times New Roman" w:hAnsi="Times New Roman" w:cs="Times New Roman"/>
          <w:snapToGrid w:val="0"/>
          <w:color w:val="auto"/>
          <w:spacing w:val="4"/>
          <w:szCs w:val="22"/>
          <w:highlight w:val="none"/>
          <w:lang w:eastAsia="zh-CN"/>
        </w:rPr>
        <w:t>本项目</w:t>
      </w:r>
      <w:r>
        <w:rPr>
          <w:rFonts w:hint="default" w:ascii="Times New Roman" w:hAnsi="Times New Roman" w:cs="Times New Roman"/>
          <w:snapToGrid w:val="0"/>
          <w:color w:val="auto"/>
          <w:spacing w:val="4"/>
          <w:szCs w:val="22"/>
          <w:highlight w:val="none"/>
        </w:rPr>
        <w:t>井下作业时带罐作业，防止产生落地油，井口排出物全部进罐，做到原油100%回收，</w:t>
      </w:r>
      <w:r>
        <w:rPr>
          <w:rFonts w:hint="default" w:ascii="Times New Roman" w:hAnsi="Times New Roman" w:cs="Times New Roman"/>
          <w:color w:val="auto"/>
          <w:highlight w:val="none"/>
        </w:rPr>
        <w:t>类比区块内油井作业污泥产生量，约</w:t>
      </w:r>
      <w:r>
        <w:rPr>
          <w:rFonts w:hint="eastAsia" w:cs="Times New Roman"/>
          <w:color w:val="auto"/>
          <w:highlight w:val="none"/>
          <w:lang w:val="en-US" w:eastAsia="zh-CN"/>
        </w:rPr>
        <w:t>0.1t</w:t>
      </w:r>
      <w:r>
        <w:rPr>
          <w:rFonts w:hint="default" w:ascii="Times New Roman" w:hAnsi="Times New Roman" w:cs="Times New Roman"/>
          <w:color w:val="auto"/>
          <w:highlight w:val="none"/>
        </w:rPr>
        <w:t>/井·次，作业频次一般2年。落地油回收率为100%，</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共</w:t>
      </w:r>
      <w:r>
        <w:rPr>
          <w:rFonts w:hint="eastAsia" w:cs="Times New Roman"/>
          <w:color w:val="auto"/>
          <w:highlight w:val="none"/>
          <w:lang w:val="en-US" w:eastAsia="zh-CN"/>
        </w:rPr>
        <w:t>4</w:t>
      </w:r>
      <w:r>
        <w:rPr>
          <w:rFonts w:hint="default" w:ascii="Times New Roman" w:hAnsi="Times New Roman" w:cs="Times New Roman"/>
          <w:color w:val="auto"/>
          <w:highlight w:val="none"/>
        </w:rPr>
        <w:t>口井，产生落地油量为</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2</w:t>
      </w:r>
      <w:r>
        <w:rPr>
          <w:rFonts w:hint="default" w:ascii="Times New Roman" w:hAnsi="Times New Roman" w:cs="Times New Roman"/>
          <w:color w:val="auto"/>
          <w:highlight w:val="none"/>
        </w:rPr>
        <w:t>t/a</w:t>
      </w:r>
      <w:r>
        <w:rPr>
          <w:rFonts w:hint="default" w:ascii="Times New Roman" w:hAnsi="Times New Roman" w:cs="Times New Roman"/>
          <w:snapToGrid w:val="0"/>
          <w:color w:val="auto"/>
          <w:spacing w:val="4"/>
          <w:szCs w:val="22"/>
          <w:highlight w:val="none"/>
        </w:rPr>
        <w:t>。</w:t>
      </w:r>
      <w:r>
        <w:rPr>
          <w:rFonts w:hint="default" w:ascii="Times New Roman" w:hAnsi="Times New Roman" w:cs="Times New Roman"/>
          <w:color w:val="auto"/>
          <w:highlight w:val="none"/>
        </w:rPr>
        <w:t>落地油不在施工井场储存，在作业施工现场回收至密闭的专用罐车，</w:t>
      </w:r>
      <w:r>
        <w:rPr>
          <w:rFonts w:hint="default" w:ascii="Times New Roman" w:hAnsi="Times New Roman" w:cs="Times New Roman"/>
          <w:snapToGrid w:val="0"/>
          <w:color w:val="auto"/>
          <w:spacing w:val="4"/>
          <w:szCs w:val="22"/>
          <w:highlight w:val="none"/>
        </w:rPr>
        <w:t>统一由塔河油田绿色环保站进行无害化处理。</w:t>
      </w:r>
    </w:p>
    <w:p w14:paraId="7AF41A09">
      <w:pPr>
        <w:pStyle w:val="57"/>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清管废渣</w:t>
      </w:r>
    </w:p>
    <w:p w14:paraId="33354598">
      <w:pPr>
        <w:pStyle w:val="57"/>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cs="Times New Roman"/>
          <w:color w:val="auto"/>
          <w:highlight w:val="none"/>
          <w:lang w:val="en-US" w:eastAsia="zh-CN"/>
        </w:rPr>
      </w:pPr>
      <w:bookmarkStart w:id="252" w:name="_Hlk72018789"/>
      <w:r>
        <w:rPr>
          <w:rFonts w:hint="default" w:ascii="Times New Roman" w:hAnsi="Times New Roman" w:cs="Times New Roman"/>
          <w:color w:val="auto"/>
          <w:szCs w:val="24"/>
          <w:highlight w:val="none"/>
        </w:rPr>
        <w:t>集输管线每2-4年清管1次，根据类比调查，一般每公里管线产生的清管废渣量平均约为1.15kg，</w:t>
      </w: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rPr>
        <w:t>新建</w:t>
      </w:r>
      <w:r>
        <w:rPr>
          <w:rFonts w:hint="eastAsia" w:cs="Times New Roman"/>
          <w:color w:val="auto"/>
          <w:szCs w:val="24"/>
          <w:highlight w:val="none"/>
          <w:lang w:val="en-US" w:eastAsia="zh-CN"/>
        </w:rPr>
        <w:t>各类</w:t>
      </w:r>
      <w:r>
        <w:rPr>
          <w:rFonts w:hint="default" w:ascii="Times New Roman" w:hAnsi="Times New Roman" w:cs="Times New Roman"/>
          <w:color w:val="auto"/>
          <w:szCs w:val="24"/>
          <w:highlight w:val="none"/>
        </w:rPr>
        <w:t>管线总长度为</w:t>
      </w:r>
      <w:r>
        <w:rPr>
          <w:rFonts w:hint="eastAsia" w:cs="Times New Roman"/>
          <w:color w:val="auto"/>
          <w:szCs w:val="24"/>
          <w:highlight w:val="none"/>
          <w:lang w:val="en-US" w:eastAsia="zh-CN"/>
        </w:rPr>
        <w:t>1.8</w:t>
      </w:r>
      <w:r>
        <w:rPr>
          <w:rFonts w:hint="default" w:ascii="Times New Roman" w:hAnsi="Times New Roman" w:cs="Times New Roman"/>
          <w:color w:val="auto"/>
          <w:szCs w:val="24"/>
          <w:highlight w:val="none"/>
        </w:rPr>
        <w:t>km，废渣量约</w:t>
      </w:r>
      <w:r>
        <w:rPr>
          <w:rFonts w:hint="eastAsia" w:cs="Times New Roman"/>
          <w:color w:val="auto"/>
          <w:szCs w:val="24"/>
          <w:highlight w:val="none"/>
          <w:lang w:val="en-US" w:eastAsia="zh-CN"/>
        </w:rPr>
        <w:t>2.1</w:t>
      </w:r>
      <w:r>
        <w:rPr>
          <w:rFonts w:hint="default" w:ascii="Times New Roman" w:hAnsi="Times New Roman" w:cs="Times New Roman"/>
          <w:color w:val="auto"/>
          <w:szCs w:val="24"/>
          <w:highlight w:val="none"/>
        </w:rPr>
        <w:t>kg/次（</w:t>
      </w:r>
      <w:r>
        <w:rPr>
          <w:rFonts w:hint="default" w:ascii="Times New Roman" w:hAnsi="Times New Roman" w:cs="Times New Roman"/>
          <w:color w:val="auto"/>
          <w:szCs w:val="24"/>
          <w:highlight w:val="none"/>
          <w:lang w:val="en-US" w:eastAsia="zh-CN"/>
        </w:rPr>
        <w:t>0.00</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t/a）。清管废渣中含有少量管道中的油，其危险废物类别为</w:t>
      </w:r>
      <w:r>
        <w:rPr>
          <w:rFonts w:hint="default" w:ascii="Times New Roman" w:hAnsi="Times New Roman" w:cs="Times New Roman"/>
          <w:color w:val="auto"/>
          <w:spacing w:val="4"/>
          <w:szCs w:val="22"/>
          <w:highlight w:val="none"/>
        </w:rPr>
        <w:t>属于《国家危险废物名录》（2021本）HW08类危险废物（废物代码：</w:t>
      </w:r>
      <w:r>
        <w:rPr>
          <w:rFonts w:hint="eastAsia" w:cs="Times New Roman"/>
          <w:color w:val="auto"/>
          <w:spacing w:val="4"/>
          <w:szCs w:val="22"/>
          <w:highlight w:val="none"/>
          <w:lang w:val="en-US" w:eastAsia="zh-CN"/>
        </w:rPr>
        <w:t>251-008-08</w:t>
      </w:r>
      <w:r>
        <w:rPr>
          <w:rFonts w:hint="default" w:ascii="Times New Roman" w:hAnsi="Times New Roman" w:cs="Times New Roman"/>
          <w:color w:val="auto"/>
          <w:spacing w:val="4"/>
          <w:szCs w:val="22"/>
          <w:highlight w:val="none"/>
        </w:rPr>
        <w:t>），间歇产生</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由塔河油田绿色环保站</w:t>
      </w:r>
      <w:r>
        <w:rPr>
          <w:rFonts w:hint="default" w:ascii="Times New Roman" w:hAnsi="Times New Roman" w:cs="Times New Roman"/>
          <w:color w:val="auto"/>
          <w:szCs w:val="24"/>
          <w:highlight w:val="none"/>
        </w:rPr>
        <w:t>进行处理。</w:t>
      </w:r>
      <w:bookmarkEnd w:id="252"/>
    </w:p>
    <w:p w14:paraId="473D4B7D">
      <w:pPr>
        <w:pStyle w:val="57"/>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废防渗材料</w:t>
      </w:r>
    </w:p>
    <w:p w14:paraId="1BC482B6">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项目运营期油井作业时，作业场地下方铺设防渗布，产生的落地油直接落在防渗布上，目前油田使用的防渗布均可重复利用，平均重复利用1-2年。单块防渗布重约250kg（12m×12m），每口井作业用2块，则</w:t>
      </w:r>
      <w:r>
        <w:rPr>
          <w:rFonts w:hint="default" w:ascii="Times New Roman" w:hAnsi="Times New Roman" w:cs="Times New Roman"/>
          <w:color w:val="auto"/>
          <w:highlight w:val="none"/>
          <w:lang w:eastAsia="zh-CN"/>
        </w:rPr>
        <w:t>本项目</w:t>
      </w:r>
      <w:r>
        <w:rPr>
          <w:rFonts w:hint="eastAsia" w:cs="Times New Roman"/>
          <w:color w:val="auto"/>
          <w:highlight w:val="none"/>
          <w:lang w:val="en-US" w:eastAsia="zh-CN"/>
        </w:rPr>
        <w:t>4</w:t>
      </w:r>
      <w:r>
        <w:rPr>
          <w:rFonts w:hint="default" w:ascii="Times New Roman" w:hAnsi="Times New Roman" w:cs="Times New Roman"/>
          <w:color w:val="auto"/>
          <w:highlight w:val="none"/>
        </w:rPr>
        <w:t>口井产生废弃防渗布最大量约</w:t>
      </w:r>
      <w:r>
        <w:rPr>
          <w:rFonts w:hint="eastAsia" w:cs="Times New Roman"/>
          <w:color w:val="auto"/>
          <w:highlight w:val="none"/>
          <w:lang w:val="en-US" w:eastAsia="zh-CN"/>
        </w:rPr>
        <w:t>2.0</w:t>
      </w:r>
      <w:r>
        <w:rPr>
          <w:rFonts w:hint="default" w:ascii="Times New Roman" w:hAnsi="Times New Roman" w:cs="Times New Roman"/>
          <w:color w:val="auto"/>
          <w:highlight w:val="none"/>
        </w:rPr>
        <w:t>t/a。</w:t>
      </w:r>
    </w:p>
    <w:p w14:paraId="1A86981B">
      <w:pPr>
        <w:pStyle w:val="12"/>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作业过程中产生的含油废弃防渗布属于危险废物，危废代码为HW08中900-249-08</w:t>
      </w:r>
      <w:r>
        <w:rPr>
          <w:rFonts w:hint="default" w:ascii="Times New Roman" w:hAnsi="Times New Roman" w:cs="Times New Roman"/>
          <w:color w:val="auto"/>
          <w:szCs w:val="24"/>
          <w:highlight w:val="none"/>
        </w:rPr>
        <w:t>其他生产、销售、使用过程中产生的废矿物油及沾染矿物油的废弃包装物</w:t>
      </w:r>
      <w:r>
        <w:rPr>
          <w:rFonts w:hint="default" w:ascii="Times New Roman" w:hAnsi="Times New Roman" w:cs="Times New Roman"/>
          <w:color w:val="auto"/>
          <w:highlight w:val="none"/>
        </w:rPr>
        <w:t>。作业施工结束后，由施工单位将废弃的含油防渗布集中收集，不在井场贮存，委托持有危险废物经营许可证的单位接收处置，拉运过程中资质单位应使用专车、按照指定的拉运路线。</w:t>
      </w:r>
    </w:p>
    <w:p w14:paraId="1C156059">
      <w:pPr>
        <w:shd w:val="clear" w:color="auto" w:fill="auto"/>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（4）废润滑油</w:t>
      </w:r>
    </w:p>
    <w:p w14:paraId="3BC66D35">
      <w:pPr>
        <w:shd w:val="clear" w:color="auto" w:fill="auto"/>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本工程废润滑油主要是井下作业和采油过程中机械设备维修中产生的，每口井每次产生废润滑油约0.05t，本工程共部署</w:t>
      </w:r>
      <w:r>
        <w:rPr>
          <w:rFonts w:hint="eastAsia" w:ascii="Times New Roman" w:hAnsi="Times New Roman" w:eastAsia="宋体"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lang w:val="en-US" w:eastAsia="zh-CN"/>
        </w:rPr>
        <w:t>口井，废润滑油产生</w:t>
      </w:r>
      <w:r>
        <w:rPr>
          <w:rFonts w:hint="eastAsia" w:ascii="Times New Roman" w:hAnsi="Times New Roman" w:eastAsia="宋体" w:cs="Times New Roman"/>
          <w:color w:val="auto"/>
          <w:kern w:val="0"/>
          <w:sz w:val="24"/>
          <w:highlight w:val="none"/>
          <w:lang w:val="en-US" w:eastAsia="zh-CN"/>
        </w:rPr>
        <w:t>量</w:t>
      </w:r>
      <w:r>
        <w:rPr>
          <w:rFonts w:hint="default" w:ascii="Times New Roman" w:hAnsi="Times New Roman" w:eastAsia="宋体" w:cs="Times New Roman"/>
          <w:color w:val="auto"/>
          <w:kern w:val="0"/>
          <w:sz w:val="24"/>
          <w:highlight w:val="none"/>
          <w:lang w:val="en-US" w:eastAsia="zh-CN"/>
        </w:rPr>
        <w:t>约</w:t>
      </w:r>
      <w:r>
        <w:rPr>
          <w:rFonts w:hint="eastAsia" w:ascii="Times New Roman" w:hAnsi="Times New Roman" w:eastAsia="宋体" w:cs="Times New Roman"/>
          <w:color w:val="auto"/>
          <w:kern w:val="0"/>
          <w:sz w:val="24"/>
          <w:highlight w:val="none"/>
          <w:lang w:val="en-US" w:eastAsia="zh-CN"/>
        </w:rPr>
        <w:t>0.2</w:t>
      </w:r>
      <w:r>
        <w:rPr>
          <w:rFonts w:hint="default" w:ascii="Times New Roman" w:hAnsi="Times New Roman" w:eastAsia="宋体" w:cs="Times New Roman"/>
          <w:color w:val="auto"/>
          <w:kern w:val="0"/>
          <w:sz w:val="24"/>
          <w:highlight w:val="none"/>
          <w:lang w:val="en-US" w:eastAsia="zh-CN"/>
        </w:rPr>
        <w:t>t</w:t>
      </w:r>
      <w:r>
        <w:rPr>
          <w:rFonts w:hint="eastAsia" w:ascii="Times New Roman" w:hAnsi="Times New Roman" w:eastAsia="宋体" w:cs="Times New Roman"/>
          <w:color w:val="auto"/>
          <w:kern w:val="0"/>
          <w:sz w:val="24"/>
          <w:highlight w:val="none"/>
          <w:lang w:val="en-US" w:eastAsia="zh-CN"/>
        </w:rPr>
        <w:t>/次</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属于</w:t>
      </w:r>
      <w:r>
        <w:rPr>
          <w:rFonts w:hint="default" w:ascii="Times New Roman" w:hAnsi="Times New Roman" w:eastAsia="宋体" w:cs="Times New Roman"/>
          <w:color w:val="auto"/>
          <w:kern w:val="0"/>
          <w:sz w:val="24"/>
          <w:highlight w:val="none"/>
          <w:lang w:val="en-US" w:eastAsia="zh-CN"/>
        </w:rPr>
        <w:t>危险废物HW08</w:t>
      </w:r>
      <w:r>
        <w:rPr>
          <w:rFonts w:hint="eastAsia" w:ascii="Times New Roman" w:hAnsi="Times New Roman" w:eastAsia="宋体" w:cs="Times New Roman"/>
          <w:color w:val="auto"/>
          <w:kern w:val="0"/>
          <w:sz w:val="24"/>
          <w:highlight w:val="none"/>
          <w:lang w:val="en-US" w:eastAsia="zh-CN"/>
        </w:rPr>
        <w:t>（废物代码：</w:t>
      </w:r>
      <w:r>
        <w:rPr>
          <w:rFonts w:hint="default" w:ascii="Times New Roman" w:hAnsi="Times New Roman" w:cs="Times New Roman"/>
          <w:color w:val="auto"/>
          <w:sz w:val="24"/>
          <w:szCs w:val="24"/>
          <w:highlight w:val="none"/>
        </w:rPr>
        <w:t>900-214-08</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0"/>
          <w:sz w:val="24"/>
          <w:highlight w:val="none"/>
          <w:lang w:val="en-US" w:eastAsia="zh-CN"/>
        </w:rPr>
        <w:t>，交由有危废处置资质单位进行处置。</w:t>
      </w:r>
    </w:p>
    <w:p w14:paraId="7D5080C1">
      <w:pPr>
        <w:pStyle w:val="5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根据</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危险废物环境管理指南陆上石油天然气开采</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本项目</w:t>
      </w:r>
      <w:r>
        <w:rPr>
          <w:rFonts w:hint="default" w:ascii="Times New Roman" w:hAnsi="Times New Roman" w:cs="Times New Roman"/>
          <w:bCs/>
          <w:color w:val="auto"/>
          <w:sz w:val="24"/>
          <w:szCs w:val="24"/>
          <w:highlight w:val="none"/>
        </w:rPr>
        <w:t>运营期危险废物产排污统计表详见表3.</w:t>
      </w:r>
      <w:r>
        <w:rPr>
          <w:rFonts w:hint="default" w:ascii="Times New Roman" w:hAnsi="Times New Roman" w:cs="Times New Roman"/>
          <w:bCs/>
          <w:color w:val="auto"/>
          <w:sz w:val="24"/>
          <w:szCs w:val="24"/>
          <w:highlight w:val="none"/>
          <w:lang w:val="en-US" w:eastAsia="zh-CN"/>
        </w:rPr>
        <w:t>4</w:t>
      </w:r>
      <w:r>
        <w:rPr>
          <w:rFonts w:hint="default" w:ascii="Times New Roman" w:hAnsi="Times New Roman" w:cs="Times New Roman"/>
          <w:bCs/>
          <w:color w:val="auto"/>
          <w:sz w:val="24"/>
          <w:szCs w:val="24"/>
          <w:highlight w:val="none"/>
        </w:rPr>
        <w:t>-1</w:t>
      </w:r>
      <w:r>
        <w:rPr>
          <w:rFonts w:hint="default" w:ascii="Times New Roman" w:hAnsi="Times New Roman" w:cs="Times New Roman"/>
          <w:bCs/>
          <w:color w:val="auto"/>
          <w:sz w:val="24"/>
          <w:szCs w:val="24"/>
          <w:highlight w:val="none"/>
          <w:lang w:val="en-US" w:eastAsia="zh-CN"/>
        </w:rPr>
        <w:t>8</w:t>
      </w:r>
      <w:r>
        <w:rPr>
          <w:rFonts w:hint="default" w:ascii="Times New Roman" w:hAnsi="Times New Roman" w:cs="Times New Roman"/>
          <w:bCs/>
          <w:color w:val="auto"/>
          <w:sz w:val="24"/>
          <w:szCs w:val="24"/>
          <w:highlight w:val="none"/>
        </w:rPr>
        <w:t>。</w:t>
      </w:r>
    </w:p>
    <w:p w14:paraId="750248DE">
      <w:pPr>
        <w:pStyle w:val="5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表3.</w:t>
      </w:r>
      <w:r>
        <w:rPr>
          <w:rFonts w:hint="default" w:ascii="Times New Roman" w:hAnsi="Times New Roman" w:eastAsia="黑体" w:cs="Times New Roman"/>
          <w:b w:val="0"/>
          <w:bCs/>
          <w:color w:val="auto"/>
          <w:sz w:val="21"/>
          <w:szCs w:val="21"/>
          <w:highlight w:val="none"/>
          <w:lang w:val="en-US" w:eastAsia="zh-CN"/>
        </w:rPr>
        <w:t>4</w:t>
      </w:r>
      <w:r>
        <w:rPr>
          <w:rFonts w:hint="default" w:ascii="Times New Roman" w:hAnsi="Times New Roman" w:eastAsia="黑体" w:cs="Times New Roman"/>
          <w:b w:val="0"/>
          <w:bCs/>
          <w:color w:val="auto"/>
          <w:sz w:val="21"/>
          <w:szCs w:val="21"/>
          <w:highlight w:val="none"/>
        </w:rPr>
        <w:t>-1</w:t>
      </w:r>
      <w:r>
        <w:rPr>
          <w:rFonts w:hint="default" w:ascii="Times New Roman" w:hAnsi="Times New Roman" w:eastAsia="黑体" w:cs="Times New Roman"/>
          <w:b w:val="0"/>
          <w:bCs/>
          <w:color w:val="auto"/>
          <w:sz w:val="21"/>
          <w:szCs w:val="21"/>
          <w:highlight w:val="none"/>
          <w:lang w:val="en-US" w:eastAsia="zh-CN"/>
        </w:rPr>
        <w:t>8</w:t>
      </w:r>
      <w:r>
        <w:rPr>
          <w:rFonts w:hint="default" w:ascii="Times New Roman" w:hAnsi="Times New Roman" w:eastAsia="黑体" w:cs="Times New Roman"/>
          <w:b w:val="0"/>
          <w:bCs/>
          <w:color w:val="auto"/>
          <w:sz w:val="21"/>
          <w:szCs w:val="21"/>
          <w:highlight w:val="none"/>
        </w:rPr>
        <w:t>运营期危险废物产生、处置及防治措施情况一览表</w:t>
      </w:r>
    </w:p>
    <w:tbl>
      <w:tblPr>
        <w:tblStyle w:val="35"/>
        <w:tblW w:w="534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86"/>
        <w:gridCol w:w="927"/>
        <w:gridCol w:w="685"/>
        <w:gridCol w:w="1065"/>
        <w:gridCol w:w="888"/>
        <w:gridCol w:w="1029"/>
        <w:gridCol w:w="559"/>
        <w:gridCol w:w="859"/>
        <w:gridCol w:w="565"/>
        <w:gridCol w:w="555"/>
        <w:gridCol w:w="510"/>
        <w:gridCol w:w="1121"/>
      </w:tblGrid>
      <w:tr w14:paraId="719A5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2" w:hRule="atLeast"/>
          <w:tblHeader/>
          <w:jc w:val="center"/>
        </w:trPr>
        <w:tc>
          <w:tcPr>
            <w:tcW w:w="158" w:type="pct"/>
            <w:vAlign w:val="center"/>
          </w:tcPr>
          <w:p w14:paraId="47DF794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512" w:type="pct"/>
            <w:vAlign w:val="center"/>
          </w:tcPr>
          <w:p w14:paraId="544DECAA">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危险废物名称</w:t>
            </w:r>
          </w:p>
        </w:tc>
        <w:tc>
          <w:tcPr>
            <w:tcW w:w="378" w:type="pct"/>
            <w:vAlign w:val="center"/>
          </w:tcPr>
          <w:p w14:paraId="5D13837B">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w:t>
            </w:r>
          </w:p>
          <w:p w14:paraId="5D03F3A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588" w:type="pct"/>
            <w:vAlign w:val="center"/>
          </w:tcPr>
          <w:p w14:paraId="730D387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w:t>
            </w:r>
          </w:p>
          <w:p w14:paraId="2666B2E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代码</w:t>
            </w:r>
          </w:p>
        </w:tc>
        <w:tc>
          <w:tcPr>
            <w:tcW w:w="490" w:type="pct"/>
            <w:vAlign w:val="center"/>
          </w:tcPr>
          <w:p w14:paraId="0383DEA5">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产生量</w:t>
            </w:r>
          </w:p>
        </w:tc>
        <w:tc>
          <w:tcPr>
            <w:tcW w:w="568" w:type="pct"/>
            <w:vAlign w:val="center"/>
          </w:tcPr>
          <w:p w14:paraId="46D2268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产生工序</w:t>
            </w:r>
          </w:p>
          <w:p w14:paraId="245E096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及装置</w:t>
            </w:r>
          </w:p>
        </w:tc>
        <w:tc>
          <w:tcPr>
            <w:tcW w:w="308" w:type="pct"/>
            <w:vAlign w:val="center"/>
          </w:tcPr>
          <w:p w14:paraId="5FBA0F39">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形态</w:t>
            </w:r>
          </w:p>
        </w:tc>
        <w:tc>
          <w:tcPr>
            <w:tcW w:w="474" w:type="pct"/>
            <w:vAlign w:val="center"/>
          </w:tcPr>
          <w:p w14:paraId="7BAB3C9B">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w:t>
            </w:r>
          </w:p>
          <w:p w14:paraId="2368B29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成分</w:t>
            </w:r>
          </w:p>
        </w:tc>
        <w:tc>
          <w:tcPr>
            <w:tcW w:w="312" w:type="pct"/>
            <w:vAlign w:val="center"/>
          </w:tcPr>
          <w:p w14:paraId="638EADD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有害</w:t>
            </w:r>
          </w:p>
          <w:p w14:paraId="7B14173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成分</w:t>
            </w:r>
          </w:p>
        </w:tc>
        <w:tc>
          <w:tcPr>
            <w:tcW w:w="306" w:type="pct"/>
            <w:vAlign w:val="center"/>
          </w:tcPr>
          <w:p w14:paraId="5150743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产废</w:t>
            </w:r>
          </w:p>
          <w:p w14:paraId="634FE1A6">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周期</w:t>
            </w:r>
          </w:p>
        </w:tc>
        <w:tc>
          <w:tcPr>
            <w:tcW w:w="281" w:type="pct"/>
            <w:vAlign w:val="center"/>
          </w:tcPr>
          <w:p w14:paraId="7024538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w:t>
            </w:r>
          </w:p>
          <w:p w14:paraId="4278480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特性</w:t>
            </w:r>
          </w:p>
        </w:tc>
        <w:tc>
          <w:tcPr>
            <w:tcW w:w="619" w:type="pct"/>
            <w:vAlign w:val="center"/>
          </w:tcPr>
          <w:p w14:paraId="7B2BBF1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w:t>
            </w:r>
          </w:p>
          <w:p w14:paraId="5D0BFBD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措施</w:t>
            </w:r>
          </w:p>
        </w:tc>
      </w:tr>
      <w:tr w14:paraId="0B26C6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40" w:hRule="atLeast"/>
          <w:jc w:val="center"/>
        </w:trPr>
        <w:tc>
          <w:tcPr>
            <w:tcW w:w="158" w:type="pct"/>
            <w:vAlign w:val="center"/>
          </w:tcPr>
          <w:p w14:paraId="5D5ECC7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12" w:type="pct"/>
            <w:vAlign w:val="center"/>
          </w:tcPr>
          <w:p w14:paraId="54886D39">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落地原油</w:t>
            </w:r>
          </w:p>
        </w:tc>
        <w:tc>
          <w:tcPr>
            <w:tcW w:w="378" w:type="pct"/>
            <w:vAlign w:val="center"/>
          </w:tcPr>
          <w:p w14:paraId="6D350EA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588" w:type="pct"/>
            <w:vAlign w:val="center"/>
          </w:tcPr>
          <w:p w14:paraId="0AC7E950">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071-001-08</w:t>
            </w:r>
          </w:p>
        </w:tc>
        <w:tc>
          <w:tcPr>
            <w:tcW w:w="490" w:type="pct"/>
            <w:vAlign w:val="center"/>
          </w:tcPr>
          <w:p w14:paraId="7FE3A43E">
            <w:pPr>
              <w:pStyle w:val="51"/>
              <w:keepNext w:val="0"/>
              <w:keepLines w:val="0"/>
              <w:pageBreakBefore w:val="0"/>
              <w:shd w:val="clear"/>
              <w:kinsoku/>
              <w:wordWrap/>
              <w:topLinePunct w:val="0"/>
              <w:bidi w:val="0"/>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2t/a</w:t>
            </w:r>
          </w:p>
        </w:tc>
        <w:tc>
          <w:tcPr>
            <w:tcW w:w="568" w:type="pct"/>
            <w:vAlign w:val="center"/>
          </w:tcPr>
          <w:p w14:paraId="23D13EC5">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井下作业</w:t>
            </w:r>
          </w:p>
        </w:tc>
        <w:tc>
          <w:tcPr>
            <w:tcW w:w="308" w:type="pct"/>
            <w:vAlign w:val="center"/>
          </w:tcPr>
          <w:p w14:paraId="0B6DFEB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474" w:type="pct"/>
            <w:vAlign w:val="center"/>
          </w:tcPr>
          <w:p w14:paraId="2C4A254A">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油类物质</w:t>
            </w:r>
          </w:p>
        </w:tc>
        <w:tc>
          <w:tcPr>
            <w:tcW w:w="312" w:type="pct"/>
            <w:vAlign w:val="center"/>
          </w:tcPr>
          <w:p w14:paraId="5E17A45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w:t>
            </w:r>
          </w:p>
          <w:p w14:paraId="6769C6A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w:t>
            </w:r>
          </w:p>
        </w:tc>
        <w:tc>
          <w:tcPr>
            <w:tcW w:w="306" w:type="pct"/>
            <w:vAlign w:val="center"/>
          </w:tcPr>
          <w:p w14:paraId="31C34E1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间歇</w:t>
            </w:r>
          </w:p>
        </w:tc>
        <w:tc>
          <w:tcPr>
            <w:tcW w:w="281" w:type="pct"/>
            <w:vAlign w:val="center"/>
          </w:tcPr>
          <w:p w14:paraId="35CB1D3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9" w:type="pct"/>
            <w:vAlign w:val="center"/>
          </w:tcPr>
          <w:p w14:paraId="4E8FF900">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由塔河油田绿色环保站处理</w:t>
            </w:r>
            <w:r>
              <w:rPr>
                <w:rFonts w:hint="default" w:ascii="Times New Roman" w:hAnsi="Times New Roman" w:cs="Times New Roman"/>
                <w:color w:val="auto"/>
                <w:sz w:val="21"/>
                <w:szCs w:val="21"/>
                <w:highlight w:val="none"/>
                <w:lang w:eastAsia="zh-CN"/>
              </w:rPr>
              <w:t>。</w:t>
            </w:r>
          </w:p>
        </w:tc>
      </w:tr>
      <w:tr w14:paraId="1C172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158" w:type="pct"/>
            <w:vAlign w:val="center"/>
          </w:tcPr>
          <w:p w14:paraId="5DF0EFD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512" w:type="pct"/>
            <w:vAlign w:val="center"/>
          </w:tcPr>
          <w:p w14:paraId="4D78632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清管废渣</w:t>
            </w:r>
          </w:p>
        </w:tc>
        <w:tc>
          <w:tcPr>
            <w:tcW w:w="378" w:type="pct"/>
            <w:vAlign w:val="center"/>
          </w:tcPr>
          <w:p w14:paraId="1183AC16">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588" w:type="pct"/>
            <w:vAlign w:val="center"/>
          </w:tcPr>
          <w:p w14:paraId="20D26A8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071-001-08</w:t>
            </w:r>
          </w:p>
        </w:tc>
        <w:tc>
          <w:tcPr>
            <w:tcW w:w="490" w:type="pct"/>
            <w:vAlign w:val="center"/>
          </w:tcPr>
          <w:p w14:paraId="58C2F587">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4"/>
                <w:highlight w:val="none"/>
                <w:lang w:val="en-US" w:eastAsia="zh-CN"/>
              </w:rPr>
              <w:t>0.00</w:t>
            </w:r>
            <w:r>
              <w:rPr>
                <w:rFonts w:hint="eastAsia" w:cs="Times New Roman"/>
                <w:color w:val="auto"/>
                <w:szCs w:val="24"/>
                <w:highlight w:val="none"/>
                <w:lang w:val="en-US" w:eastAsia="zh-CN"/>
              </w:rPr>
              <w:t>1t/a</w:t>
            </w:r>
          </w:p>
        </w:tc>
        <w:tc>
          <w:tcPr>
            <w:tcW w:w="568" w:type="pct"/>
            <w:vAlign w:val="center"/>
          </w:tcPr>
          <w:p w14:paraId="79B52B9A">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定期清管</w:t>
            </w:r>
          </w:p>
        </w:tc>
        <w:tc>
          <w:tcPr>
            <w:tcW w:w="308" w:type="pct"/>
            <w:vAlign w:val="center"/>
          </w:tcPr>
          <w:p w14:paraId="4C4C61C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474" w:type="pct"/>
            <w:vAlign w:val="center"/>
          </w:tcPr>
          <w:p w14:paraId="1A0680C0">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油类物质、铁锈</w:t>
            </w:r>
          </w:p>
        </w:tc>
        <w:tc>
          <w:tcPr>
            <w:tcW w:w="312" w:type="pct"/>
            <w:vAlign w:val="center"/>
          </w:tcPr>
          <w:p w14:paraId="31208DC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w:t>
            </w:r>
          </w:p>
          <w:p w14:paraId="7D748CF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w:t>
            </w:r>
          </w:p>
        </w:tc>
        <w:tc>
          <w:tcPr>
            <w:tcW w:w="306" w:type="pct"/>
            <w:vAlign w:val="center"/>
          </w:tcPr>
          <w:p w14:paraId="6CA941C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间歇</w:t>
            </w:r>
          </w:p>
        </w:tc>
        <w:tc>
          <w:tcPr>
            <w:tcW w:w="281" w:type="pct"/>
            <w:vAlign w:val="center"/>
          </w:tcPr>
          <w:p w14:paraId="4C1D09A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p>
        </w:tc>
        <w:tc>
          <w:tcPr>
            <w:tcW w:w="619" w:type="pct"/>
            <w:vAlign w:val="center"/>
          </w:tcPr>
          <w:p w14:paraId="61406EF5">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塔河油田绿色环保站</w:t>
            </w:r>
            <w:r>
              <w:rPr>
                <w:rFonts w:hint="default" w:ascii="Times New Roman" w:hAnsi="Times New Roman" w:cs="Times New Roman"/>
                <w:color w:val="auto"/>
                <w:szCs w:val="24"/>
                <w:highlight w:val="none"/>
              </w:rPr>
              <w:t>进行处理</w:t>
            </w:r>
          </w:p>
        </w:tc>
      </w:tr>
      <w:tr w14:paraId="159BD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33" w:hRule="atLeast"/>
          <w:jc w:val="center"/>
        </w:trPr>
        <w:tc>
          <w:tcPr>
            <w:tcW w:w="158" w:type="pct"/>
            <w:vAlign w:val="center"/>
          </w:tcPr>
          <w:p w14:paraId="0F25D61D">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512" w:type="pct"/>
            <w:vAlign w:val="center"/>
          </w:tcPr>
          <w:p w14:paraId="3582B8F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废防渗</w:t>
            </w:r>
          </w:p>
          <w:p w14:paraId="6A797C61">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材料</w:t>
            </w:r>
          </w:p>
        </w:tc>
        <w:tc>
          <w:tcPr>
            <w:tcW w:w="378" w:type="pct"/>
            <w:vAlign w:val="center"/>
          </w:tcPr>
          <w:p w14:paraId="4456B90F">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HW08</w:t>
            </w:r>
          </w:p>
        </w:tc>
        <w:tc>
          <w:tcPr>
            <w:tcW w:w="588" w:type="pct"/>
            <w:vAlign w:val="center"/>
          </w:tcPr>
          <w:p w14:paraId="7964DA88">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900-249-08</w:t>
            </w:r>
          </w:p>
        </w:tc>
        <w:tc>
          <w:tcPr>
            <w:tcW w:w="490" w:type="pct"/>
            <w:vAlign w:val="center"/>
          </w:tcPr>
          <w:p w14:paraId="53090B4B">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2.0t/a</w:t>
            </w:r>
          </w:p>
        </w:tc>
        <w:tc>
          <w:tcPr>
            <w:tcW w:w="568" w:type="pct"/>
            <w:vAlign w:val="center"/>
          </w:tcPr>
          <w:p w14:paraId="74C2B963">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井下作业、修井</w:t>
            </w:r>
          </w:p>
        </w:tc>
        <w:tc>
          <w:tcPr>
            <w:tcW w:w="308" w:type="pct"/>
            <w:vAlign w:val="center"/>
          </w:tcPr>
          <w:p w14:paraId="23C01D2F">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固体</w:t>
            </w:r>
          </w:p>
        </w:tc>
        <w:tc>
          <w:tcPr>
            <w:tcW w:w="859" w:type="dxa"/>
            <w:vAlign w:val="center"/>
          </w:tcPr>
          <w:p w14:paraId="7E9FD396">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油类物质</w:t>
            </w:r>
          </w:p>
        </w:tc>
        <w:tc>
          <w:tcPr>
            <w:tcW w:w="565" w:type="dxa"/>
            <w:vAlign w:val="center"/>
          </w:tcPr>
          <w:p w14:paraId="5829E9E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w:t>
            </w:r>
          </w:p>
          <w:p w14:paraId="066893EB">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物质</w:t>
            </w:r>
          </w:p>
        </w:tc>
        <w:tc>
          <w:tcPr>
            <w:tcW w:w="306" w:type="pct"/>
            <w:vAlign w:val="center"/>
          </w:tcPr>
          <w:p w14:paraId="4470E695">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间歇</w:t>
            </w:r>
          </w:p>
        </w:tc>
        <w:tc>
          <w:tcPr>
            <w:tcW w:w="281" w:type="pct"/>
            <w:vAlign w:val="center"/>
          </w:tcPr>
          <w:p w14:paraId="431EE52B">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619" w:type="pct"/>
            <w:vAlign w:val="center"/>
          </w:tcPr>
          <w:p w14:paraId="773B898F">
            <w:pPr>
              <w:pStyle w:val="51"/>
              <w:keepNext w:val="0"/>
              <w:keepLines w:val="0"/>
              <w:pageBreakBefore w:val="0"/>
              <w:shd w:val="clear"/>
              <w:kinsoku/>
              <w:wordWrap/>
              <w:topLinePunct w:val="0"/>
              <w:bidi w:val="0"/>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委托持有危险废物经营许可证的单位接收处置</w:t>
            </w:r>
            <w:r>
              <w:rPr>
                <w:rFonts w:hint="default" w:ascii="Times New Roman" w:hAnsi="Times New Roman" w:cs="Times New Roman"/>
                <w:color w:val="auto"/>
                <w:sz w:val="21"/>
                <w:szCs w:val="21"/>
                <w:highlight w:val="none"/>
                <w:lang w:eastAsia="zh-CN"/>
              </w:rPr>
              <w:t>。</w:t>
            </w:r>
          </w:p>
        </w:tc>
      </w:tr>
      <w:tr w14:paraId="69459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158" w:type="pct"/>
            <w:vAlign w:val="center"/>
          </w:tcPr>
          <w:p w14:paraId="6FBF0F1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512" w:type="pct"/>
            <w:vAlign w:val="center"/>
          </w:tcPr>
          <w:p w14:paraId="36F041CB">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废润滑油</w:t>
            </w:r>
          </w:p>
        </w:tc>
        <w:tc>
          <w:tcPr>
            <w:tcW w:w="378" w:type="pct"/>
            <w:vAlign w:val="center"/>
          </w:tcPr>
          <w:p w14:paraId="6375A56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588" w:type="pct"/>
            <w:vAlign w:val="center"/>
          </w:tcPr>
          <w:p w14:paraId="765CE345">
            <w:pPr>
              <w:pStyle w:val="51"/>
              <w:keepNext w:val="0"/>
              <w:keepLines w:val="0"/>
              <w:pageBreakBefore w:val="0"/>
              <w:shd w:val="clear" w:color="auto" w:fill="FFFFFF"/>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900-214-08</w:t>
            </w:r>
          </w:p>
        </w:tc>
        <w:tc>
          <w:tcPr>
            <w:tcW w:w="490" w:type="pct"/>
            <w:vAlign w:val="center"/>
          </w:tcPr>
          <w:p w14:paraId="1144C03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0.2t/次</w:t>
            </w:r>
          </w:p>
        </w:tc>
        <w:tc>
          <w:tcPr>
            <w:tcW w:w="568" w:type="pct"/>
            <w:shd w:val="clear" w:color="auto" w:fill="auto"/>
            <w:vAlign w:val="center"/>
          </w:tcPr>
          <w:p w14:paraId="6CEDC568">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井下作业和采油过程中机械设备维修</w:t>
            </w:r>
          </w:p>
        </w:tc>
        <w:tc>
          <w:tcPr>
            <w:tcW w:w="308" w:type="pct"/>
            <w:shd w:val="clear" w:color="auto" w:fill="auto"/>
            <w:vAlign w:val="center"/>
          </w:tcPr>
          <w:p w14:paraId="66F16DE9">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固态</w:t>
            </w:r>
          </w:p>
        </w:tc>
        <w:tc>
          <w:tcPr>
            <w:tcW w:w="474" w:type="pct"/>
            <w:shd w:val="clear" w:color="auto" w:fill="auto"/>
            <w:vAlign w:val="center"/>
          </w:tcPr>
          <w:p w14:paraId="479C9869">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油类物质</w:t>
            </w:r>
          </w:p>
        </w:tc>
        <w:tc>
          <w:tcPr>
            <w:tcW w:w="312" w:type="pct"/>
            <w:shd w:val="clear" w:color="auto" w:fill="auto"/>
            <w:vAlign w:val="center"/>
          </w:tcPr>
          <w:p w14:paraId="05C428B6">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油类</w:t>
            </w:r>
          </w:p>
          <w:p w14:paraId="276866E5">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物质</w:t>
            </w:r>
          </w:p>
        </w:tc>
        <w:tc>
          <w:tcPr>
            <w:tcW w:w="306" w:type="pct"/>
            <w:shd w:val="clear" w:color="auto" w:fill="auto"/>
            <w:vAlign w:val="center"/>
          </w:tcPr>
          <w:p w14:paraId="77E0A048">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间歇</w:t>
            </w:r>
          </w:p>
        </w:tc>
        <w:tc>
          <w:tcPr>
            <w:tcW w:w="281" w:type="pct"/>
            <w:shd w:val="clear" w:color="auto" w:fill="auto"/>
            <w:vAlign w:val="center"/>
          </w:tcPr>
          <w:p w14:paraId="157D8C33">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T，I</w:t>
            </w:r>
          </w:p>
        </w:tc>
        <w:tc>
          <w:tcPr>
            <w:tcW w:w="619" w:type="pct"/>
            <w:vAlign w:val="center"/>
          </w:tcPr>
          <w:p w14:paraId="22D5E1AB">
            <w:pPr>
              <w:pStyle w:val="51"/>
              <w:keepNext w:val="0"/>
              <w:keepLines w:val="0"/>
              <w:pageBreakBefore w:val="0"/>
              <w:shd w:val="clear" w:color="auto" w:fill="FFFFFF"/>
              <w:kinsoku/>
              <w:wordWrap/>
              <w:topLinePunct w:val="0"/>
              <w:bidi w:val="0"/>
              <w:spacing w:line="240" w:lineRule="auto"/>
              <w:jc w:val="both"/>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委托持有危险废物经营许可证的单位接收处置</w:t>
            </w:r>
            <w:r>
              <w:rPr>
                <w:rFonts w:hint="default" w:ascii="Times New Roman" w:hAnsi="Times New Roman" w:eastAsia="宋体" w:cs="Times New Roman"/>
                <w:color w:val="auto"/>
                <w:highlight w:val="none"/>
                <w:lang w:eastAsia="zh-CN"/>
              </w:rPr>
              <w:t>。</w:t>
            </w:r>
          </w:p>
        </w:tc>
      </w:tr>
    </w:tbl>
    <w:p w14:paraId="7B80C65F">
      <w:pPr>
        <w:pStyle w:val="57"/>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rPr>
        <w:t>生活</w:t>
      </w:r>
      <w:r>
        <w:rPr>
          <w:rFonts w:hint="default" w:ascii="Times New Roman" w:hAnsi="Times New Roman" w:cs="Times New Roman"/>
          <w:b/>
          <w:bCs/>
          <w:color w:val="auto"/>
          <w:highlight w:val="none"/>
        </w:rPr>
        <w:t>垃圾</w:t>
      </w:r>
    </w:p>
    <w:p w14:paraId="15FA6E2C">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运营期工作人员由采油三厂内部调剂解决，故不新增生活垃圾。</w:t>
      </w:r>
    </w:p>
    <w:p w14:paraId="5092FAC5">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"3.2.4.4"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噪声源</w:t>
      </w:r>
    </w:p>
    <w:p w14:paraId="02A6E65A">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实施后，各噪声污染源治理措施情况见表3.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14:paraId="03CDE46E">
      <w:pPr>
        <w:pStyle w:val="1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val="0"/>
          <w:bCs/>
          <w:snapToGrid w:val="0"/>
          <w:color w:val="auto"/>
          <w:sz w:val="21"/>
          <w:szCs w:val="21"/>
          <w:highlight w:val="none"/>
          <w:lang w:val="en-US" w:eastAsia="zh-CN" w:bidi="ar-SA"/>
        </w:rPr>
      </w:pPr>
      <w:r>
        <w:rPr>
          <w:rFonts w:hint="default" w:ascii="Times New Roman" w:hAnsi="Times New Roman" w:eastAsia="黑体" w:cs="Times New Roman"/>
          <w:b w:val="0"/>
          <w:bCs/>
          <w:snapToGrid w:val="0"/>
          <w:color w:val="auto"/>
          <w:sz w:val="21"/>
          <w:szCs w:val="21"/>
          <w:highlight w:val="none"/>
          <w:lang w:val="en-US" w:eastAsia="zh-CN" w:bidi="ar-SA"/>
        </w:rPr>
        <w:t>表3.4-19噪声源设备</w:t>
      </w:r>
    </w:p>
    <w:tbl>
      <w:tblPr>
        <w:tblStyle w:val="107"/>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1473"/>
        <w:gridCol w:w="1623"/>
        <w:gridCol w:w="1546"/>
        <w:gridCol w:w="2253"/>
      </w:tblGrid>
      <w:tr w14:paraId="7E0D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9" w:type="dxa"/>
            <w:vAlign w:val="center"/>
          </w:tcPr>
          <w:p w14:paraId="5E75E3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噪声源名称</w:t>
            </w:r>
          </w:p>
        </w:tc>
        <w:tc>
          <w:tcPr>
            <w:tcW w:w="1473" w:type="dxa"/>
            <w:vAlign w:val="center"/>
          </w:tcPr>
          <w:p w14:paraId="413453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rPr>
              <w:t>数量/</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台/套</w:t>
            </w:r>
            <w:r>
              <w:rPr>
                <w:rFonts w:hint="default" w:ascii="Times New Roman" w:hAnsi="Times New Roman" w:cs="Times New Roman" w:eastAsiaTheme="minorEastAsia"/>
                <w:color w:val="auto"/>
                <w:kern w:val="2"/>
                <w:sz w:val="21"/>
                <w:szCs w:val="21"/>
                <w:highlight w:val="none"/>
                <w:lang w:eastAsia="zh-CN"/>
              </w:rPr>
              <w:t>）</w:t>
            </w:r>
          </w:p>
        </w:tc>
        <w:tc>
          <w:tcPr>
            <w:tcW w:w="1623" w:type="dxa"/>
            <w:vAlign w:val="center"/>
          </w:tcPr>
          <w:p w14:paraId="77EE1F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rPr>
              <w:t>源强</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dB</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A</w:t>
            </w:r>
            <w:r>
              <w:rPr>
                <w:rFonts w:hint="default" w:ascii="Times New Roman" w:hAnsi="Times New Roman" w:cs="Times New Roman" w:eastAsiaTheme="minorEastAsia"/>
                <w:color w:val="auto"/>
                <w:kern w:val="2"/>
                <w:sz w:val="21"/>
                <w:szCs w:val="21"/>
                <w:highlight w:val="none"/>
                <w:lang w:eastAsia="zh-CN"/>
              </w:rPr>
              <w:t>））</w:t>
            </w:r>
          </w:p>
        </w:tc>
        <w:tc>
          <w:tcPr>
            <w:tcW w:w="1546" w:type="dxa"/>
            <w:vAlign w:val="center"/>
          </w:tcPr>
          <w:p w14:paraId="2055D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降噪措施</w:t>
            </w:r>
          </w:p>
        </w:tc>
        <w:tc>
          <w:tcPr>
            <w:tcW w:w="2253" w:type="dxa"/>
            <w:vAlign w:val="center"/>
          </w:tcPr>
          <w:p w14:paraId="11F8B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rPr>
              <w:t>降噪效果</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dB</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A</w:t>
            </w:r>
            <w:r>
              <w:rPr>
                <w:rFonts w:hint="default" w:ascii="Times New Roman" w:hAnsi="Times New Roman" w:cs="Times New Roman" w:eastAsiaTheme="minorEastAsia"/>
                <w:color w:val="auto"/>
                <w:kern w:val="2"/>
                <w:sz w:val="21"/>
                <w:szCs w:val="21"/>
                <w:highlight w:val="none"/>
                <w:lang w:eastAsia="zh-CN"/>
              </w:rPr>
              <w:t>））</w:t>
            </w:r>
          </w:p>
        </w:tc>
      </w:tr>
      <w:tr w14:paraId="409D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9" w:type="dxa"/>
            <w:vAlign w:val="center"/>
          </w:tcPr>
          <w:p w14:paraId="1DA77513">
            <w:pPr>
              <w:widowControl w:val="0"/>
              <w:spacing w:line="0" w:lineRule="atLeast"/>
              <w:jc w:val="center"/>
              <w:rPr>
                <w:rFonts w:hint="default" w:ascii="Times New Roman" w:hAnsi="Times New Roman" w:cs="Times New Roman" w:eastAsiaTheme="minorEastAsia"/>
                <w:color w:val="auto"/>
                <w:kern w:val="2"/>
                <w:sz w:val="21"/>
                <w:szCs w:val="21"/>
                <w:highlight w:val="none"/>
                <w:lang w:val="en-US" w:eastAsia="zh-CN"/>
              </w:rPr>
            </w:pPr>
            <w:r>
              <w:rPr>
                <w:rFonts w:hint="default" w:ascii="Times New Roman" w:hAnsi="Times New Roman" w:cs="Times New Roman" w:eastAsiaTheme="minorEastAsia"/>
                <w:color w:val="auto"/>
                <w:kern w:val="2"/>
                <w:sz w:val="21"/>
                <w:szCs w:val="21"/>
                <w:highlight w:val="none"/>
              </w:rPr>
              <w:t>采油树</w:t>
            </w:r>
          </w:p>
        </w:tc>
        <w:tc>
          <w:tcPr>
            <w:tcW w:w="1473" w:type="dxa"/>
            <w:vAlign w:val="center"/>
          </w:tcPr>
          <w:p w14:paraId="5BC2D0A7">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p>
        </w:tc>
        <w:tc>
          <w:tcPr>
            <w:tcW w:w="1623" w:type="dxa"/>
            <w:vAlign w:val="center"/>
          </w:tcPr>
          <w:p w14:paraId="022F315B">
            <w:pPr>
              <w:widowControl w:val="0"/>
              <w:spacing w:line="0" w:lineRule="atLeast"/>
              <w:jc w:val="center"/>
              <w:rPr>
                <w:rFonts w:hint="default" w:ascii="Times New Roman" w:hAnsi="Times New Roman" w:cs="Times New Roman" w:eastAsiaTheme="minorEastAsia"/>
                <w:color w:val="auto"/>
                <w:kern w:val="2"/>
                <w:sz w:val="21"/>
                <w:szCs w:val="21"/>
                <w:highlight w:val="none"/>
                <w:lang w:val="en-US" w:eastAsia="zh-CN"/>
              </w:rPr>
            </w:pPr>
            <w:r>
              <w:rPr>
                <w:rFonts w:hint="eastAsia" w:cs="Times New Roman" w:eastAsiaTheme="minorEastAsia"/>
                <w:color w:val="auto"/>
                <w:kern w:val="2"/>
                <w:sz w:val="21"/>
                <w:szCs w:val="21"/>
                <w:highlight w:val="none"/>
                <w:lang w:val="en-US" w:eastAsia="zh-CN"/>
              </w:rPr>
              <w:t>80</w:t>
            </w:r>
          </w:p>
        </w:tc>
        <w:tc>
          <w:tcPr>
            <w:tcW w:w="1546" w:type="dxa"/>
            <w:vAlign w:val="center"/>
          </w:tcPr>
          <w:p w14:paraId="4108AC0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基础减振</w:t>
            </w:r>
          </w:p>
        </w:tc>
        <w:tc>
          <w:tcPr>
            <w:tcW w:w="2253" w:type="dxa"/>
            <w:vAlign w:val="center"/>
          </w:tcPr>
          <w:p w14:paraId="644BC1B8">
            <w:pPr>
              <w:widowControl w:val="0"/>
              <w:spacing w:line="0" w:lineRule="atLeast"/>
              <w:jc w:val="center"/>
              <w:rPr>
                <w:rFonts w:hint="default" w:ascii="Times New Roman" w:hAnsi="Times New Roman" w:cs="Times New Roman" w:eastAsiaTheme="minorEastAsia"/>
                <w:color w:val="auto"/>
                <w:kern w:val="2"/>
                <w:sz w:val="21"/>
                <w:szCs w:val="21"/>
                <w:highlight w:val="none"/>
                <w:lang w:val="en-US" w:eastAsia="zh-CN"/>
              </w:rPr>
            </w:pPr>
            <w:r>
              <w:rPr>
                <w:rFonts w:hint="eastAsia" w:cs="Times New Roman" w:eastAsiaTheme="minorEastAsia"/>
                <w:color w:val="auto"/>
                <w:kern w:val="2"/>
                <w:sz w:val="21"/>
                <w:szCs w:val="21"/>
                <w:highlight w:val="none"/>
                <w:lang w:val="en-US" w:eastAsia="zh-CN"/>
              </w:rPr>
              <w:t>15</w:t>
            </w:r>
          </w:p>
        </w:tc>
      </w:tr>
      <w:tr w14:paraId="0DA4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9" w:type="dxa"/>
            <w:vAlign w:val="center"/>
          </w:tcPr>
          <w:p w14:paraId="7F9FCC4F">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真空加热炉</w:t>
            </w:r>
          </w:p>
        </w:tc>
        <w:tc>
          <w:tcPr>
            <w:tcW w:w="1473" w:type="dxa"/>
            <w:vAlign w:val="center"/>
          </w:tcPr>
          <w:p w14:paraId="58D7D544">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p>
        </w:tc>
        <w:tc>
          <w:tcPr>
            <w:tcW w:w="1623" w:type="dxa"/>
            <w:vAlign w:val="center"/>
          </w:tcPr>
          <w:p w14:paraId="4F95105A">
            <w:pPr>
              <w:widowControl w:val="0"/>
              <w:spacing w:line="0" w:lineRule="atLeast"/>
              <w:jc w:val="center"/>
              <w:rPr>
                <w:rFonts w:hint="default" w:ascii="Times New Roman" w:hAnsi="Times New Roman" w:cs="Times New Roman" w:eastAsiaTheme="minorEastAsia"/>
                <w:color w:val="auto"/>
                <w:kern w:val="2"/>
                <w:sz w:val="21"/>
                <w:szCs w:val="21"/>
                <w:highlight w:val="none"/>
                <w:lang w:val="en-US" w:eastAsia="zh-CN"/>
              </w:rPr>
            </w:pPr>
            <w:r>
              <w:rPr>
                <w:rFonts w:hint="eastAsia" w:cs="Times New Roman" w:eastAsiaTheme="minorEastAsia"/>
                <w:color w:val="auto"/>
                <w:kern w:val="2"/>
                <w:sz w:val="21"/>
                <w:szCs w:val="21"/>
                <w:highlight w:val="none"/>
                <w:lang w:val="en-US" w:eastAsia="zh-CN"/>
              </w:rPr>
              <w:t>90</w:t>
            </w:r>
          </w:p>
        </w:tc>
        <w:tc>
          <w:tcPr>
            <w:tcW w:w="1546" w:type="dxa"/>
            <w:vAlign w:val="center"/>
          </w:tcPr>
          <w:p w14:paraId="6914BD9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基础减振</w:t>
            </w:r>
          </w:p>
        </w:tc>
        <w:tc>
          <w:tcPr>
            <w:tcW w:w="2253" w:type="dxa"/>
            <w:vAlign w:val="center"/>
          </w:tcPr>
          <w:p w14:paraId="4CED7949">
            <w:pPr>
              <w:widowControl w:val="0"/>
              <w:spacing w:line="0" w:lineRule="atLeast"/>
              <w:jc w:val="center"/>
              <w:rPr>
                <w:rFonts w:hint="default" w:ascii="Times New Roman" w:hAnsi="Times New Roman" w:cs="Times New Roman" w:eastAsiaTheme="minorEastAsia"/>
                <w:color w:val="auto"/>
                <w:kern w:val="2"/>
                <w:sz w:val="21"/>
                <w:szCs w:val="21"/>
                <w:highlight w:val="none"/>
                <w:lang w:val="en-US" w:eastAsia="zh-CN"/>
              </w:rPr>
            </w:pPr>
            <w:r>
              <w:rPr>
                <w:rFonts w:hint="eastAsia" w:cs="Times New Roman" w:eastAsiaTheme="minorEastAsia"/>
                <w:color w:val="auto"/>
                <w:kern w:val="2"/>
                <w:sz w:val="21"/>
                <w:szCs w:val="21"/>
                <w:highlight w:val="none"/>
                <w:lang w:val="en-US" w:eastAsia="zh-CN"/>
              </w:rPr>
              <w:t>15</w:t>
            </w:r>
          </w:p>
        </w:tc>
      </w:tr>
    </w:tbl>
    <w:p w14:paraId="5A0163BA">
      <w:pPr>
        <w:pStyle w:val="7"/>
        <w:keepNext/>
        <w:keepLines/>
        <w:pageBreakBefore w:val="0"/>
        <w:widowControl w:val="0"/>
        <w:kinsoku/>
        <w:wordWrap/>
        <w:overflowPunct/>
        <w:topLinePunct w:val="0"/>
        <w:autoSpaceDE/>
        <w:autoSpaceDN/>
        <w:bidi w:val="0"/>
        <w:adjustRightInd w:val="0"/>
        <w:snapToGrid w:val="0"/>
        <w:spacing w:before="157" w:beforeLines="50" w:afterLines="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"3.2.4.5"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运营期污染源汇总</w:t>
      </w:r>
    </w:p>
    <w:p w14:paraId="0493280D">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黑体" w:cs="Times New Roman"/>
          <w:color w:val="auto"/>
          <w:spacing w:val="-2"/>
          <w:sz w:val="21"/>
          <w:szCs w:val="21"/>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运营期三废排放状况见表3.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w:t>
      </w:r>
    </w:p>
    <w:p w14:paraId="4DDC1900">
      <w:pPr>
        <w:pStyle w:val="78"/>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val="0"/>
          <w:bCs/>
          <w:color w:val="auto"/>
          <w:sz w:val="21"/>
          <w:szCs w:val="21"/>
          <w:highlight w:val="none"/>
        </w:rPr>
      </w:pPr>
      <w:bookmarkStart w:id="253" w:name="_Toc28732"/>
      <w:bookmarkStart w:id="254" w:name="_Toc23654"/>
      <w:bookmarkStart w:id="255" w:name="_Toc4681"/>
      <w:r>
        <w:rPr>
          <w:rFonts w:hint="default" w:ascii="Times New Roman" w:hAnsi="Times New Roman" w:eastAsia="黑体" w:cs="Times New Roman"/>
          <w:b w:val="0"/>
          <w:bCs/>
          <w:color w:val="auto"/>
          <w:sz w:val="21"/>
          <w:szCs w:val="21"/>
          <w:highlight w:val="none"/>
        </w:rPr>
        <w:t>表</w:t>
      </w:r>
      <w:r>
        <w:rPr>
          <w:rFonts w:hint="default" w:ascii="Times New Roman" w:hAnsi="Times New Roman" w:cs="Times New Roman"/>
          <w:b w:val="0"/>
          <w:bCs/>
          <w:color w:val="auto"/>
          <w:sz w:val="21"/>
          <w:szCs w:val="21"/>
          <w:highlight w:val="none"/>
        </w:rPr>
        <w:t>3.</w:t>
      </w:r>
      <w:r>
        <w:rPr>
          <w:rFonts w:hint="default" w:ascii="Times New Roman" w:hAnsi="Times New Roman" w:cs="Times New Roman"/>
          <w:b w:val="0"/>
          <w:bCs/>
          <w:color w:val="auto"/>
          <w:sz w:val="21"/>
          <w:szCs w:val="21"/>
          <w:highlight w:val="none"/>
          <w:lang w:val="en-US" w:eastAsia="zh-CN"/>
        </w:rPr>
        <w:t>4</w:t>
      </w:r>
      <w:r>
        <w:rPr>
          <w:rFonts w:hint="default" w:ascii="Times New Roman" w:hAnsi="Times New Roman" w:cs="Times New Roman"/>
          <w:b w:val="0"/>
          <w:bCs/>
          <w:color w:val="auto"/>
          <w:sz w:val="21"/>
          <w:szCs w:val="21"/>
          <w:highlight w:val="none"/>
        </w:rPr>
        <w:t>-</w:t>
      </w:r>
      <w:r>
        <w:rPr>
          <w:rFonts w:hint="default" w:ascii="Times New Roman" w:hAnsi="Times New Roman" w:cs="Times New Roman"/>
          <w:b w:val="0"/>
          <w:bCs/>
          <w:color w:val="auto"/>
          <w:sz w:val="21"/>
          <w:szCs w:val="21"/>
          <w:highlight w:val="none"/>
          <w:lang w:val="en-US" w:eastAsia="zh-CN"/>
        </w:rPr>
        <w:t>20</w:t>
      </w:r>
      <w:r>
        <w:rPr>
          <w:rFonts w:hint="default" w:ascii="Times New Roman" w:hAnsi="Times New Roman" w:eastAsia="黑体" w:cs="Times New Roman"/>
          <w:b w:val="0"/>
          <w:bCs/>
          <w:color w:val="auto"/>
          <w:sz w:val="21"/>
          <w:szCs w:val="21"/>
          <w:highlight w:val="none"/>
        </w:rPr>
        <w:t>运营期污染物排放汇总</w:t>
      </w:r>
    </w:p>
    <w:tbl>
      <w:tblPr>
        <w:tblStyle w:val="35"/>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609"/>
        <w:gridCol w:w="1735"/>
        <w:gridCol w:w="1274"/>
        <w:gridCol w:w="1054"/>
        <w:gridCol w:w="2406"/>
      </w:tblGrid>
      <w:tr w14:paraId="402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64" w:type="dxa"/>
            <w:vAlign w:val="center"/>
          </w:tcPr>
          <w:p w14:paraId="2D49B38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工段</w:t>
            </w:r>
          </w:p>
        </w:tc>
        <w:tc>
          <w:tcPr>
            <w:tcW w:w="1609" w:type="dxa"/>
            <w:vAlign w:val="center"/>
          </w:tcPr>
          <w:p w14:paraId="75DB4D06">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1735" w:type="dxa"/>
            <w:vAlign w:val="center"/>
          </w:tcPr>
          <w:p w14:paraId="50A69C0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主要污染物</w:t>
            </w:r>
          </w:p>
        </w:tc>
        <w:tc>
          <w:tcPr>
            <w:tcW w:w="1274" w:type="dxa"/>
            <w:vAlign w:val="center"/>
          </w:tcPr>
          <w:p w14:paraId="68E3722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tc>
        <w:tc>
          <w:tcPr>
            <w:tcW w:w="1054" w:type="dxa"/>
            <w:vAlign w:val="center"/>
          </w:tcPr>
          <w:p w14:paraId="4A4BDDA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w:t>
            </w:r>
          </w:p>
        </w:tc>
        <w:tc>
          <w:tcPr>
            <w:tcW w:w="2406" w:type="dxa"/>
            <w:vAlign w:val="center"/>
          </w:tcPr>
          <w:p w14:paraId="2C3E428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排放去向</w:t>
            </w:r>
          </w:p>
        </w:tc>
      </w:tr>
      <w:tr w14:paraId="1965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14:paraId="4F43ECF1">
            <w:pPr>
              <w:pStyle w:val="51"/>
              <w:keepNext w:val="0"/>
              <w:keepLines w:val="0"/>
              <w:pageBreakBefore w:val="0"/>
              <w:shd w:val="clear"/>
              <w:kinsoku/>
              <w:wordWrap/>
              <w:topLinePunct w:val="0"/>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609" w:type="dxa"/>
            <w:vMerge w:val="restart"/>
            <w:vAlign w:val="center"/>
          </w:tcPr>
          <w:p w14:paraId="39E0D4A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无组织排放</w:t>
            </w:r>
          </w:p>
        </w:tc>
        <w:tc>
          <w:tcPr>
            <w:tcW w:w="1735" w:type="dxa"/>
            <w:vAlign w:val="center"/>
          </w:tcPr>
          <w:p w14:paraId="1018EE19">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274" w:type="dxa"/>
            <w:vAlign w:val="center"/>
          </w:tcPr>
          <w:p w14:paraId="4D9FE3E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0.364</w:t>
            </w:r>
            <w:r>
              <w:rPr>
                <w:rFonts w:hint="default" w:ascii="Times New Roman" w:hAnsi="Times New Roman" w:cs="Times New Roman"/>
                <w:color w:val="auto"/>
                <w:sz w:val="21"/>
                <w:szCs w:val="21"/>
                <w:highlight w:val="none"/>
              </w:rPr>
              <w:t>t/a</w:t>
            </w:r>
          </w:p>
        </w:tc>
        <w:tc>
          <w:tcPr>
            <w:tcW w:w="1054" w:type="dxa"/>
            <w:vAlign w:val="center"/>
          </w:tcPr>
          <w:p w14:paraId="465A3F9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0.364</w:t>
            </w:r>
            <w:r>
              <w:rPr>
                <w:rFonts w:hint="default" w:ascii="Times New Roman" w:hAnsi="Times New Roman" w:cs="Times New Roman"/>
                <w:color w:val="auto"/>
                <w:sz w:val="21"/>
                <w:szCs w:val="21"/>
                <w:highlight w:val="none"/>
              </w:rPr>
              <w:t>t/a</w:t>
            </w:r>
          </w:p>
        </w:tc>
        <w:tc>
          <w:tcPr>
            <w:tcW w:w="2406" w:type="dxa"/>
            <w:vMerge w:val="restart"/>
            <w:vAlign w:val="center"/>
          </w:tcPr>
          <w:p w14:paraId="3656CEA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r>
      <w:tr w14:paraId="4D70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48CD1D6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609" w:type="dxa"/>
            <w:vMerge w:val="continue"/>
            <w:vAlign w:val="center"/>
          </w:tcPr>
          <w:p w14:paraId="61D8D656">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735" w:type="dxa"/>
            <w:vAlign w:val="center"/>
          </w:tcPr>
          <w:p w14:paraId="1A7644B0">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硫化氢</w:t>
            </w:r>
          </w:p>
        </w:tc>
        <w:tc>
          <w:tcPr>
            <w:tcW w:w="1274" w:type="dxa"/>
            <w:vAlign w:val="center"/>
          </w:tcPr>
          <w:p w14:paraId="16EE5AB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01t</w:t>
            </w:r>
            <w:r>
              <w:rPr>
                <w:rFonts w:hint="default" w:ascii="Times New Roman" w:hAnsi="Times New Roman" w:cs="Times New Roman"/>
                <w:color w:val="auto"/>
                <w:sz w:val="21"/>
                <w:szCs w:val="21"/>
                <w:highlight w:val="none"/>
              </w:rPr>
              <w:t>/a</w:t>
            </w:r>
          </w:p>
        </w:tc>
        <w:tc>
          <w:tcPr>
            <w:tcW w:w="1054" w:type="dxa"/>
            <w:vAlign w:val="center"/>
          </w:tcPr>
          <w:p w14:paraId="72E00FA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0.01t</w:t>
            </w:r>
            <w:r>
              <w:rPr>
                <w:rFonts w:hint="default" w:ascii="Times New Roman" w:hAnsi="Times New Roman" w:cs="Times New Roman"/>
                <w:color w:val="auto"/>
                <w:sz w:val="21"/>
                <w:szCs w:val="21"/>
                <w:highlight w:val="none"/>
              </w:rPr>
              <w:t>/a</w:t>
            </w:r>
          </w:p>
        </w:tc>
        <w:tc>
          <w:tcPr>
            <w:tcW w:w="2406" w:type="dxa"/>
            <w:vMerge w:val="continue"/>
            <w:vAlign w:val="center"/>
          </w:tcPr>
          <w:p w14:paraId="5D920E7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r>
      <w:tr w14:paraId="1155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4" w:type="dxa"/>
            <w:vMerge w:val="restart"/>
            <w:vAlign w:val="center"/>
          </w:tcPr>
          <w:p w14:paraId="663DAFB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609" w:type="dxa"/>
            <w:vAlign w:val="center"/>
          </w:tcPr>
          <w:p w14:paraId="6050C39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采出水</w:t>
            </w:r>
          </w:p>
        </w:tc>
        <w:tc>
          <w:tcPr>
            <w:tcW w:w="1735" w:type="dxa"/>
            <w:vAlign w:val="center"/>
          </w:tcPr>
          <w:p w14:paraId="5CF8489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采出水量</w:t>
            </w:r>
          </w:p>
        </w:tc>
        <w:tc>
          <w:tcPr>
            <w:tcW w:w="1274" w:type="dxa"/>
            <w:vAlign w:val="center"/>
          </w:tcPr>
          <w:p w14:paraId="30A73282">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highlight w:val="none"/>
              </w:rPr>
            </w:pPr>
            <w:r>
              <w:rPr>
                <w:rFonts w:hint="eastAsia" w:cs="Times New Roman"/>
                <w:color w:val="auto"/>
                <w:spacing w:val="4"/>
                <w:kern w:val="24"/>
                <w:sz w:val="21"/>
                <w:szCs w:val="21"/>
                <w:highlight w:val="none"/>
                <w:lang w:val="en-US" w:eastAsia="zh-CN"/>
              </w:rPr>
              <w:t>3.7</w:t>
            </w:r>
            <w:r>
              <w:rPr>
                <w:rFonts w:hint="default" w:ascii="Times New Roman" w:hAnsi="Times New Roman" w:cs="Times New Roman"/>
                <w:color w:val="auto"/>
                <w:spacing w:val="4"/>
                <w:kern w:val="24"/>
                <w:sz w:val="21"/>
                <w:szCs w:val="21"/>
                <w:highlight w:val="none"/>
                <w:lang w:val="en-US" w:eastAsia="zh-CN"/>
              </w:rPr>
              <w:t>×10</w:t>
            </w:r>
            <w:r>
              <w:rPr>
                <w:rFonts w:hint="default" w:ascii="Times New Roman" w:hAnsi="Times New Roman" w:cs="Times New Roman"/>
                <w:color w:val="auto"/>
                <w:spacing w:val="4"/>
                <w:kern w:val="24"/>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054" w:type="dxa"/>
            <w:vAlign w:val="center"/>
          </w:tcPr>
          <w:p w14:paraId="6D39B51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406" w:type="dxa"/>
            <w:vAlign w:val="center"/>
          </w:tcPr>
          <w:p w14:paraId="6E4FCAED">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采出水进入塔河油田三号联合站采出水处理系统处理达到</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碎屑岩油藏注水水质指标技术要求及分析方法</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SY/T5329-2022</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标准后回注油层</w:t>
            </w:r>
            <w:r>
              <w:rPr>
                <w:rFonts w:hint="default" w:ascii="Times New Roman" w:hAnsi="Times New Roman" w:cs="Times New Roman"/>
                <w:i w:val="0"/>
                <w:iCs w:val="0"/>
                <w:color w:val="auto"/>
                <w:kern w:val="0"/>
                <w:sz w:val="21"/>
                <w:szCs w:val="21"/>
                <w:highlight w:val="none"/>
                <w:u w:val="none"/>
                <w:lang w:val="en-US" w:eastAsia="zh-CN" w:bidi="ar"/>
              </w:rPr>
              <w:t>。</w:t>
            </w:r>
          </w:p>
        </w:tc>
      </w:tr>
      <w:tr w14:paraId="5E86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4" w:type="dxa"/>
            <w:vMerge w:val="continue"/>
            <w:vAlign w:val="center"/>
          </w:tcPr>
          <w:p w14:paraId="50E9FEC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609" w:type="dxa"/>
            <w:vMerge w:val="restart"/>
            <w:vAlign w:val="center"/>
          </w:tcPr>
          <w:p w14:paraId="17510D1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井下作业废水</w:t>
            </w:r>
          </w:p>
        </w:tc>
        <w:tc>
          <w:tcPr>
            <w:tcW w:w="1735" w:type="dxa"/>
            <w:vAlign w:val="center"/>
          </w:tcPr>
          <w:p w14:paraId="7884374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井下作业废水量</w:t>
            </w:r>
          </w:p>
        </w:tc>
        <w:tc>
          <w:tcPr>
            <w:tcW w:w="1274" w:type="dxa"/>
            <w:vAlign w:val="center"/>
          </w:tcPr>
          <w:p w14:paraId="28D893C0">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152.08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054" w:type="dxa"/>
            <w:vAlign w:val="center"/>
          </w:tcPr>
          <w:p w14:paraId="4CBF031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406" w:type="dxa"/>
            <w:vMerge w:val="restart"/>
            <w:vAlign w:val="center"/>
          </w:tcPr>
          <w:p w14:paraId="48423EB1">
            <w:pPr>
              <w:pStyle w:val="51"/>
              <w:keepNext w:val="0"/>
              <w:keepLines w:val="0"/>
              <w:pageBreakBefore w:val="0"/>
              <w:shd w:val="clear"/>
              <w:kinsoku/>
              <w:wordWrap/>
              <w:topLinePunct w:val="0"/>
              <w:bidi w:val="0"/>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井下作业废水进入塔河油田绿色环保站含油污水处理系统处理达到</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碎屑岩油藏注水水质指标技术要求及分析方法</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SY/T5329-2022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标准后回注油层</w:t>
            </w:r>
            <w:r>
              <w:rPr>
                <w:rFonts w:hint="default" w:ascii="Times New Roman" w:hAnsi="Times New Roman" w:cs="Times New Roman"/>
                <w:color w:val="auto"/>
                <w:sz w:val="21"/>
                <w:szCs w:val="21"/>
                <w:highlight w:val="none"/>
                <w:lang w:eastAsia="zh-CN"/>
              </w:rPr>
              <w:t>。</w:t>
            </w:r>
          </w:p>
        </w:tc>
      </w:tr>
      <w:tr w14:paraId="7339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dxa"/>
            <w:vMerge w:val="continue"/>
            <w:vAlign w:val="center"/>
          </w:tcPr>
          <w:p w14:paraId="20DA8B8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609" w:type="dxa"/>
            <w:vMerge w:val="continue"/>
            <w:vAlign w:val="center"/>
          </w:tcPr>
          <w:p w14:paraId="500FB89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735" w:type="dxa"/>
            <w:vAlign w:val="center"/>
          </w:tcPr>
          <w:p w14:paraId="153E04E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274" w:type="dxa"/>
            <w:vAlign w:val="center"/>
          </w:tcPr>
          <w:p w14:paraId="5089368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0.21</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054" w:type="dxa"/>
            <w:vAlign w:val="center"/>
          </w:tcPr>
          <w:p w14:paraId="296882B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406" w:type="dxa"/>
            <w:vMerge w:val="continue"/>
            <w:vAlign w:val="center"/>
          </w:tcPr>
          <w:p w14:paraId="23CD4829">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p>
        </w:tc>
      </w:tr>
      <w:tr w14:paraId="1C91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4E1BE75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609" w:type="dxa"/>
            <w:vMerge w:val="continue"/>
            <w:vAlign w:val="center"/>
          </w:tcPr>
          <w:p w14:paraId="3F6C03B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735" w:type="dxa"/>
            <w:vAlign w:val="center"/>
          </w:tcPr>
          <w:p w14:paraId="4DB81B7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1274" w:type="dxa"/>
            <w:vAlign w:val="center"/>
          </w:tcPr>
          <w:p w14:paraId="1E28AA4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054" w:type="dxa"/>
            <w:vAlign w:val="center"/>
          </w:tcPr>
          <w:p w14:paraId="40B17E39">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406" w:type="dxa"/>
            <w:vMerge w:val="continue"/>
            <w:vAlign w:val="center"/>
          </w:tcPr>
          <w:p w14:paraId="4753C1A0">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p>
        </w:tc>
      </w:tr>
      <w:tr w14:paraId="5ECB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vMerge w:val="restart"/>
            <w:vAlign w:val="center"/>
          </w:tcPr>
          <w:p w14:paraId="25AE91A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1609" w:type="dxa"/>
            <w:vAlign w:val="center"/>
          </w:tcPr>
          <w:p w14:paraId="29B12F7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废防渗材料</w:t>
            </w:r>
          </w:p>
        </w:tc>
        <w:tc>
          <w:tcPr>
            <w:tcW w:w="1735" w:type="dxa"/>
            <w:vAlign w:val="center"/>
          </w:tcPr>
          <w:p w14:paraId="5D56192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1274" w:type="dxa"/>
            <w:vAlign w:val="center"/>
          </w:tcPr>
          <w:p w14:paraId="416EE73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t/a</w:t>
            </w:r>
          </w:p>
        </w:tc>
        <w:tc>
          <w:tcPr>
            <w:tcW w:w="1054" w:type="dxa"/>
            <w:vAlign w:val="center"/>
          </w:tcPr>
          <w:p w14:paraId="6A839650">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406" w:type="dxa"/>
            <w:vMerge w:val="restart"/>
            <w:vAlign w:val="center"/>
          </w:tcPr>
          <w:p w14:paraId="3C905E43">
            <w:pPr>
              <w:pStyle w:val="51"/>
              <w:keepNext w:val="0"/>
              <w:keepLines w:val="0"/>
              <w:pageBreakBefore w:val="0"/>
              <w:shd w:val="clear"/>
              <w:kinsoku/>
              <w:wordWrap/>
              <w:topLinePunct w:val="0"/>
              <w:bidi w:val="0"/>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委托持有危险废物经营许可证的单位接收处置</w:t>
            </w:r>
            <w:r>
              <w:rPr>
                <w:rFonts w:hint="default" w:ascii="Times New Roman" w:hAnsi="Times New Roman" w:cs="Times New Roman"/>
                <w:color w:val="auto"/>
                <w:sz w:val="21"/>
                <w:szCs w:val="21"/>
                <w:highlight w:val="none"/>
                <w:lang w:eastAsia="zh-CN"/>
              </w:rPr>
              <w:t>。</w:t>
            </w:r>
          </w:p>
        </w:tc>
      </w:tr>
      <w:tr w14:paraId="7DCA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vMerge w:val="continue"/>
            <w:vAlign w:val="center"/>
          </w:tcPr>
          <w:p w14:paraId="35433C8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609" w:type="dxa"/>
            <w:vAlign w:val="center"/>
          </w:tcPr>
          <w:p w14:paraId="612C99D5">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废润滑油</w:t>
            </w:r>
          </w:p>
        </w:tc>
        <w:tc>
          <w:tcPr>
            <w:tcW w:w="1735" w:type="dxa"/>
            <w:vAlign w:val="center"/>
          </w:tcPr>
          <w:p w14:paraId="46C2A6B6">
            <w:pPr>
              <w:pStyle w:val="51"/>
              <w:keepNext w:val="0"/>
              <w:keepLines w:val="0"/>
              <w:pageBreakBefore w:val="0"/>
              <w:shd w:val="clear"/>
              <w:kinsoku/>
              <w:wordWrap/>
              <w:topLinePunct w:val="0"/>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石油类</w:t>
            </w:r>
          </w:p>
        </w:tc>
        <w:tc>
          <w:tcPr>
            <w:tcW w:w="1274" w:type="dxa"/>
            <w:vAlign w:val="center"/>
          </w:tcPr>
          <w:p w14:paraId="2C8E39EE">
            <w:pPr>
              <w:pStyle w:val="51"/>
              <w:keepNext w:val="0"/>
              <w:keepLines w:val="0"/>
              <w:pageBreakBefore w:val="0"/>
              <w:shd w:val="clear"/>
              <w:kinsoku/>
              <w:wordWrap/>
              <w:topLinePunct w:val="0"/>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0.2t/次</w:t>
            </w:r>
          </w:p>
        </w:tc>
        <w:tc>
          <w:tcPr>
            <w:tcW w:w="1054" w:type="dxa"/>
            <w:vAlign w:val="center"/>
          </w:tcPr>
          <w:p w14:paraId="5109D1D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2406" w:type="dxa"/>
            <w:vMerge w:val="continue"/>
            <w:vAlign w:val="center"/>
          </w:tcPr>
          <w:p w14:paraId="6F1DA762">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p>
        </w:tc>
      </w:tr>
      <w:tr w14:paraId="2461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5DB30B56">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609" w:type="dxa"/>
            <w:vAlign w:val="center"/>
          </w:tcPr>
          <w:p w14:paraId="2C59B90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清管废渣</w:t>
            </w:r>
          </w:p>
        </w:tc>
        <w:tc>
          <w:tcPr>
            <w:tcW w:w="1735" w:type="dxa"/>
            <w:vAlign w:val="center"/>
          </w:tcPr>
          <w:p w14:paraId="0D8507E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1274" w:type="dxa"/>
            <w:vAlign w:val="center"/>
          </w:tcPr>
          <w:p w14:paraId="76EF7DD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rPr>
              <w:t>0.00</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w:t>
            </w:r>
          </w:p>
        </w:tc>
        <w:tc>
          <w:tcPr>
            <w:tcW w:w="1054" w:type="dxa"/>
            <w:vAlign w:val="center"/>
          </w:tcPr>
          <w:p w14:paraId="2A80B2FA">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406" w:type="dxa"/>
            <w:vAlign w:val="center"/>
          </w:tcPr>
          <w:p w14:paraId="3B01B4AE">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塔河油田绿色环保站进行处理。</w:t>
            </w:r>
          </w:p>
        </w:tc>
      </w:tr>
      <w:tr w14:paraId="7020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1A6BE85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1609" w:type="dxa"/>
            <w:vAlign w:val="center"/>
          </w:tcPr>
          <w:p w14:paraId="264457AA">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落地原油</w:t>
            </w:r>
          </w:p>
        </w:tc>
        <w:tc>
          <w:tcPr>
            <w:tcW w:w="1735" w:type="dxa"/>
            <w:vAlign w:val="center"/>
          </w:tcPr>
          <w:p w14:paraId="1A7A1F8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1274" w:type="dxa"/>
            <w:vAlign w:val="center"/>
          </w:tcPr>
          <w:p w14:paraId="7435953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2</w:t>
            </w:r>
            <w:r>
              <w:rPr>
                <w:rFonts w:hint="default" w:ascii="Times New Roman" w:hAnsi="Times New Roman" w:cs="Times New Roman"/>
                <w:color w:val="auto"/>
                <w:sz w:val="21"/>
                <w:szCs w:val="21"/>
                <w:highlight w:val="none"/>
              </w:rPr>
              <w:t>t/a</w:t>
            </w:r>
          </w:p>
        </w:tc>
        <w:tc>
          <w:tcPr>
            <w:tcW w:w="1054" w:type="dxa"/>
            <w:vAlign w:val="center"/>
          </w:tcPr>
          <w:p w14:paraId="23936850">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406" w:type="dxa"/>
            <w:vAlign w:val="center"/>
          </w:tcPr>
          <w:p w14:paraId="30EC4B85">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井下作业时带罐作业，落地油100%回收，回收后的落地原油拉运至</w:t>
            </w:r>
            <w:r>
              <w:rPr>
                <w:rFonts w:hint="default" w:ascii="Times New Roman" w:hAnsi="Times New Roman" w:cs="Times New Roman"/>
                <w:color w:val="auto"/>
                <w:sz w:val="21"/>
                <w:szCs w:val="21"/>
                <w:highlight w:val="none"/>
                <w:lang w:val="en-US" w:eastAsia="zh-CN"/>
              </w:rPr>
              <w:t>塔河油田绿色环保站</w:t>
            </w:r>
            <w:r>
              <w:rPr>
                <w:rFonts w:hint="default" w:ascii="Times New Roman" w:hAnsi="Times New Roman" w:cs="Times New Roman"/>
                <w:color w:val="auto"/>
                <w:sz w:val="21"/>
                <w:szCs w:val="21"/>
                <w:highlight w:val="none"/>
              </w:rPr>
              <w:t>卸油罐，</w:t>
            </w:r>
            <w:r>
              <w:rPr>
                <w:rFonts w:hint="eastAsia" w:cs="Times New Roman"/>
                <w:color w:val="auto"/>
                <w:sz w:val="21"/>
                <w:szCs w:val="21"/>
                <w:highlight w:val="none"/>
                <w:lang w:val="en-US" w:eastAsia="zh-CN"/>
              </w:rPr>
              <w:t>统一由</w:t>
            </w:r>
            <w:r>
              <w:rPr>
                <w:rFonts w:hint="default" w:ascii="Times New Roman" w:hAnsi="Times New Roman" w:cs="Times New Roman"/>
                <w:color w:val="auto"/>
                <w:sz w:val="21"/>
                <w:szCs w:val="21"/>
                <w:highlight w:val="none"/>
              </w:rPr>
              <w:t>塔河油田绿色环保站处理。</w:t>
            </w:r>
          </w:p>
        </w:tc>
      </w:tr>
      <w:tr w14:paraId="57CE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6230F8E4">
            <w:pPr>
              <w:pStyle w:val="51"/>
              <w:keepNext w:val="0"/>
              <w:keepLines w:val="0"/>
              <w:pageBreakBefore w:val="0"/>
              <w:shd w:val="clear"/>
              <w:kinsoku/>
              <w:wordWrap/>
              <w:topLinePunct w:val="0"/>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噪声</w:t>
            </w:r>
          </w:p>
        </w:tc>
        <w:tc>
          <w:tcPr>
            <w:tcW w:w="1609" w:type="dxa"/>
            <w:vAlign w:val="center"/>
          </w:tcPr>
          <w:p w14:paraId="61DB49BE">
            <w:pPr>
              <w:pStyle w:val="51"/>
              <w:keepNext w:val="0"/>
              <w:keepLines w:val="0"/>
              <w:pageBreakBefore w:val="0"/>
              <w:shd w:val="clear" w:color="auto" w:fill="FFFFFF"/>
              <w:kinsoku/>
              <w:wordWrap/>
              <w:topLinePunct w:val="0"/>
              <w:bidi w:val="0"/>
              <w:spacing w:line="240" w:lineRule="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采油树、加热炉</w:t>
            </w:r>
          </w:p>
        </w:tc>
        <w:tc>
          <w:tcPr>
            <w:tcW w:w="1735" w:type="dxa"/>
            <w:shd w:val="clear" w:color="auto" w:fill="auto"/>
            <w:vAlign w:val="center"/>
          </w:tcPr>
          <w:p w14:paraId="709C08E6">
            <w:pPr>
              <w:pStyle w:val="51"/>
              <w:keepNext w:val="0"/>
              <w:keepLines w:val="0"/>
              <w:pageBreakBefore w:val="0"/>
              <w:shd w:val="clear" w:color="auto" w:fill="FFFFFF"/>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等效连续A声级</w:t>
            </w:r>
          </w:p>
        </w:tc>
        <w:tc>
          <w:tcPr>
            <w:tcW w:w="1274" w:type="dxa"/>
            <w:vAlign w:val="center"/>
          </w:tcPr>
          <w:p w14:paraId="56687DD3">
            <w:pPr>
              <w:pStyle w:val="51"/>
              <w:keepNext w:val="0"/>
              <w:keepLines w:val="0"/>
              <w:pageBreakBefore w:val="0"/>
              <w:shd w:val="clear" w:color="auto" w:fill="FFFFFF"/>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rPr>
              <w:t>dB(A)</w:t>
            </w:r>
          </w:p>
        </w:tc>
        <w:tc>
          <w:tcPr>
            <w:tcW w:w="1054" w:type="dxa"/>
            <w:vAlign w:val="center"/>
          </w:tcPr>
          <w:p w14:paraId="126D154C">
            <w:pPr>
              <w:pStyle w:val="51"/>
              <w:keepNext w:val="0"/>
              <w:keepLines w:val="0"/>
              <w:pageBreakBefore w:val="0"/>
              <w:shd w:val="clear" w:color="auto" w:fill="FFFFFF"/>
              <w:kinsoku/>
              <w:wordWrap/>
              <w:topLinePunct w:val="0"/>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p w14:paraId="111AA034">
            <w:pPr>
              <w:pStyle w:val="51"/>
              <w:keepNext w:val="0"/>
              <w:keepLines w:val="0"/>
              <w:pageBreakBefore w:val="0"/>
              <w:shd w:val="clear" w:color="auto" w:fill="FFFFFF"/>
              <w:kinsoku/>
              <w:wordWrap/>
              <w:topLinePunct w:val="0"/>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2406" w:type="dxa"/>
            <w:vAlign w:val="center"/>
          </w:tcPr>
          <w:p w14:paraId="5355386D">
            <w:pPr>
              <w:pStyle w:val="51"/>
              <w:keepNext w:val="0"/>
              <w:keepLines w:val="0"/>
              <w:pageBreakBefore w:val="0"/>
              <w:shd w:val="clear" w:color="auto" w:fill="FFFFFF"/>
              <w:kinsoku/>
              <w:wordWrap/>
              <w:topLinePunct w:val="0"/>
              <w:bidi w:val="0"/>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选用低噪声设备，采取减振、隔声、消声等降噪措施</w:t>
            </w:r>
          </w:p>
        </w:tc>
      </w:tr>
    </w:tbl>
    <w:p w14:paraId="1D2DF20F">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污染物排放“三本账”</w:t>
      </w:r>
      <w:bookmarkEnd w:id="253"/>
      <w:bookmarkEnd w:id="254"/>
      <w:bookmarkEnd w:id="255"/>
    </w:p>
    <w:p w14:paraId="582F9ED0">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建成后</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污染物排放变化情况见表3.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w:t>
      </w:r>
    </w:p>
    <w:p w14:paraId="07AC1C15">
      <w:pPr>
        <w:pStyle w:val="12"/>
        <w:keepNext w:val="0"/>
        <w:keepLines w:val="0"/>
        <w:pageBreakBefore w:val="0"/>
        <w:kinsoku/>
        <w:wordWrap/>
        <w:topLinePunct w:val="0"/>
        <w:bidi w:val="0"/>
        <w:adjustRightInd w:val="0"/>
        <w:spacing w:line="240" w:lineRule="auto"/>
        <w:jc w:val="center"/>
        <w:rPr>
          <w:rFonts w:hint="default" w:ascii="Times New Roman" w:hAnsi="Times New Roman" w:eastAsia="黑体" w:cs="Times New Roman"/>
          <w:b w:val="0"/>
          <w:bCs/>
          <w:color w:val="auto"/>
          <w:sz w:val="21"/>
          <w:szCs w:val="21"/>
          <w:highlight w:val="none"/>
        </w:rPr>
      </w:pPr>
      <w:bookmarkStart w:id="256" w:name="bookmark19"/>
      <w:bookmarkEnd w:id="256"/>
      <w:bookmarkStart w:id="257" w:name="_Toc9091"/>
      <w:bookmarkStart w:id="258" w:name="_Toc3567"/>
      <w:r>
        <w:rPr>
          <w:rFonts w:hint="default" w:ascii="Times New Roman" w:hAnsi="Times New Roman" w:eastAsia="黑体" w:cs="Times New Roman"/>
          <w:b w:val="0"/>
          <w:bCs/>
          <w:color w:val="auto"/>
          <w:sz w:val="21"/>
          <w:szCs w:val="21"/>
          <w:highlight w:val="none"/>
        </w:rPr>
        <w:t>表3.</w:t>
      </w:r>
      <w:r>
        <w:rPr>
          <w:rFonts w:hint="default" w:ascii="Times New Roman" w:hAnsi="Times New Roman" w:eastAsia="黑体" w:cs="Times New Roman"/>
          <w:b w:val="0"/>
          <w:bCs/>
          <w:color w:val="auto"/>
          <w:sz w:val="21"/>
          <w:szCs w:val="21"/>
          <w:highlight w:val="none"/>
          <w:lang w:val="en-US" w:eastAsia="zh-CN"/>
        </w:rPr>
        <w:t>4</w:t>
      </w:r>
      <w:r>
        <w:rPr>
          <w:rFonts w:hint="default" w:ascii="Times New Roman" w:hAnsi="Times New Roman" w:eastAsia="黑体" w:cs="Times New Roman"/>
          <w:b w:val="0"/>
          <w:bCs/>
          <w:color w:val="auto"/>
          <w:sz w:val="21"/>
          <w:szCs w:val="21"/>
          <w:highlight w:val="none"/>
        </w:rPr>
        <w:t>-</w:t>
      </w:r>
      <w:r>
        <w:rPr>
          <w:rFonts w:hint="default" w:ascii="Times New Roman" w:hAnsi="Times New Roman" w:eastAsia="黑体" w:cs="Times New Roman"/>
          <w:b w:val="0"/>
          <w:bCs/>
          <w:color w:val="auto"/>
          <w:sz w:val="21"/>
          <w:szCs w:val="21"/>
          <w:highlight w:val="none"/>
          <w:lang w:val="en-US" w:eastAsia="zh-CN"/>
        </w:rPr>
        <w:t>21</w:t>
      </w:r>
      <w:r>
        <w:rPr>
          <w:rFonts w:hint="default" w:ascii="Times New Roman" w:hAnsi="Times New Roman" w:eastAsia="黑体" w:cs="Times New Roman"/>
          <w:b w:val="0"/>
          <w:bCs/>
          <w:i w:val="0"/>
          <w:iCs w:val="0"/>
          <w:color w:val="auto"/>
          <w:kern w:val="0"/>
          <w:sz w:val="21"/>
          <w:szCs w:val="21"/>
          <w:highlight w:val="none"/>
          <w:u w:val="none"/>
          <w:lang w:val="en-US" w:eastAsia="zh-CN" w:bidi="ar"/>
        </w:rPr>
        <w:t>主要污染物排放变化情况表</w:t>
      </w:r>
    </w:p>
    <w:tbl>
      <w:tblPr>
        <w:tblStyle w:val="3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472"/>
        <w:gridCol w:w="1087"/>
        <w:gridCol w:w="1127"/>
        <w:gridCol w:w="861"/>
        <w:gridCol w:w="972"/>
        <w:gridCol w:w="1156"/>
        <w:gridCol w:w="913"/>
        <w:gridCol w:w="977"/>
      </w:tblGrid>
      <w:tr w14:paraId="54E5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609" w:type="pct"/>
            <w:tcBorders>
              <w:top w:val="single" w:color="auto" w:sz="4" w:space="0"/>
              <w:left w:val="single" w:color="auto" w:sz="4" w:space="0"/>
              <w:bottom w:val="single" w:color="auto" w:sz="4" w:space="0"/>
              <w:right w:val="single" w:color="auto" w:sz="4" w:space="0"/>
            </w:tcBorders>
            <w:vAlign w:val="center"/>
          </w:tcPr>
          <w:p w14:paraId="3170F397">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274" w:type="pct"/>
            <w:tcBorders>
              <w:top w:val="single" w:color="auto" w:sz="4" w:space="0"/>
              <w:left w:val="single" w:color="auto" w:sz="4" w:space="0"/>
              <w:bottom w:val="single" w:color="auto" w:sz="4" w:space="0"/>
              <w:right w:val="single" w:color="auto" w:sz="4" w:space="0"/>
            </w:tcBorders>
            <w:vAlign w:val="center"/>
          </w:tcPr>
          <w:p w14:paraId="5A3DF777">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631" w:type="pct"/>
            <w:tcBorders>
              <w:top w:val="single" w:color="auto" w:sz="4" w:space="0"/>
              <w:left w:val="single" w:color="auto" w:sz="4" w:space="0"/>
              <w:bottom w:val="single" w:color="auto" w:sz="4" w:space="0"/>
              <w:right w:val="single" w:color="auto" w:sz="4" w:space="0"/>
            </w:tcBorders>
            <w:vAlign w:val="center"/>
          </w:tcPr>
          <w:p w14:paraId="1B8983DB">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w:t>
            </w:r>
            <w:r>
              <w:rPr>
                <w:rFonts w:hint="eastAsia" w:cs="Times New Roman"/>
                <w:color w:val="auto"/>
                <w:sz w:val="21"/>
                <w:szCs w:val="21"/>
                <w:highlight w:val="none"/>
                <w:lang w:val="en-US" w:eastAsia="zh-CN"/>
              </w:rPr>
              <w:t>区块</w:t>
            </w:r>
            <w:r>
              <w:rPr>
                <w:rFonts w:hint="default" w:ascii="Times New Roman" w:hAnsi="Times New Roman" w:cs="Times New Roman"/>
                <w:color w:val="auto"/>
                <w:sz w:val="21"/>
                <w:szCs w:val="21"/>
                <w:highlight w:val="none"/>
              </w:rPr>
              <w:t>排放量</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580C9CA6">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现有</w:t>
            </w:r>
            <w:r>
              <w:rPr>
                <w:rFonts w:hint="eastAsia" w:cs="Times New Roman"/>
                <w:color w:val="auto"/>
                <w:sz w:val="21"/>
                <w:szCs w:val="21"/>
                <w:highlight w:val="none"/>
                <w:lang w:val="en-US" w:eastAsia="zh-CN"/>
              </w:rPr>
              <w:t>区块</w:t>
            </w:r>
            <w:r>
              <w:rPr>
                <w:rFonts w:hint="default" w:ascii="Times New Roman" w:hAnsi="Times New Roman" w:cs="Times New Roman"/>
                <w:color w:val="auto"/>
                <w:sz w:val="21"/>
                <w:szCs w:val="21"/>
                <w:highlight w:val="none"/>
              </w:rPr>
              <w:t>排放量</w:t>
            </w:r>
          </w:p>
        </w:tc>
        <w:tc>
          <w:tcPr>
            <w:tcW w:w="500" w:type="pct"/>
            <w:tcBorders>
              <w:top w:val="single" w:color="auto" w:sz="4" w:space="0"/>
              <w:left w:val="single" w:color="auto" w:sz="4" w:space="0"/>
              <w:bottom w:val="single" w:color="auto" w:sz="4" w:space="0"/>
              <w:right w:val="single" w:color="auto" w:sz="4" w:space="0"/>
            </w:tcBorders>
            <w:vAlign w:val="center"/>
          </w:tcPr>
          <w:p w14:paraId="02044391">
            <w:pPr>
              <w:pStyle w:val="51"/>
              <w:keepNext w:val="0"/>
              <w:keepLines w:val="0"/>
              <w:pageBreakBefore w:val="0"/>
              <w:widowControl/>
              <w:shd w:val="clear"/>
              <w:kinsoku/>
              <w:wordWrap/>
              <w:topLinePunct w:val="0"/>
              <w:bidi w:val="0"/>
              <w:adjustRightInd w:val="0"/>
              <w:spacing w:line="240"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p>
          <w:p w14:paraId="3919FAC4">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产生量</w:t>
            </w:r>
          </w:p>
        </w:tc>
        <w:tc>
          <w:tcPr>
            <w:tcW w:w="564" w:type="pct"/>
            <w:tcBorders>
              <w:top w:val="single" w:color="auto" w:sz="4" w:space="0"/>
              <w:left w:val="single" w:color="auto" w:sz="4" w:space="0"/>
              <w:bottom w:val="single" w:color="auto" w:sz="4" w:space="0"/>
              <w:right w:val="single" w:color="auto" w:sz="4" w:space="0"/>
            </w:tcBorders>
            <w:vAlign w:val="center"/>
          </w:tcPr>
          <w:p w14:paraId="2520CBFC">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本项目</w:t>
            </w:r>
          </w:p>
          <w:p w14:paraId="3D9AFAEA">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w:t>
            </w:r>
          </w:p>
        </w:tc>
        <w:tc>
          <w:tcPr>
            <w:tcW w:w="671" w:type="pct"/>
            <w:tcBorders>
              <w:top w:val="single" w:color="auto" w:sz="4" w:space="0"/>
              <w:left w:val="single" w:color="auto" w:sz="4" w:space="0"/>
              <w:bottom w:val="single" w:color="auto" w:sz="4" w:space="0"/>
              <w:right w:val="single" w:color="auto" w:sz="4" w:space="0"/>
            </w:tcBorders>
            <w:vAlign w:val="center"/>
          </w:tcPr>
          <w:p w14:paraId="78EB96D8">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“以新带老”消减量</w:t>
            </w:r>
          </w:p>
        </w:tc>
        <w:tc>
          <w:tcPr>
            <w:tcW w:w="530" w:type="pct"/>
            <w:tcBorders>
              <w:top w:val="single" w:color="auto" w:sz="4" w:space="0"/>
              <w:left w:val="single" w:color="auto" w:sz="4" w:space="0"/>
              <w:bottom w:val="single" w:color="auto" w:sz="4" w:space="0"/>
              <w:right w:val="single" w:color="auto" w:sz="4" w:space="0"/>
            </w:tcBorders>
            <w:vAlign w:val="center"/>
          </w:tcPr>
          <w:p w14:paraId="114C19D0">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实施后排放量</w:t>
            </w:r>
          </w:p>
        </w:tc>
        <w:tc>
          <w:tcPr>
            <w:tcW w:w="564" w:type="pct"/>
            <w:tcBorders>
              <w:top w:val="single" w:color="auto" w:sz="4" w:space="0"/>
              <w:left w:val="single" w:color="auto" w:sz="4" w:space="0"/>
              <w:bottom w:val="single" w:color="auto" w:sz="4" w:space="0"/>
              <w:right w:val="single" w:color="auto" w:sz="4" w:space="0"/>
            </w:tcBorders>
            <w:vAlign w:val="center"/>
          </w:tcPr>
          <w:p w14:paraId="74DDA839">
            <w:pPr>
              <w:pStyle w:val="51"/>
              <w:keepNext w:val="0"/>
              <w:keepLines w:val="0"/>
              <w:pageBreakBefore w:val="0"/>
              <w:widowControl/>
              <w:shd w:val="clear"/>
              <w:kinsoku/>
              <w:wordWrap/>
              <w:topLinePunct w:val="0"/>
              <w:bidi w:val="0"/>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增减量</w:t>
            </w:r>
          </w:p>
        </w:tc>
      </w:tr>
      <w:tr w14:paraId="2723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14:paraId="2637202B">
            <w:pPr>
              <w:pStyle w:val="51"/>
              <w:keepNext w:val="0"/>
              <w:keepLines w:val="0"/>
              <w:pageBreakBefore w:val="0"/>
              <w:widowControl/>
              <w:shd w:val="clear"/>
              <w:kinsoku/>
              <w:wordWrap/>
              <w:topLinePunct w:val="0"/>
              <w:bidi w:val="0"/>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一、废气</w:t>
            </w:r>
          </w:p>
        </w:tc>
      </w:tr>
      <w:tr w14:paraId="711E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12640AF3">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274" w:type="pct"/>
            <w:tcBorders>
              <w:top w:val="single" w:color="auto" w:sz="4" w:space="0"/>
              <w:left w:val="single" w:color="auto" w:sz="4" w:space="0"/>
              <w:bottom w:val="single" w:color="auto" w:sz="4" w:space="0"/>
              <w:right w:val="single" w:color="auto" w:sz="4" w:space="0"/>
            </w:tcBorders>
            <w:vAlign w:val="center"/>
          </w:tcPr>
          <w:p w14:paraId="3E7C1F16">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631" w:type="pct"/>
            <w:tcBorders>
              <w:top w:val="single" w:color="auto" w:sz="4" w:space="0"/>
              <w:left w:val="single" w:color="auto" w:sz="4" w:space="0"/>
              <w:bottom w:val="single" w:color="auto" w:sz="4" w:space="0"/>
              <w:right w:val="single" w:color="auto" w:sz="4" w:space="0"/>
            </w:tcBorders>
            <w:vAlign w:val="center"/>
          </w:tcPr>
          <w:p w14:paraId="6EE7763D">
            <w:pPr>
              <w:pStyle w:val="52"/>
              <w:keepNext w:val="0"/>
              <w:keepLines w:val="0"/>
              <w:pageBreakBefore w:val="0"/>
              <w:widowControl/>
              <w:kinsoku/>
              <w:wordWrap/>
              <w:topLinePunct w:val="0"/>
              <w:bidi w:val="0"/>
              <w:spacing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20</w:t>
            </w:r>
            <w:r>
              <w:rPr>
                <w:color w:val="auto"/>
                <w:highlight w:val="none"/>
              </w:rPr>
              <w:t>.9</w:t>
            </w:r>
            <w:r>
              <w:rPr>
                <w:rFonts w:hint="eastAsia"/>
                <w:color w:val="auto"/>
                <w:highlight w:val="none"/>
                <w:lang w:val="en-US" w:eastAsia="zh-CN"/>
              </w:rPr>
              <w:t>7</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126B52AE">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20.97</w:t>
            </w:r>
          </w:p>
        </w:tc>
        <w:tc>
          <w:tcPr>
            <w:tcW w:w="500" w:type="pct"/>
            <w:tcBorders>
              <w:top w:val="single" w:color="auto" w:sz="4" w:space="0"/>
              <w:left w:val="single" w:color="auto" w:sz="4" w:space="0"/>
              <w:bottom w:val="single" w:color="auto" w:sz="4" w:space="0"/>
              <w:right w:val="single" w:color="auto" w:sz="4" w:space="0"/>
            </w:tcBorders>
            <w:vAlign w:val="center"/>
          </w:tcPr>
          <w:p w14:paraId="5AF8F192">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64" w:type="pct"/>
            <w:tcBorders>
              <w:top w:val="single" w:color="auto" w:sz="4" w:space="0"/>
              <w:left w:val="single" w:color="auto" w:sz="4" w:space="0"/>
              <w:bottom w:val="single" w:color="auto" w:sz="4" w:space="0"/>
              <w:right w:val="single" w:color="auto" w:sz="4" w:space="0"/>
            </w:tcBorders>
            <w:vAlign w:val="center"/>
          </w:tcPr>
          <w:p w14:paraId="2369185E">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71" w:type="pct"/>
            <w:tcBorders>
              <w:top w:val="single" w:color="auto" w:sz="4" w:space="0"/>
              <w:left w:val="single" w:color="auto" w:sz="4" w:space="0"/>
              <w:bottom w:val="single" w:color="auto" w:sz="4" w:space="0"/>
              <w:right w:val="single" w:color="auto" w:sz="4" w:space="0"/>
            </w:tcBorders>
            <w:vAlign w:val="center"/>
          </w:tcPr>
          <w:p w14:paraId="3DE79CCD">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913" w:type="dxa"/>
            <w:tcBorders>
              <w:top w:val="single" w:color="auto" w:sz="4" w:space="0"/>
              <w:left w:val="single" w:color="auto" w:sz="4" w:space="0"/>
              <w:bottom w:val="single" w:color="auto" w:sz="4" w:space="0"/>
              <w:right w:val="single" w:color="auto" w:sz="4" w:space="0"/>
            </w:tcBorders>
            <w:vAlign w:val="center"/>
          </w:tcPr>
          <w:p w14:paraId="6958057C">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lang w:val="en-US" w:eastAsia="zh-CN"/>
              </w:rPr>
              <w:t>20.97</w:t>
            </w:r>
          </w:p>
        </w:tc>
        <w:tc>
          <w:tcPr>
            <w:tcW w:w="564" w:type="pct"/>
            <w:tcBorders>
              <w:top w:val="single" w:color="auto" w:sz="4" w:space="0"/>
              <w:left w:val="single" w:color="auto" w:sz="4" w:space="0"/>
              <w:bottom w:val="single" w:color="auto" w:sz="4" w:space="0"/>
              <w:right w:val="single" w:color="auto" w:sz="4" w:space="0"/>
            </w:tcBorders>
            <w:vAlign w:val="center"/>
          </w:tcPr>
          <w:p w14:paraId="5613BEC2">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w:t>
            </w:r>
          </w:p>
        </w:tc>
      </w:tr>
      <w:tr w14:paraId="522A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18F6593E">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NOx</w:t>
            </w:r>
          </w:p>
        </w:tc>
        <w:tc>
          <w:tcPr>
            <w:tcW w:w="274" w:type="pct"/>
            <w:tcBorders>
              <w:top w:val="single" w:color="auto" w:sz="4" w:space="0"/>
              <w:left w:val="single" w:color="auto" w:sz="4" w:space="0"/>
              <w:bottom w:val="single" w:color="auto" w:sz="4" w:space="0"/>
              <w:right w:val="single" w:color="auto" w:sz="4" w:space="0"/>
            </w:tcBorders>
            <w:vAlign w:val="center"/>
          </w:tcPr>
          <w:p w14:paraId="57AA9FC4">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631" w:type="pct"/>
            <w:tcBorders>
              <w:top w:val="single" w:color="auto" w:sz="4" w:space="0"/>
              <w:left w:val="single" w:color="auto" w:sz="4" w:space="0"/>
              <w:bottom w:val="single" w:color="auto" w:sz="4" w:space="0"/>
              <w:right w:val="single" w:color="auto" w:sz="4" w:space="0"/>
            </w:tcBorders>
            <w:vAlign w:val="center"/>
          </w:tcPr>
          <w:p w14:paraId="129FDE1C">
            <w:pPr>
              <w:pStyle w:val="52"/>
              <w:keepNext w:val="0"/>
              <w:keepLines w:val="0"/>
              <w:pageBreakBefore w:val="0"/>
              <w:widowControl/>
              <w:kinsoku/>
              <w:wordWrap/>
              <w:topLinePunct w:val="0"/>
              <w:bidi w:val="0"/>
              <w:spacing w:line="240" w:lineRule="auto"/>
              <w:ind w:firstLine="0" w:firstLineChars="0"/>
              <w:rPr>
                <w:rFonts w:hint="default" w:ascii="Times New Roman" w:hAnsi="Times New Roman" w:cs="Times New Roman"/>
                <w:color w:val="auto"/>
                <w:sz w:val="21"/>
                <w:szCs w:val="21"/>
                <w:highlight w:val="none"/>
              </w:rPr>
            </w:pPr>
            <w:r>
              <w:rPr>
                <w:color w:val="auto"/>
                <w:highlight w:val="none"/>
              </w:rPr>
              <w:t>1</w:t>
            </w:r>
            <w:r>
              <w:rPr>
                <w:rFonts w:hint="eastAsia"/>
                <w:color w:val="auto"/>
                <w:highlight w:val="none"/>
                <w:lang w:val="en-US" w:eastAsia="zh-CN"/>
              </w:rPr>
              <w:t>68</w:t>
            </w:r>
            <w:r>
              <w:rPr>
                <w:color w:val="auto"/>
                <w:highlight w:val="none"/>
              </w:rPr>
              <w:t>.9</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177A2D7A">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168.9</w:t>
            </w:r>
          </w:p>
        </w:tc>
        <w:tc>
          <w:tcPr>
            <w:tcW w:w="500" w:type="pct"/>
            <w:tcBorders>
              <w:top w:val="single" w:color="auto" w:sz="4" w:space="0"/>
              <w:left w:val="single" w:color="auto" w:sz="4" w:space="0"/>
              <w:bottom w:val="single" w:color="auto" w:sz="4" w:space="0"/>
              <w:right w:val="single" w:color="auto" w:sz="4" w:space="0"/>
            </w:tcBorders>
            <w:vAlign w:val="center"/>
          </w:tcPr>
          <w:p w14:paraId="52C3E50B">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64" w:type="pct"/>
            <w:tcBorders>
              <w:top w:val="single" w:color="auto" w:sz="4" w:space="0"/>
              <w:left w:val="single" w:color="auto" w:sz="4" w:space="0"/>
              <w:bottom w:val="single" w:color="auto" w:sz="4" w:space="0"/>
              <w:right w:val="single" w:color="auto" w:sz="4" w:space="0"/>
            </w:tcBorders>
            <w:vAlign w:val="center"/>
          </w:tcPr>
          <w:p w14:paraId="3753231D">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71" w:type="pct"/>
            <w:tcBorders>
              <w:top w:val="single" w:color="auto" w:sz="4" w:space="0"/>
              <w:left w:val="single" w:color="auto" w:sz="4" w:space="0"/>
              <w:bottom w:val="single" w:color="auto" w:sz="4" w:space="0"/>
              <w:right w:val="single" w:color="auto" w:sz="4" w:space="0"/>
            </w:tcBorders>
            <w:vAlign w:val="center"/>
          </w:tcPr>
          <w:p w14:paraId="3D604424">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913" w:type="dxa"/>
            <w:tcBorders>
              <w:top w:val="single" w:color="auto" w:sz="4" w:space="0"/>
              <w:left w:val="single" w:color="auto" w:sz="4" w:space="0"/>
              <w:bottom w:val="single" w:color="auto" w:sz="4" w:space="0"/>
              <w:right w:val="single" w:color="auto" w:sz="4" w:space="0"/>
            </w:tcBorders>
            <w:vAlign w:val="center"/>
          </w:tcPr>
          <w:p w14:paraId="17955684">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lang w:val="en-US" w:eastAsia="zh-CN"/>
              </w:rPr>
              <w:t>168.9</w:t>
            </w:r>
          </w:p>
        </w:tc>
        <w:tc>
          <w:tcPr>
            <w:tcW w:w="564" w:type="pct"/>
            <w:tcBorders>
              <w:top w:val="single" w:color="auto" w:sz="4" w:space="0"/>
              <w:left w:val="single" w:color="auto" w:sz="4" w:space="0"/>
              <w:bottom w:val="single" w:color="auto" w:sz="4" w:space="0"/>
              <w:right w:val="single" w:color="auto" w:sz="4" w:space="0"/>
            </w:tcBorders>
            <w:vAlign w:val="center"/>
          </w:tcPr>
          <w:p w14:paraId="3F71FEFC">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w:t>
            </w:r>
          </w:p>
        </w:tc>
      </w:tr>
      <w:tr w14:paraId="309F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34A1F759">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274" w:type="pct"/>
            <w:tcBorders>
              <w:top w:val="single" w:color="auto" w:sz="4" w:space="0"/>
              <w:left w:val="single" w:color="auto" w:sz="4" w:space="0"/>
              <w:bottom w:val="single" w:color="auto" w:sz="4" w:space="0"/>
              <w:right w:val="single" w:color="auto" w:sz="4" w:space="0"/>
            </w:tcBorders>
            <w:vAlign w:val="center"/>
          </w:tcPr>
          <w:p w14:paraId="686D8B8F">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631" w:type="pct"/>
            <w:tcBorders>
              <w:top w:val="single" w:color="auto" w:sz="4" w:space="0"/>
              <w:left w:val="single" w:color="auto" w:sz="4" w:space="0"/>
              <w:bottom w:val="single" w:color="auto" w:sz="4" w:space="0"/>
              <w:right w:val="single" w:color="auto" w:sz="4" w:space="0"/>
            </w:tcBorders>
            <w:vAlign w:val="center"/>
          </w:tcPr>
          <w:p w14:paraId="2A91293E">
            <w:pPr>
              <w:pStyle w:val="52"/>
              <w:keepNext w:val="0"/>
              <w:keepLines w:val="0"/>
              <w:pageBreakBefore w:val="0"/>
              <w:widowControl/>
              <w:kinsoku/>
              <w:wordWrap/>
              <w:topLinePunct w:val="0"/>
              <w:bidi w:val="0"/>
              <w:spacing w:line="240" w:lineRule="auto"/>
              <w:ind w:firstLine="0" w:firstLineChars="0"/>
              <w:rPr>
                <w:rFonts w:hint="default" w:ascii="Times New Roman" w:hAnsi="Times New Roman" w:cs="Times New Roman"/>
                <w:color w:val="auto"/>
                <w:sz w:val="21"/>
                <w:szCs w:val="21"/>
                <w:highlight w:val="none"/>
              </w:rPr>
            </w:pPr>
            <w:r>
              <w:rPr>
                <w:color w:val="auto"/>
                <w:highlight w:val="none"/>
              </w:rPr>
              <w:t>23.292</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78B271C6">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23.292</w:t>
            </w:r>
          </w:p>
        </w:tc>
        <w:tc>
          <w:tcPr>
            <w:tcW w:w="500" w:type="pct"/>
            <w:tcBorders>
              <w:top w:val="single" w:color="auto" w:sz="4" w:space="0"/>
              <w:left w:val="single" w:color="auto" w:sz="4" w:space="0"/>
              <w:bottom w:val="single" w:color="auto" w:sz="4" w:space="0"/>
              <w:right w:val="single" w:color="auto" w:sz="4" w:space="0"/>
            </w:tcBorders>
            <w:vAlign w:val="center"/>
          </w:tcPr>
          <w:p w14:paraId="244FAC64">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64" w:type="pct"/>
            <w:tcBorders>
              <w:top w:val="single" w:color="auto" w:sz="4" w:space="0"/>
              <w:left w:val="single" w:color="auto" w:sz="4" w:space="0"/>
              <w:bottom w:val="single" w:color="auto" w:sz="4" w:space="0"/>
              <w:right w:val="single" w:color="auto" w:sz="4" w:space="0"/>
            </w:tcBorders>
            <w:vAlign w:val="center"/>
          </w:tcPr>
          <w:p w14:paraId="2BA41A7E">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71" w:type="pct"/>
            <w:tcBorders>
              <w:top w:val="single" w:color="auto" w:sz="4" w:space="0"/>
              <w:left w:val="single" w:color="auto" w:sz="4" w:space="0"/>
              <w:bottom w:val="single" w:color="auto" w:sz="4" w:space="0"/>
              <w:right w:val="single" w:color="auto" w:sz="4" w:space="0"/>
            </w:tcBorders>
            <w:vAlign w:val="center"/>
          </w:tcPr>
          <w:p w14:paraId="18D2029C">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913" w:type="dxa"/>
            <w:tcBorders>
              <w:top w:val="single" w:color="auto" w:sz="4" w:space="0"/>
              <w:left w:val="single" w:color="auto" w:sz="4" w:space="0"/>
              <w:bottom w:val="single" w:color="auto" w:sz="4" w:space="0"/>
              <w:right w:val="single" w:color="auto" w:sz="4" w:space="0"/>
            </w:tcBorders>
            <w:vAlign w:val="center"/>
          </w:tcPr>
          <w:p w14:paraId="35E8026B">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i w:val="0"/>
                <w:iCs w:val="0"/>
                <w:color w:val="auto"/>
                <w:kern w:val="0"/>
                <w:sz w:val="21"/>
                <w:szCs w:val="21"/>
                <w:highlight w:val="none"/>
                <w:u w:val="none"/>
                <w:lang w:val="en-US" w:eastAsia="zh-CN" w:bidi="ar"/>
              </w:rPr>
            </w:pPr>
            <w:r>
              <w:rPr>
                <w:color w:val="auto"/>
                <w:highlight w:val="none"/>
              </w:rPr>
              <w:t>23.292</w:t>
            </w:r>
          </w:p>
        </w:tc>
        <w:tc>
          <w:tcPr>
            <w:tcW w:w="564" w:type="pct"/>
            <w:tcBorders>
              <w:top w:val="single" w:color="auto" w:sz="4" w:space="0"/>
              <w:left w:val="single" w:color="auto" w:sz="4" w:space="0"/>
              <w:bottom w:val="single" w:color="auto" w:sz="4" w:space="0"/>
              <w:right w:val="single" w:color="auto" w:sz="4" w:space="0"/>
            </w:tcBorders>
            <w:vAlign w:val="center"/>
          </w:tcPr>
          <w:p w14:paraId="1EE31CDB">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w:t>
            </w:r>
          </w:p>
        </w:tc>
      </w:tr>
      <w:tr w14:paraId="2C29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61129D46">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274" w:type="pct"/>
            <w:tcBorders>
              <w:top w:val="single" w:color="auto" w:sz="4" w:space="0"/>
              <w:left w:val="single" w:color="auto" w:sz="4" w:space="0"/>
              <w:bottom w:val="single" w:color="auto" w:sz="4" w:space="0"/>
              <w:right w:val="single" w:color="auto" w:sz="4" w:space="0"/>
            </w:tcBorders>
            <w:vAlign w:val="center"/>
          </w:tcPr>
          <w:p w14:paraId="609D34B6">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631" w:type="pct"/>
            <w:tcBorders>
              <w:top w:val="single" w:color="auto" w:sz="4" w:space="0"/>
              <w:left w:val="single" w:color="auto" w:sz="4" w:space="0"/>
              <w:bottom w:val="single" w:color="auto" w:sz="4" w:space="0"/>
              <w:right w:val="single" w:color="auto" w:sz="4" w:space="0"/>
            </w:tcBorders>
            <w:vAlign w:val="center"/>
          </w:tcPr>
          <w:p w14:paraId="169D6C0A">
            <w:pPr>
              <w:pStyle w:val="52"/>
              <w:keepNext w:val="0"/>
              <w:keepLines w:val="0"/>
              <w:pageBreakBefore w:val="0"/>
              <w:widowControl/>
              <w:kinsoku/>
              <w:wordWrap/>
              <w:topLinePunct w:val="0"/>
              <w:bidi w:val="0"/>
              <w:spacing w:line="240" w:lineRule="auto"/>
              <w:ind w:firstLine="0" w:firstLineChars="0"/>
              <w:rPr>
                <w:rFonts w:hint="default" w:ascii="Times New Roman" w:hAnsi="Times New Roman" w:cs="Times New Roman"/>
                <w:color w:val="auto"/>
                <w:sz w:val="21"/>
                <w:szCs w:val="21"/>
                <w:highlight w:val="none"/>
              </w:rPr>
            </w:pPr>
            <w:r>
              <w:rPr>
                <w:color w:val="auto"/>
                <w:highlight w:val="none"/>
              </w:rPr>
              <w:t>196.62</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7763B7DB">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196.62</w:t>
            </w:r>
          </w:p>
        </w:tc>
        <w:tc>
          <w:tcPr>
            <w:tcW w:w="500" w:type="pct"/>
            <w:tcBorders>
              <w:top w:val="single" w:color="auto" w:sz="4" w:space="0"/>
              <w:left w:val="single" w:color="auto" w:sz="4" w:space="0"/>
              <w:bottom w:val="single" w:color="auto" w:sz="4" w:space="0"/>
              <w:right w:val="single" w:color="auto" w:sz="4" w:space="0"/>
            </w:tcBorders>
            <w:vAlign w:val="center"/>
          </w:tcPr>
          <w:p w14:paraId="79CA1A4A">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0.364</w:t>
            </w:r>
          </w:p>
        </w:tc>
        <w:tc>
          <w:tcPr>
            <w:tcW w:w="564" w:type="pct"/>
            <w:tcBorders>
              <w:top w:val="single" w:color="auto" w:sz="4" w:space="0"/>
              <w:left w:val="single" w:color="auto" w:sz="4" w:space="0"/>
              <w:bottom w:val="single" w:color="auto" w:sz="4" w:space="0"/>
              <w:right w:val="single" w:color="auto" w:sz="4" w:space="0"/>
            </w:tcBorders>
            <w:vAlign w:val="center"/>
          </w:tcPr>
          <w:p w14:paraId="246E2C8A">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364</w:t>
            </w:r>
          </w:p>
        </w:tc>
        <w:tc>
          <w:tcPr>
            <w:tcW w:w="671" w:type="pct"/>
            <w:tcBorders>
              <w:top w:val="single" w:color="auto" w:sz="4" w:space="0"/>
              <w:left w:val="single" w:color="auto" w:sz="4" w:space="0"/>
              <w:bottom w:val="single" w:color="auto" w:sz="4" w:space="0"/>
              <w:right w:val="single" w:color="auto" w:sz="4" w:space="0"/>
            </w:tcBorders>
            <w:vAlign w:val="center"/>
          </w:tcPr>
          <w:p w14:paraId="177CD855">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30" w:type="pct"/>
            <w:tcBorders>
              <w:top w:val="single" w:color="auto" w:sz="4" w:space="0"/>
              <w:left w:val="single" w:color="auto" w:sz="4" w:space="0"/>
              <w:bottom w:val="single" w:color="auto" w:sz="4" w:space="0"/>
              <w:right w:val="single" w:color="auto" w:sz="4" w:space="0"/>
            </w:tcBorders>
            <w:vAlign w:val="center"/>
          </w:tcPr>
          <w:p w14:paraId="57F54753">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196.984</w:t>
            </w:r>
          </w:p>
        </w:tc>
        <w:tc>
          <w:tcPr>
            <w:tcW w:w="564" w:type="pct"/>
            <w:tcBorders>
              <w:top w:val="single" w:color="auto" w:sz="4" w:space="0"/>
              <w:left w:val="single" w:color="auto" w:sz="4" w:space="0"/>
              <w:bottom w:val="single" w:color="auto" w:sz="4" w:space="0"/>
              <w:right w:val="single" w:color="auto" w:sz="4" w:space="0"/>
            </w:tcBorders>
            <w:vAlign w:val="center"/>
          </w:tcPr>
          <w:p w14:paraId="6D96FDCA">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0.364</w:t>
            </w:r>
          </w:p>
        </w:tc>
      </w:tr>
      <w:tr w14:paraId="7F93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6B880389">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274" w:type="pct"/>
            <w:tcBorders>
              <w:top w:val="single" w:color="auto" w:sz="4" w:space="0"/>
              <w:left w:val="single" w:color="auto" w:sz="4" w:space="0"/>
              <w:bottom w:val="single" w:color="auto" w:sz="4" w:space="0"/>
              <w:right w:val="single" w:color="auto" w:sz="4" w:space="0"/>
            </w:tcBorders>
            <w:vAlign w:val="center"/>
          </w:tcPr>
          <w:p w14:paraId="333F8E28">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631" w:type="pct"/>
            <w:tcBorders>
              <w:top w:val="single" w:color="auto" w:sz="4" w:space="0"/>
              <w:left w:val="single" w:color="auto" w:sz="4" w:space="0"/>
              <w:bottom w:val="single" w:color="auto" w:sz="4" w:space="0"/>
              <w:right w:val="single" w:color="auto" w:sz="4" w:space="0"/>
            </w:tcBorders>
            <w:vAlign w:val="center"/>
          </w:tcPr>
          <w:p w14:paraId="45A6BEBD">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color w:val="auto"/>
                <w:sz w:val="21"/>
                <w:szCs w:val="21"/>
                <w:highlight w:val="none"/>
                <w:lang w:eastAsia="zh-CN"/>
              </w:rPr>
            </w:pPr>
            <w:r>
              <w:rPr>
                <w:rFonts w:hint="eastAsia"/>
                <w:color w:val="auto"/>
                <w:highlight w:val="none"/>
                <w:lang w:val="en-US" w:eastAsia="zh-CN"/>
              </w:rPr>
              <w:t>3.2</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60AD20E9">
            <w:pPr>
              <w:pStyle w:val="52"/>
              <w:keepNext w:val="0"/>
              <w:keepLines w:val="0"/>
              <w:pageBreakBefore w:val="0"/>
              <w:widowControl/>
              <w:kinsoku/>
              <w:wordWrap/>
              <w:topLinePunct w:val="0"/>
              <w:bidi w:val="0"/>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3.2</w:t>
            </w:r>
          </w:p>
        </w:tc>
        <w:tc>
          <w:tcPr>
            <w:tcW w:w="500" w:type="pct"/>
            <w:tcBorders>
              <w:top w:val="single" w:color="auto" w:sz="4" w:space="0"/>
              <w:left w:val="single" w:color="auto" w:sz="4" w:space="0"/>
              <w:bottom w:val="single" w:color="auto" w:sz="4" w:space="0"/>
              <w:right w:val="single" w:color="auto" w:sz="4" w:space="0"/>
            </w:tcBorders>
            <w:vAlign w:val="center"/>
          </w:tcPr>
          <w:p w14:paraId="66337FD8">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w:t>
            </w:r>
          </w:p>
        </w:tc>
        <w:tc>
          <w:tcPr>
            <w:tcW w:w="564" w:type="pct"/>
            <w:tcBorders>
              <w:top w:val="single" w:color="auto" w:sz="4" w:space="0"/>
              <w:left w:val="single" w:color="auto" w:sz="4" w:space="0"/>
              <w:bottom w:val="single" w:color="auto" w:sz="4" w:space="0"/>
              <w:right w:val="single" w:color="auto" w:sz="4" w:space="0"/>
            </w:tcBorders>
            <w:vAlign w:val="center"/>
          </w:tcPr>
          <w:p w14:paraId="42CE3E7D">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0.01</w:t>
            </w:r>
          </w:p>
        </w:tc>
        <w:tc>
          <w:tcPr>
            <w:tcW w:w="671" w:type="pct"/>
            <w:tcBorders>
              <w:top w:val="single" w:color="auto" w:sz="4" w:space="0"/>
              <w:left w:val="single" w:color="auto" w:sz="4" w:space="0"/>
              <w:bottom w:val="single" w:color="auto" w:sz="4" w:space="0"/>
              <w:right w:val="single" w:color="auto" w:sz="4" w:space="0"/>
            </w:tcBorders>
            <w:vAlign w:val="center"/>
          </w:tcPr>
          <w:p w14:paraId="0CDECD24">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30" w:type="pct"/>
            <w:tcBorders>
              <w:top w:val="single" w:color="auto" w:sz="4" w:space="0"/>
              <w:left w:val="single" w:color="auto" w:sz="4" w:space="0"/>
              <w:bottom w:val="single" w:color="auto" w:sz="4" w:space="0"/>
              <w:right w:val="single" w:color="auto" w:sz="4" w:space="0"/>
            </w:tcBorders>
            <w:vAlign w:val="center"/>
          </w:tcPr>
          <w:p w14:paraId="0534DB29">
            <w:pPr>
              <w:pStyle w:val="51"/>
              <w:keepNext w:val="0"/>
              <w:keepLines w:val="0"/>
              <w:pageBreakBefore w:val="0"/>
              <w:widowControl/>
              <w:shd w:val="clear" w:color="auto" w:fill="FFFFFF"/>
              <w:kinsoku/>
              <w:wordWrap/>
              <w:topLinePunct w:val="0"/>
              <w:bidi w:val="0"/>
              <w:spacing w:line="240" w:lineRule="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3.21</w:t>
            </w:r>
          </w:p>
        </w:tc>
        <w:tc>
          <w:tcPr>
            <w:tcW w:w="564" w:type="pct"/>
            <w:tcBorders>
              <w:top w:val="single" w:color="auto" w:sz="4" w:space="0"/>
              <w:left w:val="single" w:color="auto" w:sz="4" w:space="0"/>
              <w:bottom w:val="single" w:color="auto" w:sz="4" w:space="0"/>
              <w:right w:val="single" w:color="auto" w:sz="4" w:space="0"/>
            </w:tcBorders>
            <w:vAlign w:val="center"/>
          </w:tcPr>
          <w:p w14:paraId="4A32CB28">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0.01</w:t>
            </w:r>
          </w:p>
        </w:tc>
      </w:tr>
      <w:tr w14:paraId="39E6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5C4EFE41">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二、废水</w:t>
            </w:r>
          </w:p>
        </w:tc>
        <w:tc>
          <w:tcPr>
            <w:tcW w:w="274" w:type="pct"/>
            <w:tcBorders>
              <w:top w:val="single" w:color="auto" w:sz="4" w:space="0"/>
              <w:left w:val="single" w:color="auto" w:sz="4" w:space="0"/>
              <w:bottom w:val="single" w:color="auto" w:sz="4" w:space="0"/>
              <w:right w:val="single" w:color="auto" w:sz="4" w:space="0"/>
            </w:tcBorders>
            <w:vAlign w:val="center"/>
          </w:tcPr>
          <w:p w14:paraId="554EF67B">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631" w:type="pct"/>
            <w:tcBorders>
              <w:top w:val="single" w:color="auto" w:sz="4" w:space="0"/>
              <w:left w:val="single" w:color="auto" w:sz="4" w:space="0"/>
              <w:bottom w:val="single" w:color="auto" w:sz="4" w:space="0"/>
              <w:right w:val="single" w:color="auto" w:sz="4" w:space="0"/>
            </w:tcBorders>
            <w:vAlign w:val="center"/>
          </w:tcPr>
          <w:p w14:paraId="37C45B5C">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326077EA">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p>
        </w:tc>
        <w:tc>
          <w:tcPr>
            <w:tcW w:w="500" w:type="pct"/>
            <w:tcBorders>
              <w:top w:val="single" w:color="auto" w:sz="4" w:space="0"/>
              <w:left w:val="single" w:color="auto" w:sz="4" w:space="0"/>
              <w:bottom w:val="single" w:color="auto" w:sz="4" w:space="0"/>
              <w:right w:val="single" w:color="auto" w:sz="4" w:space="0"/>
            </w:tcBorders>
            <w:vAlign w:val="center"/>
          </w:tcPr>
          <w:p w14:paraId="27A0C0AF">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14:paraId="78353C2A">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671" w:type="pct"/>
            <w:tcBorders>
              <w:top w:val="single" w:color="auto" w:sz="4" w:space="0"/>
              <w:left w:val="single" w:color="auto" w:sz="4" w:space="0"/>
              <w:bottom w:val="single" w:color="auto" w:sz="4" w:space="0"/>
              <w:right w:val="single" w:color="auto" w:sz="4" w:space="0"/>
            </w:tcBorders>
            <w:vAlign w:val="center"/>
          </w:tcPr>
          <w:p w14:paraId="43980AB2">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530" w:type="pct"/>
            <w:tcBorders>
              <w:top w:val="single" w:color="auto" w:sz="4" w:space="0"/>
              <w:left w:val="single" w:color="auto" w:sz="4" w:space="0"/>
              <w:bottom w:val="single" w:color="auto" w:sz="4" w:space="0"/>
              <w:right w:val="single" w:color="auto" w:sz="4" w:space="0"/>
            </w:tcBorders>
            <w:vAlign w:val="center"/>
          </w:tcPr>
          <w:p w14:paraId="2D9E6CF7">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14:paraId="7BEE43E4">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r>
      <w:tr w14:paraId="30C6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47F34790">
            <w:pPr>
              <w:pStyle w:val="51"/>
              <w:keepNext w:val="0"/>
              <w:keepLines w:val="0"/>
              <w:pageBreakBefore w:val="0"/>
              <w:widowControl/>
              <w:shd w:val="clear"/>
              <w:kinsoku/>
              <w:wordWrap/>
              <w:overflowPunct w:val="0"/>
              <w:topLinePunct w:val="0"/>
              <w:autoSpaceDE w:val="0"/>
              <w:autoSpaceDN w:val="0"/>
              <w:bidi w:val="0"/>
              <w:adjustRightInd w:val="0"/>
              <w:snapToGrid w:val="0"/>
              <w:spacing w:line="240" w:lineRule="auto"/>
              <w:ind w:left="-120" w:leftChars="-50"/>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w:t>
            </w:r>
          </w:p>
        </w:tc>
        <w:tc>
          <w:tcPr>
            <w:tcW w:w="274" w:type="pct"/>
            <w:tcBorders>
              <w:top w:val="single" w:color="auto" w:sz="4" w:space="0"/>
              <w:left w:val="single" w:color="auto" w:sz="4" w:space="0"/>
              <w:bottom w:val="single" w:color="auto" w:sz="4" w:space="0"/>
              <w:right w:val="single" w:color="auto" w:sz="4" w:space="0"/>
            </w:tcBorders>
            <w:vAlign w:val="center"/>
          </w:tcPr>
          <w:p w14:paraId="286B61E4">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631" w:type="pct"/>
            <w:tcBorders>
              <w:top w:val="single" w:color="auto" w:sz="4" w:space="0"/>
              <w:left w:val="single" w:color="auto" w:sz="4" w:space="0"/>
              <w:bottom w:val="single" w:color="auto" w:sz="4" w:space="0"/>
              <w:right w:val="single" w:color="auto" w:sz="4" w:space="0"/>
            </w:tcBorders>
            <w:vAlign w:val="center"/>
          </w:tcPr>
          <w:p w14:paraId="09621115">
            <w:pPr>
              <w:pStyle w:val="52"/>
              <w:keepNext w:val="0"/>
              <w:keepLines w:val="0"/>
              <w:pageBreakBefore w:val="0"/>
              <w:widowControl/>
              <w:kinsoku/>
              <w:wordWrap/>
              <w:topLinePunct w:val="0"/>
              <w:bidi w:val="0"/>
              <w:spacing w:line="240" w:lineRule="auto"/>
              <w:ind w:firstLine="0" w:firstLineChars="0"/>
              <w:rPr>
                <w:rFonts w:hint="default" w:ascii="Times New Roman" w:hAnsi="Times New Roman" w:cs="Times New Roman"/>
                <w:color w:val="auto"/>
                <w:sz w:val="21"/>
                <w:szCs w:val="21"/>
                <w:highlight w:val="none"/>
              </w:rPr>
            </w:pPr>
            <w:r>
              <w:rPr>
                <w:color w:val="auto"/>
                <w:highlight w:val="none"/>
                <w:lang w:bidi="ar"/>
              </w:rPr>
              <w:t>96.99×10</w:t>
            </w:r>
            <w:r>
              <w:rPr>
                <w:color w:val="auto"/>
                <w:highlight w:val="none"/>
                <w:vertAlign w:val="superscript"/>
                <w:lang w:bidi="ar"/>
              </w:rPr>
              <w:t>4</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4B15E8C1">
            <w:pPr>
              <w:keepNext w:val="0"/>
              <w:keepLines w:val="0"/>
              <w:pageBreakBefore w:val="0"/>
              <w:widowControl/>
              <w:shd w:val="clear"/>
              <w:kinsoku/>
              <w:wordWrap/>
              <w:topLinePunct w:val="0"/>
              <w:bidi w:val="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500" w:type="pct"/>
            <w:tcBorders>
              <w:top w:val="single" w:color="auto" w:sz="4" w:space="0"/>
              <w:left w:val="single" w:color="auto" w:sz="4" w:space="0"/>
              <w:bottom w:val="single" w:color="auto" w:sz="4" w:space="0"/>
              <w:right w:val="single" w:color="auto" w:sz="4" w:space="0"/>
            </w:tcBorders>
            <w:vAlign w:val="center"/>
          </w:tcPr>
          <w:p w14:paraId="465FDDB3">
            <w:pPr>
              <w:keepNext w:val="0"/>
              <w:keepLines w:val="0"/>
              <w:pageBreakBefore w:val="0"/>
              <w:widowControl/>
              <w:shd w:val="clear"/>
              <w:kinsoku/>
              <w:wordWrap/>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152.08</w:t>
            </w:r>
          </w:p>
        </w:tc>
        <w:tc>
          <w:tcPr>
            <w:tcW w:w="564" w:type="pct"/>
            <w:tcBorders>
              <w:top w:val="single" w:color="auto" w:sz="4" w:space="0"/>
              <w:left w:val="single" w:color="auto" w:sz="4" w:space="0"/>
              <w:bottom w:val="single" w:color="auto" w:sz="4" w:space="0"/>
              <w:right w:val="single" w:color="auto" w:sz="4" w:space="0"/>
            </w:tcBorders>
            <w:vAlign w:val="center"/>
          </w:tcPr>
          <w:p w14:paraId="6E9CA6E1">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pacing w:val="4"/>
                <w:kern w:val="24"/>
                <w:sz w:val="21"/>
                <w:szCs w:val="21"/>
                <w:highlight w:val="none"/>
                <w:lang w:val="en-US" w:eastAsia="zh-CN"/>
              </w:rPr>
              <w:t>0</w:t>
            </w:r>
          </w:p>
        </w:tc>
        <w:tc>
          <w:tcPr>
            <w:tcW w:w="671" w:type="pct"/>
            <w:tcBorders>
              <w:top w:val="single" w:color="auto" w:sz="4" w:space="0"/>
              <w:left w:val="single" w:color="auto" w:sz="4" w:space="0"/>
              <w:bottom w:val="single" w:color="auto" w:sz="4" w:space="0"/>
              <w:right w:val="single" w:color="auto" w:sz="4" w:space="0"/>
            </w:tcBorders>
            <w:vAlign w:val="center"/>
          </w:tcPr>
          <w:p w14:paraId="72865918">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30" w:type="pct"/>
            <w:tcBorders>
              <w:top w:val="single" w:color="auto" w:sz="4" w:space="0"/>
              <w:left w:val="single" w:color="auto" w:sz="4" w:space="0"/>
              <w:bottom w:val="single" w:color="auto" w:sz="4" w:space="0"/>
              <w:right w:val="single" w:color="auto" w:sz="4" w:space="0"/>
            </w:tcBorders>
            <w:vAlign w:val="center"/>
          </w:tcPr>
          <w:p w14:paraId="587F089B">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4"/>
                <w:kern w:val="24"/>
                <w:sz w:val="21"/>
                <w:szCs w:val="21"/>
                <w:highlight w:val="none"/>
                <w:lang w:val="en-US" w:eastAsia="zh-CN"/>
              </w:rPr>
              <w:t>0</w:t>
            </w:r>
          </w:p>
        </w:tc>
        <w:tc>
          <w:tcPr>
            <w:tcW w:w="564" w:type="pct"/>
            <w:tcBorders>
              <w:top w:val="single" w:color="auto" w:sz="4" w:space="0"/>
              <w:left w:val="single" w:color="auto" w:sz="4" w:space="0"/>
              <w:bottom w:val="single" w:color="auto" w:sz="4" w:space="0"/>
              <w:right w:val="single" w:color="auto" w:sz="4" w:space="0"/>
            </w:tcBorders>
            <w:vAlign w:val="center"/>
          </w:tcPr>
          <w:p w14:paraId="31985ACD">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7141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744EE556">
            <w:pPr>
              <w:pStyle w:val="51"/>
              <w:keepNext w:val="0"/>
              <w:keepLines w:val="0"/>
              <w:pageBreakBefore w:val="0"/>
              <w:widowControl/>
              <w:shd w:val="clear"/>
              <w:kinsoku/>
              <w:wordWrap/>
              <w:overflowPunct w:val="0"/>
              <w:topLinePunct w:val="0"/>
              <w:autoSpaceDE w:val="0"/>
              <w:autoSpaceDN w:val="0"/>
              <w:bidi w:val="0"/>
              <w:adjustRightInd w:val="0"/>
              <w:snapToGrid w:val="0"/>
              <w:spacing w:line="240" w:lineRule="auto"/>
              <w:ind w:left="-120" w:leftChars="-50"/>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274" w:type="pct"/>
            <w:tcBorders>
              <w:top w:val="single" w:color="auto" w:sz="4" w:space="0"/>
              <w:left w:val="single" w:color="auto" w:sz="4" w:space="0"/>
              <w:bottom w:val="single" w:color="auto" w:sz="4" w:space="0"/>
              <w:right w:val="single" w:color="auto" w:sz="4" w:space="0"/>
            </w:tcBorders>
            <w:vAlign w:val="center"/>
          </w:tcPr>
          <w:p w14:paraId="2F384EBA">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w:t>
            </w:r>
            <w:r>
              <w:rPr>
                <w:rFonts w:hint="default" w:ascii="Times New Roman" w:hAnsi="Times New Roman" w:cs="Times New Roman"/>
                <w:color w:val="auto"/>
                <w:sz w:val="21"/>
                <w:szCs w:val="21"/>
                <w:highlight w:val="none"/>
              </w:rPr>
              <w:t>/a</w:t>
            </w:r>
          </w:p>
        </w:tc>
        <w:tc>
          <w:tcPr>
            <w:tcW w:w="631" w:type="pct"/>
            <w:tcBorders>
              <w:top w:val="single" w:color="auto" w:sz="4" w:space="0"/>
              <w:left w:val="single" w:color="auto" w:sz="4" w:space="0"/>
              <w:bottom w:val="single" w:color="auto" w:sz="4" w:space="0"/>
              <w:right w:val="single" w:color="auto" w:sz="4" w:space="0"/>
            </w:tcBorders>
            <w:vAlign w:val="center"/>
          </w:tcPr>
          <w:p w14:paraId="05550DC0">
            <w:pPr>
              <w:pStyle w:val="52"/>
              <w:keepNext w:val="0"/>
              <w:keepLines w:val="0"/>
              <w:pageBreakBefore w:val="0"/>
              <w:widowControl/>
              <w:kinsoku/>
              <w:wordWrap/>
              <w:topLinePunct w:val="0"/>
              <w:bidi w:val="0"/>
              <w:spacing w:line="240" w:lineRule="auto"/>
              <w:ind w:firstLine="0" w:firstLineChars="0"/>
              <w:rPr>
                <w:rFonts w:hint="default" w:ascii="Times New Roman" w:hAnsi="Times New Roman" w:cs="Times New Roman"/>
                <w:color w:val="auto"/>
                <w:sz w:val="21"/>
                <w:szCs w:val="21"/>
                <w:highlight w:val="none"/>
              </w:rPr>
            </w:pPr>
            <w:r>
              <w:rPr>
                <w:rFonts w:hint="eastAsia"/>
                <w:color w:val="auto"/>
                <w:highlight w:val="none"/>
                <w:lang w:val="en-US" w:eastAsia="zh-CN"/>
              </w:rPr>
              <w:t>1.2</w:t>
            </w:r>
            <w:r>
              <w:rPr>
                <w:color w:val="auto"/>
                <w:highlight w:val="none"/>
                <w:lang w:bidi="ar"/>
              </w:rPr>
              <w:t>×10</w:t>
            </w:r>
            <w:r>
              <w:rPr>
                <w:color w:val="auto"/>
                <w:highlight w:val="none"/>
                <w:vertAlign w:val="superscript"/>
                <w:lang w:bidi="ar"/>
              </w:rPr>
              <w:t>4</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7019A5E9">
            <w:pPr>
              <w:keepNext w:val="0"/>
              <w:keepLines w:val="0"/>
              <w:pageBreakBefore w:val="0"/>
              <w:widowControl/>
              <w:shd w:val="clear"/>
              <w:kinsoku/>
              <w:wordWrap/>
              <w:topLinePunct w:val="0"/>
              <w:bidi w:val="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500" w:type="pct"/>
            <w:tcBorders>
              <w:top w:val="single" w:color="auto" w:sz="4" w:space="0"/>
              <w:left w:val="single" w:color="auto" w:sz="4" w:space="0"/>
              <w:bottom w:val="single" w:color="auto" w:sz="4" w:space="0"/>
              <w:right w:val="single" w:color="auto" w:sz="4" w:space="0"/>
            </w:tcBorders>
            <w:vAlign w:val="center"/>
          </w:tcPr>
          <w:p w14:paraId="774FB076">
            <w:pPr>
              <w:keepNext w:val="0"/>
              <w:keepLines w:val="0"/>
              <w:pageBreakBefore w:val="0"/>
              <w:widowControl/>
              <w:shd w:val="clear"/>
              <w:kinsoku/>
              <w:wordWrap/>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64" w:type="pct"/>
            <w:tcBorders>
              <w:top w:val="single" w:color="auto" w:sz="4" w:space="0"/>
              <w:left w:val="single" w:color="auto" w:sz="4" w:space="0"/>
              <w:bottom w:val="single" w:color="auto" w:sz="4" w:space="0"/>
              <w:right w:val="single" w:color="auto" w:sz="4" w:space="0"/>
            </w:tcBorders>
            <w:vAlign w:val="center"/>
          </w:tcPr>
          <w:p w14:paraId="6A3BFCDA">
            <w:pPr>
              <w:pStyle w:val="51"/>
              <w:keepNext w:val="0"/>
              <w:keepLines w:val="0"/>
              <w:pageBreakBefore w:val="0"/>
              <w:widowControl/>
              <w:shd w:val="clear"/>
              <w:kinsoku/>
              <w:wordWrap/>
              <w:topLinePunct w:val="0"/>
              <w:bidi w:val="0"/>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c>
          <w:tcPr>
            <w:tcW w:w="671" w:type="pct"/>
            <w:tcBorders>
              <w:top w:val="single" w:color="auto" w:sz="4" w:space="0"/>
              <w:left w:val="single" w:color="auto" w:sz="4" w:space="0"/>
              <w:bottom w:val="single" w:color="auto" w:sz="4" w:space="0"/>
              <w:right w:val="single" w:color="auto" w:sz="4" w:space="0"/>
            </w:tcBorders>
            <w:vAlign w:val="center"/>
          </w:tcPr>
          <w:p w14:paraId="01B54E86">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30" w:type="pct"/>
            <w:tcBorders>
              <w:top w:val="single" w:color="auto" w:sz="4" w:space="0"/>
              <w:left w:val="single" w:color="auto" w:sz="4" w:space="0"/>
              <w:bottom w:val="single" w:color="auto" w:sz="4" w:space="0"/>
              <w:right w:val="single" w:color="auto" w:sz="4" w:space="0"/>
            </w:tcBorders>
            <w:vAlign w:val="center"/>
          </w:tcPr>
          <w:p w14:paraId="2B31F50D">
            <w:pPr>
              <w:pStyle w:val="51"/>
              <w:keepNext w:val="0"/>
              <w:keepLines w:val="0"/>
              <w:pageBreakBefore w:val="0"/>
              <w:widowControl/>
              <w:shd w:val="clear"/>
              <w:kinsoku/>
              <w:wordWrap/>
              <w:topLinePunct w:val="0"/>
              <w:bidi w:val="0"/>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c>
          <w:tcPr>
            <w:tcW w:w="564" w:type="pct"/>
            <w:tcBorders>
              <w:top w:val="single" w:color="auto" w:sz="4" w:space="0"/>
              <w:left w:val="single" w:color="auto" w:sz="4" w:space="0"/>
              <w:bottom w:val="single" w:color="auto" w:sz="4" w:space="0"/>
              <w:right w:val="single" w:color="auto" w:sz="4" w:space="0"/>
            </w:tcBorders>
            <w:vAlign w:val="center"/>
          </w:tcPr>
          <w:p w14:paraId="398CAE0B">
            <w:pPr>
              <w:pStyle w:val="51"/>
              <w:keepNext w:val="0"/>
              <w:keepLines w:val="0"/>
              <w:pageBreakBefore w:val="0"/>
              <w:widowControl/>
              <w:shd w:val="clear"/>
              <w:kinsoku/>
              <w:wordWrap/>
              <w:topLinePunct w:val="0"/>
              <w:bidi w:val="0"/>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r>
      <w:tr w14:paraId="32DE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14:paraId="7ECC804E">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三、固废</w:t>
            </w:r>
          </w:p>
        </w:tc>
        <w:tc>
          <w:tcPr>
            <w:tcW w:w="274" w:type="pct"/>
            <w:tcBorders>
              <w:top w:val="single" w:color="auto" w:sz="4" w:space="0"/>
              <w:left w:val="single" w:color="auto" w:sz="4" w:space="0"/>
              <w:bottom w:val="single" w:color="auto" w:sz="4" w:space="0"/>
              <w:right w:val="single" w:color="auto" w:sz="4" w:space="0"/>
            </w:tcBorders>
            <w:vAlign w:val="center"/>
          </w:tcPr>
          <w:p w14:paraId="1BF423C7">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631" w:type="pct"/>
            <w:tcBorders>
              <w:top w:val="single" w:color="auto" w:sz="4" w:space="0"/>
              <w:left w:val="single" w:color="auto" w:sz="4" w:space="0"/>
              <w:bottom w:val="single" w:color="auto" w:sz="4" w:space="0"/>
              <w:right w:val="single" w:color="auto" w:sz="4" w:space="0"/>
            </w:tcBorders>
            <w:vAlign w:val="center"/>
          </w:tcPr>
          <w:p w14:paraId="0207EC38">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017D498F">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p>
        </w:tc>
        <w:tc>
          <w:tcPr>
            <w:tcW w:w="500" w:type="pct"/>
            <w:tcBorders>
              <w:top w:val="single" w:color="auto" w:sz="4" w:space="0"/>
              <w:left w:val="single" w:color="auto" w:sz="4" w:space="0"/>
              <w:bottom w:val="single" w:color="auto" w:sz="4" w:space="0"/>
              <w:right w:val="single" w:color="auto" w:sz="4" w:space="0"/>
            </w:tcBorders>
            <w:vAlign w:val="center"/>
          </w:tcPr>
          <w:p w14:paraId="42D9BCD2">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14:paraId="2FF50045">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671" w:type="pct"/>
            <w:tcBorders>
              <w:top w:val="single" w:color="auto" w:sz="4" w:space="0"/>
              <w:left w:val="single" w:color="auto" w:sz="4" w:space="0"/>
              <w:bottom w:val="single" w:color="auto" w:sz="4" w:space="0"/>
              <w:right w:val="single" w:color="auto" w:sz="4" w:space="0"/>
            </w:tcBorders>
            <w:vAlign w:val="center"/>
          </w:tcPr>
          <w:p w14:paraId="01FACD22">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530" w:type="pct"/>
            <w:tcBorders>
              <w:top w:val="single" w:color="auto" w:sz="4" w:space="0"/>
              <w:left w:val="single" w:color="auto" w:sz="4" w:space="0"/>
              <w:bottom w:val="single" w:color="auto" w:sz="4" w:space="0"/>
              <w:right w:val="single" w:color="auto" w:sz="4" w:space="0"/>
            </w:tcBorders>
            <w:vAlign w:val="center"/>
          </w:tcPr>
          <w:p w14:paraId="124CE6E1">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14:paraId="7A4EC386">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p>
        </w:tc>
      </w:tr>
      <w:tr w14:paraId="4E2C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14:paraId="037337F9">
            <w:pPr>
              <w:pStyle w:val="51"/>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ind w:left="-120" w:leftChars="-5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含油废物</w:t>
            </w:r>
          </w:p>
        </w:tc>
        <w:tc>
          <w:tcPr>
            <w:tcW w:w="274" w:type="pct"/>
            <w:tcBorders>
              <w:top w:val="single" w:color="auto" w:sz="4" w:space="0"/>
              <w:left w:val="single" w:color="auto" w:sz="4" w:space="0"/>
              <w:bottom w:val="single" w:color="auto" w:sz="4" w:space="0"/>
              <w:right w:val="single" w:color="auto" w:sz="4" w:space="0"/>
            </w:tcBorders>
            <w:vAlign w:val="center"/>
          </w:tcPr>
          <w:p w14:paraId="5C622885">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1087" w:type="dxa"/>
            <w:tcBorders>
              <w:top w:val="single" w:color="auto" w:sz="4" w:space="0"/>
              <w:left w:val="single" w:color="auto" w:sz="4" w:space="0"/>
              <w:bottom w:val="single" w:color="auto" w:sz="4" w:space="0"/>
              <w:right w:val="single" w:color="auto" w:sz="4" w:space="0"/>
            </w:tcBorders>
            <w:vAlign w:val="center"/>
          </w:tcPr>
          <w:p w14:paraId="2C18A432">
            <w:pPr>
              <w:pStyle w:val="52"/>
              <w:ind w:firstLine="0" w:firstLineChars="0"/>
              <w:rPr>
                <w:rFonts w:hint="default" w:ascii="Times New Roman" w:hAnsi="Times New Roman" w:cs="Times New Roman"/>
                <w:color w:val="auto"/>
                <w:sz w:val="21"/>
                <w:szCs w:val="21"/>
                <w:highlight w:val="none"/>
              </w:rPr>
            </w:pPr>
            <w:r>
              <w:rPr>
                <w:color w:val="auto"/>
                <w:highlight w:val="none"/>
                <w:lang w:bidi="ar"/>
              </w:rPr>
              <w:t>0.9×10</w:t>
            </w:r>
            <w:r>
              <w:rPr>
                <w:color w:val="auto"/>
                <w:highlight w:val="none"/>
                <w:vertAlign w:val="superscript"/>
                <w:lang w:bidi="ar"/>
              </w:rPr>
              <w:t>4</w:t>
            </w: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3FA71F9B">
            <w:pPr>
              <w:pStyle w:val="52"/>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lang w:bidi="ar"/>
              </w:rPr>
              <w:t>0.9×10</w:t>
            </w:r>
            <w:r>
              <w:rPr>
                <w:color w:val="auto"/>
                <w:highlight w:val="none"/>
                <w:vertAlign w:val="superscript"/>
                <w:lang w:bidi="ar"/>
              </w:rPr>
              <w:t>4</w:t>
            </w:r>
          </w:p>
        </w:tc>
        <w:tc>
          <w:tcPr>
            <w:tcW w:w="500" w:type="pct"/>
            <w:tcBorders>
              <w:top w:val="single" w:color="auto" w:sz="4" w:space="0"/>
              <w:left w:val="single" w:color="auto" w:sz="4" w:space="0"/>
              <w:bottom w:val="single" w:color="auto" w:sz="4" w:space="0"/>
              <w:right w:val="single" w:color="auto" w:sz="4" w:space="0"/>
            </w:tcBorders>
            <w:vAlign w:val="center"/>
          </w:tcPr>
          <w:p w14:paraId="59E78F32">
            <w:pPr>
              <w:pStyle w:val="51"/>
              <w:keepNext w:val="0"/>
              <w:keepLines w:val="0"/>
              <w:pageBreakBefore w:val="0"/>
              <w:widowControl/>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564" w:type="pct"/>
            <w:tcBorders>
              <w:top w:val="single" w:color="auto" w:sz="4" w:space="0"/>
              <w:left w:val="single" w:color="auto" w:sz="4" w:space="0"/>
              <w:bottom w:val="single" w:color="auto" w:sz="4" w:space="0"/>
              <w:right w:val="single" w:color="auto" w:sz="4" w:space="0"/>
            </w:tcBorders>
            <w:vAlign w:val="center"/>
          </w:tcPr>
          <w:p w14:paraId="3981A870">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w:t>
            </w:r>
          </w:p>
        </w:tc>
        <w:tc>
          <w:tcPr>
            <w:tcW w:w="671" w:type="pct"/>
            <w:tcBorders>
              <w:top w:val="single" w:color="auto" w:sz="4" w:space="0"/>
              <w:left w:val="single" w:color="auto" w:sz="4" w:space="0"/>
              <w:bottom w:val="single" w:color="auto" w:sz="4" w:space="0"/>
              <w:right w:val="single" w:color="auto" w:sz="4" w:space="0"/>
            </w:tcBorders>
            <w:vAlign w:val="center"/>
          </w:tcPr>
          <w:p w14:paraId="75886235">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30" w:type="pct"/>
            <w:tcBorders>
              <w:top w:val="single" w:color="auto" w:sz="4" w:space="0"/>
              <w:left w:val="single" w:color="auto" w:sz="4" w:space="0"/>
              <w:bottom w:val="single" w:color="auto" w:sz="4" w:space="0"/>
              <w:right w:val="single" w:color="auto" w:sz="4" w:space="0"/>
            </w:tcBorders>
            <w:vAlign w:val="center"/>
          </w:tcPr>
          <w:p w14:paraId="1A9A4793">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w:t>
            </w:r>
          </w:p>
        </w:tc>
        <w:tc>
          <w:tcPr>
            <w:tcW w:w="564" w:type="pct"/>
            <w:tcBorders>
              <w:top w:val="single" w:color="auto" w:sz="4" w:space="0"/>
              <w:left w:val="single" w:color="auto" w:sz="4" w:space="0"/>
              <w:bottom w:val="single" w:color="auto" w:sz="4" w:space="0"/>
              <w:right w:val="single" w:color="auto" w:sz="4" w:space="0"/>
            </w:tcBorders>
            <w:vAlign w:val="center"/>
          </w:tcPr>
          <w:p w14:paraId="511B57CC">
            <w:pPr>
              <w:pStyle w:val="51"/>
              <w:keepNext w:val="0"/>
              <w:keepLines w:val="0"/>
              <w:pageBreakBefore w:val="0"/>
              <w:widowControl/>
              <w:shd w:val="clear"/>
              <w:kinsoku/>
              <w:wordWrap/>
              <w:topLinePunct w:val="0"/>
              <w:bidi w:val="0"/>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r>
      <w:tr w14:paraId="1208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14:paraId="5D1C269A">
            <w:pPr>
              <w:pStyle w:val="51"/>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ind w:left="-120" w:leftChars="-5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c>
          <w:tcPr>
            <w:tcW w:w="274" w:type="pct"/>
            <w:tcBorders>
              <w:top w:val="single" w:color="auto" w:sz="4" w:space="0"/>
              <w:left w:val="single" w:color="auto" w:sz="4" w:space="0"/>
              <w:bottom w:val="single" w:color="auto" w:sz="4" w:space="0"/>
              <w:right w:val="single" w:color="auto" w:sz="4" w:space="0"/>
            </w:tcBorders>
            <w:vAlign w:val="center"/>
          </w:tcPr>
          <w:p w14:paraId="58F02EB3">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1087" w:type="dxa"/>
            <w:tcBorders>
              <w:top w:val="single" w:color="auto" w:sz="4" w:space="0"/>
              <w:left w:val="single" w:color="auto" w:sz="4" w:space="0"/>
              <w:bottom w:val="single" w:color="auto" w:sz="4" w:space="0"/>
              <w:right w:val="single" w:color="auto" w:sz="4" w:space="0"/>
            </w:tcBorders>
            <w:vAlign w:val="center"/>
          </w:tcPr>
          <w:p w14:paraId="156287BC">
            <w:pPr>
              <w:pStyle w:val="52"/>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bidi="ar"/>
              </w:rPr>
              <w:t>128</w:t>
            </w: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27BB6424">
            <w:pPr>
              <w:pStyle w:val="52"/>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highlight w:val="none"/>
                <w:lang w:val="en-US" w:eastAsia="zh-CN" w:bidi="ar"/>
              </w:rPr>
              <w:t>128</w:t>
            </w:r>
          </w:p>
        </w:tc>
        <w:tc>
          <w:tcPr>
            <w:tcW w:w="500" w:type="pct"/>
            <w:tcBorders>
              <w:top w:val="single" w:color="auto" w:sz="4" w:space="0"/>
              <w:left w:val="single" w:color="auto" w:sz="4" w:space="0"/>
              <w:bottom w:val="single" w:color="auto" w:sz="4" w:space="0"/>
              <w:right w:val="single" w:color="auto" w:sz="4" w:space="0"/>
            </w:tcBorders>
            <w:vAlign w:val="center"/>
          </w:tcPr>
          <w:p w14:paraId="41E4FE35">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64" w:type="pct"/>
            <w:tcBorders>
              <w:top w:val="single" w:color="auto" w:sz="4" w:space="0"/>
              <w:left w:val="single" w:color="auto" w:sz="4" w:space="0"/>
              <w:bottom w:val="single" w:color="auto" w:sz="4" w:space="0"/>
              <w:right w:val="single" w:color="auto" w:sz="4" w:space="0"/>
            </w:tcBorders>
            <w:vAlign w:val="center"/>
          </w:tcPr>
          <w:p w14:paraId="488F8FE6">
            <w:pPr>
              <w:pStyle w:val="51"/>
              <w:keepNext w:val="0"/>
              <w:keepLines w:val="0"/>
              <w:pageBreakBefore w:val="0"/>
              <w:widowControl/>
              <w:shd w:val="clear"/>
              <w:kinsoku/>
              <w:wordWrap/>
              <w:topLinePunct w:val="0"/>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71" w:type="pct"/>
            <w:tcBorders>
              <w:top w:val="single" w:color="auto" w:sz="4" w:space="0"/>
              <w:left w:val="single" w:color="auto" w:sz="4" w:space="0"/>
              <w:bottom w:val="single" w:color="auto" w:sz="4" w:space="0"/>
              <w:right w:val="single" w:color="auto" w:sz="4" w:space="0"/>
            </w:tcBorders>
            <w:vAlign w:val="center"/>
          </w:tcPr>
          <w:p w14:paraId="3CCD1341">
            <w:pPr>
              <w:pStyle w:val="51"/>
              <w:keepNext w:val="0"/>
              <w:keepLines w:val="0"/>
              <w:pageBreakBefore w:val="0"/>
              <w:widowControl/>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530" w:type="pct"/>
            <w:tcBorders>
              <w:top w:val="single" w:color="auto" w:sz="4" w:space="0"/>
              <w:left w:val="single" w:color="auto" w:sz="4" w:space="0"/>
              <w:bottom w:val="single" w:color="auto" w:sz="4" w:space="0"/>
              <w:right w:val="single" w:color="auto" w:sz="4" w:space="0"/>
            </w:tcBorders>
            <w:vAlign w:val="center"/>
          </w:tcPr>
          <w:p w14:paraId="74AF3A6F">
            <w:pPr>
              <w:pStyle w:val="51"/>
              <w:keepNext w:val="0"/>
              <w:keepLines w:val="0"/>
              <w:pageBreakBefore w:val="0"/>
              <w:widowControl/>
              <w:shd w:val="clear"/>
              <w:kinsoku/>
              <w:wordWrap/>
              <w:topLinePunct w:val="0"/>
              <w:bidi w:val="0"/>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64" w:type="pct"/>
            <w:tcBorders>
              <w:top w:val="single" w:color="auto" w:sz="4" w:space="0"/>
              <w:left w:val="single" w:color="auto" w:sz="4" w:space="0"/>
              <w:bottom w:val="single" w:color="auto" w:sz="4" w:space="0"/>
              <w:right w:val="single" w:color="auto" w:sz="4" w:space="0"/>
            </w:tcBorders>
            <w:vAlign w:val="center"/>
          </w:tcPr>
          <w:p w14:paraId="2AF59BA9">
            <w:pPr>
              <w:pStyle w:val="51"/>
              <w:keepNext w:val="0"/>
              <w:keepLines w:val="0"/>
              <w:pageBreakBefore w:val="0"/>
              <w:widowControl/>
              <w:shd w:val="clear"/>
              <w:kinsoku/>
              <w:wordWrap/>
              <w:topLinePunct w:val="0"/>
              <w:bidi w:val="0"/>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r>
    </w:tbl>
    <w:p w14:paraId="4FFCA284">
      <w:pPr>
        <w:pStyle w:val="5"/>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outlineLvl w:val="1"/>
        <w:rPr>
          <w:rFonts w:hint="default" w:ascii="Times New Roman" w:hAnsi="Times New Roman" w:cs="Times New Roman"/>
          <w:color w:val="auto"/>
          <w:sz w:val="30"/>
          <w:szCs w:val="30"/>
          <w:highlight w:val="none"/>
        </w:rPr>
      </w:pPr>
      <w:bookmarkStart w:id="259" w:name="_Toc4447"/>
      <w:bookmarkStart w:id="260" w:name="_Toc20693"/>
      <w:r>
        <w:rPr>
          <w:rFonts w:hint="default" w:ascii="Times New Roman" w:hAnsi="Times New Roman" w:cs="Times New Roman"/>
          <w:color w:val="auto"/>
          <w:sz w:val="30"/>
          <w:szCs w:val="30"/>
          <w:highlight w:val="none"/>
        </w:rPr>
        <w:t>3.</w:t>
      </w:r>
      <w:r>
        <w:rPr>
          <w:rFonts w:hint="default" w:ascii="Times New Roman" w:hAnsi="Times New Roman" w:cs="Times New Roman"/>
          <w:color w:val="auto"/>
          <w:sz w:val="30"/>
          <w:szCs w:val="30"/>
          <w:highlight w:val="none"/>
          <w:lang w:val="en-US" w:eastAsia="zh-CN"/>
        </w:rPr>
        <w:t>5</w:t>
      </w:r>
      <w:r>
        <w:rPr>
          <w:rFonts w:hint="default" w:ascii="Times New Roman" w:hAnsi="Times New Roman" w:cs="Times New Roman"/>
          <w:color w:val="auto"/>
          <w:sz w:val="30"/>
          <w:szCs w:val="30"/>
          <w:highlight w:val="none"/>
        </w:rPr>
        <w:t>清洁生产</w:t>
      </w:r>
      <w:r>
        <w:rPr>
          <w:rFonts w:hint="default" w:ascii="Times New Roman" w:hAnsi="Times New Roman" w:cs="Times New Roman"/>
          <w:b/>
          <w:bCs w:val="0"/>
          <w:color w:val="auto"/>
          <w:highlight w:val="none"/>
        </w:rPr>
        <w:t>水平</w:t>
      </w:r>
      <w:r>
        <w:rPr>
          <w:rFonts w:hint="default" w:ascii="Times New Roman" w:hAnsi="Times New Roman" w:cs="Times New Roman"/>
          <w:color w:val="auto"/>
          <w:sz w:val="30"/>
          <w:szCs w:val="30"/>
          <w:highlight w:val="none"/>
        </w:rPr>
        <w:t>分析</w:t>
      </w:r>
      <w:bookmarkEnd w:id="257"/>
      <w:bookmarkEnd w:id="259"/>
      <w:bookmarkEnd w:id="260"/>
    </w:p>
    <w:p w14:paraId="75E6EF69">
      <w:pPr>
        <w:keepNext/>
        <w:keepLines/>
        <w:pageBreakBefore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color w:val="auto"/>
          <w:sz w:val="28"/>
          <w:szCs w:val="22"/>
          <w:highlight w:val="none"/>
          <w:lang w:val="en-US" w:eastAsia="zh-CN"/>
        </w:rPr>
      </w:pPr>
      <w:bookmarkStart w:id="261" w:name="_Toc26862"/>
      <w:bookmarkStart w:id="262" w:name="_Toc6504"/>
      <w:r>
        <w:rPr>
          <w:rFonts w:hint="default" w:ascii="Times New Roman" w:hAnsi="Times New Roman" w:eastAsia="宋体" w:cs="Times New Roman"/>
          <w:b/>
          <w:color w:val="auto"/>
          <w:sz w:val="28"/>
          <w:szCs w:val="22"/>
          <w:highlight w:val="none"/>
          <w:lang w:val="en-US" w:eastAsia="zh-CN"/>
        </w:rPr>
        <w:t>3.5.1</w:t>
      </w:r>
      <w:bookmarkEnd w:id="258"/>
      <w:bookmarkEnd w:id="261"/>
      <w:bookmarkEnd w:id="262"/>
      <w:r>
        <w:rPr>
          <w:rFonts w:hint="default" w:ascii="Times New Roman" w:hAnsi="Times New Roman" w:eastAsia="宋体" w:cs="Times New Roman"/>
          <w:b/>
          <w:color w:val="auto"/>
          <w:sz w:val="28"/>
          <w:szCs w:val="22"/>
          <w:highlight w:val="none"/>
          <w:lang w:val="en-US" w:eastAsia="en-US"/>
        </w:rPr>
        <w:t>钻井过程的清洁生产工艺</w:t>
      </w:r>
    </w:p>
    <w:p w14:paraId="2D215838">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（1）采取小井眼钻井工艺技术，减少固体废物的排放。</w:t>
      </w:r>
    </w:p>
    <w:p w14:paraId="322890DA">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（2）在钻井、注水、防砂等钻采工艺中，采取防渗漏措施（下入表层套管），防止钻井化学药剂对地下水的污染。</w:t>
      </w:r>
    </w:p>
    <w:p w14:paraId="6ED7D484">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（3）钻井过程中，采用钻井泥浆循环系统、泥浆泵冷却水循环系统、废油品回收专用罐、钻井污水循环回收罐等环保设施，最大限度减少污染物排放量。</w:t>
      </w:r>
    </w:p>
    <w:p w14:paraId="24E73A6D">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（4）钻井泥浆循环利用率（重复利用）达到90%以上，最大限度地减少废泥浆的产生量和污染物的排放量。</w:t>
      </w:r>
    </w:p>
    <w:p w14:paraId="799C73AA">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具体规定如下：</w:t>
      </w:r>
    </w:p>
    <w:p w14:paraId="6D457330">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①通过完善和加强作业废液的循环利用系统，将作业井场的钻井废液回收入罐，并进行集中处理。对泥浆类废液经过简单的沉淀、过滤等</w:t>
      </w:r>
      <w:r>
        <w:rPr>
          <w:rFonts w:hint="eastAsia" w:cs="Times New Roman"/>
          <w:color w:val="auto"/>
          <w:highlight w:val="none"/>
          <w:lang w:eastAsia="zh-CN"/>
        </w:rPr>
        <w:t>去除</w:t>
      </w:r>
      <w:r>
        <w:rPr>
          <w:rFonts w:hint="default" w:ascii="Times New Roman" w:hAnsi="Times New Roman" w:cs="Times New Roman"/>
          <w:color w:val="auto"/>
          <w:highlight w:val="none"/>
        </w:rPr>
        <w:t>有机杂质后再进行利用，使其资源化，有效减少泥浆使用量。</w:t>
      </w:r>
    </w:p>
    <w:p w14:paraId="6BBA032C">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②钻井过程中使用小循环，转换钻井泥浆及完井泥浆回收处理利用；井队充分回收利用污水，泥浆泵、水刹车的冷却水循环使用，冲洗钻台等污水经防渗污水池（防渗材料：采用土工膜）沉淀处理后，打入污水循环回收罐循环使用。</w:t>
      </w:r>
    </w:p>
    <w:p w14:paraId="24E59E3C">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③完井后的泥浆药品等泥浆材料全部回收，废机油及其他油品全部交有资质单位处理，恢复地貌，做到“工完、料尽、场地清”。</w:t>
      </w:r>
    </w:p>
    <w:p w14:paraId="30D70719">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④配备先进完善的固控设备，并保证其运转使用率，努力控制钻井液中无用固相含量为最低，保证其性能优良，从而大大减少废弃泥浆产生量。</w:t>
      </w:r>
    </w:p>
    <w:p w14:paraId="1E322AB5">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（5）采用低固相优质钻井液，尽量减少泥浆浸泡油层时间，保护储层。</w:t>
      </w:r>
    </w:p>
    <w:p w14:paraId="256032B9">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（6）设置井控装置（防喷器等），并采取了防止井喷和井漏的技术措施，以及防止井喷事故对环境造成污染影响。</w:t>
      </w:r>
    </w:p>
    <w:p w14:paraId="4A786A5B">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（7）钻井废水、废钻井泥浆等钻井废物排放均控制在井场范围内，并采取了防渗措施，以避免对土壤和地下水环境造成污染影响。</w:t>
      </w:r>
    </w:p>
    <w:p w14:paraId="2796D6D7">
      <w:pPr>
        <w:pStyle w:val="12"/>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（8）完钻后剩余的泥浆统一回收后供</w:t>
      </w:r>
      <w:r>
        <w:rPr>
          <w:rFonts w:hint="eastAsia" w:ascii="Times New Roman" w:hAnsi="Times New Roman" w:cs="Times New Roman"/>
          <w:color w:val="auto"/>
          <w:highlight w:val="none"/>
          <w:lang w:val="en-US" w:eastAsia="zh-CN"/>
        </w:rPr>
        <w:t>其他</w:t>
      </w:r>
      <w:r>
        <w:rPr>
          <w:rFonts w:hint="default" w:ascii="Times New Roman" w:hAnsi="Times New Roman" w:cs="Times New Roman"/>
          <w:color w:val="auto"/>
          <w:highlight w:val="none"/>
        </w:rPr>
        <w:t>钻井使用，</w:t>
      </w:r>
      <w:r>
        <w:rPr>
          <w:rFonts w:hint="default" w:ascii="Times New Roman" w:hAnsi="Times New Roman" w:cs="Times New Roman"/>
          <w:color w:val="auto"/>
          <w:highlight w:val="none"/>
          <w:lang w:bidi="ar"/>
        </w:rPr>
        <w:t>钻井岩屑采用不落地系统进行处理，处理后的岩屑</w:t>
      </w:r>
      <w:r>
        <w:rPr>
          <w:rFonts w:hint="default" w:ascii="Times New Roman" w:hAnsi="Times New Roman" w:cs="Times New Roman"/>
          <w:color w:val="auto"/>
          <w:highlight w:val="none"/>
          <w:lang w:eastAsia="zh-CN" w:bidi="ar"/>
        </w:rPr>
        <w:t>满足《油气田钻井固体废物综合利用污染控制要求》（DB65/T3997-2017）中综合利用污染物限值要求，同时石油烃满足《土壤环境质量建设用地土壤污染风险管控标准（试行）》（GB36600-2018）中表2第二类用地风险筛选值后，</w:t>
      </w:r>
      <w:r>
        <w:rPr>
          <w:rFonts w:hint="default" w:ascii="Times New Roman" w:hAnsi="Times New Roman" w:cs="Times New Roman"/>
          <w:color w:val="auto"/>
          <w:highlight w:val="none"/>
          <w:lang w:bidi="ar"/>
        </w:rPr>
        <w:t>用于铺设通井路、铺垫井场等</w:t>
      </w:r>
      <w:r>
        <w:rPr>
          <w:rFonts w:hint="default" w:ascii="Times New Roman" w:hAnsi="Times New Roman" w:cs="Times New Roman"/>
          <w:color w:val="auto"/>
          <w:highlight w:val="none"/>
        </w:rPr>
        <w:t>。</w:t>
      </w:r>
    </w:p>
    <w:p w14:paraId="362A913A">
      <w:pPr>
        <w:keepNext/>
        <w:keepLines/>
        <w:pageBreakBefore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color w:val="auto"/>
          <w:sz w:val="28"/>
          <w:szCs w:val="22"/>
          <w:highlight w:val="none"/>
          <w:lang w:val="en-US" w:eastAsia="zh-CN"/>
        </w:rPr>
      </w:pPr>
      <w:r>
        <w:rPr>
          <w:rFonts w:hint="default" w:ascii="Times New Roman" w:hAnsi="Times New Roman" w:eastAsia="宋体" w:cs="Times New Roman"/>
          <w:b/>
          <w:color w:val="auto"/>
          <w:sz w:val="28"/>
          <w:szCs w:val="22"/>
          <w:highlight w:val="none"/>
          <w:lang w:val="en-US" w:eastAsia="zh-CN"/>
        </w:rPr>
        <w:fldChar w:fldCharType="begin"/>
      </w:r>
      <w:r>
        <w:rPr>
          <w:rFonts w:hint="default" w:ascii="Times New Roman" w:hAnsi="Times New Roman" w:eastAsia="宋体" w:cs="Times New Roman"/>
          <w:b/>
          <w:color w:val="auto"/>
          <w:sz w:val="28"/>
          <w:szCs w:val="22"/>
          <w:highlight w:val="none"/>
          <w:lang w:val="en-US" w:eastAsia="zh-CN"/>
        </w:rPr>
        <w:instrText xml:space="preserve"> HYPERLINK "3.3.1.2" </w:instrText>
      </w:r>
      <w:r>
        <w:rPr>
          <w:rFonts w:hint="default" w:ascii="Times New Roman" w:hAnsi="Times New Roman" w:eastAsia="宋体" w:cs="Times New Roman"/>
          <w:b/>
          <w:color w:val="auto"/>
          <w:sz w:val="28"/>
          <w:szCs w:val="22"/>
          <w:highlight w:val="none"/>
          <w:lang w:val="en-US" w:eastAsia="zh-CN"/>
        </w:rPr>
        <w:fldChar w:fldCharType="separate"/>
      </w:r>
      <w:r>
        <w:rPr>
          <w:rFonts w:hint="default" w:ascii="Times New Roman" w:hAnsi="Times New Roman" w:eastAsia="宋体" w:cs="Times New Roman"/>
          <w:b/>
          <w:color w:val="auto"/>
          <w:sz w:val="28"/>
          <w:szCs w:val="22"/>
          <w:highlight w:val="none"/>
          <w:lang w:val="en-US" w:eastAsia="zh-CN"/>
        </w:rPr>
        <w:t>3.5.2</w:t>
      </w:r>
      <w:r>
        <w:rPr>
          <w:rFonts w:hint="default" w:ascii="Times New Roman" w:hAnsi="Times New Roman" w:eastAsia="宋体" w:cs="Times New Roman"/>
          <w:b/>
          <w:color w:val="auto"/>
          <w:sz w:val="28"/>
          <w:szCs w:val="22"/>
          <w:highlight w:val="none"/>
          <w:lang w:val="en-US" w:eastAsia="zh-CN"/>
        </w:rPr>
        <w:fldChar w:fldCharType="end"/>
      </w:r>
      <w:r>
        <w:rPr>
          <w:rFonts w:hint="default" w:ascii="Times New Roman" w:hAnsi="Times New Roman" w:eastAsia="宋体" w:cs="Times New Roman"/>
          <w:b/>
          <w:color w:val="auto"/>
          <w:sz w:val="28"/>
          <w:szCs w:val="22"/>
          <w:highlight w:val="none"/>
          <w:lang w:val="en-US" w:eastAsia="zh-CN"/>
        </w:rPr>
        <w:t>油气集输及处理清洁生产工艺</w:t>
      </w:r>
    </w:p>
    <w:p w14:paraId="7A2D27B7">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（1）采用自动系统对主要采油和集输工艺参数进行控制，能够提高管理水平，尽量简化工艺过程，减少操作人员，同时使集输系统的安全性、可靠性得到保证。</w:t>
      </w:r>
    </w:p>
    <w:p w14:paraId="1D9FB828">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（2）系统采用气液混输工艺，简化流程，方便操作。</w:t>
      </w:r>
    </w:p>
    <w:p w14:paraId="313B82D4">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（3）油气集输</w:t>
      </w:r>
    </w:p>
    <w:p w14:paraId="729FB7AC">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szCs w:val="22"/>
          <w:highlight w:val="none"/>
        </w:rPr>
        <w:t>采出液串接进入计转站后转输进入已建</w:t>
      </w:r>
      <w:r>
        <w:rPr>
          <w:rFonts w:hint="default" w:ascii="Times New Roman" w:hAnsi="Times New Roman" w:cs="Times New Roman"/>
          <w:color w:val="auto"/>
          <w:szCs w:val="22"/>
          <w:highlight w:val="none"/>
          <w:lang w:eastAsia="zh-CN"/>
        </w:rPr>
        <w:t>塔河油田三号联合站</w:t>
      </w:r>
      <w:r>
        <w:rPr>
          <w:rFonts w:hint="default" w:ascii="Times New Roman" w:hAnsi="Times New Roman" w:cs="Times New Roman"/>
          <w:color w:val="auto"/>
          <w:szCs w:val="22"/>
          <w:highlight w:val="none"/>
        </w:rPr>
        <w:t>处理</w:t>
      </w:r>
      <w:r>
        <w:rPr>
          <w:rFonts w:hint="default" w:ascii="Times New Roman" w:hAnsi="Times New Roman" w:cs="Times New Roman"/>
          <w:color w:val="auto"/>
          <w:highlight w:val="none"/>
        </w:rPr>
        <w:t>。</w:t>
      </w:r>
    </w:p>
    <w:p w14:paraId="3946065E">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（4）优化布局，减少建设用地</w:t>
      </w:r>
    </w:p>
    <w:p w14:paraId="6607382C">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对井场及站场按工艺流程进行优化组合，布置紧凑。在集油区将油、水、电、道路等沿地表自然走向敷设，尽量同沟敷设，减少占用林地面积，最大限度地减少对自然环境和景观的破坏。</w:t>
      </w:r>
    </w:p>
    <w:p w14:paraId="434833C0">
      <w:pPr>
        <w:keepNext/>
        <w:keepLines/>
        <w:pageBreakBefore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color w:val="auto"/>
          <w:sz w:val="28"/>
          <w:szCs w:val="22"/>
          <w:highlight w:val="none"/>
          <w:lang w:val="en-US" w:eastAsia="zh-CN"/>
        </w:rPr>
      </w:pPr>
      <w:r>
        <w:rPr>
          <w:rFonts w:hint="default" w:ascii="Times New Roman" w:hAnsi="Times New Roman" w:eastAsia="宋体" w:cs="Times New Roman"/>
          <w:b/>
          <w:color w:val="auto"/>
          <w:sz w:val="28"/>
          <w:szCs w:val="22"/>
          <w:highlight w:val="none"/>
          <w:lang w:val="en-US" w:eastAsia="zh-CN"/>
        </w:rPr>
        <w:fldChar w:fldCharType="begin"/>
      </w:r>
      <w:r>
        <w:rPr>
          <w:rFonts w:hint="default" w:ascii="Times New Roman" w:hAnsi="Times New Roman" w:eastAsia="宋体" w:cs="Times New Roman"/>
          <w:b/>
          <w:color w:val="auto"/>
          <w:sz w:val="28"/>
          <w:szCs w:val="22"/>
          <w:highlight w:val="none"/>
          <w:lang w:val="en-US" w:eastAsia="zh-CN"/>
        </w:rPr>
        <w:instrText xml:space="preserve"> HYPERLINK "3.3.1.3" </w:instrText>
      </w:r>
      <w:r>
        <w:rPr>
          <w:rFonts w:hint="default" w:ascii="Times New Roman" w:hAnsi="Times New Roman" w:eastAsia="宋体" w:cs="Times New Roman"/>
          <w:b/>
          <w:color w:val="auto"/>
          <w:sz w:val="28"/>
          <w:szCs w:val="22"/>
          <w:highlight w:val="none"/>
          <w:lang w:val="en-US" w:eastAsia="zh-CN"/>
        </w:rPr>
        <w:fldChar w:fldCharType="separate"/>
      </w:r>
      <w:r>
        <w:rPr>
          <w:rFonts w:hint="default" w:ascii="Times New Roman" w:hAnsi="Times New Roman" w:eastAsia="宋体" w:cs="Times New Roman"/>
          <w:b/>
          <w:color w:val="auto"/>
          <w:sz w:val="28"/>
          <w:szCs w:val="22"/>
          <w:highlight w:val="none"/>
          <w:lang w:val="en-US" w:eastAsia="zh-CN"/>
        </w:rPr>
        <w:t>3.5.3</w:t>
      </w:r>
      <w:r>
        <w:rPr>
          <w:rFonts w:hint="default" w:ascii="Times New Roman" w:hAnsi="Times New Roman" w:eastAsia="宋体" w:cs="Times New Roman"/>
          <w:b/>
          <w:color w:val="auto"/>
          <w:sz w:val="28"/>
          <w:szCs w:val="22"/>
          <w:highlight w:val="none"/>
          <w:lang w:val="en-US" w:eastAsia="zh-CN"/>
        </w:rPr>
        <w:fldChar w:fldCharType="end"/>
      </w:r>
      <w:r>
        <w:rPr>
          <w:rFonts w:hint="default" w:ascii="Times New Roman" w:hAnsi="Times New Roman" w:eastAsia="宋体" w:cs="Times New Roman"/>
          <w:b/>
          <w:color w:val="auto"/>
          <w:sz w:val="28"/>
          <w:szCs w:val="22"/>
          <w:highlight w:val="none"/>
          <w:lang w:val="en-US" w:eastAsia="zh-CN"/>
        </w:rPr>
        <w:t>井下作业清洁生产工艺</w:t>
      </w:r>
    </w:p>
    <w:p w14:paraId="4EA28ECE">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（1）在井场加强油井井口的密闭，减少井口烃类的无组织挥发。</w:t>
      </w:r>
    </w:p>
    <w:p w14:paraId="41038C67">
      <w:pPr>
        <w:adjustRightInd w:val="0"/>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（2）原油生产过程中起下油管时，安装自封式封井器，避免原油、污水喷出；另外，对运输车辆采取防渗漏、溢流和散落的措施。</w:t>
      </w:r>
    </w:p>
    <w:p w14:paraId="17CF3E62">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（3）在井下作业过程中，对产生的废液拟采用循环作业罐（车）收集，运至</w:t>
      </w:r>
      <w:r>
        <w:rPr>
          <w:rFonts w:hint="default" w:ascii="Times New Roman" w:hAnsi="Times New Roman" w:cs="Times New Roman"/>
          <w:color w:val="auto"/>
          <w:highlight w:val="none"/>
          <w:lang w:eastAsia="zh-CN"/>
        </w:rPr>
        <w:t>塔河油田三号联合站</w:t>
      </w:r>
      <w:r>
        <w:rPr>
          <w:rFonts w:hint="default" w:ascii="Times New Roman" w:hAnsi="Times New Roman" w:cs="Times New Roman"/>
          <w:color w:val="auto"/>
          <w:highlight w:val="none"/>
        </w:rPr>
        <w:t>处理。</w:t>
      </w:r>
    </w:p>
    <w:p w14:paraId="04F08506">
      <w:pPr>
        <w:keepNext/>
        <w:keepLines/>
        <w:pageBreakBefore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color w:val="auto"/>
          <w:szCs w:val="24"/>
          <w:highlight w:val="none"/>
        </w:rPr>
      </w:pPr>
      <w:r>
        <w:rPr>
          <w:rFonts w:hint="default" w:ascii="Times New Roman" w:hAnsi="Times New Roman" w:eastAsia="宋体" w:cs="Times New Roman"/>
          <w:b/>
          <w:color w:val="auto"/>
          <w:sz w:val="28"/>
          <w:szCs w:val="22"/>
          <w:highlight w:val="none"/>
          <w:lang w:val="en-US" w:eastAsia="zh-CN"/>
        </w:rPr>
        <w:fldChar w:fldCharType="begin"/>
      </w:r>
      <w:r>
        <w:rPr>
          <w:rFonts w:hint="default" w:ascii="Times New Roman" w:hAnsi="Times New Roman" w:eastAsia="宋体" w:cs="Times New Roman"/>
          <w:b/>
          <w:color w:val="auto"/>
          <w:sz w:val="28"/>
          <w:szCs w:val="22"/>
          <w:highlight w:val="none"/>
          <w:lang w:val="en-US" w:eastAsia="zh-CN"/>
        </w:rPr>
        <w:instrText xml:space="preserve"> HYPERLINK "3.3.1.4" </w:instrText>
      </w:r>
      <w:r>
        <w:rPr>
          <w:rFonts w:hint="default" w:ascii="Times New Roman" w:hAnsi="Times New Roman" w:eastAsia="宋体" w:cs="Times New Roman"/>
          <w:b/>
          <w:color w:val="auto"/>
          <w:sz w:val="28"/>
          <w:szCs w:val="22"/>
          <w:highlight w:val="none"/>
          <w:lang w:val="en-US" w:eastAsia="zh-CN"/>
        </w:rPr>
        <w:fldChar w:fldCharType="separate"/>
      </w:r>
      <w:r>
        <w:rPr>
          <w:rFonts w:hint="default" w:ascii="Times New Roman" w:hAnsi="Times New Roman" w:eastAsia="宋体" w:cs="Times New Roman"/>
          <w:b/>
          <w:color w:val="auto"/>
          <w:sz w:val="28"/>
          <w:szCs w:val="22"/>
          <w:highlight w:val="none"/>
          <w:lang w:val="en-US" w:eastAsia="zh-CN"/>
        </w:rPr>
        <w:t>3.5.4</w:t>
      </w:r>
      <w:r>
        <w:rPr>
          <w:rFonts w:hint="default" w:ascii="Times New Roman" w:hAnsi="Times New Roman" w:eastAsia="宋体" w:cs="Times New Roman"/>
          <w:b/>
          <w:color w:val="auto"/>
          <w:sz w:val="28"/>
          <w:szCs w:val="22"/>
          <w:highlight w:val="none"/>
          <w:lang w:val="en-US" w:eastAsia="zh-CN"/>
        </w:rPr>
        <w:fldChar w:fldCharType="end"/>
      </w:r>
      <w:r>
        <w:rPr>
          <w:rFonts w:hint="default" w:ascii="Times New Roman" w:hAnsi="Times New Roman" w:eastAsia="宋体" w:cs="Times New Roman"/>
          <w:b/>
          <w:color w:val="auto"/>
          <w:sz w:val="28"/>
          <w:szCs w:val="22"/>
          <w:highlight w:val="none"/>
          <w:lang w:val="en-US" w:eastAsia="zh-CN"/>
        </w:rPr>
        <w:t>节能及其</w:t>
      </w:r>
      <w:r>
        <w:rPr>
          <w:rFonts w:hint="eastAsia" w:cs="Times New Roman"/>
          <w:b/>
          <w:color w:val="auto"/>
          <w:sz w:val="28"/>
          <w:szCs w:val="22"/>
          <w:highlight w:val="none"/>
          <w:lang w:val="en-US" w:eastAsia="zh-CN"/>
        </w:rPr>
        <w:t>他</w:t>
      </w:r>
      <w:r>
        <w:rPr>
          <w:rFonts w:hint="default" w:ascii="Times New Roman" w:hAnsi="Times New Roman" w:eastAsia="宋体" w:cs="Times New Roman"/>
          <w:b/>
          <w:color w:val="auto"/>
          <w:sz w:val="28"/>
          <w:szCs w:val="22"/>
          <w:highlight w:val="none"/>
          <w:lang w:val="en-US" w:eastAsia="zh-CN"/>
        </w:rPr>
        <w:t>清洁生产措施分析</w:t>
      </w:r>
    </w:p>
    <w:p w14:paraId="2014A99D">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（1）采用高压管道，可减少管网的维修，延长管道使用寿命。</w:t>
      </w:r>
    </w:p>
    <w:p w14:paraId="60CD0F47">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（2）选用节能型电气设备。站场的动力、供电等设备根据设计所确定的用电负荷，在保证安全要求的前提下，选择节能型的设备，防止造成大量能耗，从而降低生产成本。</w:t>
      </w:r>
    </w:p>
    <w:p w14:paraId="48DFB8E8">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lang w:eastAsia="zh-CN"/>
        </w:rPr>
        <w:t>（3）集油区采用自动化管理，实现无人值守，提高了管理水平</w:t>
      </w:r>
      <w:r>
        <w:rPr>
          <w:rFonts w:hint="default" w:ascii="Times New Roman" w:hAnsi="Times New Roman" w:cs="Times New Roman"/>
          <w:color w:val="auto"/>
          <w:highlight w:val="none"/>
        </w:rPr>
        <w:t>。</w:t>
      </w:r>
    </w:p>
    <w:p w14:paraId="49D938E6">
      <w:pPr>
        <w:keepNext/>
        <w:keepLines/>
        <w:pageBreakBefore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color w:val="auto"/>
          <w:sz w:val="28"/>
          <w:szCs w:val="22"/>
          <w:highlight w:val="none"/>
          <w:lang w:val="en-US" w:eastAsia="zh-CN"/>
        </w:rPr>
      </w:pPr>
      <w:r>
        <w:rPr>
          <w:rFonts w:hint="default" w:ascii="Times New Roman" w:hAnsi="Times New Roman" w:eastAsia="宋体" w:cs="Times New Roman"/>
          <w:b/>
          <w:color w:val="auto"/>
          <w:sz w:val="28"/>
          <w:szCs w:val="22"/>
          <w:highlight w:val="none"/>
          <w:lang w:val="en-US" w:eastAsia="zh-CN"/>
        </w:rPr>
        <w:t>3.5.5建立有效的环境管理制度</w:t>
      </w:r>
    </w:p>
    <w:p w14:paraId="69FDD609">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将环境管理和环境监测纳入油田安全环保部门负责，采用HSE管理模式，注重对员工进行培训，使员工自觉遵守HSE管理要求，保护自身的安全和健康。为减少和杜绝环境污染事故的发生，建立、健全管理规章制度，</w:t>
      </w:r>
      <w:r>
        <w:rPr>
          <w:rFonts w:hint="eastAsia" w:ascii="Times New Roman" w:hAnsi="Times New Roman" w:cs="Times New Roman"/>
          <w:color w:val="auto"/>
          <w:highlight w:val="none"/>
          <w:lang w:eastAsia="zh-CN"/>
        </w:rPr>
        <w:t>制定</w:t>
      </w:r>
      <w:r>
        <w:rPr>
          <w:rFonts w:hint="default" w:ascii="Times New Roman" w:hAnsi="Times New Roman" w:cs="Times New Roman"/>
          <w:color w:val="auto"/>
          <w:highlight w:val="none"/>
        </w:rPr>
        <w:t>了详细的污染控制计划和实施方案，责任到人，指标到岗，实施监督；实行公平的奖惩制度，大力弘扬保护环境的行为。</w:t>
      </w:r>
    </w:p>
    <w:p w14:paraId="6C80BF09">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建设主要采取的环境管理措施如下：</w:t>
      </w:r>
    </w:p>
    <w:p w14:paraId="437F42FE">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（1）落实环保目标责任制，坚持环保指标考核，推行清洁生产。</w:t>
      </w:r>
    </w:p>
    <w:p w14:paraId="38BBB805">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（2）在钻井生产过程中，防止泥浆、污水外溢，发生外溢时及时清理，并恢复原貌。泥浆药品按照标准化管理规定妥善存放，如在装卸过程中发生散落要及时清理回收。</w:t>
      </w:r>
    </w:p>
    <w:p w14:paraId="13F7A0E5">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（3）井下作业系统积极推行“铺膜”等无污染作业法；在采油过程中加强管理，对输油管线及井口设施定期检查，维修，减少或杜绝生产过程中的“跑、冒、滴、漏”现象发生。</w:t>
      </w:r>
    </w:p>
    <w:p w14:paraId="3B432B1B">
      <w:pPr>
        <w:keepNext/>
        <w:keepLines/>
        <w:pageBreakBefore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snapToGrid w:val="0"/>
          <w:color w:val="auto"/>
          <w:kern w:val="0"/>
          <w:sz w:val="28"/>
          <w:szCs w:val="28"/>
          <w:highlight w:val="none"/>
          <w:lang w:val="en-US" w:eastAsia="zh-CN" w:bidi="ar-SA"/>
        </w:rPr>
      </w:pPr>
      <w:r>
        <w:rPr>
          <w:rFonts w:hint="default" w:ascii="Times New Roman" w:hAnsi="Times New Roman" w:eastAsia="宋体" w:cs="Times New Roman"/>
          <w:b/>
          <w:color w:val="auto"/>
          <w:sz w:val="28"/>
          <w:szCs w:val="22"/>
          <w:highlight w:val="none"/>
          <w:lang w:val="en-US" w:eastAsia="zh-CN"/>
        </w:rPr>
        <w:fldChar w:fldCharType="begin"/>
      </w:r>
      <w:r>
        <w:rPr>
          <w:rFonts w:hint="default" w:ascii="Times New Roman" w:hAnsi="Times New Roman" w:eastAsia="宋体" w:cs="Times New Roman"/>
          <w:b/>
          <w:color w:val="auto"/>
          <w:sz w:val="28"/>
          <w:szCs w:val="22"/>
          <w:highlight w:val="none"/>
          <w:lang w:val="en-US" w:eastAsia="zh-CN"/>
        </w:rPr>
        <w:instrText xml:space="preserve"> HYPERLINK "3.3.1.6" </w:instrText>
      </w:r>
      <w:r>
        <w:rPr>
          <w:rFonts w:hint="default" w:ascii="Times New Roman" w:hAnsi="Times New Roman" w:eastAsia="宋体" w:cs="Times New Roman"/>
          <w:b/>
          <w:color w:val="auto"/>
          <w:sz w:val="28"/>
          <w:szCs w:val="22"/>
          <w:highlight w:val="none"/>
          <w:lang w:val="en-US" w:eastAsia="zh-CN"/>
        </w:rPr>
        <w:fldChar w:fldCharType="separate"/>
      </w:r>
      <w:r>
        <w:rPr>
          <w:rFonts w:hint="default" w:ascii="Times New Roman" w:hAnsi="Times New Roman" w:eastAsia="宋体" w:cs="Times New Roman"/>
          <w:b/>
          <w:color w:val="auto"/>
          <w:sz w:val="28"/>
          <w:szCs w:val="22"/>
          <w:highlight w:val="none"/>
          <w:lang w:val="en-US" w:eastAsia="zh-CN"/>
        </w:rPr>
        <w:t>3.5.6</w:t>
      </w:r>
      <w:r>
        <w:rPr>
          <w:rFonts w:hint="default" w:ascii="Times New Roman" w:hAnsi="Times New Roman" w:eastAsia="宋体" w:cs="Times New Roman"/>
          <w:b/>
          <w:color w:val="auto"/>
          <w:sz w:val="28"/>
          <w:szCs w:val="22"/>
          <w:highlight w:val="none"/>
          <w:lang w:val="en-US" w:eastAsia="zh-CN"/>
        </w:rPr>
        <w:fldChar w:fldCharType="end"/>
      </w:r>
      <w:r>
        <w:rPr>
          <w:rFonts w:hint="default" w:ascii="Times New Roman" w:hAnsi="Times New Roman" w:eastAsia="宋体" w:cs="Times New Roman"/>
          <w:b/>
          <w:color w:val="auto"/>
          <w:sz w:val="28"/>
          <w:szCs w:val="22"/>
          <w:highlight w:val="none"/>
        </w:rPr>
        <w:t>清洁生产水平技术指标对比分析</w:t>
      </w:r>
    </w:p>
    <w:p w14:paraId="6D214F50">
      <w:pPr>
        <w:keepNext w:val="0"/>
        <w:keepLines w:val="0"/>
        <w:pageBreakBefore w:val="0"/>
        <w:kinsoku/>
        <w:wordWrap/>
        <w:overflowPunct/>
        <w:autoSpaceDN/>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本次评价参考《石油天然气开采行业清洁生产评价指标体系（试行）》中的相关标准对</w:t>
      </w:r>
      <w:r>
        <w:rPr>
          <w:rFonts w:hint="default" w:ascii="Times New Roman" w:hAnsi="Times New Roman" w:cs="Times New Roman"/>
          <w:color w:val="auto"/>
          <w:kern w:val="0"/>
          <w:sz w:val="24"/>
          <w:szCs w:val="24"/>
          <w:highlight w:val="none"/>
          <w:lang w:eastAsia="zh-CN"/>
        </w:rPr>
        <w:t>本项目</w:t>
      </w:r>
      <w:r>
        <w:rPr>
          <w:rFonts w:hint="default" w:ascii="Times New Roman" w:hAnsi="Times New Roman" w:eastAsia="宋体" w:cs="Times New Roman"/>
          <w:color w:val="auto"/>
          <w:kern w:val="0"/>
          <w:sz w:val="24"/>
          <w:szCs w:val="24"/>
          <w:highlight w:val="none"/>
        </w:rPr>
        <w:t>现开发区块清洁生产水平现状进行说明，同时对未来滚动开发区块各项清洁生产指标提出要求。</w:t>
      </w:r>
    </w:p>
    <w:p w14:paraId="250D9F5C">
      <w:pPr>
        <w:pStyle w:val="61"/>
        <w:keepNext w:val="0"/>
        <w:keepLines w:val="0"/>
        <w:pageBreakBefore w:val="0"/>
        <w:widowControl/>
        <w:kinsoku/>
        <w:wordWrap/>
        <w:overflowPunct/>
        <w:topLinePunct w:val="0"/>
        <w:autoSpaceDE/>
        <w:autoSpaceDN/>
        <w:bidi w:val="0"/>
        <w:spacing w:line="360" w:lineRule="auto"/>
        <w:ind w:firstLine="480"/>
        <w:jc w:val="both"/>
        <w:textAlignment w:val="auto"/>
        <w:outlineLvl w:val="9"/>
        <w:rPr>
          <w:rFonts w:hint="default" w:ascii="Times New Roman" w:hAnsi="Times New Roman" w:cs="Times New Roman"/>
          <w:color w:val="auto"/>
          <w:highlight w:val="none"/>
        </w:rPr>
      </w:pPr>
      <w:bookmarkStart w:id="263" w:name="_Toc32468"/>
      <w:bookmarkStart w:id="264" w:name="_Toc2655"/>
      <w:bookmarkStart w:id="265" w:name="_Toc445842173"/>
      <w:bookmarkStart w:id="266" w:name="_Toc15942"/>
      <w:bookmarkStart w:id="267" w:name="_Toc2768"/>
      <w:r>
        <w:rPr>
          <w:rFonts w:hint="default" w:ascii="Times New Roman" w:hAnsi="Times New Roman" w:cs="Times New Roman"/>
          <w:color w:val="auto"/>
          <w:highlight w:val="none"/>
        </w:rPr>
        <w:t>（1）评价指标体系</w:t>
      </w:r>
      <w:bookmarkEnd w:id="263"/>
      <w:bookmarkEnd w:id="264"/>
      <w:bookmarkEnd w:id="265"/>
      <w:bookmarkEnd w:id="266"/>
      <w:bookmarkEnd w:id="267"/>
    </w:p>
    <w:p w14:paraId="6F8C78ED">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14:paraId="5584E029">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——定量评价指标</w:t>
      </w:r>
    </w:p>
    <w:p w14:paraId="659D88D0">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选取有代表性的、能反映“节约能源、降低消耗、减轻污染、增加效益”等有关清洁生产最终目标的指标，建立评价模式；通过对比各项指标的实际达到值、评价基础值和指标权重值，经过计算和评分，综合考评清洁生产的状况和水平。</w:t>
      </w:r>
    </w:p>
    <w:p w14:paraId="406A4956">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——定性评价指标</w:t>
      </w:r>
    </w:p>
    <w:p w14:paraId="13AD99A6">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根据国家有关推行清洁生产的产业发展和技术进步政策、资源环境保护政策规定以及行业发展规划选取，用于定性考核建设单位对有关政策、法规的符合性及清洁生产工作实施情况。</w:t>
      </w:r>
    </w:p>
    <w:p w14:paraId="3D160F95">
      <w:pPr>
        <w:pStyle w:val="61"/>
        <w:keepNext w:val="0"/>
        <w:keepLines w:val="0"/>
        <w:pageBreakBefore w:val="0"/>
        <w:widowControl/>
        <w:kinsoku/>
        <w:wordWrap/>
        <w:overflowPunct/>
        <w:topLinePunct w:val="0"/>
        <w:autoSpaceDE/>
        <w:autoSpaceDN/>
        <w:bidi w:val="0"/>
        <w:spacing w:line="360" w:lineRule="auto"/>
        <w:ind w:firstLine="480"/>
        <w:jc w:val="both"/>
        <w:textAlignment w:val="auto"/>
        <w:outlineLvl w:val="9"/>
        <w:rPr>
          <w:rFonts w:hint="default" w:ascii="Times New Roman" w:hAnsi="Times New Roman" w:cs="Times New Roman"/>
          <w:color w:val="auto"/>
          <w:highlight w:val="none"/>
        </w:rPr>
      </w:pPr>
      <w:bookmarkStart w:id="268" w:name="_Toc32607"/>
      <w:bookmarkStart w:id="269" w:name="_Toc2798"/>
      <w:bookmarkStart w:id="270" w:name="_Toc23549"/>
      <w:r>
        <w:rPr>
          <w:rFonts w:hint="default" w:ascii="Times New Roman" w:hAnsi="Times New Roman" w:cs="Times New Roman"/>
          <w:color w:val="auto"/>
          <w:highlight w:val="none"/>
        </w:rPr>
        <w:t>（2）评价依据</w:t>
      </w:r>
      <w:bookmarkEnd w:id="268"/>
      <w:bookmarkEnd w:id="269"/>
      <w:bookmarkEnd w:id="270"/>
    </w:p>
    <w:p w14:paraId="55EA3EC8">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在定量评价指标体系中，各指标的评价基准值是衡量该项指标是否符合清洁生产基本要求的评价基准。本评价指标体系确定各定量评价指标的评价基准值的依据是：</w:t>
      </w:r>
    </w:p>
    <w:p w14:paraId="54E996F9">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——凡国家或行业在有关政策、规划等文件中对该项指标已有明确要求的，执行国家要求的数值。</w:t>
      </w:r>
    </w:p>
    <w:p w14:paraId="18F8A6EC">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——凡国家或行业对该项指标尚无明确要求值的，则选用国内重点大中型油气勘探开发企业近年来清洁生产所实际达到的中上等以上水平的指标值。</w:t>
      </w:r>
    </w:p>
    <w:p w14:paraId="5C88585A">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——定量评价指标体系的评价基准值代表行业清洁生产的平均先进水平。</w:t>
      </w:r>
    </w:p>
    <w:p w14:paraId="679F7D8D">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在定性评价指标体系中，衡量该项指标是否贯彻执行国家有关政策、法规的情况，按“是”或“否”两种选择来评定。</w:t>
      </w:r>
    </w:p>
    <w:p w14:paraId="3A149512">
      <w:pPr>
        <w:pStyle w:val="61"/>
        <w:keepNext w:val="0"/>
        <w:keepLines w:val="0"/>
        <w:pageBreakBefore w:val="0"/>
        <w:widowControl/>
        <w:kinsoku/>
        <w:wordWrap/>
        <w:overflowPunct/>
        <w:topLinePunct w:val="0"/>
        <w:autoSpaceDE/>
        <w:autoSpaceDN/>
        <w:bidi w:val="0"/>
        <w:spacing w:line="360" w:lineRule="auto"/>
        <w:ind w:firstLine="480"/>
        <w:jc w:val="both"/>
        <w:textAlignment w:val="auto"/>
        <w:outlineLvl w:val="9"/>
        <w:rPr>
          <w:rFonts w:hint="default" w:ascii="Times New Roman" w:hAnsi="Times New Roman" w:cs="Times New Roman"/>
          <w:color w:val="auto"/>
          <w:kern w:val="24"/>
          <w:highlight w:val="none"/>
        </w:rPr>
      </w:pPr>
      <w:bookmarkStart w:id="271" w:name="_Toc143"/>
      <w:bookmarkStart w:id="272" w:name="_Toc12089"/>
      <w:bookmarkStart w:id="273" w:name="_Toc26475"/>
      <w:r>
        <w:rPr>
          <w:rFonts w:hint="default" w:ascii="Times New Roman" w:hAnsi="Times New Roman" w:cs="Times New Roman"/>
          <w:color w:val="auto"/>
          <w:kern w:val="24"/>
          <w:highlight w:val="none"/>
        </w:rPr>
        <w:t>（3）权重分值</w:t>
      </w:r>
      <w:bookmarkEnd w:id="271"/>
      <w:bookmarkEnd w:id="272"/>
      <w:bookmarkEnd w:id="273"/>
    </w:p>
    <w:p w14:paraId="08355E77">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清洁生产评价指标的权重值反映了该指标在整个清洁生产评价指标体系中所占的比重。它原则上是根据该项指标对油气勘探开发企业清洁生产实际效益和水平的影响程度大小及其实施的难易程度来确定的。</w:t>
      </w:r>
    </w:p>
    <w:p w14:paraId="5268C42C">
      <w:pPr>
        <w:pStyle w:val="61"/>
        <w:keepNext w:val="0"/>
        <w:keepLines w:val="0"/>
        <w:pageBreakBefore w:val="0"/>
        <w:widowControl/>
        <w:kinsoku/>
        <w:wordWrap/>
        <w:overflowPunct/>
        <w:topLinePunct w:val="0"/>
        <w:autoSpaceDE/>
        <w:autoSpaceDN/>
        <w:bidi w:val="0"/>
        <w:spacing w:line="360" w:lineRule="auto"/>
        <w:ind w:firstLine="480"/>
        <w:jc w:val="both"/>
        <w:textAlignment w:val="auto"/>
        <w:outlineLvl w:val="9"/>
        <w:rPr>
          <w:rFonts w:hint="default" w:ascii="Times New Roman" w:hAnsi="Times New Roman" w:cs="Times New Roman"/>
          <w:color w:val="auto"/>
          <w:highlight w:val="none"/>
        </w:rPr>
      </w:pPr>
      <w:bookmarkStart w:id="274" w:name="_Toc25134"/>
      <w:bookmarkStart w:id="275" w:name="_Toc27633"/>
      <w:bookmarkStart w:id="276" w:name="_Toc28144"/>
      <w:r>
        <w:rPr>
          <w:rFonts w:hint="default" w:ascii="Times New Roman" w:hAnsi="Times New Roman" w:cs="Times New Roman"/>
          <w:color w:val="auto"/>
          <w:highlight w:val="none"/>
        </w:rPr>
        <w:t>（4）评价指标</w:t>
      </w:r>
      <w:bookmarkEnd w:id="274"/>
      <w:bookmarkEnd w:id="275"/>
      <w:bookmarkEnd w:id="276"/>
    </w:p>
    <w:p w14:paraId="3576458B">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评价指标分为定量指标和定性指标。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物料消耗量、取水量、综合能耗、污染物产生量等指标）；另一类是该指标的数值越高（大）越符合清洁生产要求（如水的钻井液循环利用率、含油污泥资源化利用率、余热余能利用率等指标）。因此，对二级指标的考核评分，根据其类别采用不同的计算模式。</w:t>
      </w:r>
    </w:p>
    <w:p w14:paraId="2A72BD8F">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在行业评价指标项目、权重及基准值中未出现的指标，按照最高值进行确定，即清洁生产具有较高水平。</w:t>
      </w:r>
    </w:p>
    <w:p w14:paraId="58FDCE7E">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4"/>
          <w:highlight w:val="none"/>
          <w:lang w:eastAsia="zh-CN"/>
        </w:rPr>
      </w:pPr>
      <w:bookmarkStart w:id="277" w:name="_Toc445842174"/>
      <w:bookmarkStart w:id="278" w:name="_Toc4600"/>
      <w:r>
        <w:rPr>
          <w:rFonts w:hint="eastAsia" w:ascii="Times New Roman" w:hAnsi="Times New Roman" w:cs="Times New Roman"/>
          <w:color w:val="auto"/>
          <w:sz w:val="24"/>
          <w:szCs w:val="24"/>
          <w:highlight w:val="none"/>
          <w:lang w:val="en-US" w:eastAsia="zh-CN"/>
        </w:rPr>
        <w:t>钻井</w:t>
      </w:r>
      <w:r>
        <w:rPr>
          <w:rFonts w:hint="default" w:ascii="Times New Roman" w:hAnsi="Times New Roman" w:cs="Times New Roman"/>
          <w:color w:val="auto"/>
          <w:sz w:val="24"/>
          <w:szCs w:val="24"/>
          <w:highlight w:val="none"/>
        </w:rPr>
        <w:t>井下作业、</w:t>
      </w:r>
      <w:r>
        <w:rPr>
          <w:rFonts w:hint="eastAsia" w:ascii="Times New Roman" w:hAnsi="Times New Roman" w:cs="Times New Roman"/>
          <w:color w:val="auto"/>
          <w:sz w:val="24"/>
          <w:szCs w:val="24"/>
          <w:highlight w:val="none"/>
          <w:lang w:eastAsia="zh-CN"/>
        </w:rPr>
        <w:t>采油</w:t>
      </w:r>
      <w:r>
        <w:rPr>
          <w:rFonts w:hint="default" w:ascii="Times New Roman" w:hAnsi="Times New Roman" w:cs="Times New Roman"/>
          <w:color w:val="auto"/>
          <w:sz w:val="24"/>
          <w:szCs w:val="24"/>
          <w:highlight w:val="none"/>
        </w:rPr>
        <w:t>和集输作业定量和定性评价指标项目、权重及基准值见表3.</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p>
    <w:p w14:paraId="1A609918">
      <w:pPr>
        <w:pStyle w:val="61"/>
        <w:keepNext w:val="0"/>
        <w:keepLines w:val="0"/>
        <w:pageBreakBefore w:val="0"/>
        <w:widowControl/>
        <w:kinsoku/>
        <w:wordWrap/>
        <w:overflowPunct/>
        <w:topLinePunct w:val="0"/>
        <w:autoSpaceDE/>
        <w:autoSpaceDN/>
        <w:bidi w:val="0"/>
        <w:spacing w:line="360" w:lineRule="auto"/>
        <w:ind w:firstLine="480"/>
        <w:jc w:val="both"/>
        <w:textAlignment w:val="auto"/>
        <w:outlineLvl w:val="9"/>
        <w:rPr>
          <w:rFonts w:hint="default" w:ascii="Times New Roman" w:hAnsi="Times New Roman" w:cs="Times New Roman"/>
          <w:color w:val="auto"/>
          <w:sz w:val="24"/>
          <w:szCs w:val="24"/>
          <w:highlight w:val="none"/>
        </w:rPr>
      </w:pPr>
      <w:bookmarkStart w:id="279" w:name="_Toc15483"/>
      <w:bookmarkStart w:id="280" w:name="_Toc16093"/>
      <w:bookmarkStart w:id="281" w:name="_Toc24298"/>
      <w:r>
        <w:rPr>
          <w:rFonts w:hint="default" w:ascii="Times New Roman" w:hAnsi="Times New Roman" w:cs="Times New Roman"/>
          <w:color w:val="auto"/>
          <w:sz w:val="24"/>
          <w:szCs w:val="24"/>
          <w:highlight w:val="none"/>
        </w:rPr>
        <w:t>（5）评价指标考核评分计算</w:t>
      </w:r>
      <w:bookmarkEnd w:id="277"/>
      <w:bookmarkEnd w:id="278"/>
      <w:bookmarkEnd w:id="279"/>
      <w:bookmarkEnd w:id="280"/>
      <w:bookmarkEnd w:id="281"/>
    </w:p>
    <w:p w14:paraId="6948EC5E">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1）定量评价考核总分值计算</w:t>
      </w:r>
    </w:p>
    <w:p w14:paraId="4511FFEA">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①单项评价指数计算</w:t>
      </w:r>
    </w:p>
    <w:p w14:paraId="2E419E9C">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对指标数值越高（大）越符合清洁生产要求的指标，其计算公式为：</w:t>
      </w:r>
    </w:p>
    <w:p w14:paraId="027A657D">
      <w:pPr>
        <w:pStyle w:val="61"/>
        <w:keepNext w:val="0"/>
        <w:keepLines w:val="0"/>
        <w:pageBreakBefore w:val="0"/>
        <w:widowControl/>
        <w:kinsoku/>
        <w:wordWrap/>
        <w:overflowPunct/>
        <w:topLinePunct w:val="0"/>
        <w:autoSpaceDE/>
        <w:autoSpaceDN/>
        <w:bidi w:val="0"/>
        <w:spacing w:line="360" w:lineRule="auto"/>
        <w:ind w:firstLine="2400" w:firstLineChars="10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xi</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oi</w:t>
      </w:r>
    </w:p>
    <w:p w14:paraId="366989B8">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对指标数值越低（小）越符合清洁生产要求的指标，其计算公式为：</w:t>
      </w:r>
    </w:p>
    <w:p w14:paraId="0B133AF1">
      <w:pPr>
        <w:pStyle w:val="61"/>
        <w:keepNext w:val="0"/>
        <w:keepLines w:val="0"/>
        <w:pageBreakBefore w:val="0"/>
        <w:widowControl/>
        <w:kinsoku/>
        <w:wordWrap/>
        <w:overflowPunct/>
        <w:topLinePunct w:val="0"/>
        <w:autoSpaceDE/>
        <w:autoSpaceDN/>
        <w:bidi w:val="0"/>
        <w:spacing w:line="360" w:lineRule="auto"/>
        <w:ind w:firstLine="2400" w:firstLineChars="10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oi</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xi</w:t>
      </w:r>
    </w:p>
    <w:p w14:paraId="6956B3AF">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—第i项评价指标的单项评价指数。</w:t>
      </w:r>
    </w:p>
    <w:p w14:paraId="2D39B83D">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xi</w:t>
      </w:r>
      <w:r>
        <w:rPr>
          <w:rFonts w:hint="default" w:ascii="Times New Roman" w:hAnsi="Times New Roman" w:cs="Times New Roman"/>
          <w:color w:val="auto"/>
          <w:sz w:val="24"/>
          <w:szCs w:val="24"/>
          <w:highlight w:val="none"/>
        </w:rPr>
        <w:t>—第i项评价指标的实际值</w:t>
      </w:r>
    </w:p>
    <w:p w14:paraId="4C495A25">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oi</w:t>
      </w:r>
      <w:r>
        <w:rPr>
          <w:rFonts w:hint="default" w:ascii="Times New Roman" w:hAnsi="Times New Roman" w:cs="Times New Roman"/>
          <w:color w:val="auto"/>
          <w:sz w:val="24"/>
          <w:szCs w:val="24"/>
          <w:highlight w:val="none"/>
        </w:rPr>
        <w:t>—第i项评价指标的评价基准值</w:t>
      </w:r>
    </w:p>
    <w:p w14:paraId="1A794BA3">
      <w:pPr>
        <w:pStyle w:val="61"/>
        <w:keepNext w:val="0"/>
        <w:keepLines w:val="0"/>
        <w:pageBreakBefore w:val="0"/>
        <w:widowControl/>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本评价指标体系各二级指标的单项评价指数的正常值一般在1.0左右，但当实际数值远小于（或远大于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评价基准值时，计算得出的S</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值就会越大，计算结果就会偏离实际，对其他评价指标的单项评价指数产生较大干扰。为了消除这种不合理影响，应对此进行修正处理。修正的方法是：当S</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＞k/m时（其中k为该类一级指标的权重值，m为该类一级指标中实际参与考核的二级指标的项目数），取S</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值为k/m。</w:t>
      </w:r>
    </w:p>
    <w:p w14:paraId="0010874E">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②定量评价考核总分值计算</w:t>
      </w:r>
    </w:p>
    <w:p w14:paraId="36A1AF2A">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定量评价考核总分值计算的计算公式为：</w:t>
      </w:r>
    </w:p>
    <w:p w14:paraId="4FC3C0AE">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anchor distT="0" distB="0" distL="114300" distR="114300" simplePos="0" relativeHeight="251703296" behindDoc="0" locked="0" layoutInCell="1" allowOverlap="1">
            <wp:simplePos x="0" y="0"/>
            <wp:positionH relativeFrom="column">
              <wp:posOffset>2155190</wp:posOffset>
            </wp:positionH>
            <wp:positionV relativeFrom="paragraph">
              <wp:posOffset>15240</wp:posOffset>
            </wp:positionV>
            <wp:extent cx="1063625" cy="450215"/>
            <wp:effectExtent l="0" t="0" r="3175" b="6985"/>
            <wp:wrapNone/>
            <wp:docPr id="2" name="图片 2" descr="C:\Users\ADMINI~1\AppData\Local\Temp\ksohtml\wpsBB3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wpsBB30.tmp.jpg"/>
                    <pic:cNvPicPr>
                      <a:picLocks noChangeAspect="1"/>
                    </pic:cNvPicPr>
                  </pic:nvPicPr>
                  <pic:blipFill>
                    <a:blip r:embed="rId38"/>
                    <a:stretch>
                      <a:fillRect/>
                    </a:stretch>
                  </pic:blipFill>
                  <pic:spPr>
                    <a:xfrm>
                      <a:off x="0" y="0"/>
                      <a:ext cx="1063625" cy="450215"/>
                    </a:xfrm>
                    <a:prstGeom prst="rect">
                      <a:avLst/>
                    </a:prstGeom>
                    <a:noFill/>
                    <a:ln>
                      <a:noFill/>
                    </a:ln>
                  </pic:spPr>
                </pic:pic>
              </a:graphicData>
            </a:graphic>
          </wp:anchor>
        </w:drawing>
      </w:r>
    </w:p>
    <w:p w14:paraId="14F6FDCD">
      <w:pPr>
        <w:keepNext w:val="0"/>
        <w:keepLines w:val="0"/>
        <w:pageBreakBefore w:val="0"/>
        <w:widowControl/>
        <w:kinsoku/>
        <w:wordWrap/>
        <w:overflowPunct/>
        <w:topLinePunct w:val="0"/>
        <w:autoSpaceDE/>
        <w:autoSpaceDN/>
        <w:bidi w:val="0"/>
        <w:adjustRightInd/>
        <w:snapToGrid/>
        <w:spacing w:before="469" w:beforeLines="15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式中：P</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—定量评价考核总分值；</w:t>
      </w:r>
    </w:p>
    <w:p w14:paraId="72F15041">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n—参与定量评价考核的二级指标项目总数；</w:t>
      </w:r>
    </w:p>
    <w:p w14:paraId="51A7739A">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—第i项评价指标的单项评价指数；</w:t>
      </w:r>
    </w:p>
    <w:p w14:paraId="4DD4E0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—第i项评价指标的权重值。</w:t>
      </w:r>
    </w:p>
    <w:p w14:paraId="303AD50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2）定性评级指标的考核评分计算</w:t>
      </w:r>
    </w:p>
    <w:p w14:paraId="6183BBCB">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anchor distT="0" distB="0" distL="114300" distR="114300" simplePos="0" relativeHeight="251702272" behindDoc="0" locked="0" layoutInCell="1" allowOverlap="1">
            <wp:simplePos x="0" y="0"/>
            <wp:positionH relativeFrom="column">
              <wp:posOffset>1990725</wp:posOffset>
            </wp:positionH>
            <wp:positionV relativeFrom="paragraph">
              <wp:posOffset>4445</wp:posOffset>
            </wp:positionV>
            <wp:extent cx="885825" cy="565785"/>
            <wp:effectExtent l="0" t="0" r="9525" b="5715"/>
            <wp:wrapTopAndBottom/>
            <wp:docPr id="16" name="图片 3" descr="C:\Users\ADMINI~1\AppData\Local\Temp\ksohtml\wpsBB3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1\AppData\Local\Temp\ksohtml\wpsBB31.tmp.jpg"/>
                    <pic:cNvPicPr>
                      <a:picLocks noChangeAspect="1"/>
                    </pic:cNvPicPr>
                  </pic:nvPicPr>
                  <pic:blipFill>
                    <a:blip r:embed="rId39"/>
                    <a:stretch>
                      <a:fillRect/>
                    </a:stretch>
                  </pic:blipFill>
                  <pic:spPr>
                    <a:xfrm>
                      <a:off x="0" y="0"/>
                      <a:ext cx="885825" cy="565785"/>
                    </a:xfrm>
                    <a:prstGeom prst="rect">
                      <a:avLst/>
                    </a:prstGeom>
                    <a:noFill/>
                    <a:ln>
                      <a:noFill/>
                    </a:ln>
                  </pic:spPr>
                </pic:pic>
              </a:graphicData>
            </a:graphic>
          </wp:anchor>
        </w:drawing>
      </w:r>
      <w:r>
        <w:rPr>
          <w:rFonts w:hint="default" w:ascii="Times New Roman" w:hAnsi="Times New Roman" w:cs="Times New Roman"/>
          <w:color w:val="auto"/>
          <w:sz w:val="24"/>
          <w:szCs w:val="24"/>
          <w:highlight w:val="none"/>
        </w:rPr>
        <w:t>定性评级指标的考核总分值的计算公式为：</w:t>
      </w:r>
    </w:p>
    <w:p w14:paraId="60FDE5C1">
      <w:pPr>
        <w:pStyle w:val="2"/>
        <w:keepNext w:val="0"/>
        <w:keepLines w:val="0"/>
        <w:pageBreakBefore w:val="0"/>
        <w:widowControl w:val="0"/>
        <w:kinsoku/>
        <w:wordWrap/>
        <w:overflowPunct/>
        <w:topLinePunct w:val="0"/>
        <w:autoSpaceDE w:val="0"/>
        <w:autoSpaceDN w:val="0"/>
        <w:bidi w:val="0"/>
        <w:adjustRightInd w:val="0"/>
        <w:snapToGrid/>
        <w:spacing w:line="360" w:lineRule="auto"/>
        <w:jc w:val="left"/>
        <w:textAlignment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—定性评价二级指标考核总分值；</w:t>
      </w:r>
    </w:p>
    <w:p w14:paraId="0A4578F0">
      <w:pPr>
        <w:pStyle w:val="61"/>
        <w:keepNext w:val="0"/>
        <w:keepLines w:val="0"/>
        <w:pageBreakBefore w:val="0"/>
        <w:widowControl/>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F</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—定性评价指标体系中第i项二级指标的得分值；</w:t>
      </w:r>
    </w:p>
    <w:p w14:paraId="3A83C14F">
      <w:pPr>
        <w:pStyle w:val="61"/>
        <w:keepNext w:val="0"/>
        <w:keepLines w:val="0"/>
        <w:pageBreakBefore w:val="0"/>
        <w:widowControl/>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n—参与考核的定性评价二级指标的项目总数。</w:t>
      </w:r>
    </w:p>
    <w:p w14:paraId="5A594B01">
      <w:pPr>
        <w:pStyle w:val="61"/>
        <w:keepNext w:val="0"/>
        <w:keepLines w:val="0"/>
        <w:pageBreakBefore w:val="0"/>
        <w:widowControl/>
        <w:kinsoku/>
        <w:wordWrap/>
        <w:overflowPunct/>
        <w:topLinePunct w:val="0"/>
        <w:autoSpaceDE/>
        <w:autoSpaceDN/>
        <w:bidi w:val="0"/>
        <w:snapToGrid/>
        <w:spacing w:line="360" w:lineRule="auto"/>
        <w:ind w:firstLine="480"/>
        <w:textAlignment w:val="auto"/>
        <w:outlineLvl w:val="9"/>
        <w:rPr>
          <w:rFonts w:hint="default" w:ascii="Times New Roman" w:hAnsi="Times New Roman" w:cs="Times New Roman"/>
          <w:color w:val="auto"/>
          <w:sz w:val="24"/>
          <w:szCs w:val="24"/>
          <w:highlight w:val="none"/>
        </w:rPr>
      </w:pPr>
      <w:bookmarkStart w:id="282" w:name="_Toc7172"/>
      <w:bookmarkStart w:id="283" w:name="_Toc31946"/>
      <w:bookmarkStart w:id="284" w:name="_Toc26061"/>
      <w:r>
        <w:rPr>
          <w:rFonts w:hint="default" w:ascii="Times New Roman" w:hAnsi="Times New Roman" w:cs="Times New Roman"/>
          <w:color w:val="auto"/>
          <w:sz w:val="24"/>
          <w:szCs w:val="24"/>
          <w:highlight w:val="none"/>
        </w:rPr>
        <w:t>（3）综合评价指数考核评分计算</w:t>
      </w:r>
      <w:bookmarkEnd w:id="282"/>
      <w:bookmarkEnd w:id="283"/>
      <w:bookmarkEnd w:id="284"/>
    </w:p>
    <w:p w14:paraId="04D7C1E5">
      <w:pPr>
        <w:pStyle w:val="61"/>
        <w:keepNext w:val="0"/>
        <w:keepLines w:val="0"/>
        <w:pageBreakBefore w:val="0"/>
        <w:widowControl/>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综合评价指数考核总分值的计算公式为：</w:t>
      </w:r>
    </w:p>
    <w:p w14:paraId="507C6854">
      <w:pPr>
        <w:pStyle w:val="61"/>
        <w:keepNext w:val="0"/>
        <w:keepLines w:val="0"/>
        <w:pageBreakBefore w:val="0"/>
        <w:widowControl/>
        <w:kinsoku/>
        <w:wordWrap/>
        <w:overflowPunct/>
        <w:topLinePunct w:val="0"/>
        <w:autoSpaceDE/>
        <w:autoSpaceDN/>
        <w:bidi w:val="0"/>
        <w:spacing w:line="360" w:lineRule="auto"/>
        <w:ind w:firstLine="48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P=0.6P</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+0.4P</w:t>
      </w:r>
      <w:r>
        <w:rPr>
          <w:rFonts w:hint="default" w:ascii="Times New Roman" w:hAnsi="Times New Roman" w:cs="Times New Roman"/>
          <w:color w:val="auto"/>
          <w:sz w:val="24"/>
          <w:szCs w:val="24"/>
          <w:highlight w:val="none"/>
          <w:vertAlign w:val="subscript"/>
        </w:rPr>
        <w:t>2</w:t>
      </w:r>
    </w:p>
    <w:p w14:paraId="1284B8AB">
      <w:pPr>
        <w:pStyle w:val="61"/>
        <w:keepNext w:val="0"/>
        <w:keepLines w:val="0"/>
        <w:pageBreakBefore w:val="0"/>
        <w:widowControl/>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式中：P—清洁生产综合评价指数</w:t>
      </w:r>
    </w:p>
    <w:p w14:paraId="639E5C40">
      <w:pPr>
        <w:pStyle w:val="61"/>
        <w:keepNext w:val="0"/>
        <w:keepLines w:val="0"/>
        <w:pageBreakBefore w:val="0"/>
        <w:widowControl/>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—定量评价考核总分值；</w:t>
      </w:r>
    </w:p>
    <w:p w14:paraId="370EB221">
      <w:pPr>
        <w:pStyle w:val="61"/>
        <w:keepNext w:val="0"/>
        <w:keepLines w:val="0"/>
        <w:pageBreakBefore w:val="0"/>
        <w:widowControl/>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—定性评价二级指标考核总分值。</w:t>
      </w:r>
    </w:p>
    <w:p w14:paraId="3DA016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本项目清洁生产水平</w:t>
      </w:r>
      <w:r>
        <w:rPr>
          <w:rFonts w:hint="default" w:ascii="Times New Roman" w:hAnsi="Times New Roman" w:eastAsia="宋体" w:cs="Times New Roman"/>
          <w:color w:val="auto"/>
          <w:sz w:val="24"/>
          <w:szCs w:val="24"/>
          <w:highlight w:val="none"/>
        </w:rPr>
        <w:t>由表3.</w:t>
      </w:r>
      <w:r>
        <w:rPr>
          <w:rFonts w:hint="eastAsia" w:eastAsia="宋体" w:cs="Times New Roman"/>
          <w:color w:val="auto"/>
          <w:sz w:val="24"/>
          <w:szCs w:val="24"/>
          <w:highlight w:val="none"/>
          <w:lang w:val="en-US" w:eastAsia="zh-CN"/>
        </w:rPr>
        <w:t>5</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3.</w:t>
      </w:r>
      <w:r>
        <w:rPr>
          <w:rFonts w:hint="eastAsia" w:eastAsia="宋体" w:cs="Times New Roman"/>
          <w:color w:val="auto"/>
          <w:sz w:val="24"/>
          <w:szCs w:val="24"/>
          <w:highlight w:val="none"/>
          <w:lang w:val="en-US" w:eastAsia="zh-CN"/>
        </w:rPr>
        <w:t>.5-3</w:t>
      </w:r>
      <w:r>
        <w:rPr>
          <w:rFonts w:hint="default" w:ascii="Times New Roman" w:hAnsi="Times New Roman" w:eastAsia="宋体" w:cs="Times New Roman"/>
          <w:color w:val="auto"/>
          <w:sz w:val="24"/>
          <w:szCs w:val="24"/>
          <w:highlight w:val="none"/>
        </w:rPr>
        <w:t>计算可得：</w:t>
      </w:r>
    </w:p>
    <w:p w14:paraId="6F2C28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钻井</w:t>
      </w:r>
      <w:r>
        <w:rPr>
          <w:rFonts w:hint="default" w:ascii="Times New Roman" w:hAnsi="Times New Roman" w:cs="Times New Roman"/>
          <w:color w:val="auto"/>
          <w:sz w:val="24"/>
          <w:szCs w:val="24"/>
          <w:highlight w:val="none"/>
        </w:rPr>
        <w:t>作业：定量指标</w:t>
      </w:r>
      <w:r>
        <w:rPr>
          <w:rFonts w:hint="default" w:ascii="Times New Roman" w:hAnsi="Times New Roman" w:cs="Times New Roman"/>
          <w:color w:val="auto"/>
          <w:sz w:val="24"/>
          <w:szCs w:val="24"/>
          <w:highlight w:val="none"/>
          <w:lang w:val="en-US" w:eastAsia="zh-CN"/>
        </w:rPr>
        <w:t>9</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分，定性指标100分，综合评价</w:t>
      </w:r>
      <w:r>
        <w:rPr>
          <w:rFonts w:hint="default" w:ascii="Times New Roman" w:hAnsi="Times New Roman" w:cs="Times New Roman"/>
          <w:color w:val="auto"/>
          <w:sz w:val="24"/>
          <w:szCs w:val="24"/>
          <w:highlight w:val="none"/>
          <w:lang w:val="en-US" w:eastAsia="zh-CN"/>
        </w:rPr>
        <w:t>9</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分。</w:t>
      </w:r>
    </w:p>
    <w:p w14:paraId="286C4C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——井下作业：定量指标</w:t>
      </w:r>
      <w:r>
        <w:rPr>
          <w:rFonts w:hint="default" w:ascii="Times New Roman" w:hAnsi="Times New Roman" w:cs="Times New Roman"/>
          <w:color w:val="auto"/>
          <w:sz w:val="24"/>
          <w:szCs w:val="24"/>
          <w:highlight w:val="none"/>
          <w:lang w:val="en-US" w:eastAsia="zh-CN"/>
        </w:rPr>
        <w:t>90</w:t>
      </w:r>
      <w:r>
        <w:rPr>
          <w:rFonts w:hint="default" w:ascii="Times New Roman" w:hAnsi="Times New Roman" w:cs="Times New Roman"/>
          <w:color w:val="auto"/>
          <w:sz w:val="24"/>
          <w:szCs w:val="24"/>
          <w:highlight w:val="none"/>
        </w:rPr>
        <w:t>分，定性指标100分，综合评价</w:t>
      </w:r>
      <w:r>
        <w:rPr>
          <w:rFonts w:hint="default" w:ascii="Times New Roman" w:hAnsi="Times New Roman" w:cs="Times New Roman"/>
          <w:color w:val="auto"/>
          <w:sz w:val="24"/>
          <w:szCs w:val="24"/>
          <w:highlight w:val="none"/>
          <w:lang w:val="en-US" w:eastAsia="zh-CN"/>
        </w:rPr>
        <w:t>94</w:t>
      </w:r>
      <w:r>
        <w:rPr>
          <w:rFonts w:hint="default" w:ascii="Times New Roman" w:hAnsi="Times New Roman" w:cs="Times New Roman"/>
          <w:color w:val="auto"/>
          <w:sz w:val="24"/>
          <w:szCs w:val="24"/>
          <w:highlight w:val="none"/>
        </w:rPr>
        <w:t>分。</w:t>
      </w:r>
    </w:p>
    <w:p w14:paraId="2CAD1A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采</w:t>
      </w:r>
      <w:r>
        <w:rPr>
          <w:rFonts w:hint="eastAsia" w:ascii="Times New Roman" w:hAnsi="Times New Roman" w:cs="Times New Roman"/>
          <w:color w:val="auto"/>
          <w:sz w:val="24"/>
          <w:szCs w:val="24"/>
          <w:highlight w:val="none"/>
          <w:lang w:val="en-US" w:eastAsia="zh-CN"/>
        </w:rPr>
        <w:t>油</w:t>
      </w:r>
      <w:r>
        <w:rPr>
          <w:rFonts w:hint="default" w:ascii="Times New Roman" w:hAnsi="Times New Roman" w:cs="Times New Roman"/>
          <w:color w:val="auto"/>
          <w:sz w:val="24"/>
          <w:szCs w:val="24"/>
          <w:highlight w:val="none"/>
        </w:rPr>
        <w:t>和集输：定量指标90分，定性指标</w:t>
      </w:r>
      <w:r>
        <w:rPr>
          <w:rFonts w:hint="eastAsia"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分，综合评价</w:t>
      </w:r>
      <w:r>
        <w:rPr>
          <w:rFonts w:hint="eastAsia" w:ascii="Times New Roman" w:hAnsi="Times New Roman" w:cs="Times New Roman"/>
          <w:color w:val="auto"/>
          <w:sz w:val="24"/>
          <w:szCs w:val="24"/>
          <w:highlight w:val="none"/>
          <w:lang w:val="en-US" w:eastAsia="zh-CN"/>
        </w:rPr>
        <w:t>94</w:t>
      </w:r>
      <w:r>
        <w:rPr>
          <w:rFonts w:hint="default" w:ascii="Times New Roman" w:hAnsi="Times New Roman" w:cs="Times New Roman"/>
          <w:color w:val="auto"/>
          <w:sz w:val="24"/>
          <w:szCs w:val="24"/>
          <w:highlight w:val="none"/>
        </w:rPr>
        <w:t>分。</w:t>
      </w:r>
    </w:p>
    <w:p w14:paraId="3E7DBEEA">
      <w:pPr>
        <w:pStyle w:val="61"/>
        <w:keepNext w:val="0"/>
        <w:keepLines w:val="0"/>
        <w:pageBreakBefore w:val="0"/>
        <w:widowControl/>
        <w:kinsoku/>
        <w:wordWrap/>
        <w:overflowPunct/>
        <w:topLinePunct w:val="0"/>
        <w:autoSpaceDE/>
        <w:autoSpaceDN/>
        <w:bidi w:val="0"/>
        <w:spacing w:line="360" w:lineRule="auto"/>
        <w:ind w:firstLine="48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rPr>
        <w:t>根据目前我国石油和天然气开采行业的实际情况，不同等级的清洁生产企业的综合评价指标见表3.</w:t>
      </w:r>
      <w:r>
        <w:rPr>
          <w:rFonts w:hint="eastAsia" w:ascii="Times New Roman" w:hAnsi="Times New Roman" w:cs="Times New Roman"/>
          <w:color w:val="auto"/>
          <w:sz w:val="24"/>
          <w:szCs w:val="24"/>
          <w:highlight w:val="none"/>
          <w:lang w:val="en-US" w:eastAsia="zh-CN"/>
        </w:rPr>
        <w:t>5-4</w:t>
      </w:r>
      <w:r>
        <w:rPr>
          <w:rFonts w:hint="default" w:ascii="Times New Roman" w:hAnsi="Times New Roman" w:cs="Times New Roman"/>
          <w:color w:val="auto"/>
          <w:sz w:val="24"/>
          <w:szCs w:val="24"/>
          <w:highlight w:val="none"/>
        </w:rPr>
        <w:t>。</w:t>
      </w:r>
    </w:p>
    <w:p w14:paraId="6E985EB1">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t>表3.</w:t>
      </w:r>
      <w:r>
        <w:rPr>
          <w:rFonts w:hint="eastAsia" w:ascii="黑体" w:hAnsi="黑体" w:eastAsia="黑体" w:cs="黑体"/>
          <w:b w:val="0"/>
          <w:bCs w:val="0"/>
          <w:color w:val="auto"/>
          <w:highlight w:val="none"/>
          <w:lang w:val="en-US" w:eastAsia="zh-CN"/>
        </w:rPr>
        <w:t>5-4</w:t>
      </w:r>
      <w:r>
        <w:rPr>
          <w:rFonts w:hint="eastAsia" w:ascii="黑体" w:hAnsi="黑体" w:eastAsia="黑体" w:cs="黑体"/>
          <w:b w:val="0"/>
          <w:bCs w:val="0"/>
          <w:color w:val="auto"/>
          <w:highlight w:val="none"/>
        </w:rPr>
        <w:t>石油和天然气开采行业不同等级清洁生产企业综合评价指数</w:t>
      </w:r>
    </w:p>
    <w:tbl>
      <w:tblPr>
        <w:tblStyle w:val="35"/>
        <w:tblW w:w="0" w:type="auto"/>
        <w:jc w:val="center"/>
        <w:tblLayout w:type="fixed"/>
        <w:tblCellMar>
          <w:top w:w="0" w:type="dxa"/>
          <w:left w:w="108" w:type="dxa"/>
          <w:bottom w:w="0" w:type="dxa"/>
          <w:right w:w="108" w:type="dxa"/>
        </w:tblCellMar>
      </w:tblPr>
      <w:tblGrid>
        <w:gridCol w:w="4261"/>
        <w:gridCol w:w="4261"/>
      </w:tblGrid>
      <w:tr w14:paraId="59C2DBDC">
        <w:tblPrEx>
          <w:tblCellMar>
            <w:top w:w="0" w:type="dxa"/>
            <w:left w:w="108" w:type="dxa"/>
            <w:bottom w:w="0" w:type="dxa"/>
            <w:right w:w="108" w:type="dxa"/>
          </w:tblCellMar>
        </w:tblPrEx>
        <w:trPr>
          <w:trHeight w:val="340"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14:paraId="64E6CD54">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清洁生产企业等级</w:t>
            </w:r>
          </w:p>
        </w:tc>
        <w:tc>
          <w:tcPr>
            <w:tcW w:w="4261" w:type="dxa"/>
            <w:tcBorders>
              <w:top w:val="single" w:color="auto" w:sz="4" w:space="0"/>
              <w:left w:val="single" w:color="auto" w:sz="4" w:space="0"/>
              <w:bottom w:val="single" w:color="auto" w:sz="4" w:space="0"/>
              <w:right w:val="single" w:color="auto" w:sz="4" w:space="0"/>
            </w:tcBorders>
            <w:noWrap w:val="0"/>
            <w:vAlign w:val="center"/>
          </w:tcPr>
          <w:p w14:paraId="3214252D">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清洁生产综合评价指数</w:t>
            </w:r>
          </w:p>
        </w:tc>
      </w:tr>
      <w:tr w14:paraId="639D1918">
        <w:tblPrEx>
          <w:tblCellMar>
            <w:top w:w="0" w:type="dxa"/>
            <w:left w:w="108" w:type="dxa"/>
            <w:bottom w:w="0" w:type="dxa"/>
            <w:right w:w="108" w:type="dxa"/>
          </w:tblCellMar>
        </w:tblPrEx>
        <w:trPr>
          <w:trHeight w:val="340"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14:paraId="1F397EA0">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清洁生产先进企业</w:t>
            </w:r>
          </w:p>
        </w:tc>
        <w:tc>
          <w:tcPr>
            <w:tcW w:w="4261" w:type="dxa"/>
            <w:tcBorders>
              <w:top w:val="single" w:color="auto" w:sz="4" w:space="0"/>
              <w:left w:val="single" w:color="auto" w:sz="4" w:space="0"/>
              <w:bottom w:val="single" w:color="auto" w:sz="4" w:space="0"/>
              <w:right w:val="single" w:color="auto" w:sz="4" w:space="0"/>
            </w:tcBorders>
            <w:noWrap w:val="0"/>
            <w:vAlign w:val="center"/>
          </w:tcPr>
          <w:p w14:paraId="2957777C">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P≥90</w:t>
            </w:r>
          </w:p>
        </w:tc>
      </w:tr>
      <w:tr w14:paraId="15C07762">
        <w:tblPrEx>
          <w:tblCellMar>
            <w:top w:w="0" w:type="dxa"/>
            <w:left w:w="108" w:type="dxa"/>
            <w:bottom w:w="0" w:type="dxa"/>
            <w:right w:w="108" w:type="dxa"/>
          </w:tblCellMar>
        </w:tblPrEx>
        <w:trPr>
          <w:trHeight w:val="340"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14:paraId="06E8E7CF">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清洁生产企业</w:t>
            </w:r>
          </w:p>
        </w:tc>
        <w:tc>
          <w:tcPr>
            <w:tcW w:w="4261" w:type="dxa"/>
            <w:tcBorders>
              <w:top w:val="single" w:color="auto" w:sz="4" w:space="0"/>
              <w:left w:val="single" w:color="auto" w:sz="4" w:space="0"/>
              <w:bottom w:val="single" w:color="auto" w:sz="4" w:space="0"/>
              <w:right w:val="single" w:color="auto" w:sz="4" w:space="0"/>
            </w:tcBorders>
            <w:noWrap w:val="0"/>
            <w:vAlign w:val="center"/>
          </w:tcPr>
          <w:p w14:paraId="37F7C0A9">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75≤P＜90</w:t>
            </w:r>
          </w:p>
        </w:tc>
      </w:tr>
    </w:tbl>
    <w:p w14:paraId="67269A0E">
      <w:pPr>
        <w:keepNext/>
        <w:keepLines/>
        <w:pageBreakBefore w:val="0"/>
        <w:widowControl/>
        <w:kinsoku/>
        <w:wordWrap/>
        <w:overflowPunct/>
        <w:topLinePunct w:val="0"/>
        <w:autoSpaceDE/>
        <w:autoSpaceDN/>
        <w:bidi w:val="0"/>
        <w:adjustRightInd/>
        <w:snapToGrid/>
        <w:spacing w:before="157" w:beforeLines="50" w:line="360" w:lineRule="auto"/>
        <w:jc w:val="both"/>
        <w:textAlignment w:val="auto"/>
        <w:outlineLvl w:val="2"/>
        <w:rPr>
          <w:rFonts w:hint="default" w:ascii="Times New Roman" w:hAnsi="Times New Roman" w:cs="Times New Roman"/>
          <w:b/>
          <w:color w:val="auto"/>
          <w:sz w:val="28"/>
          <w:szCs w:val="22"/>
          <w:highlight w:val="none"/>
        </w:rPr>
      </w:pPr>
      <w:r>
        <w:rPr>
          <w:rFonts w:hint="default" w:ascii="Times New Roman" w:hAnsi="Times New Roman" w:cs="Times New Roman"/>
          <w:b/>
          <w:color w:val="auto"/>
          <w:sz w:val="28"/>
          <w:szCs w:val="22"/>
          <w:highlight w:val="none"/>
        </w:rPr>
        <w:t>3.</w:t>
      </w:r>
      <w:r>
        <w:rPr>
          <w:rFonts w:hint="eastAsia" w:ascii="Times New Roman" w:hAnsi="Times New Roman" w:cs="Times New Roman"/>
          <w:b/>
          <w:color w:val="auto"/>
          <w:sz w:val="28"/>
          <w:szCs w:val="22"/>
          <w:highlight w:val="none"/>
          <w:lang w:val="en-US" w:eastAsia="zh-CN"/>
        </w:rPr>
        <w:t>5.7</w:t>
      </w:r>
      <w:r>
        <w:rPr>
          <w:rFonts w:hint="default" w:ascii="Times New Roman" w:hAnsi="Times New Roman" w:cs="Times New Roman"/>
          <w:b/>
          <w:color w:val="auto"/>
          <w:sz w:val="28"/>
          <w:szCs w:val="22"/>
          <w:highlight w:val="none"/>
        </w:rPr>
        <w:t>清洁生产水平结论</w:t>
      </w:r>
    </w:p>
    <w:p w14:paraId="1F9BC33D">
      <w:pPr>
        <w:pStyle w:val="61"/>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根据综合评价指数得分判定，</w:t>
      </w:r>
      <w:r>
        <w:rPr>
          <w:rFonts w:hint="default" w:ascii="Times New Roman" w:hAnsi="Times New Roman" w:eastAsia="宋体" w:cs="Times New Roman"/>
          <w:color w:val="auto"/>
          <w:highlight w:val="none"/>
          <w:lang w:eastAsia="zh-CN"/>
        </w:rPr>
        <w:t>本</w:t>
      </w: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清洁生产企业等级为：清洁生产</w:t>
      </w:r>
      <w:r>
        <w:rPr>
          <w:rFonts w:hint="eastAsia" w:ascii="Times New Roman" w:hAnsi="Times New Roman" w:eastAsia="宋体" w:cs="Times New Roman"/>
          <w:color w:val="auto"/>
          <w:highlight w:val="none"/>
          <w:lang w:val="en-US" w:eastAsia="zh-CN"/>
        </w:rPr>
        <w:t>先进</w:t>
      </w:r>
      <w:r>
        <w:rPr>
          <w:rFonts w:hint="default" w:ascii="Times New Roman" w:hAnsi="Times New Roman" w:eastAsia="宋体" w:cs="Times New Roman"/>
          <w:color w:val="auto"/>
          <w:highlight w:val="none"/>
        </w:rPr>
        <w:t>企业。</w:t>
      </w:r>
    </w:p>
    <w:p w14:paraId="39EF5C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通过以上分析可以看出，</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无论是在生产工艺、设备的先进性、合理性，还是在原材料及能量的利用以及生产管理和员工的素质提高等各方面均考虑了清洁生产的要求，将清洁生产的技术运用到了开发生产的全过程中。特别是</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注重源头控制污染物的产生量和废物的重复利用，充分利用了能源和资源，尽量减少或消除了污染物的产生，并使废物在生产过程中转化为可用资源，</w:t>
      </w:r>
      <w:r>
        <w:rPr>
          <w:rFonts w:hint="eastAsia" w:cs="Times New Roman"/>
          <w:color w:val="auto"/>
          <w:highlight w:val="none"/>
          <w:lang w:eastAsia="zh-CN"/>
        </w:rPr>
        <w:t>最大限度地降低</w:t>
      </w:r>
      <w:r>
        <w:rPr>
          <w:rFonts w:hint="default" w:ascii="Times New Roman" w:hAnsi="Times New Roman" w:cs="Times New Roman"/>
          <w:color w:val="auto"/>
          <w:highlight w:val="none"/>
        </w:rPr>
        <w:t>了工程对环境造成的污染。清洁生产总体能够达到国内清洁生产先进水平</w:t>
      </w:r>
      <w:r>
        <w:rPr>
          <w:rFonts w:hint="default" w:ascii="Times New Roman" w:hAnsi="Times New Roman" w:cs="Times New Roman"/>
          <w:color w:val="auto"/>
          <w:highlight w:val="none"/>
          <w:lang w:eastAsia="zh-CN"/>
        </w:rPr>
        <w:t>。</w:t>
      </w:r>
    </w:p>
    <w:p w14:paraId="176626D4">
      <w:pPr>
        <w:pStyle w:val="24"/>
        <w:rPr>
          <w:rFonts w:hint="default"/>
          <w:color w:val="auto"/>
          <w:highlight w:val="none"/>
        </w:rPr>
        <w:sectPr>
          <w:headerReference r:id="rId12" w:type="default"/>
          <w:footerReference r:id="rId13" w:type="default"/>
          <w:pgSz w:w="11905" w:h="16838"/>
          <w:pgMar w:top="1389" w:right="1729" w:bottom="1202" w:left="1769" w:header="794" w:footer="1020" w:gutter="0"/>
          <w:pgBorders>
            <w:top w:val="none" w:sz="0" w:space="0"/>
            <w:left w:val="none" w:sz="0" w:space="0"/>
            <w:bottom w:val="none" w:sz="0" w:space="0"/>
            <w:right w:val="none" w:sz="0" w:space="0"/>
          </w:pgBorders>
          <w:pgNumType w:fmt="decimal"/>
          <w:cols w:space="0" w:num="1"/>
          <w:rtlGutter w:val="0"/>
          <w:docGrid w:linePitch="312" w:charSpace="0"/>
        </w:sectPr>
      </w:pPr>
    </w:p>
    <w:p w14:paraId="0CB2E04F">
      <w:pPr>
        <w:keepNext w:val="0"/>
        <w:keepLines w:val="0"/>
        <w:pageBreakBefore w:val="0"/>
        <w:widowControl/>
        <w:kinsoku/>
        <w:wordWrap/>
        <w:overflowPunct/>
        <w:topLinePunct w:val="0"/>
        <w:autoSpaceDE/>
        <w:autoSpaceDN/>
        <w:bidi w:val="0"/>
        <w:adjustRightInd w:val="0"/>
        <w:snapToGrid w:val="0"/>
        <w:spacing w:line="240" w:lineRule="auto"/>
        <w:ind w:firstLine="1470" w:firstLineChars="700"/>
        <w:jc w:val="center"/>
        <w:textAlignment w:val="auto"/>
        <w:rPr>
          <w:rFonts w:hint="default" w:ascii="Times New Roman" w:hAnsi="Times New Roman" w:eastAsia="黑体" w:cs="Times New Roman"/>
          <w:b w:val="0"/>
          <w:bCs w:val="0"/>
          <w:color w:val="auto"/>
          <w:kern w:val="0"/>
          <w:sz w:val="21"/>
          <w:szCs w:val="21"/>
          <w:highlight w:val="none"/>
        </w:rPr>
      </w:pPr>
      <w:r>
        <w:rPr>
          <w:rFonts w:hint="default" w:ascii="Times New Roman" w:hAnsi="Times New Roman" w:eastAsia="黑体" w:cs="Times New Roman"/>
          <w:b w:val="0"/>
          <w:bCs w:val="0"/>
          <w:color w:val="auto"/>
          <w:kern w:val="0"/>
          <w:sz w:val="21"/>
          <w:szCs w:val="21"/>
          <w:highlight w:val="none"/>
        </w:rPr>
        <w:t>表3.</w:t>
      </w:r>
      <w:r>
        <w:rPr>
          <w:rFonts w:hint="default" w:ascii="Times New Roman" w:hAnsi="Times New Roman" w:eastAsia="黑体" w:cs="Times New Roman"/>
          <w:b w:val="0"/>
          <w:bCs w:val="0"/>
          <w:color w:val="auto"/>
          <w:kern w:val="0"/>
          <w:sz w:val="21"/>
          <w:szCs w:val="21"/>
          <w:highlight w:val="none"/>
          <w:lang w:val="en-US" w:eastAsia="zh-CN"/>
        </w:rPr>
        <w:t>5</w:t>
      </w:r>
      <w:r>
        <w:rPr>
          <w:rFonts w:hint="default" w:ascii="Times New Roman" w:hAnsi="Times New Roman" w:eastAsia="黑体" w:cs="Times New Roman"/>
          <w:b w:val="0"/>
          <w:bCs w:val="0"/>
          <w:color w:val="auto"/>
          <w:kern w:val="0"/>
          <w:sz w:val="21"/>
          <w:szCs w:val="21"/>
          <w:highlight w:val="none"/>
        </w:rPr>
        <w:t>-</w:t>
      </w:r>
      <w:r>
        <w:rPr>
          <w:rFonts w:hint="eastAsia" w:eastAsia="黑体" w:cs="Times New Roman"/>
          <w:b w:val="0"/>
          <w:bCs w:val="0"/>
          <w:color w:val="auto"/>
          <w:kern w:val="0"/>
          <w:sz w:val="21"/>
          <w:szCs w:val="21"/>
          <w:highlight w:val="none"/>
          <w:lang w:val="en-US" w:eastAsia="zh-CN"/>
        </w:rPr>
        <w:t>1</w:t>
      </w:r>
      <w:r>
        <w:rPr>
          <w:rFonts w:hint="default" w:ascii="Times New Roman" w:hAnsi="Times New Roman" w:eastAsia="黑体" w:cs="Times New Roman"/>
          <w:b w:val="0"/>
          <w:bCs w:val="0"/>
          <w:color w:val="auto"/>
          <w:kern w:val="0"/>
          <w:sz w:val="21"/>
          <w:szCs w:val="21"/>
          <w:highlight w:val="none"/>
        </w:rPr>
        <w:t>钻井作业定量和定性评价指标项目、权重及基准值</w:t>
      </w:r>
    </w:p>
    <w:tbl>
      <w:tblPr>
        <w:tblStyle w:val="35"/>
        <w:tblW w:w="504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788"/>
        <w:gridCol w:w="1190"/>
        <w:gridCol w:w="1426"/>
        <w:gridCol w:w="1788"/>
        <w:gridCol w:w="2340"/>
        <w:gridCol w:w="1155"/>
        <w:gridCol w:w="1845"/>
        <w:gridCol w:w="5"/>
        <w:gridCol w:w="1317"/>
        <w:gridCol w:w="583"/>
      </w:tblGrid>
      <w:tr w14:paraId="72DC70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341" w:type="pct"/>
            <w:gridSpan w:val="8"/>
            <w:tcBorders>
              <w:top w:val="single" w:color="auto" w:sz="4" w:space="0"/>
              <w:left w:val="single" w:color="auto" w:sz="4" w:space="0"/>
              <w:right w:val="single" w:color="auto" w:sz="4" w:space="0"/>
            </w:tcBorders>
            <w:vAlign w:val="center"/>
          </w:tcPr>
          <w:p w14:paraId="46F4FB5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b/>
                <w:bCs/>
                <w:color w:val="auto"/>
                <w:spacing w:val="0"/>
                <w:kern w:val="0"/>
                <w:sz w:val="21"/>
                <w:szCs w:val="21"/>
                <w:highlight w:val="none"/>
              </w:rPr>
            </w:pPr>
            <w:r>
              <w:rPr>
                <w:rFonts w:hint="default" w:ascii="Times New Roman" w:hAnsi="Times New Roman" w:eastAsia="宋体" w:cs="Times New Roman"/>
                <w:b/>
                <w:bCs/>
                <w:color w:val="auto"/>
                <w:spacing w:val="0"/>
                <w:kern w:val="0"/>
                <w:sz w:val="21"/>
                <w:szCs w:val="21"/>
                <w:highlight w:val="none"/>
              </w:rPr>
              <w:t>定量指标</w:t>
            </w:r>
          </w:p>
        </w:tc>
        <w:tc>
          <w:tcPr>
            <w:tcW w:w="658" w:type="pct"/>
            <w:gridSpan w:val="2"/>
            <w:tcBorders>
              <w:top w:val="single" w:color="auto" w:sz="4" w:space="0"/>
              <w:left w:val="single" w:color="auto" w:sz="4" w:space="0"/>
              <w:right w:val="single" w:color="auto" w:sz="4" w:space="0"/>
            </w:tcBorders>
            <w:vAlign w:val="center"/>
          </w:tcPr>
          <w:p w14:paraId="3E87AA3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b/>
                <w:bCs/>
                <w:color w:val="auto"/>
                <w:spacing w:val="0"/>
                <w:kern w:val="0"/>
                <w:sz w:val="21"/>
                <w:szCs w:val="21"/>
                <w:highlight w:val="none"/>
                <w:lang w:val="en-US" w:eastAsia="zh-CN"/>
              </w:rPr>
            </w:pPr>
            <w:r>
              <w:rPr>
                <w:rFonts w:hint="eastAsia" w:cs="Times New Roman"/>
                <w:b/>
                <w:bCs/>
                <w:color w:val="auto"/>
                <w:spacing w:val="0"/>
                <w:kern w:val="0"/>
                <w:sz w:val="21"/>
                <w:szCs w:val="21"/>
                <w:highlight w:val="none"/>
                <w:lang w:val="en-US" w:eastAsia="zh-CN"/>
              </w:rPr>
              <w:t>本项目评价</w:t>
            </w:r>
          </w:p>
        </w:tc>
      </w:tr>
      <w:tr w14:paraId="559F32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5" w:type="pct"/>
            <w:tcBorders>
              <w:left w:val="single" w:color="auto" w:sz="4" w:space="0"/>
            </w:tcBorders>
            <w:vAlign w:val="center"/>
          </w:tcPr>
          <w:p w14:paraId="23DEFFE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一级指标</w:t>
            </w:r>
          </w:p>
        </w:tc>
        <w:tc>
          <w:tcPr>
            <w:tcW w:w="412" w:type="pct"/>
            <w:vAlign w:val="center"/>
          </w:tcPr>
          <w:p w14:paraId="09C6BD3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权重值</w:t>
            </w:r>
          </w:p>
        </w:tc>
        <w:tc>
          <w:tcPr>
            <w:tcW w:w="1113" w:type="pct"/>
            <w:gridSpan w:val="2"/>
            <w:vAlign w:val="center"/>
          </w:tcPr>
          <w:p w14:paraId="4476525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二级指标</w:t>
            </w:r>
          </w:p>
        </w:tc>
        <w:tc>
          <w:tcPr>
            <w:tcW w:w="810" w:type="pct"/>
            <w:vAlign w:val="center"/>
          </w:tcPr>
          <w:p w14:paraId="76F2C78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单位</w:t>
            </w:r>
          </w:p>
        </w:tc>
        <w:tc>
          <w:tcPr>
            <w:tcW w:w="400" w:type="pct"/>
            <w:vAlign w:val="center"/>
          </w:tcPr>
          <w:p w14:paraId="47F2095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权重分值</w:t>
            </w:r>
          </w:p>
        </w:tc>
        <w:tc>
          <w:tcPr>
            <w:tcW w:w="638" w:type="pct"/>
            <w:vAlign w:val="center"/>
          </w:tcPr>
          <w:p w14:paraId="6FB9038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评价基准值</w:t>
            </w:r>
          </w:p>
        </w:tc>
        <w:tc>
          <w:tcPr>
            <w:tcW w:w="457" w:type="pct"/>
            <w:gridSpan w:val="2"/>
            <w:vAlign w:val="center"/>
          </w:tcPr>
          <w:p w14:paraId="01EE81D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估算值</w:t>
            </w:r>
          </w:p>
        </w:tc>
        <w:tc>
          <w:tcPr>
            <w:tcW w:w="201" w:type="pct"/>
            <w:tcBorders>
              <w:right w:val="single" w:color="auto" w:sz="4" w:space="0"/>
            </w:tcBorders>
            <w:vAlign w:val="center"/>
          </w:tcPr>
          <w:p w14:paraId="00BBAE0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得分</w:t>
            </w:r>
          </w:p>
        </w:tc>
      </w:tr>
      <w:tr w14:paraId="532FA5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6" w:hRule="atLeast"/>
          <w:jc w:val="center"/>
        </w:trPr>
        <w:tc>
          <w:tcPr>
            <w:tcW w:w="965" w:type="pct"/>
            <w:vMerge w:val="restart"/>
            <w:tcBorders>
              <w:left w:val="single" w:color="auto" w:sz="4" w:space="0"/>
            </w:tcBorders>
            <w:vAlign w:val="center"/>
          </w:tcPr>
          <w:p w14:paraId="319F088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资源和能源消耗指标</w:t>
            </w:r>
          </w:p>
        </w:tc>
        <w:tc>
          <w:tcPr>
            <w:tcW w:w="412" w:type="pct"/>
            <w:vMerge w:val="restart"/>
            <w:vAlign w:val="center"/>
          </w:tcPr>
          <w:p w14:paraId="033768E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30</w:t>
            </w:r>
          </w:p>
        </w:tc>
        <w:tc>
          <w:tcPr>
            <w:tcW w:w="1113" w:type="pct"/>
            <w:gridSpan w:val="2"/>
            <w:vAlign w:val="center"/>
          </w:tcPr>
          <w:p w14:paraId="6DFF462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占地面积</w:t>
            </w:r>
          </w:p>
        </w:tc>
        <w:tc>
          <w:tcPr>
            <w:tcW w:w="810" w:type="pct"/>
            <w:vAlign w:val="center"/>
          </w:tcPr>
          <w:p w14:paraId="4C96EEF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hm</w:t>
            </w:r>
            <w:r>
              <w:rPr>
                <w:rFonts w:hint="default" w:ascii="Times New Roman" w:hAnsi="Times New Roman" w:eastAsia="宋体" w:cs="Times New Roman"/>
                <w:color w:val="auto"/>
                <w:spacing w:val="0"/>
                <w:kern w:val="0"/>
                <w:sz w:val="21"/>
                <w:szCs w:val="21"/>
                <w:highlight w:val="none"/>
                <w:vertAlign w:val="superscript"/>
              </w:rPr>
              <w:t>2</w:t>
            </w:r>
          </w:p>
        </w:tc>
        <w:tc>
          <w:tcPr>
            <w:tcW w:w="400" w:type="pct"/>
            <w:vAlign w:val="center"/>
          </w:tcPr>
          <w:p w14:paraId="470D2A2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w:t>
            </w:r>
          </w:p>
        </w:tc>
        <w:tc>
          <w:tcPr>
            <w:tcW w:w="638" w:type="pct"/>
            <w:vAlign w:val="center"/>
          </w:tcPr>
          <w:p w14:paraId="292E105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符合行业标准要求</w:t>
            </w:r>
          </w:p>
        </w:tc>
        <w:tc>
          <w:tcPr>
            <w:tcW w:w="457" w:type="pct"/>
            <w:gridSpan w:val="2"/>
            <w:vAlign w:val="center"/>
          </w:tcPr>
          <w:p w14:paraId="02CC247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符合</w:t>
            </w:r>
          </w:p>
        </w:tc>
        <w:tc>
          <w:tcPr>
            <w:tcW w:w="201" w:type="pct"/>
            <w:tcBorders>
              <w:right w:val="single" w:color="auto" w:sz="4" w:space="0"/>
            </w:tcBorders>
            <w:vAlign w:val="center"/>
          </w:tcPr>
          <w:p w14:paraId="5B40E98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w:t>
            </w:r>
          </w:p>
        </w:tc>
      </w:tr>
      <w:tr w14:paraId="3D0B90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965" w:type="pct"/>
            <w:vMerge w:val="continue"/>
            <w:tcBorders>
              <w:left w:val="single" w:color="auto" w:sz="4" w:space="0"/>
            </w:tcBorders>
            <w:vAlign w:val="center"/>
          </w:tcPr>
          <w:p w14:paraId="01FE03A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22BCA7B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Align w:val="center"/>
          </w:tcPr>
          <w:p w14:paraId="5C1FE3E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新鲜水消耗</w:t>
            </w:r>
          </w:p>
        </w:tc>
        <w:tc>
          <w:tcPr>
            <w:tcW w:w="810" w:type="pct"/>
            <w:vAlign w:val="center"/>
          </w:tcPr>
          <w:p w14:paraId="3C0D56E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t/100m标准进尺</w:t>
            </w:r>
          </w:p>
        </w:tc>
        <w:tc>
          <w:tcPr>
            <w:tcW w:w="400" w:type="pct"/>
            <w:vAlign w:val="center"/>
          </w:tcPr>
          <w:p w14:paraId="70AD2E5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w:t>
            </w:r>
          </w:p>
        </w:tc>
        <w:tc>
          <w:tcPr>
            <w:tcW w:w="638" w:type="pct"/>
            <w:vAlign w:val="center"/>
          </w:tcPr>
          <w:p w14:paraId="44235A3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≤25</w:t>
            </w:r>
          </w:p>
        </w:tc>
        <w:tc>
          <w:tcPr>
            <w:tcW w:w="457" w:type="pct"/>
            <w:gridSpan w:val="2"/>
            <w:vAlign w:val="center"/>
          </w:tcPr>
          <w:p w14:paraId="0930AC9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19</w:t>
            </w:r>
          </w:p>
        </w:tc>
        <w:tc>
          <w:tcPr>
            <w:tcW w:w="201" w:type="pct"/>
            <w:tcBorders>
              <w:right w:val="single" w:color="auto" w:sz="4" w:space="0"/>
            </w:tcBorders>
            <w:vAlign w:val="center"/>
          </w:tcPr>
          <w:p w14:paraId="75E762C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eastAsia" w:cs="Times New Roman"/>
                <w:color w:val="auto"/>
                <w:spacing w:val="0"/>
                <w:kern w:val="0"/>
                <w:sz w:val="21"/>
                <w:szCs w:val="21"/>
                <w:highlight w:val="none"/>
                <w:lang w:val="en-US" w:eastAsia="zh-CN"/>
              </w:rPr>
              <w:t>1</w:t>
            </w:r>
            <w:r>
              <w:rPr>
                <w:rFonts w:hint="default" w:ascii="Times New Roman" w:hAnsi="Times New Roman" w:eastAsia="宋体" w:cs="Times New Roman"/>
                <w:color w:val="auto"/>
                <w:spacing w:val="0"/>
                <w:kern w:val="0"/>
                <w:sz w:val="21"/>
                <w:szCs w:val="21"/>
                <w:highlight w:val="none"/>
              </w:rPr>
              <w:t>5</w:t>
            </w:r>
          </w:p>
        </w:tc>
      </w:tr>
      <w:tr w14:paraId="41DC8D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65" w:type="pct"/>
            <w:tcBorders>
              <w:left w:val="single" w:color="auto" w:sz="4" w:space="0"/>
            </w:tcBorders>
            <w:vAlign w:val="center"/>
          </w:tcPr>
          <w:p w14:paraId="487AC65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生产技术特征指标</w:t>
            </w:r>
          </w:p>
        </w:tc>
        <w:tc>
          <w:tcPr>
            <w:tcW w:w="412" w:type="pct"/>
            <w:vAlign w:val="center"/>
          </w:tcPr>
          <w:p w14:paraId="337DF8B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1113" w:type="pct"/>
            <w:gridSpan w:val="2"/>
            <w:vAlign w:val="center"/>
          </w:tcPr>
          <w:p w14:paraId="51A5A02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固井质量合格率</w:t>
            </w:r>
          </w:p>
        </w:tc>
        <w:tc>
          <w:tcPr>
            <w:tcW w:w="810" w:type="pct"/>
            <w:vAlign w:val="center"/>
          </w:tcPr>
          <w:p w14:paraId="003930C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w:t>
            </w:r>
          </w:p>
        </w:tc>
        <w:tc>
          <w:tcPr>
            <w:tcW w:w="400" w:type="pct"/>
            <w:vAlign w:val="center"/>
          </w:tcPr>
          <w:p w14:paraId="1299CB2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38" w:type="pct"/>
            <w:vAlign w:val="center"/>
          </w:tcPr>
          <w:p w14:paraId="488589C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≥95</w:t>
            </w:r>
          </w:p>
        </w:tc>
        <w:tc>
          <w:tcPr>
            <w:tcW w:w="457" w:type="pct"/>
            <w:gridSpan w:val="2"/>
            <w:vAlign w:val="center"/>
          </w:tcPr>
          <w:p w14:paraId="006152E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100%</w:t>
            </w:r>
          </w:p>
        </w:tc>
        <w:tc>
          <w:tcPr>
            <w:tcW w:w="201" w:type="pct"/>
            <w:tcBorders>
              <w:right w:val="single" w:color="auto" w:sz="4" w:space="0"/>
            </w:tcBorders>
            <w:vAlign w:val="center"/>
          </w:tcPr>
          <w:p w14:paraId="2B39B3D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268F82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8" w:hRule="atLeast"/>
          <w:jc w:val="center"/>
        </w:trPr>
        <w:tc>
          <w:tcPr>
            <w:tcW w:w="965" w:type="pct"/>
            <w:vMerge w:val="restart"/>
            <w:tcBorders>
              <w:left w:val="single" w:color="auto" w:sz="4" w:space="0"/>
            </w:tcBorders>
            <w:vAlign w:val="center"/>
          </w:tcPr>
          <w:p w14:paraId="30A4A86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3</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资源综合利用指标</w:t>
            </w:r>
          </w:p>
        </w:tc>
        <w:tc>
          <w:tcPr>
            <w:tcW w:w="412" w:type="pct"/>
            <w:vMerge w:val="restart"/>
            <w:vAlign w:val="center"/>
          </w:tcPr>
          <w:p w14:paraId="5A44E8E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30</w:t>
            </w:r>
          </w:p>
        </w:tc>
        <w:tc>
          <w:tcPr>
            <w:tcW w:w="1113" w:type="pct"/>
            <w:gridSpan w:val="2"/>
            <w:vMerge w:val="restart"/>
            <w:vAlign w:val="center"/>
          </w:tcPr>
          <w:p w14:paraId="735106D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钻井液循环率</w:t>
            </w:r>
          </w:p>
        </w:tc>
        <w:tc>
          <w:tcPr>
            <w:tcW w:w="810" w:type="pct"/>
            <w:vAlign w:val="center"/>
          </w:tcPr>
          <w:p w14:paraId="0EAE9B2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井深2000m以下</w:t>
            </w:r>
          </w:p>
        </w:tc>
        <w:tc>
          <w:tcPr>
            <w:tcW w:w="400" w:type="pct"/>
            <w:vMerge w:val="restart"/>
            <w:vAlign w:val="center"/>
          </w:tcPr>
          <w:p w14:paraId="65025A5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38" w:type="pct"/>
            <w:vAlign w:val="center"/>
          </w:tcPr>
          <w:p w14:paraId="135EE34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≥40</w:t>
            </w:r>
            <w:r>
              <w:rPr>
                <w:rFonts w:hint="eastAsia" w:cs="Times New Roman"/>
                <w:color w:val="auto"/>
                <w:spacing w:val="0"/>
                <w:kern w:val="0"/>
                <w:sz w:val="21"/>
                <w:szCs w:val="21"/>
                <w:highlight w:val="none"/>
                <w:lang w:eastAsia="zh-CN"/>
              </w:rPr>
              <w:t>%</w:t>
            </w:r>
          </w:p>
        </w:tc>
        <w:tc>
          <w:tcPr>
            <w:tcW w:w="457" w:type="pct"/>
            <w:gridSpan w:val="2"/>
            <w:vAlign w:val="center"/>
          </w:tcPr>
          <w:p w14:paraId="67FEAF0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201" w:type="pct"/>
            <w:tcBorders>
              <w:right w:val="single" w:color="auto" w:sz="4" w:space="0"/>
            </w:tcBorders>
            <w:vAlign w:val="center"/>
          </w:tcPr>
          <w:p w14:paraId="4C49183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r>
      <w:tr w14:paraId="51D936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965" w:type="pct"/>
            <w:vMerge w:val="continue"/>
            <w:tcBorders>
              <w:left w:val="single" w:color="auto" w:sz="4" w:space="0"/>
            </w:tcBorders>
            <w:vAlign w:val="center"/>
          </w:tcPr>
          <w:p w14:paraId="0732452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66D68B4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Merge w:val="continue"/>
            <w:vAlign w:val="center"/>
          </w:tcPr>
          <w:p w14:paraId="273BD4D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10" w:type="pct"/>
            <w:vAlign w:val="center"/>
          </w:tcPr>
          <w:p w14:paraId="5A4CE29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井深2000</w:t>
            </w:r>
            <w:r>
              <w:rPr>
                <w:rFonts w:hint="eastAsia"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3000m</w:t>
            </w:r>
          </w:p>
        </w:tc>
        <w:tc>
          <w:tcPr>
            <w:tcW w:w="400" w:type="pct"/>
            <w:vMerge w:val="continue"/>
            <w:vAlign w:val="center"/>
          </w:tcPr>
          <w:p w14:paraId="755C225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638" w:type="pct"/>
            <w:vAlign w:val="center"/>
          </w:tcPr>
          <w:p w14:paraId="19614D5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≥50％</w:t>
            </w:r>
          </w:p>
        </w:tc>
        <w:tc>
          <w:tcPr>
            <w:tcW w:w="457" w:type="pct"/>
            <w:gridSpan w:val="2"/>
            <w:vAlign w:val="center"/>
          </w:tcPr>
          <w:p w14:paraId="73B6228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201" w:type="pct"/>
            <w:tcBorders>
              <w:right w:val="single" w:color="auto" w:sz="4" w:space="0"/>
            </w:tcBorders>
            <w:vAlign w:val="center"/>
          </w:tcPr>
          <w:p w14:paraId="38DD29D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r>
      <w:tr w14:paraId="25DFBB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965" w:type="pct"/>
            <w:vMerge w:val="continue"/>
            <w:tcBorders>
              <w:left w:val="single" w:color="auto" w:sz="4" w:space="0"/>
            </w:tcBorders>
            <w:vAlign w:val="center"/>
          </w:tcPr>
          <w:p w14:paraId="5C333ED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44038C7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Merge w:val="continue"/>
            <w:vAlign w:val="center"/>
          </w:tcPr>
          <w:p w14:paraId="40531FD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10" w:type="pct"/>
            <w:vAlign w:val="center"/>
          </w:tcPr>
          <w:p w14:paraId="4D549B2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井深3000以上</w:t>
            </w:r>
          </w:p>
        </w:tc>
        <w:tc>
          <w:tcPr>
            <w:tcW w:w="400" w:type="pct"/>
            <w:vMerge w:val="continue"/>
            <w:vAlign w:val="center"/>
          </w:tcPr>
          <w:p w14:paraId="23EBAB8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638" w:type="pct"/>
            <w:vAlign w:val="center"/>
          </w:tcPr>
          <w:p w14:paraId="272B6CB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≥60</w:t>
            </w:r>
            <w:r>
              <w:rPr>
                <w:rFonts w:hint="eastAsia" w:cs="Times New Roman"/>
                <w:color w:val="auto"/>
                <w:spacing w:val="0"/>
                <w:kern w:val="0"/>
                <w:sz w:val="21"/>
                <w:szCs w:val="21"/>
                <w:highlight w:val="none"/>
                <w:lang w:eastAsia="zh-CN"/>
              </w:rPr>
              <w:t>%</w:t>
            </w:r>
          </w:p>
        </w:tc>
        <w:tc>
          <w:tcPr>
            <w:tcW w:w="457" w:type="pct"/>
            <w:gridSpan w:val="2"/>
            <w:vAlign w:val="center"/>
          </w:tcPr>
          <w:p w14:paraId="25C1E11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95%</w:t>
            </w:r>
          </w:p>
        </w:tc>
        <w:tc>
          <w:tcPr>
            <w:tcW w:w="201" w:type="pct"/>
            <w:tcBorders>
              <w:right w:val="single" w:color="auto" w:sz="4" w:space="0"/>
            </w:tcBorders>
            <w:vAlign w:val="center"/>
          </w:tcPr>
          <w:p w14:paraId="7F1ACEE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556219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965" w:type="pct"/>
            <w:vMerge w:val="continue"/>
            <w:tcBorders>
              <w:left w:val="single" w:color="auto" w:sz="4" w:space="0"/>
            </w:tcBorders>
            <w:vAlign w:val="center"/>
          </w:tcPr>
          <w:p w14:paraId="0BCD14E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0CF8251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Align w:val="center"/>
          </w:tcPr>
          <w:p w14:paraId="1421354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柴油机效率</w:t>
            </w:r>
          </w:p>
        </w:tc>
        <w:tc>
          <w:tcPr>
            <w:tcW w:w="810" w:type="pct"/>
            <w:vAlign w:val="center"/>
          </w:tcPr>
          <w:p w14:paraId="7B5CF20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w:t>
            </w:r>
          </w:p>
        </w:tc>
        <w:tc>
          <w:tcPr>
            <w:tcW w:w="400" w:type="pct"/>
            <w:vAlign w:val="center"/>
          </w:tcPr>
          <w:p w14:paraId="22CEA13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38" w:type="pct"/>
            <w:vAlign w:val="center"/>
          </w:tcPr>
          <w:p w14:paraId="49B5BAA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≥80％</w:t>
            </w:r>
          </w:p>
        </w:tc>
        <w:tc>
          <w:tcPr>
            <w:tcW w:w="457" w:type="pct"/>
            <w:gridSpan w:val="2"/>
            <w:vAlign w:val="center"/>
          </w:tcPr>
          <w:p w14:paraId="4411733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10</w:t>
            </w:r>
            <w:r>
              <w:rPr>
                <w:rFonts w:hint="default" w:ascii="Times New Roman" w:hAnsi="Times New Roman" w:eastAsia="宋体" w:cs="Times New Roman"/>
                <w:color w:val="auto"/>
                <w:spacing w:val="0"/>
                <w:kern w:val="0"/>
                <w:sz w:val="21"/>
                <w:szCs w:val="21"/>
                <w:highlight w:val="none"/>
              </w:rPr>
              <w:t>0%</w:t>
            </w:r>
          </w:p>
        </w:tc>
        <w:tc>
          <w:tcPr>
            <w:tcW w:w="201" w:type="pct"/>
            <w:tcBorders>
              <w:right w:val="single" w:color="auto" w:sz="4" w:space="0"/>
            </w:tcBorders>
            <w:vAlign w:val="center"/>
          </w:tcPr>
          <w:p w14:paraId="377068A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65DE77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9" w:hRule="atLeast"/>
          <w:jc w:val="center"/>
        </w:trPr>
        <w:tc>
          <w:tcPr>
            <w:tcW w:w="965" w:type="pct"/>
            <w:vMerge w:val="continue"/>
            <w:tcBorders>
              <w:left w:val="single" w:color="auto" w:sz="4" w:space="0"/>
            </w:tcBorders>
            <w:vAlign w:val="center"/>
          </w:tcPr>
          <w:p w14:paraId="368F85C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4A521C7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Align w:val="center"/>
          </w:tcPr>
          <w:p w14:paraId="48ECB0A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污油回收率</w:t>
            </w:r>
          </w:p>
        </w:tc>
        <w:tc>
          <w:tcPr>
            <w:tcW w:w="810" w:type="pct"/>
            <w:vAlign w:val="center"/>
          </w:tcPr>
          <w:p w14:paraId="4639D04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w:t>
            </w:r>
          </w:p>
        </w:tc>
        <w:tc>
          <w:tcPr>
            <w:tcW w:w="400" w:type="pct"/>
            <w:vAlign w:val="center"/>
          </w:tcPr>
          <w:p w14:paraId="04A0A9E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38" w:type="pct"/>
            <w:vAlign w:val="center"/>
          </w:tcPr>
          <w:p w14:paraId="3A8F9BD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≥90</w:t>
            </w:r>
            <w:r>
              <w:rPr>
                <w:rFonts w:hint="eastAsia" w:cs="Times New Roman"/>
                <w:color w:val="auto"/>
                <w:spacing w:val="0"/>
                <w:kern w:val="0"/>
                <w:sz w:val="21"/>
                <w:szCs w:val="21"/>
                <w:highlight w:val="none"/>
                <w:lang w:eastAsia="zh-CN"/>
              </w:rPr>
              <w:t>%</w:t>
            </w:r>
          </w:p>
        </w:tc>
        <w:tc>
          <w:tcPr>
            <w:tcW w:w="457" w:type="pct"/>
            <w:gridSpan w:val="2"/>
            <w:vAlign w:val="center"/>
          </w:tcPr>
          <w:p w14:paraId="78EDBDB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100%</w:t>
            </w:r>
          </w:p>
        </w:tc>
        <w:tc>
          <w:tcPr>
            <w:tcW w:w="201" w:type="pct"/>
            <w:tcBorders>
              <w:right w:val="single" w:color="auto" w:sz="4" w:space="0"/>
            </w:tcBorders>
            <w:vAlign w:val="center"/>
          </w:tcPr>
          <w:p w14:paraId="138DB9A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61CFFC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5" w:type="pct"/>
            <w:vMerge w:val="restart"/>
            <w:tcBorders>
              <w:left w:val="single" w:color="auto" w:sz="4" w:space="0"/>
            </w:tcBorders>
            <w:vAlign w:val="center"/>
          </w:tcPr>
          <w:p w14:paraId="7874570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4</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污染物指标</w:t>
            </w:r>
          </w:p>
        </w:tc>
        <w:tc>
          <w:tcPr>
            <w:tcW w:w="412" w:type="pct"/>
            <w:vMerge w:val="restart"/>
            <w:vAlign w:val="center"/>
          </w:tcPr>
          <w:p w14:paraId="2449A78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35</w:t>
            </w:r>
          </w:p>
        </w:tc>
        <w:tc>
          <w:tcPr>
            <w:tcW w:w="1113" w:type="pct"/>
            <w:gridSpan w:val="2"/>
            <w:vAlign w:val="center"/>
          </w:tcPr>
          <w:p w14:paraId="2A733EA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钻井废水产生量</w:t>
            </w:r>
          </w:p>
        </w:tc>
        <w:tc>
          <w:tcPr>
            <w:tcW w:w="810" w:type="pct"/>
            <w:vAlign w:val="center"/>
          </w:tcPr>
          <w:p w14:paraId="75142AB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t/100m标准进尺</w:t>
            </w:r>
          </w:p>
        </w:tc>
        <w:tc>
          <w:tcPr>
            <w:tcW w:w="400" w:type="pct"/>
            <w:vAlign w:val="center"/>
          </w:tcPr>
          <w:p w14:paraId="2E57B3D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38" w:type="pct"/>
            <w:vAlign w:val="center"/>
          </w:tcPr>
          <w:p w14:paraId="163609B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甲类区：≤30；</w:t>
            </w:r>
          </w:p>
          <w:p w14:paraId="176197F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乙类区：≤35</w:t>
            </w:r>
          </w:p>
        </w:tc>
        <w:tc>
          <w:tcPr>
            <w:tcW w:w="457" w:type="pct"/>
            <w:gridSpan w:val="2"/>
            <w:vAlign w:val="center"/>
          </w:tcPr>
          <w:p w14:paraId="2F85572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eastAsia="zh-CN"/>
              </w:rPr>
            </w:pPr>
            <w:r>
              <w:rPr>
                <w:rFonts w:hint="eastAsia" w:cs="Times New Roman"/>
                <w:color w:val="auto"/>
                <w:spacing w:val="0"/>
                <w:kern w:val="0"/>
                <w:sz w:val="21"/>
                <w:szCs w:val="21"/>
                <w:highlight w:val="none"/>
                <w:lang w:val="en-US" w:eastAsia="zh-CN"/>
              </w:rPr>
              <w:t>5</w:t>
            </w:r>
          </w:p>
        </w:tc>
        <w:tc>
          <w:tcPr>
            <w:tcW w:w="201" w:type="pct"/>
            <w:tcBorders>
              <w:right w:val="single" w:color="auto" w:sz="4" w:space="0"/>
            </w:tcBorders>
            <w:vAlign w:val="center"/>
          </w:tcPr>
          <w:p w14:paraId="3C72D53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50D67B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5" w:type="pct"/>
            <w:vMerge w:val="continue"/>
            <w:tcBorders>
              <w:left w:val="single" w:color="auto" w:sz="4" w:space="0"/>
            </w:tcBorders>
            <w:vAlign w:val="center"/>
          </w:tcPr>
          <w:p w14:paraId="1DBC2F7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1798A62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Align w:val="center"/>
          </w:tcPr>
          <w:p w14:paraId="6EFC3D7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废弃钻井液产生量</w:t>
            </w:r>
          </w:p>
        </w:tc>
        <w:tc>
          <w:tcPr>
            <w:tcW w:w="810" w:type="pct"/>
            <w:vAlign w:val="center"/>
          </w:tcPr>
          <w:p w14:paraId="0DF623C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w:t>
            </w:r>
            <w:r>
              <w:rPr>
                <w:rFonts w:hint="default" w:ascii="Times New Roman" w:hAnsi="Times New Roman" w:eastAsia="宋体" w:cs="Times New Roman"/>
                <w:color w:val="auto"/>
                <w:spacing w:val="0"/>
                <w:kern w:val="0"/>
                <w:sz w:val="21"/>
                <w:szCs w:val="21"/>
                <w:highlight w:val="none"/>
                <w:vertAlign w:val="superscript"/>
              </w:rPr>
              <w:t>3</w:t>
            </w:r>
            <w:r>
              <w:rPr>
                <w:rFonts w:hint="default" w:ascii="Times New Roman" w:hAnsi="Times New Roman" w:eastAsia="宋体" w:cs="Times New Roman"/>
                <w:color w:val="auto"/>
                <w:spacing w:val="0"/>
                <w:kern w:val="0"/>
                <w:sz w:val="21"/>
                <w:szCs w:val="21"/>
                <w:highlight w:val="none"/>
              </w:rPr>
              <w:t>/100m标准进尺</w:t>
            </w:r>
          </w:p>
        </w:tc>
        <w:tc>
          <w:tcPr>
            <w:tcW w:w="400" w:type="pct"/>
            <w:vAlign w:val="center"/>
          </w:tcPr>
          <w:p w14:paraId="2630E0D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38" w:type="pct"/>
            <w:vAlign w:val="center"/>
          </w:tcPr>
          <w:p w14:paraId="32C0541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457" w:type="pct"/>
            <w:gridSpan w:val="2"/>
            <w:vAlign w:val="center"/>
          </w:tcPr>
          <w:p w14:paraId="6441DB7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29.73</w:t>
            </w:r>
          </w:p>
        </w:tc>
        <w:tc>
          <w:tcPr>
            <w:tcW w:w="201" w:type="pct"/>
            <w:tcBorders>
              <w:right w:val="single" w:color="auto" w:sz="4" w:space="0"/>
            </w:tcBorders>
            <w:vAlign w:val="center"/>
          </w:tcPr>
          <w:p w14:paraId="6EF09EF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3</w:t>
            </w:r>
          </w:p>
        </w:tc>
      </w:tr>
      <w:tr w14:paraId="3B1349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5" w:type="pct"/>
            <w:vMerge w:val="continue"/>
            <w:tcBorders>
              <w:left w:val="single" w:color="auto" w:sz="4" w:space="0"/>
            </w:tcBorders>
            <w:vAlign w:val="center"/>
          </w:tcPr>
          <w:p w14:paraId="1543DED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6BD22F5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Align w:val="center"/>
          </w:tcPr>
          <w:p w14:paraId="424FB5D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石油类</w:t>
            </w:r>
          </w:p>
        </w:tc>
        <w:tc>
          <w:tcPr>
            <w:tcW w:w="810" w:type="pct"/>
            <w:vAlign w:val="center"/>
          </w:tcPr>
          <w:p w14:paraId="77C8977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mg/L</w:t>
            </w:r>
          </w:p>
        </w:tc>
        <w:tc>
          <w:tcPr>
            <w:tcW w:w="400" w:type="pct"/>
            <w:vAlign w:val="center"/>
          </w:tcPr>
          <w:p w14:paraId="2E14498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38" w:type="pct"/>
            <w:vAlign w:val="center"/>
          </w:tcPr>
          <w:p w14:paraId="3AFB174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457" w:type="pct"/>
            <w:gridSpan w:val="2"/>
            <w:vAlign w:val="center"/>
          </w:tcPr>
          <w:p w14:paraId="137C47F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201" w:type="pct"/>
            <w:tcBorders>
              <w:right w:val="single" w:color="auto" w:sz="4" w:space="0"/>
            </w:tcBorders>
            <w:vAlign w:val="center"/>
          </w:tcPr>
          <w:p w14:paraId="4800470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val="en-US" w:eastAsia="zh-CN"/>
              </w:rPr>
              <w:t>5</w:t>
            </w:r>
          </w:p>
        </w:tc>
      </w:tr>
      <w:tr w14:paraId="4141D0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5" w:type="pct"/>
            <w:vMerge w:val="continue"/>
            <w:tcBorders>
              <w:left w:val="single" w:color="auto" w:sz="4" w:space="0"/>
            </w:tcBorders>
            <w:vAlign w:val="center"/>
          </w:tcPr>
          <w:p w14:paraId="3405831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3D71EC8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Align w:val="center"/>
          </w:tcPr>
          <w:p w14:paraId="0B4E626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COD</w:t>
            </w:r>
          </w:p>
        </w:tc>
        <w:tc>
          <w:tcPr>
            <w:tcW w:w="810" w:type="pct"/>
            <w:vAlign w:val="center"/>
          </w:tcPr>
          <w:p w14:paraId="2DEF6B9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mg/L</w:t>
            </w:r>
          </w:p>
        </w:tc>
        <w:tc>
          <w:tcPr>
            <w:tcW w:w="400" w:type="pct"/>
            <w:vAlign w:val="center"/>
          </w:tcPr>
          <w:p w14:paraId="01AFD7A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38" w:type="pct"/>
            <w:vAlign w:val="center"/>
          </w:tcPr>
          <w:p w14:paraId="2BFA8C3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甲类区：≤100；</w:t>
            </w:r>
          </w:p>
          <w:p w14:paraId="241FDCE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乙类区：≤150</w:t>
            </w:r>
          </w:p>
        </w:tc>
        <w:tc>
          <w:tcPr>
            <w:tcW w:w="457" w:type="pct"/>
            <w:gridSpan w:val="2"/>
            <w:vAlign w:val="center"/>
          </w:tcPr>
          <w:p w14:paraId="22CD511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≤150</w:t>
            </w:r>
          </w:p>
        </w:tc>
        <w:tc>
          <w:tcPr>
            <w:tcW w:w="201" w:type="pct"/>
            <w:tcBorders>
              <w:right w:val="single" w:color="auto" w:sz="4" w:space="0"/>
            </w:tcBorders>
            <w:vAlign w:val="center"/>
          </w:tcPr>
          <w:p w14:paraId="2F721C6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78F19D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5" w:type="pct"/>
            <w:vMerge w:val="continue"/>
            <w:tcBorders>
              <w:left w:val="single" w:color="auto" w:sz="4" w:space="0"/>
            </w:tcBorders>
            <w:vAlign w:val="center"/>
          </w:tcPr>
          <w:p w14:paraId="44E49B2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613D565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113" w:type="pct"/>
            <w:gridSpan w:val="2"/>
            <w:vAlign w:val="center"/>
          </w:tcPr>
          <w:p w14:paraId="41FB13E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柴油机烟气排放浓度</w:t>
            </w:r>
          </w:p>
        </w:tc>
        <w:tc>
          <w:tcPr>
            <w:tcW w:w="810" w:type="pct"/>
            <w:vAlign w:val="center"/>
          </w:tcPr>
          <w:p w14:paraId="44128A5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w:t>
            </w:r>
          </w:p>
        </w:tc>
        <w:tc>
          <w:tcPr>
            <w:tcW w:w="400" w:type="pct"/>
            <w:vAlign w:val="center"/>
          </w:tcPr>
          <w:p w14:paraId="6169CA1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38" w:type="pct"/>
            <w:vAlign w:val="center"/>
          </w:tcPr>
          <w:p w14:paraId="55B2363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符合排放标准要求</w:t>
            </w:r>
          </w:p>
        </w:tc>
        <w:tc>
          <w:tcPr>
            <w:tcW w:w="457" w:type="pct"/>
            <w:gridSpan w:val="2"/>
            <w:vAlign w:val="center"/>
          </w:tcPr>
          <w:p w14:paraId="5628D50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符合</w:t>
            </w:r>
          </w:p>
        </w:tc>
        <w:tc>
          <w:tcPr>
            <w:tcW w:w="201" w:type="pct"/>
            <w:tcBorders>
              <w:right w:val="single" w:color="auto" w:sz="4" w:space="0"/>
            </w:tcBorders>
            <w:vAlign w:val="center"/>
          </w:tcPr>
          <w:p w14:paraId="74AC67A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2E248E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9" w:hRule="atLeast"/>
          <w:jc w:val="center"/>
        </w:trPr>
        <w:tc>
          <w:tcPr>
            <w:tcW w:w="5000" w:type="pct"/>
            <w:gridSpan w:val="10"/>
            <w:tcBorders>
              <w:left w:val="single" w:color="auto" w:sz="4" w:space="0"/>
              <w:right w:val="single" w:color="auto" w:sz="4" w:space="0"/>
            </w:tcBorders>
            <w:vAlign w:val="center"/>
          </w:tcPr>
          <w:p w14:paraId="42F25BD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b/>
                <w:bCs/>
                <w:color w:val="auto"/>
                <w:spacing w:val="0"/>
                <w:kern w:val="0"/>
                <w:sz w:val="21"/>
                <w:szCs w:val="21"/>
                <w:highlight w:val="none"/>
              </w:rPr>
            </w:pPr>
            <w:r>
              <w:rPr>
                <w:rFonts w:hint="default" w:ascii="Times New Roman" w:hAnsi="Times New Roman" w:eastAsia="宋体" w:cs="Times New Roman"/>
                <w:b/>
                <w:bCs/>
                <w:color w:val="auto"/>
                <w:spacing w:val="0"/>
                <w:kern w:val="0"/>
                <w:sz w:val="21"/>
                <w:szCs w:val="21"/>
                <w:highlight w:val="none"/>
              </w:rPr>
              <w:t>定性指标</w:t>
            </w:r>
          </w:p>
        </w:tc>
      </w:tr>
      <w:tr w14:paraId="30F55C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5" w:hRule="atLeast"/>
          <w:jc w:val="center"/>
        </w:trPr>
        <w:tc>
          <w:tcPr>
            <w:tcW w:w="965" w:type="pct"/>
            <w:tcBorders>
              <w:left w:val="single" w:color="auto" w:sz="4" w:space="0"/>
            </w:tcBorders>
            <w:vAlign w:val="center"/>
          </w:tcPr>
          <w:p w14:paraId="1A59F7A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一级指标</w:t>
            </w:r>
          </w:p>
        </w:tc>
        <w:tc>
          <w:tcPr>
            <w:tcW w:w="412" w:type="pct"/>
            <w:vAlign w:val="center"/>
          </w:tcPr>
          <w:p w14:paraId="5329AA5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权重值</w:t>
            </w:r>
          </w:p>
        </w:tc>
        <w:tc>
          <w:tcPr>
            <w:tcW w:w="1923" w:type="pct"/>
            <w:gridSpan w:val="3"/>
            <w:vAlign w:val="center"/>
          </w:tcPr>
          <w:p w14:paraId="4A29300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二级指标</w:t>
            </w:r>
          </w:p>
        </w:tc>
        <w:tc>
          <w:tcPr>
            <w:tcW w:w="1038" w:type="pct"/>
            <w:gridSpan w:val="2"/>
            <w:vAlign w:val="center"/>
          </w:tcPr>
          <w:p w14:paraId="666B0B0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指标分值</w:t>
            </w:r>
          </w:p>
        </w:tc>
        <w:tc>
          <w:tcPr>
            <w:tcW w:w="659" w:type="pct"/>
            <w:gridSpan w:val="3"/>
            <w:tcBorders>
              <w:right w:val="single" w:color="auto" w:sz="4" w:space="0"/>
            </w:tcBorders>
            <w:vAlign w:val="center"/>
          </w:tcPr>
          <w:p w14:paraId="446ED36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cs="Times New Roman"/>
                <w:color w:val="auto"/>
                <w:spacing w:val="0"/>
                <w:kern w:val="0"/>
                <w:sz w:val="21"/>
                <w:szCs w:val="21"/>
                <w:highlight w:val="none"/>
                <w:lang w:eastAsia="zh-CN"/>
              </w:rPr>
              <w:t>本项目</w:t>
            </w:r>
          </w:p>
        </w:tc>
      </w:tr>
      <w:tr w14:paraId="6A4813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965" w:type="pct"/>
            <w:vMerge w:val="restart"/>
            <w:tcBorders>
              <w:left w:val="single" w:color="auto" w:sz="4" w:space="0"/>
            </w:tcBorders>
            <w:vAlign w:val="center"/>
          </w:tcPr>
          <w:p w14:paraId="2E9F3EA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资源和能源消耗</w:t>
            </w:r>
          </w:p>
          <w:p w14:paraId="5E1F8CF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指标</w:t>
            </w:r>
          </w:p>
        </w:tc>
        <w:tc>
          <w:tcPr>
            <w:tcW w:w="412" w:type="pct"/>
            <w:vMerge w:val="restart"/>
            <w:vAlign w:val="center"/>
          </w:tcPr>
          <w:p w14:paraId="32A83BA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w:t>
            </w:r>
          </w:p>
        </w:tc>
        <w:tc>
          <w:tcPr>
            <w:tcW w:w="493" w:type="pct"/>
            <w:vAlign w:val="center"/>
          </w:tcPr>
          <w:p w14:paraId="00B8E5D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钻井液毒性</w:t>
            </w:r>
          </w:p>
        </w:tc>
        <w:tc>
          <w:tcPr>
            <w:tcW w:w="1429" w:type="pct"/>
            <w:gridSpan w:val="2"/>
            <w:vAlign w:val="center"/>
          </w:tcPr>
          <w:p w14:paraId="5C7B52B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可生物降解或无毒钻井液</w:t>
            </w:r>
          </w:p>
        </w:tc>
        <w:tc>
          <w:tcPr>
            <w:tcW w:w="1038" w:type="pct"/>
            <w:gridSpan w:val="2"/>
            <w:vAlign w:val="center"/>
          </w:tcPr>
          <w:p w14:paraId="71DA3EC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59" w:type="pct"/>
            <w:gridSpan w:val="3"/>
            <w:tcBorders>
              <w:right w:val="single" w:color="auto" w:sz="4" w:space="0"/>
            </w:tcBorders>
            <w:vAlign w:val="center"/>
          </w:tcPr>
          <w:p w14:paraId="23D255F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05210C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965" w:type="pct"/>
            <w:vMerge w:val="continue"/>
            <w:tcBorders>
              <w:left w:val="single" w:color="auto" w:sz="4" w:space="0"/>
            </w:tcBorders>
            <w:vAlign w:val="center"/>
          </w:tcPr>
          <w:p w14:paraId="6131F79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4E7D569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93" w:type="pct"/>
            <w:vAlign w:val="center"/>
          </w:tcPr>
          <w:p w14:paraId="2C485AF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柴油消耗</w:t>
            </w:r>
          </w:p>
        </w:tc>
        <w:tc>
          <w:tcPr>
            <w:tcW w:w="1429" w:type="pct"/>
            <w:gridSpan w:val="2"/>
            <w:vAlign w:val="center"/>
          </w:tcPr>
          <w:p w14:paraId="1FBB9BD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具有节油措施</w:t>
            </w:r>
          </w:p>
        </w:tc>
        <w:tc>
          <w:tcPr>
            <w:tcW w:w="1038" w:type="pct"/>
            <w:gridSpan w:val="2"/>
            <w:vAlign w:val="center"/>
          </w:tcPr>
          <w:p w14:paraId="43534FE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3F49D7C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1CAC43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965" w:type="pct"/>
            <w:vMerge w:val="restart"/>
            <w:tcBorders>
              <w:left w:val="single" w:color="auto" w:sz="4" w:space="0"/>
            </w:tcBorders>
            <w:vAlign w:val="center"/>
          </w:tcPr>
          <w:p w14:paraId="4948012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生产技术特征指标</w:t>
            </w:r>
          </w:p>
        </w:tc>
        <w:tc>
          <w:tcPr>
            <w:tcW w:w="412" w:type="pct"/>
            <w:vMerge w:val="restart"/>
            <w:vAlign w:val="center"/>
          </w:tcPr>
          <w:p w14:paraId="79D9C5C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30</w:t>
            </w:r>
          </w:p>
        </w:tc>
        <w:tc>
          <w:tcPr>
            <w:tcW w:w="493" w:type="pct"/>
            <w:vAlign w:val="center"/>
          </w:tcPr>
          <w:p w14:paraId="42C82C6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钻井设备</w:t>
            </w:r>
          </w:p>
        </w:tc>
        <w:tc>
          <w:tcPr>
            <w:tcW w:w="1429" w:type="pct"/>
            <w:gridSpan w:val="2"/>
            <w:vAlign w:val="center"/>
          </w:tcPr>
          <w:p w14:paraId="4CC7140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国内领先</w:t>
            </w:r>
          </w:p>
        </w:tc>
        <w:tc>
          <w:tcPr>
            <w:tcW w:w="1038" w:type="pct"/>
            <w:gridSpan w:val="2"/>
            <w:vAlign w:val="center"/>
          </w:tcPr>
          <w:p w14:paraId="1F5D083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51C8590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668D75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65" w:type="pct"/>
            <w:vMerge w:val="continue"/>
            <w:tcBorders>
              <w:left w:val="single" w:color="auto" w:sz="4" w:space="0"/>
            </w:tcBorders>
            <w:vAlign w:val="center"/>
          </w:tcPr>
          <w:p w14:paraId="04FB53B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433A612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93" w:type="pct"/>
            <w:vAlign w:val="center"/>
          </w:tcPr>
          <w:p w14:paraId="235FF26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压力平衡技术</w:t>
            </w:r>
          </w:p>
        </w:tc>
        <w:tc>
          <w:tcPr>
            <w:tcW w:w="1429" w:type="pct"/>
            <w:gridSpan w:val="2"/>
            <w:vAlign w:val="center"/>
          </w:tcPr>
          <w:p w14:paraId="048B0E4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具备欠平衡技术</w:t>
            </w:r>
          </w:p>
        </w:tc>
        <w:tc>
          <w:tcPr>
            <w:tcW w:w="1038" w:type="pct"/>
            <w:gridSpan w:val="2"/>
            <w:vAlign w:val="center"/>
          </w:tcPr>
          <w:p w14:paraId="4AC697E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2748463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0EC2EB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7" w:hRule="atLeast"/>
          <w:jc w:val="center"/>
        </w:trPr>
        <w:tc>
          <w:tcPr>
            <w:tcW w:w="965" w:type="pct"/>
            <w:vMerge w:val="continue"/>
            <w:tcBorders>
              <w:left w:val="single" w:color="auto" w:sz="4" w:space="0"/>
            </w:tcBorders>
            <w:vAlign w:val="center"/>
          </w:tcPr>
          <w:p w14:paraId="5BD47C3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71BCDCC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93" w:type="pct"/>
            <w:vAlign w:val="center"/>
          </w:tcPr>
          <w:p w14:paraId="643C945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钻井液收集设施</w:t>
            </w:r>
          </w:p>
        </w:tc>
        <w:tc>
          <w:tcPr>
            <w:tcW w:w="1429" w:type="pct"/>
            <w:gridSpan w:val="2"/>
            <w:vAlign w:val="center"/>
          </w:tcPr>
          <w:p w14:paraId="6E36E37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配有收集设施，且使钻井液</w:t>
            </w:r>
          </w:p>
          <w:p w14:paraId="405C3D6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不落地</w:t>
            </w:r>
          </w:p>
        </w:tc>
        <w:tc>
          <w:tcPr>
            <w:tcW w:w="1038" w:type="pct"/>
            <w:gridSpan w:val="2"/>
            <w:vAlign w:val="center"/>
          </w:tcPr>
          <w:p w14:paraId="271785F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6979DB1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67C4E0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965" w:type="pct"/>
            <w:vMerge w:val="continue"/>
            <w:tcBorders>
              <w:left w:val="single" w:color="auto" w:sz="4" w:space="0"/>
            </w:tcBorders>
            <w:vAlign w:val="center"/>
          </w:tcPr>
          <w:p w14:paraId="4F97F44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318EE60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93" w:type="pct"/>
            <w:vAlign w:val="center"/>
          </w:tcPr>
          <w:p w14:paraId="7CC68AB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固控设备</w:t>
            </w:r>
          </w:p>
        </w:tc>
        <w:tc>
          <w:tcPr>
            <w:tcW w:w="1429" w:type="pct"/>
            <w:gridSpan w:val="2"/>
            <w:vAlign w:val="center"/>
          </w:tcPr>
          <w:p w14:paraId="66C2C35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配备振动筛、除气器、除泥器、除砂器、离心机等固控设备</w:t>
            </w:r>
          </w:p>
        </w:tc>
        <w:tc>
          <w:tcPr>
            <w:tcW w:w="1038" w:type="pct"/>
            <w:gridSpan w:val="2"/>
            <w:vAlign w:val="center"/>
          </w:tcPr>
          <w:p w14:paraId="41E582C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026F344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5F593D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965" w:type="pct"/>
            <w:vMerge w:val="continue"/>
            <w:tcBorders>
              <w:left w:val="single" w:color="auto" w:sz="4" w:space="0"/>
            </w:tcBorders>
            <w:vAlign w:val="center"/>
          </w:tcPr>
          <w:p w14:paraId="3E1B6B2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31213BD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93" w:type="pct"/>
            <w:vAlign w:val="center"/>
          </w:tcPr>
          <w:p w14:paraId="7DB8554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井控措施</w:t>
            </w:r>
          </w:p>
        </w:tc>
        <w:tc>
          <w:tcPr>
            <w:tcW w:w="1429" w:type="pct"/>
            <w:gridSpan w:val="2"/>
            <w:vAlign w:val="center"/>
          </w:tcPr>
          <w:p w14:paraId="2BCA4C2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具备</w:t>
            </w:r>
          </w:p>
        </w:tc>
        <w:tc>
          <w:tcPr>
            <w:tcW w:w="1038" w:type="pct"/>
            <w:gridSpan w:val="2"/>
            <w:vAlign w:val="center"/>
          </w:tcPr>
          <w:p w14:paraId="797D8AF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5973AA6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562F1C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2" w:hRule="atLeast"/>
          <w:jc w:val="center"/>
        </w:trPr>
        <w:tc>
          <w:tcPr>
            <w:tcW w:w="965" w:type="pct"/>
            <w:vMerge w:val="continue"/>
            <w:tcBorders>
              <w:left w:val="single" w:color="auto" w:sz="4" w:space="0"/>
            </w:tcBorders>
            <w:vAlign w:val="center"/>
          </w:tcPr>
          <w:p w14:paraId="7819B21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3E635DC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93" w:type="pct"/>
            <w:vAlign w:val="center"/>
          </w:tcPr>
          <w:p w14:paraId="64EB559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有无防噪措施</w:t>
            </w:r>
          </w:p>
        </w:tc>
        <w:tc>
          <w:tcPr>
            <w:tcW w:w="1429" w:type="pct"/>
            <w:gridSpan w:val="2"/>
            <w:vAlign w:val="center"/>
          </w:tcPr>
          <w:p w14:paraId="590F932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有</w:t>
            </w:r>
          </w:p>
        </w:tc>
        <w:tc>
          <w:tcPr>
            <w:tcW w:w="1038" w:type="pct"/>
            <w:gridSpan w:val="2"/>
            <w:vAlign w:val="center"/>
          </w:tcPr>
          <w:p w14:paraId="0402A02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37CF136F">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531639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65" w:type="pct"/>
            <w:vMerge w:val="restart"/>
            <w:tcBorders>
              <w:left w:val="single" w:color="auto" w:sz="4" w:space="0"/>
            </w:tcBorders>
            <w:vAlign w:val="center"/>
          </w:tcPr>
          <w:p w14:paraId="179ADC0E">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3</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管理体系建设及清洁生产审核</w:t>
            </w:r>
          </w:p>
        </w:tc>
        <w:tc>
          <w:tcPr>
            <w:tcW w:w="412" w:type="pct"/>
            <w:vMerge w:val="restart"/>
            <w:vAlign w:val="center"/>
          </w:tcPr>
          <w:p w14:paraId="16CA973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35</w:t>
            </w:r>
          </w:p>
        </w:tc>
        <w:tc>
          <w:tcPr>
            <w:tcW w:w="1923" w:type="pct"/>
            <w:gridSpan w:val="3"/>
            <w:vAlign w:val="center"/>
          </w:tcPr>
          <w:p w14:paraId="5527E21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建立HSE管理体系</w:t>
            </w:r>
          </w:p>
        </w:tc>
        <w:tc>
          <w:tcPr>
            <w:tcW w:w="1038" w:type="pct"/>
            <w:gridSpan w:val="2"/>
            <w:vAlign w:val="center"/>
          </w:tcPr>
          <w:p w14:paraId="549F378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59" w:type="pct"/>
            <w:gridSpan w:val="3"/>
            <w:tcBorders>
              <w:right w:val="single" w:color="auto" w:sz="4" w:space="0"/>
            </w:tcBorders>
            <w:vAlign w:val="center"/>
          </w:tcPr>
          <w:p w14:paraId="4D7D81F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73D6E3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65" w:type="pct"/>
            <w:vMerge w:val="continue"/>
            <w:tcBorders>
              <w:left w:val="single" w:color="auto" w:sz="4" w:space="0"/>
            </w:tcBorders>
            <w:vAlign w:val="center"/>
          </w:tcPr>
          <w:p w14:paraId="715470D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52451D8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923" w:type="pct"/>
            <w:gridSpan w:val="3"/>
            <w:vAlign w:val="center"/>
          </w:tcPr>
          <w:p w14:paraId="3E3C8AD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开展清洁生产审核，并通过验收</w:t>
            </w:r>
          </w:p>
        </w:tc>
        <w:tc>
          <w:tcPr>
            <w:tcW w:w="1038" w:type="pct"/>
            <w:gridSpan w:val="2"/>
            <w:vAlign w:val="center"/>
          </w:tcPr>
          <w:p w14:paraId="245CBA5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659" w:type="pct"/>
            <w:gridSpan w:val="3"/>
            <w:tcBorders>
              <w:right w:val="single" w:color="auto" w:sz="4" w:space="0"/>
            </w:tcBorders>
            <w:vAlign w:val="center"/>
          </w:tcPr>
          <w:p w14:paraId="678F943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r>
      <w:tr w14:paraId="0E8A7C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65" w:type="pct"/>
            <w:vMerge w:val="continue"/>
            <w:tcBorders>
              <w:left w:val="single" w:color="auto" w:sz="4" w:space="0"/>
            </w:tcBorders>
            <w:vAlign w:val="center"/>
          </w:tcPr>
          <w:p w14:paraId="52C83D6C">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51CC9C7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923" w:type="pct"/>
            <w:gridSpan w:val="3"/>
            <w:vAlign w:val="center"/>
          </w:tcPr>
          <w:p w14:paraId="4B28C6F1">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制定节能减排工作计划</w:t>
            </w:r>
          </w:p>
        </w:tc>
        <w:tc>
          <w:tcPr>
            <w:tcW w:w="1038" w:type="pct"/>
            <w:gridSpan w:val="2"/>
            <w:vAlign w:val="center"/>
          </w:tcPr>
          <w:p w14:paraId="4B83CAB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2A5AAFE7">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0BA55D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65" w:type="pct"/>
            <w:vMerge w:val="restart"/>
            <w:tcBorders>
              <w:left w:val="single" w:color="auto" w:sz="4" w:space="0"/>
            </w:tcBorders>
            <w:vAlign w:val="center"/>
          </w:tcPr>
          <w:p w14:paraId="60A428B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4</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贯彻执行环境保护法规符合性</w:t>
            </w:r>
          </w:p>
        </w:tc>
        <w:tc>
          <w:tcPr>
            <w:tcW w:w="412" w:type="pct"/>
            <w:vMerge w:val="restart"/>
            <w:vAlign w:val="center"/>
          </w:tcPr>
          <w:p w14:paraId="1F44796D">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1923" w:type="pct"/>
            <w:gridSpan w:val="3"/>
            <w:vAlign w:val="center"/>
          </w:tcPr>
          <w:p w14:paraId="684885B8">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废弃钻井泥浆处置措施满足法规要求</w:t>
            </w:r>
          </w:p>
        </w:tc>
        <w:tc>
          <w:tcPr>
            <w:tcW w:w="1038" w:type="pct"/>
            <w:gridSpan w:val="2"/>
            <w:vAlign w:val="center"/>
          </w:tcPr>
          <w:p w14:paraId="7C857CE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59" w:type="pct"/>
            <w:gridSpan w:val="3"/>
            <w:tcBorders>
              <w:right w:val="single" w:color="auto" w:sz="4" w:space="0"/>
            </w:tcBorders>
            <w:vAlign w:val="center"/>
          </w:tcPr>
          <w:p w14:paraId="18229549">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374D98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65" w:type="pct"/>
            <w:vMerge w:val="continue"/>
            <w:tcBorders>
              <w:left w:val="single" w:color="auto" w:sz="4" w:space="0"/>
            </w:tcBorders>
            <w:vAlign w:val="center"/>
          </w:tcPr>
          <w:p w14:paraId="1B1334B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3B50C02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923" w:type="pct"/>
            <w:gridSpan w:val="3"/>
            <w:vAlign w:val="center"/>
          </w:tcPr>
          <w:p w14:paraId="3228A1D4">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sz w:val="21"/>
                <w:szCs w:val="21"/>
                <w:highlight w:val="none"/>
              </w:rPr>
              <w:t>污染物排放总量控制与减排措施情况</w:t>
            </w:r>
          </w:p>
        </w:tc>
        <w:tc>
          <w:tcPr>
            <w:tcW w:w="1038" w:type="pct"/>
            <w:gridSpan w:val="2"/>
            <w:vAlign w:val="center"/>
          </w:tcPr>
          <w:p w14:paraId="75113BAA">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right w:val="single" w:color="auto" w:sz="4" w:space="0"/>
            </w:tcBorders>
            <w:vAlign w:val="center"/>
          </w:tcPr>
          <w:p w14:paraId="16097863">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0ABCEE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65" w:type="pct"/>
            <w:vMerge w:val="continue"/>
            <w:tcBorders>
              <w:left w:val="single" w:color="auto" w:sz="4" w:space="0"/>
              <w:bottom w:val="single" w:color="auto" w:sz="4" w:space="0"/>
            </w:tcBorders>
            <w:vAlign w:val="center"/>
          </w:tcPr>
          <w:p w14:paraId="1FFC5E35">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tcBorders>
              <w:bottom w:val="single" w:color="auto" w:sz="4" w:space="0"/>
            </w:tcBorders>
            <w:vAlign w:val="center"/>
          </w:tcPr>
          <w:p w14:paraId="29035506">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1923" w:type="pct"/>
            <w:gridSpan w:val="3"/>
            <w:tcBorders>
              <w:bottom w:val="single" w:color="auto" w:sz="4" w:space="0"/>
            </w:tcBorders>
            <w:vAlign w:val="center"/>
          </w:tcPr>
          <w:p w14:paraId="139CA1A2">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满足其他法律法规要求</w:t>
            </w:r>
          </w:p>
        </w:tc>
        <w:tc>
          <w:tcPr>
            <w:tcW w:w="1038" w:type="pct"/>
            <w:gridSpan w:val="2"/>
            <w:tcBorders>
              <w:bottom w:val="single" w:color="auto" w:sz="4" w:space="0"/>
            </w:tcBorders>
            <w:vAlign w:val="center"/>
          </w:tcPr>
          <w:p w14:paraId="33A3D6CB">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59" w:type="pct"/>
            <w:gridSpan w:val="3"/>
            <w:tcBorders>
              <w:bottom w:val="single" w:color="auto" w:sz="4" w:space="0"/>
              <w:right w:val="single" w:color="auto" w:sz="4" w:space="0"/>
            </w:tcBorders>
            <w:vAlign w:val="center"/>
          </w:tcPr>
          <w:p w14:paraId="202652B0">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bl>
    <w:p w14:paraId="5C1D3FDF">
      <w:pPr>
        <w:keepNext w:val="0"/>
        <w:keepLines w:val="0"/>
        <w:pageBreakBefore w:val="0"/>
        <w:widowControl/>
        <w:kinsoku/>
        <w:wordWrap/>
        <w:overflowPunct/>
        <w:topLinePunct w:val="0"/>
        <w:autoSpaceDE/>
        <w:autoSpaceDN/>
        <w:bidi w:val="0"/>
        <w:adjustRightInd w:val="0"/>
        <w:snapToGrid w:val="0"/>
        <w:spacing w:line="240" w:lineRule="auto"/>
        <w:ind w:firstLine="1260" w:firstLineChars="600"/>
        <w:jc w:val="center"/>
        <w:textAlignment w:val="auto"/>
        <w:rPr>
          <w:rFonts w:hint="default" w:ascii="Times New Roman" w:hAnsi="Times New Roman" w:eastAsia="黑体" w:cs="Times New Roman"/>
          <w:b w:val="0"/>
          <w:bCs w:val="0"/>
          <w:color w:val="auto"/>
          <w:kern w:val="0"/>
          <w:sz w:val="21"/>
          <w:szCs w:val="21"/>
          <w:highlight w:val="none"/>
        </w:rPr>
      </w:pPr>
      <w:r>
        <w:rPr>
          <w:rFonts w:hint="default" w:ascii="Times New Roman" w:hAnsi="Times New Roman" w:eastAsia="黑体" w:cs="Times New Roman"/>
          <w:b w:val="0"/>
          <w:bCs w:val="0"/>
          <w:color w:val="auto"/>
          <w:kern w:val="0"/>
          <w:sz w:val="21"/>
          <w:szCs w:val="21"/>
          <w:highlight w:val="none"/>
        </w:rPr>
        <w:t>表3.</w:t>
      </w:r>
      <w:r>
        <w:rPr>
          <w:rFonts w:hint="default" w:ascii="Times New Roman" w:hAnsi="Times New Roman" w:eastAsia="黑体" w:cs="Times New Roman"/>
          <w:b w:val="0"/>
          <w:bCs w:val="0"/>
          <w:color w:val="auto"/>
          <w:kern w:val="0"/>
          <w:sz w:val="21"/>
          <w:szCs w:val="21"/>
          <w:highlight w:val="none"/>
          <w:lang w:val="en-US" w:eastAsia="zh-CN"/>
        </w:rPr>
        <w:t>5</w:t>
      </w:r>
      <w:r>
        <w:rPr>
          <w:rFonts w:hint="default" w:ascii="Times New Roman" w:hAnsi="Times New Roman" w:eastAsia="黑体" w:cs="Times New Roman"/>
          <w:b w:val="0"/>
          <w:bCs w:val="0"/>
          <w:color w:val="auto"/>
          <w:kern w:val="0"/>
          <w:sz w:val="21"/>
          <w:szCs w:val="21"/>
          <w:highlight w:val="none"/>
        </w:rPr>
        <w:t>-</w:t>
      </w:r>
      <w:r>
        <w:rPr>
          <w:rFonts w:hint="eastAsia" w:eastAsia="黑体" w:cs="Times New Roman"/>
          <w:b w:val="0"/>
          <w:bCs w:val="0"/>
          <w:color w:val="auto"/>
          <w:kern w:val="0"/>
          <w:sz w:val="21"/>
          <w:szCs w:val="21"/>
          <w:highlight w:val="none"/>
          <w:lang w:val="en-US" w:eastAsia="zh-CN"/>
        </w:rPr>
        <w:t>2</w:t>
      </w:r>
      <w:r>
        <w:rPr>
          <w:rFonts w:hint="default" w:ascii="Times New Roman" w:hAnsi="Times New Roman" w:eastAsia="黑体" w:cs="Times New Roman"/>
          <w:b w:val="0"/>
          <w:bCs w:val="0"/>
          <w:color w:val="auto"/>
          <w:kern w:val="0"/>
          <w:sz w:val="21"/>
          <w:szCs w:val="21"/>
          <w:highlight w:val="none"/>
        </w:rPr>
        <w:t>井下作业定量和定性评价指标项目、权重及基准值</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11"/>
        <w:gridCol w:w="1178"/>
        <w:gridCol w:w="3127"/>
        <w:gridCol w:w="1528"/>
        <w:gridCol w:w="1668"/>
        <w:gridCol w:w="1994"/>
        <w:gridCol w:w="1390"/>
        <w:gridCol w:w="707"/>
      </w:tblGrid>
      <w:tr w14:paraId="40415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65" w:type="pct"/>
            <w:gridSpan w:val="6"/>
            <w:tcBorders>
              <w:top w:val="single" w:color="auto" w:sz="4" w:space="0"/>
              <w:left w:val="single" w:color="auto" w:sz="4" w:space="0"/>
            </w:tcBorders>
            <w:vAlign w:val="center"/>
          </w:tcPr>
          <w:p w14:paraId="0955191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highlight w:val="none"/>
              </w:rPr>
            </w:pPr>
            <w:r>
              <w:rPr>
                <w:rFonts w:hint="default" w:ascii="Times New Roman" w:hAnsi="Times New Roman" w:eastAsia="宋体" w:cs="Times New Roman"/>
                <w:b/>
                <w:bCs/>
                <w:color w:val="auto"/>
                <w:spacing w:val="0"/>
                <w:kern w:val="0"/>
                <w:sz w:val="21"/>
                <w:szCs w:val="21"/>
                <w:highlight w:val="none"/>
              </w:rPr>
              <w:t>定量指标</w:t>
            </w:r>
          </w:p>
        </w:tc>
        <w:tc>
          <w:tcPr>
            <w:tcW w:w="734" w:type="pct"/>
            <w:gridSpan w:val="2"/>
            <w:tcBorders>
              <w:top w:val="single" w:color="auto" w:sz="4" w:space="0"/>
              <w:right w:val="single" w:color="auto" w:sz="4" w:space="0"/>
            </w:tcBorders>
            <w:vAlign w:val="center"/>
          </w:tcPr>
          <w:p w14:paraId="6C844DE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highlight w:val="none"/>
                <w:lang w:val="en-US" w:eastAsia="zh-CN"/>
              </w:rPr>
            </w:pPr>
            <w:r>
              <w:rPr>
                <w:rFonts w:hint="default" w:ascii="Times New Roman" w:hAnsi="Times New Roman" w:cs="Times New Roman"/>
                <w:b/>
                <w:bCs/>
                <w:color w:val="auto"/>
                <w:spacing w:val="0"/>
                <w:kern w:val="0"/>
                <w:sz w:val="21"/>
                <w:szCs w:val="21"/>
                <w:highlight w:val="none"/>
                <w:lang w:eastAsia="zh-CN"/>
              </w:rPr>
              <w:t>本项目</w:t>
            </w:r>
            <w:r>
              <w:rPr>
                <w:rFonts w:hint="eastAsia" w:cs="Times New Roman"/>
                <w:b/>
                <w:bCs/>
                <w:color w:val="auto"/>
                <w:spacing w:val="0"/>
                <w:kern w:val="0"/>
                <w:sz w:val="21"/>
                <w:szCs w:val="21"/>
                <w:highlight w:val="none"/>
                <w:lang w:val="en-US" w:eastAsia="zh-CN"/>
              </w:rPr>
              <w:t>评价</w:t>
            </w:r>
          </w:p>
        </w:tc>
      </w:tr>
      <w:tr w14:paraId="23898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tcBorders>
              <w:left w:val="single" w:color="auto" w:sz="4" w:space="0"/>
            </w:tcBorders>
            <w:vAlign w:val="center"/>
          </w:tcPr>
          <w:p w14:paraId="15884A3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一级指标</w:t>
            </w:r>
          </w:p>
        </w:tc>
        <w:tc>
          <w:tcPr>
            <w:tcW w:w="412" w:type="pct"/>
            <w:vAlign w:val="center"/>
          </w:tcPr>
          <w:p w14:paraId="15879B6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权重值</w:t>
            </w:r>
          </w:p>
        </w:tc>
        <w:tc>
          <w:tcPr>
            <w:tcW w:w="1093" w:type="pct"/>
            <w:vAlign w:val="center"/>
          </w:tcPr>
          <w:p w14:paraId="1CB8430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二级指标</w:t>
            </w:r>
          </w:p>
        </w:tc>
        <w:tc>
          <w:tcPr>
            <w:tcW w:w="534" w:type="pct"/>
            <w:vAlign w:val="center"/>
          </w:tcPr>
          <w:p w14:paraId="6089720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单位</w:t>
            </w:r>
          </w:p>
        </w:tc>
        <w:tc>
          <w:tcPr>
            <w:tcW w:w="581" w:type="pct"/>
            <w:vAlign w:val="center"/>
          </w:tcPr>
          <w:p w14:paraId="327479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权重分值</w:t>
            </w:r>
          </w:p>
        </w:tc>
        <w:tc>
          <w:tcPr>
            <w:tcW w:w="694" w:type="pct"/>
            <w:vAlign w:val="center"/>
          </w:tcPr>
          <w:p w14:paraId="470F35E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评价基准值</w:t>
            </w:r>
          </w:p>
        </w:tc>
        <w:tc>
          <w:tcPr>
            <w:tcW w:w="486" w:type="pct"/>
            <w:vAlign w:val="center"/>
          </w:tcPr>
          <w:p w14:paraId="4B1F54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估算值</w:t>
            </w:r>
          </w:p>
        </w:tc>
        <w:tc>
          <w:tcPr>
            <w:tcW w:w="248" w:type="pct"/>
            <w:tcBorders>
              <w:right w:val="single" w:color="auto" w:sz="4" w:space="0"/>
            </w:tcBorders>
            <w:vAlign w:val="center"/>
          </w:tcPr>
          <w:p w14:paraId="40A880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得分</w:t>
            </w:r>
          </w:p>
        </w:tc>
      </w:tr>
      <w:tr w14:paraId="3C1DD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restart"/>
            <w:tcBorders>
              <w:left w:val="single" w:color="auto" w:sz="4" w:space="0"/>
            </w:tcBorders>
            <w:vAlign w:val="center"/>
          </w:tcPr>
          <w:p w14:paraId="7A67121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资源和能源消耗指标</w:t>
            </w:r>
          </w:p>
        </w:tc>
        <w:tc>
          <w:tcPr>
            <w:tcW w:w="412" w:type="pct"/>
            <w:vMerge w:val="restart"/>
            <w:vAlign w:val="center"/>
          </w:tcPr>
          <w:p w14:paraId="58BF63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30</w:t>
            </w:r>
          </w:p>
        </w:tc>
        <w:tc>
          <w:tcPr>
            <w:tcW w:w="1093" w:type="pct"/>
            <w:vAlign w:val="center"/>
          </w:tcPr>
          <w:p w14:paraId="509C925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作业液消耗</w:t>
            </w:r>
          </w:p>
        </w:tc>
        <w:tc>
          <w:tcPr>
            <w:tcW w:w="534" w:type="pct"/>
            <w:vAlign w:val="center"/>
          </w:tcPr>
          <w:p w14:paraId="4C5C3E0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w:t>
            </w:r>
            <w:r>
              <w:rPr>
                <w:rFonts w:hint="default" w:ascii="Times New Roman" w:hAnsi="Times New Roman" w:eastAsia="宋体" w:cs="Times New Roman"/>
                <w:color w:val="auto"/>
                <w:spacing w:val="0"/>
                <w:kern w:val="0"/>
                <w:sz w:val="21"/>
                <w:szCs w:val="21"/>
                <w:highlight w:val="none"/>
                <w:vertAlign w:val="superscript"/>
              </w:rPr>
              <w:t>3</w:t>
            </w:r>
            <w:r>
              <w:rPr>
                <w:rFonts w:hint="default" w:ascii="Times New Roman" w:hAnsi="Times New Roman" w:eastAsia="宋体" w:cs="Times New Roman"/>
                <w:color w:val="auto"/>
                <w:spacing w:val="0"/>
                <w:kern w:val="0"/>
                <w:sz w:val="21"/>
                <w:szCs w:val="21"/>
                <w:highlight w:val="none"/>
              </w:rPr>
              <w:t>/井次</w:t>
            </w:r>
          </w:p>
        </w:tc>
        <w:tc>
          <w:tcPr>
            <w:tcW w:w="581" w:type="pct"/>
            <w:vAlign w:val="center"/>
          </w:tcPr>
          <w:p w14:paraId="209920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94" w:type="pct"/>
            <w:vAlign w:val="center"/>
          </w:tcPr>
          <w:p w14:paraId="5507CF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486" w:type="pct"/>
            <w:vAlign w:val="center"/>
          </w:tcPr>
          <w:p w14:paraId="784F3D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76.04</w:t>
            </w:r>
          </w:p>
        </w:tc>
        <w:tc>
          <w:tcPr>
            <w:tcW w:w="248" w:type="pct"/>
            <w:tcBorders>
              <w:right w:val="single" w:color="auto" w:sz="4" w:space="0"/>
            </w:tcBorders>
            <w:vAlign w:val="center"/>
          </w:tcPr>
          <w:p w14:paraId="2125922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val="en-US" w:eastAsia="zh-CN"/>
              </w:rPr>
              <w:t>0</w:t>
            </w:r>
          </w:p>
        </w:tc>
      </w:tr>
      <w:tr w14:paraId="6CD4F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6E4E8C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46DCAE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670FB77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新鲜水消耗</w:t>
            </w:r>
          </w:p>
        </w:tc>
        <w:tc>
          <w:tcPr>
            <w:tcW w:w="534" w:type="pct"/>
            <w:vAlign w:val="center"/>
          </w:tcPr>
          <w:p w14:paraId="3CA04EA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w:t>
            </w:r>
            <w:r>
              <w:rPr>
                <w:rFonts w:hint="default" w:ascii="Times New Roman" w:hAnsi="Times New Roman" w:eastAsia="宋体" w:cs="Times New Roman"/>
                <w:color w:val="auto"/>
                <w:spacing w:val="0"/>
                <w:kern w:val="0"/>
                <w:sz w:val="21"/>
                <w:szCs w:val="21"/>
                <w:highlight w:val="none"/>
                <w:vertAlign w:val="superscript"/>
              </w:rPr>
              <w:t>3</w:t>
            </w:r>
            <w:r>
              <w:rPr>
                <w:rFonts w:hint="default" w:ascii="Times New Roman" w:hAnsi="Times New Roman" w:eastAsia="宋体" w:cs="Times New Roman"/>
                <w:color w:val="auto"/>
                <w:spacing w:val="0"/>
                <w:kern w:val="0"/>
                <w:sz w:val="21"/>
                <w:szCs w:val="21"/>
                <w:highlight w:val="none"/>
              </w:rPr>
              <w:t>/井次</w:t>
            </w:r>
          </w:p>
        </w:tc>
        <w:tc>
          <w:tcPr>
            <w:tcW w:w="581" w:type="pct"/>
            <w:vAlign w:val="center"/>
          </w:tcPr>
          <w:p w14:paraId="0EE759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94" w:type="pct"/>
            <w:vAlign w:val="center"/>
          </w:tcPr>
          <w:p w14:paraId="4DE665C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486" w:type="pct"/>
            <w:vAlign w:val="center"/>
          </w:tcPr>
          <w:p w14:paraId="49A986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248" w:type="pct"/>
            <w:tcBorders>
              <w:right w:val="single" w:color="auto" w:sz="4" w:space="0"/>
            </w:tcBorders>
            <w:vAlign w:val="center"/>
          </w:tcPr>
          <w:p w14:paraId="1BF9BFC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63A63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948" w:type="pct"/>
            <w:vMerge w:val="continue"/>
            <w:tcBorders>
              <w:left w:val="single" w:color="auto" w:sz="4" w:space="0"/>
            </w:tcBorders>
            <w:vAlign w:val="center"/>
          </w:tcPr>
          <w:p w14:paraId="58AF23F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2F3296E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54CB66D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单位能耗</w:t>
            </w:r>
          </w:p>
        </w:tc>
        <w:tc>
          <w:tcPr>
            <w:tcW w:w="534" w:type="pct"/>
            <w:vAlign w:val="center"/>
          </w:tcPr>
          <w:p w14:paraId="2FFC336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581" w:type="pct"/>
            <w:vAlign w:val="center"/>
          </w:tcPr>
          <w:p w14:paraId="2231BD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94" w:type="pct"/>
            <w:vAlign w:val="center"/>
          </w:tcPr>
          <w:p w14:paraId="0A11750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行业基本水平</w:t>
            </w:r>
          </w:p>
        </w:tc>
        <w:tc>
          <w:tcPr>
            <w:tcW w:w="486" w:type="pct"/>
            <w:vAlign w:val="center"/>
          </w:tcPr>
          <w:p w14:paraId="76DABC4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基本符合</w:t>
            </w:r>
          </w:p>
        </w:tc>
        <w:tc>
          <w:tcPr>
            <w:tcW w:w="248" w:type="pct"/>
            <w:tcBorders>
              <w:right w:val="single" w:color="auto" w:sz="4" w:space="0"/>
            </w:tcBorders>
            <w:vAlign w:val="center"/>
          </w:tcPr>
          <w:p w14:paraId="1AC94B8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5E432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2" w:hRule="atLeast"/>
          <w:jc w:val="center"/>
        </w:trPr>
        <w:tc>
          <w:tcPr>
            <w:tcW w:w="948" w:type="pct"/>
            <w:tcBorders>
              <w:left w:val="single" w:color="auto" w:sz="4" w:space="0"/>
            </w:tcBorders>
            <w:vAlign w:val="center"/>
          </w:tcPr>
          <w:p w14:paraId="4239D55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生产技术特征指标</w:t>
            </w:r>
          </w:p>
        </w:tc>
        <w:tc>
          <w:tcPr>
            <w:tcW w:w="412" w:type="pct"/>
            <w:vAlign w:val="center"/>
          </w:tcPr>
          <w:p w14:paraId="05187E6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1093" w:type="pct"/>
            <w:vAlign w:val="center"/>
          </w:tcPr>
          <w:p w14:paraId="5887285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压裂放喷返排入罐率</w:t>
            </w:r>
          </w:p>
        </w:tc>
        <w:tc>
          <w:tcPr>
            <w:tcW w:w="534" w:type="pct"/>
            <w:vAlign w:val="center"/>
          </w:tcPr>
          <w:p w14:paraId="0464714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w:t>
            </w:r>
          </w:p>
        </w:tc>
        <w:tc>
          <w:tcPr>
            <w:tcW w:w="581" w:type="pct"/>
            <w:vAlign w:val="center"/>
          </w:tcPr>
          <w:p w14:paraId="7A9ADD8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694" w:type="pct"/>
            <w:vAlign w:val="center"/>
          </w:tcPr>
          <w:p w14:paraId="651D326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100</w:t>
            </w:r>
          </w:p>
        </w:tc>
        <w:tc>
          <w:tcPr>
            <w:tcW w:w="486" w:type="pct"/>
            <w:vAlign w:val="center"/>
          </w:tcPr>
          <w:p w14:paraId="760B419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100%</w:t>
            </w:r>
          </w:p>
        </w:tc>
        <w:tc>
          <w:tcPr>
            <w:tcW w:w="248" w:type="pct"/>
            <w:tcBorders>
              <w:right w:val="single" w:color="auto" w:sz="4" w:space="0"/>
            </w:tcBorders>
            <w:vAlign w:val="center"/>
          </w:tcPr>
          <w:p w14:paraId="0EAE7C3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r>
      <w:tr w14:paraId="035F7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restart"/>
            <w:tcBorders>
              <w:left w:val="single" w:color="auto" w:sz="4" w:space="0"/>
            </w:tcBorders>
            <w:vAlign w:val="center"/>
          </w:tcPr>
          <w:p w14:paraId="4ED8436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3</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资源综合利用指标</w:t>
            </w:r>
          </w:p>
        </w:tc>
        <w:tc>
          <w:tcPr>
            <w:tcW w:w="412" w:type="pct"/>
            <w:vMerge w:val="restart"/>
            <w:vAlign w:val="center"/>
          </w:tcPr>
          <w:p w14:paraId="74AE872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1093" w:type="pct"/>
            <w:vAlign w:val="center"/>
          </w:tcPr>
          <w:p w14:paraId="6C64AA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落地原油回收利用率</w:t>
            </w:r>
          </w:p>
        </w:tc>
        <w:tc>
          <w:tcPr>
            <w:tcW w:w="534" w:type="pct"/>
            <w:vAlign w:val="center"/>
          </w:tcPr>
          <w:p w14:paraId="699BE0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w:t>
            </w:r>
          </w:p>
        </w:tc>
        <w:tc>
          <w:tcPr>
            <w:tcW w:w="581" w:type="pct"/>
            <w:vAlign w:val="center"/>
          </w:tcPr>
          <w:p w14:paraId="2D4B2F9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94" w:type="pct"/>
            <w:vAlign w:val="center"/>
          </w:tcPr>
          <w:p w14:paraId="0A65959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100</w:t>
            </w:r>
          </w:p>
        </w:tc>
        <w:tc>
          <w:tcPr>
            <w:tcW w:w="486" w:type="pct"/>
            <w:vAlign w:val="center"/>
          </w:tcPr>
          <w:p w14:paraId="7BA6516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100%</w:t>
            </w:r>
          </w:p>
        </w:tc>
        <w:tc>
          <w:tcPr>
            <w:tcW w:w="248" w:type="pct"/>
            <w:tcBorders>
              <w:right w:val="single" w:color="auto" w:sz="4" w:space="0"/>
            </w:tcBorders>
            <w:vAlign w:val="center"/>
          </w:tcPr>
          <w:p w14:paraId="0D82600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2E934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7F45F0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5F0DAF1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77B9F19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生产过程排出物利用率</w:t>
            </w:r>
          </w:p>
        </w:tc>
        <w:tc>
          <w:tcPr>
            <w:tcW w:w="534" w:type="pct"/>
            <w:vAlign w:val="center"/>
          </w:tcPr>
          <w:p w14:paraId="17EABC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w:t>
            </w:r>
          </w:p>
        </w:tc>
        <w:tc>
          <w:tcPr>
            <w:tcW w:w="581" w:type="pct"/>
            <w:vAlign w:val="center"/>
          </w:tcPr>
          <w:p w14:paraId="0DFB85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94" w:type="pct"/>
            <w:vAlign w:val="center"/>
          </w:tcPr>
          <w:p w14:paraId="1BD9F1D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100</w:t>
            </w:r>
          </w:p>
        </w:tc>
        <w:tc>
          <w:tcPr>
            <w:tcW w:w="486" w:type="pct"/>
            <w:vAlign w:val="center"/>
          </w:tcPr>
          <w:p w14:paraId="3F27A63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100%</w:t>
            </w:r>
          </w:p>
        </w:tc>
        <w:tc>
          <w:tcPr>
            <w:tcW w:w="248" w:type="pct"/>
            <w:tcBorders>
              <w:right w:val="single" w:color="auto" w:sz="4" w:space="0"/>
            </w:tcBorders>
            <w:vAlign w:val="center"/>
          </w:tcPr>
          <w:p w14:paraId="0A5B514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10</w:t>
            </w:r>
          </w:p>
        </w:tc>
      </w:tr>
      <w:tr w14:paraId="559C6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restart"/>
            <w:tcBorders>
              <w:left w:val="single" w:color="auto" w:sz="4" w:space="0"/>
            </w:tcBorders>
            <w:vAlign w:val="center"/>
          </w:tcPr>
          <w:p w14:paraId="49532E0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4</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污染物产生指标</w:t>
            </w:r>
          </w:p>
        </w:tc>
        <w:tc>
          <w:tcPr>
            <w:tcW w:w="412" w:type="pct"/>
            <w:vMerge w:val="restart"/>
            <w:vAlign w:val="center"/>
          </w:tcPr>
          <w:p w14:paraId="2396ED2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1093" w:type="pct"/>
            <w:vAlign w:val="center"/>
          </w:tcPr>
          <w:p w14:paraId="625E5E3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作业废液量</w:t>
            </w:r>
          </w:p>
        </w:tc>
        <w:tc>
          <w:tcPr>
            <w:tcW w:w="534" w:type="pct"/>
            <w:vAlign w:val="center"/>
          </w:tcPr>
          <w:p w14:paraId="1FAD6F0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w:t>
            </w:r>
            <w:r>
              <w:rPr>
                <w:rFonts w:hint="default" w:ascii="Times New Roman" w:hAnsi="Times New Roman" w:eastAsia="宋体" w:cs="Times New Roman"/>
                <w:color w:val="auto"/>
                <w:spacing w:val="0"/>
                <w:kern w:val="0"/>
                <w:sz w:val="21"/>
                <w:szCs w:val="21"/>
                <w:highlight w:val="none"/>
                <w:vertAlign w:val="superscript"/>
              </w:rPr>
              <w:t>3</w:t>
            </w:r>
            <w:r>
              <w:rPr>
                <w:rFonts w:hint="default" w:ascii="Times New Roman" w:hAnsi="Times New Roman" w:eastAsia="宋体" w:cs="Times New Roman"/>
                <w:color w:val="auto"/>
                <w:spacing w:val="0"/>
                <w:kern w:val="0"/>
                <w:sz w:val="21"/>
                <w:szCs w:val="21"/>
                <w:highlight w:val="none"/>
              </w:rPr>
              <w:t>/井次</w:t>
            </w:r>
          </w:p>
        </w:tc>
        <w:tc>
          <w:tcPr>
            <w:tcW w:w="581" w:type="pct"/>
            <w:vAlign w:val="center"/>
          </w:tcPr>
          <w:p w14:paraId="62018FB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694" w:type="pct"/>
            <w:vAlign w:val="center"/>
          </w:tcPr>
          <w:p w14:paraId="5F35254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486" w:type="pct"/>
            <w:vAlign w:val="center"/>
          </w:tcPr>
          <w:p w14:paraId="5B5E3B1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76.04</w:t>
            </w:r>
          </w:p>
        </w:tc>
        <w:tc>
          <w:tcPr>
            <w:tcW w:w="248" w:type="pct"/>
            <w:tcBorders>
              <w:right w:val="single" w:color="auto" w:sz="4" w:space="0"/>
            </w:tcBorders>
            <w:vAlign w:val="center"/>
          </w:tcPr>
          <w:p w14:paraId="0CEF94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0</w:t>
            </w:r>
          </w:p>
        </w:tc>
      </w:tr>
      <w:tr w14:paraId="691B8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3203F81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7CCC348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4DEED39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石油类</w:t>
            </w:r>
          </w:p>
        </w:tc>
        <w:tc>
          <w:tcPr>
            <w:tcW w:w="534" w:type="pct"/>
            <w:vAlign w:val="center"/>
          </w:tcPr>
          <w:p w14:paraId="674FFE9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mg/L</w:t>
            </w:r>
          </w:p>
        </w:tc>
        <w:tc>
          <w:tcPr>
            <w:tcW w:w="581" w:type="pct"/>
            <w:vAlign w:val="center"/>
          </w:tcPr>
          <w:p w14:paraId="62F2ED9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94" w:type="pct"/>
            <w:vAlign w:val="center"/>
          </w:tcPr>
          <w:p w14:paraId="2857CB0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甲类区：≤10；</w:t>
            </w:r>
          </w:p>
          <w:p w14:paraId="5C56AD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乙类区：≤50</w:t>
            </w:r>
          </w:p>
        </w:tc>
        <w:tc>
          <w:tcPr>
            <w:tcW w:w="486" w:type="pct"/>
            <w:vAlign w:val="center"/>
          </w:tcPr>
          <w:p w14:paraId="412E9EB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50</w:t>
            </w:r>
          </w:p>
        </w:tc>
        <w:tc>
          <w:tcPr>
            <w:tcW w:w="248" w:type="pct"/>
            <w:tcBorders>
              <w:right w:val="single" w:color="auto" w:sz="4" w:space="0"/>
            </w:tcBorders>
            <w:vAlign w:val="center"/>
          </w:tcPr>
          <w:p w14:paraId="08084B2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0</w:t>
            </w:r>
          </w:p>
        </w:tc>
      </w:tr>
      <w:tr w14:paraId="7BA5E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64A955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77C3B58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76A18D3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COD</w:t>
            </w:r>
          </w:p>
        </w:tc>
        <w:tc>
          <w:tcPr>
            <w:tcW w:w="534" w:type="pct"/>
            <w:vAlign w:val="center"/>
          </w:tcPr>
          <w:p w14:paraId="0E7C293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mg/L</w:t>
            </w:r>
          </w:p>
        </w:tc>
        <w:tc>
          <w:tcPr>
            <w:tcW w:w="581" w:type="pct"/>
            <w:vAlign w:val="center"/>
          </w:tcPr>
          <w:p w14:paraId="0058C53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94" w:type="pct"/>
            <w:vAlign w:val="center"/>
          </w:tcPr>
          <w:p w14:paraId="7C2D1DC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甲类区：≤100；</w:t>
            </w:r>
          </w:p>
          <w:p w14:paraId="0150D15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乙类区：≤150</w:t>
            </w:r>
          </w:p>
        </w:tc>
        <w:tc>
          <w:tcPr>
            <w:tcW w:w="486" w:type="pct"/>
            <w:vAlign w:val="center"/>
          </w:tcPr>
          <w:p w14:paraId="10C653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≤150</w:t>
            </w:r>
          </w:p>
        </w:tc>
        <w:tc>
          <w:tcPr>
            <w:tcW w:w="248" w:type="pct"/>
            <w:tcBorders>
              <w:right w:val="single" w:color="auto" w:sz="4" w:space="0"/>
            </w:tcBorders>
            <w:vAlign w:val="center"/>
          </w:tcPr>
          <w:p w14:paraId="5902716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21B26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7CCC489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6A4A1C0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12F1943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含油污泥</w:t>
            </w:r>
          </w:p>
        </w:tc>
        <w:tc>
          <w:tcPr>
            <w:tcW w:w="534" w:type="pct"/>
            <w:vAlign w:val="center"/>
          </w:tcPr>
          <w:p w14:paraId="2A0904D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kg/井次</w:t>
            </w:r>
          </w:p>
        </w:tc>
        <w:tc>
          <w:tcPr>
            <w:tcW w:w="581" w:type="pct"/>
            <w:vAlign w:val="center"/>
          </w:tcPr>
          <w:p w14:paraId="10818B4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94" w:type="pct"/>
            <w:vAlign w:val="center"/>
          </w:tcPr>
          <w:p w14:paraId="7CF322E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甲类区：≤50；</w:t>
            </w:r>
          </w:p>
          <w:p w14:paraId="52002D6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乙类区：≤70</w:t>
            </w:r>
          </w:p>
        </w:tc>
        <w:tc>
          <w:tcPr>
            <w:tcW w:w="486" w:type="pct"/>
            <w:vAlign w:val="center"/>
          </w:tcPr>
          <w:p w14:paraId="5CCF805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eastAsia="宋体" w:cs="Times New Roman"/>
                <w:color w:val="auto"/>
                <w:spacing w:val="0"/>
                <w:kern w:val="0"/>
                <w:sz w:val="21"/>
                <w:szCs w:val="21"/>
                <w:highlight w:val="none"/>
                <w:lang w:val="en-US" w:eastAsia="zh-CN"/>
              </w:rPr>
              <w:t>＜</w:t>
            </w:r>
            <w:r>
              <w:rPr>
                <w:rFonts w:hint="default" w:ascii="Times New Roman" w:hAnsi="Times New Roman" w:eastAsia="宋体" w:cs="Times New Roman"/>
                <w:color w:val="auto"/>
                <w:spacing w:val="0"/>
                <w:kern w:val="0"/>
                <w:sz w:val="21"/>
                <w:szCs w:val="21"/>
                <w:highlight w:val="none"/>
              </w:rPr>
              <w:t>70</w:t>
            </w:r>
          </w:p>
        </w:tc>
        <w:tc>
          <w:tcPr>
            <w:tcW w:w="248" w:type="pct"/>
            <w:tcBorders>
              <w:right w:val="single" w:color="auto" w:sz="4" w:space="0"/>
            </w:tcBorders>
            <w:vAlign w:val="center"/>
          </w:tcPr>
          <w:p w14:paraId="459B389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5CD05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414BDA7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0BF1A48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7C20A92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一般固体废物</w:t>
            </w:r>
          </w:p>
          <w:p w14:paraId="2E6E58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生活垃圾</w:t>
            </w:r>
            <w:r>
              <w:rPr>
                <w:rFonts w:hint="default" w:ascii="Times New Roman" w:hAnsi="Times New Roman" w:eastAsia="宋体" w:cs="Times New Roman"/>
                <w:color w:val="auto"/>
                <w:spacing w:val="0"/>
                <w:kern w:val="0"/>
                <w:sz w:val="21"/>
                <w:szCs w:val="21"/>
                <w:highlight w:val="none"/>
                <w:lang w:eastAsia="zh-CN"/>
              </w:rPr>
              <w:t>）</w:t>
            </w:r>
          </w:p>
        </w:tc>
        <w:tc>
          <w:tcPr>
            <w:tcW w:w="534" w:type="pct"/>
            <w:vAlign w:val="center"/>
          </w:tcPr>
          <w:p w14:paraId="4FAA606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kg/井次</w:t>
            </w:r>
          </w:p>
        </w:tc>
        <w:tc>
          <w:tcPr>
            <w:tcW w:w="581" w:type="pct"/>
            <w:vAlign w:val="center"/>
          </w:tcPr>
          <w:p w14:paraId="4C5EBDE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694" w:type="pct"/>
            <w:vAlign w:val="center"/>
          </w:tcPr>
          <w:p w14:paraId="4111FD0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符合环保要求</w:t>
            </w:r>
          </w:p>
        </w:tc>
        <w:tc>
          <w:tcPr>
            <w:tcW w:w="486" w:type="pct"/>
            <w:vAlign w:val="center"/>
          </w:tcPr>
          <w:p w14:paraId="369083D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符合</w:t>
            </w:r>
          </w:p>
        </w:tc>
        <w:tc>
          <w:tcPr>
            <w:tcW w:w="248" w:type="pct"/>
            <w:tcBorders>
              <w:right w:val="single" w:color="auto" w:sz="4" w:space="0"/>
            </w:tcBorders>
            <w:vAlign w:val="center"/>
          </w:tcPr>
          <w:p w14:paraId="0C202A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5064F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8"/>
            <w:tcBorders>
              <w:left w:val="single" w:color="auto" w:sz="4" w:space="0"/>
              <w:right w:val="single" w:color="auto" w:sz="4" w:space="0"/>
            </w:tcBorders>
            <w:vAlign w:val="center"/>
          </w:tcPr>
          <w:p w14:paraId="16EC7B2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highlight w:val="none"/>
              </w:rPr>
            </w:pPr>
            <w:r>
              <w:rPr>
                <w:rFonts w:hint="default" w:ascii="Times New Roman" w:hAnsi="Times New Roman" w:eastAsia="宋体" w:cs="Times New Roman"/>
                <w:b/>
                <w:bCs/>
                <w:color w:val="auto"/>
                <w:spacing w:val="0"/>
                <w:kern w:val="0"/>
                <w:sz w:val="21"/>
                <w:szCs w:val="21"/>
                <w:highlight w:val="none"/>
              </w:rPr>
              <w:t>定性指标</w:t>
            </w:r>
          </w:p>
        </w:tc>
      </w:tr>
      <w:tr w14:paraId="3EFEB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948" w:type="pct"/>
            <w:tcBorders>
              <w:left w:val="single" w:color="auto" w:sz="4" w:space="0"/>
            </w:tcBorders>
            <w:vAlign w:val="center"/>
          </w:tcPr>
          <w:p w14:paraId="1BB43DA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一级指标</w:t>
            </w:r>
          </w:p>
        </w:tc>
        <w:tc>
          <w:tcPr>
            <w:tcW w:w="412" w:type="pct"/>
            <w:vAlign w:val="center"/>
          </w:tcPr>
          <w:p w14:paraId="3D07A8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权重值</w:t>
            </w:r>
          </w:p>
        </w:tc>
        <w:tc>
          <w:tcPr>
            <w:tcW w:w="2210" w:type="pct"/>
            <w:gridSpan w:val="3"/>
            <w:vAlign w:val="center"/>
          </w:tcPr>
          <w:p w14:paraId="1085784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二级指标</w:t>
            </w:r>
          </w:p>
        </w:tc>
        <w:tc>
          <w:tcPr>
            <w:tcW w:w="694" w:type="pct"/>
            <w:vAlign w:val="center"/>
          </w:tcPr>
          <w:p w14:paraId="41F5C1F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指标分值</w:t>
            </w:r>
          </w:p>
        </w:tc>
        <w:tc>
          <w:tcPr>
            <w:tcW w:w="734" w:type="pct"/>
            <w:gridSpan w:val="2"/>
            <w:tcBorders>
              <w:right w:val="single" w:color="auto" w:sz="4" w:space="0"/>
            </w:tcBorders>
            <w:vAlign w:val="center"/>
          </w:tcPr>
          <w:p w14:paraId="2969A49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eastAsia="zh-CN"/>
              </w:rPr>
              <w:t>本项目</w:t>
            </w:r>
            <w:r>
              <w:rPr>
                <w:rFonts w:hint="eastAsia" w:cs="Times New Roman"/>
                <w:color w:val="auto"/>
                <w:spacing w:val="0"/>
                <w:kern w:val="0"/>
                <w:sz w:val="21"/>
                <w:szCs w:val="21"/>
                <w:highlight w:val="none"/>
                <w:lang w:val="en-US" w:eastAsia="zh-CN"/>
              </w:rPr>
              <w:t>评价</w:t>
            </w:r>
          </w:p>
        </w:tc>
      </w:tr>
      <w:tr w14:paraId="557A9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restart"/>
            <w:tcBorders>
              <w:left w:val="single" w:color="auto" w:sz="4" w:space="0"/>
            </w:tcBorders>
            <w:vAlign w:val="center"/>
          </w:tcPr>
          <w:p w14:paraId="21DC043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生产工艺及设备要求</w:t>
            </w:r>
          </w:p>
        </w:tc>
        <w:tc>
          <w:tcPr>
            <w:tcW w:w="412" w:type="pct"/>
            <w:vMerge w:val="restart"/>
            <w:vAlign w:val="center"/>
          </w:tcPr>
          <w:p w14:paraId="364DD75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40</w:t>
            </w:r>
          </w:p>
        </w:tc>
        <w:tc>
          <w:tcPr>
            <w:tcW w:w="1093" w:type="pct"/>
            <w:vAlign w:val="center"/>
          </w:tcPr>
          <w:p w14:paraId="1919983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防喷措施</w:t>
            </w:r>
          </w:p>
        </w:tc>
        <w:tc>
          <w:tcPr>
            <w:tcW w:w="1116" w:type="pct"/>
            <w:gridSpan w:val="2"/>
            <w:vAlign w:val="center"/>
          </w:tcPr>
          <w:p w14:paraId="05FD63F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具备</w:t>
            </w:r>
          </w:p>
        </w:tc>
        <w:tc>
          <w:tcPr>
            <w:tcW w:w="694" w:type="pct"/>
            <w:vAlign w:val="center"/>
          </w:tcPr>
          <w:p w14:paraId="1E6B732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734" w:type="pct"/>
            <w:gridSpan w:val="2"/>
            <w:tcBorders>
              <w:right w:val="single" w:color="auto" w:sz="4" w:space="0"/>
            </w:tcBorders>
            <w:vAlign w:val="center"/>
          </w:tcPr>
          <w:p w14:paraId="1DEDBD2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358F6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948" w:type="pct"/>
            <w:vMerge w:val="continue"/>
            <w:tcBorders>
              <w:left w:val="single" w:color="auto" w:sz="4" w:space="0"/>
            </w:tcBorders>
            <w:vAlign w:val="center"/>
          </w:tcPr>
          <w:p w14:paraId="0C1582D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132EB70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15DAD5A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地面管线防刺防漏措施</w:t>
            </w:r>
          </w:p>
        </w:tc>
        <w:tc>
          <w:tcPr>
            <w:tcW w:w="1116" w:type="pct"/>
            <w:gridSpan w:val="2"/>
            <w:vAlign w:val="center"/>
          </w:tcPr>
          <w:p w14:paraId="047AE39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按标准试压</w:t>
            </w:r>
          </w:p>
        </w:tc>
        <w:tc>
          <w:tcPr>
            <w:tcW w:w="694" w:type="pct"/>
            <w:vAlign w:val="center"/>
          </w:tcPr>
          <w:p w14:paraId="1C95AAF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734" w:type="pct"/>
            <w:gridSpan w:val="2"/>
            <w:tcBorders>
              <w:right w:val="single" w:color="auto" w:sz="4" w:space="0"/>
            </w:tcBorders>
            <w:vAlign w:val="center"/>
          </w:tcPr>
          <w:p w14:paraId="6A3A91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13E7B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48" w:type="pct"/>
            <w:vMerge w:val="continue"/>
            <w:tcBorders>
              <w:left w:val="single" w:color="auto" w:sz="4" w:space="0"/>
            </w:tcBorders>
            <w:vAlign w:val="center"/>
          </w:tcPr>
          <w:p w14:paraId="62C12A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75C5534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7BDC2B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rPr>
              <w:t>防溢设备</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防溢池设置</w:t>
            </w:r>
            <w:r>
              <w:rPr>
                <w:rFonts w:hint="default" w:ascii="Times New Roman" w:hAnsi="Times New Roman" w:eastAsia="宋体" w:cs="Times New Roman"/>
                <w:color w:val="auto"/>
                <w:spacing w:val="0"/>
                <w:kern w:val="0"/>
                <w:sz w:val="21"/>
                <w:szCs w:val="21"/>
                <w:highlight w:val="none"/>
                <w:lang w:eastAsia="zh-CN"/>
              </w:rPr>
              <w:t>）</w:t>
            </w:r>
          </w:p>
        </w:tc>
        <w:tc>
          <w:tcPr>
            <w:tcW w:w="1116" w:type="pct"/>
            <w:gridSpan w:val="2"/>
            <w:vAlign w:val="center"/>
          </w:tcPr>
          <w:p w14:paraId="773FA7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具备</w:t>
            </w:r>
          </w:p>
        </w:tc>
        <w:tc>
          <w:tcPr>
            <w:tcW w:w="694" w:type="pct"/>
            <w:vAlign w:val="center"/>
          </w:tcPr>
          <w:p w14:paraId="133830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734" w:type="pct"/>
            <w:gridSpan w:val="2"/>
            <w:tcBorders>
              <w:right w:val="single" w:color="auto" w:sz="4" w:space="0"/>
            </w:tcBorders>
            <w:vAlign w:val="center"/>
          </w:tcPr>
          <w:p w14:paraId="1E7EB2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49791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7E36B8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5D55D1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768FC42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防渗范围</w:t>
            </w:r>
          </w:p>
        </w:tc>
        <w:tc>
          <w:tcPr>
            <w:tcW w:w="1116" w:type="pct"/>
            <w:gridSpan w:val="2"/>
            <w:vAlign w:val="center"/>
          </w:tcPr>
          <w:p w14:paraId="68C6CF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废水、使用液、原油等可能落地处</w:t>
            </w:r>
          </w:p>
        </w:tc>
        <w:tc>
          <w:tcPr>
            <w:tcW w:w="694" w:type="pct"/>
            <w:vAlign w:val="center"/>
          </w:tcPr>
          <w:p w14:paraId="5278C12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734" w:type="pct"/>
            <w:gridSpan w:val="2"/>
            <w:tcBorders>
              <w:right w:val="single" w:color="auto" w:sz="4" w:space="0"/>
            </w:tcBorders>
            <w:vAlign w:val="center"/>
          </w:tcPr>
          <w:p w14:paraId="3BC4479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2EA22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36D872F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167B201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7740756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作业废液污染控制措施</w:t>
            </w:r>
          </w:p>
        </w:tc>
        <w:tc>
          <w:tcPr>
            <w:tcW w:w="1116" w:type="pct"/>
            <w:gridSpan w:val="2"/>
            <w:vAlign w:val="center"/>
          </w:tcPr>
          <w:p w14:paraId="28EE7C8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集中回收处理</w:t>
            </w:r>
          </w:p>
        </w:tc>
        <w:tc>
          <w:tcPr>
            <w:tcW w:w="694" w:type="pct"/>
            <w:vAlign w:val="center"/>
          </w:tcPr>
          <w:p w14:paraId="1876588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734" w:type="pct"/>
            <w:gridSpan w:val="2"/>
            <w:tcBorders>
              <w:right w:val="single" w:color="auto" w:sz="4" w:space="0"/>
            </w:tcBorders>
            <w:vAlign w:val="center"/>
          </w:tcPr>
          <w:p w14:paraId="579460B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8</w:t>
            </w:r>
          </w:p>
        </w:tc>
      </w:tr>
      <w:tr w14:paraId="2AB7C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5F43767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1E6563A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1093" w:type="pct"/>
            <w:vAlign w:val="center"/>
          </w:tcPr>
          <w:p w14:paraId="1008E91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防止落地原油产生措施</w:t>
            </w:r>
          </w:p>
        </w:tc>
        <w:tc>
          <w:tcPr>
            <w:tcW w:w="1116" w:type="pct"/>
            <w:gridSpan w:val="2"/>
            <w:vAlign w:val="center"/>
          </w:tcPr>
          <w:p w14:paraId="21161CD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具备原油回收设施</w:t>
            </w:r>
          </w:p>
        </w:tc>
        <w:tc>
          <w:tcPr>
            <w:tcW w:w="694" w:type="pct"/>
            <w:vAlign w:val="center"/>
          </w:tcPr>
          <w:p w14:paraId="503B3C4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c>
          <w:tcPr>
            <w:tcW w:w="734" w:type="pct"/>
            <w:gridSpan w:val="2"/>
            <w:tcBorders>
              <w:right w:val="single" w:color="auto" w:sz="4" w:space="0"/>
            </w:tcBorders>
            <w:vAlign w:val="center"/>
          </w:tcPr>
          <w:p w14:paraId="3791853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w:t>
            </w:r>
          </w:p>
        </w:tc>
      </w:tr>
      <w:tr w14:paraId="7D808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restart"/>
            <w:tcBorders>
              <w:left w:val="single" w:color="auto" w:sz="4" w:space="0"/>
            </w:tcBorders>
            <w:vAlign w:val="center"/>
          </w:tcPr>
          <w:p w14:paraId="532A3BC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管理体系建设及清洁生产审核</w:t>
            </w:r>
          </w:p>
        </w:tc>
        <w:tc>
          <w:tcPr>
            <w:tcW w:w="412" w:type="pct"/>
            <w:vMerge w:val="restart"/>
            <w:vAlign w:val="center"/>
          </w:tcPr>
          <w:p w14:paraId="5B2132A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40</w:t>
            </w:r>
          </w:p>
        </w:tc>
        <w:tc>
          <w:tcPr>
            <w:tcW w:w="2210" w:type="pct"/>
            <w:gridSpan w:val="3"/>
            <w:vAlign w:val="center"/>
          </w:tcPr>
          <w:p w14:paraId="6881E08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建立HSE管理体系并通过认证</w:t>
            </w:r>
          </w:p>
        </w:tc>
        <w:tc>
          <w:tcPr>
            <w:tcW w:w="694" w:type="pct"/>
            <w:vAlign w:val="center"/>
          </w:tcPr>
          <w:p w14:paraId="4808842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w:t>
            </w:r>
          </w:p>
        </w:tc>
        <w:tc>
          <w:tcPr>
            <w:tcW w:w="734" w:type="pct"/>
            <w:gridSpan w:val="2"/>
            <w:tcBorders>
              <w:right w:val="single" w:color="auto" w:sz="4" w:space="0"/>
            </w:tcBorders>
            <w:vAlign w:val="center"/>
          </w:tcPr>
          <w:p w14:paraId="7641968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15</w:t>
            </w:r>
          </w:p>
        </w:tc>
      </w:tr>
      <w:tr w14:paraId="37F04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040D31E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3B2C7D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2210" w:type="pct"/>
            <w:gridSpan w:val="3"/>
            <w:vAlign w:val="center"/>
          </w:tcPr>
          <w:p w14:paraId="01F7F2D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开展清洁生产审核</w:t>
            </w:r>
          </w:p>
        </w:tc>
        <w:tc>
          <w:tcPr>
            <w:tcW w:w="694" w:type="pct"/>
            <w:vAlign w:val="center"/>
          </w:tcPr>
          <w:p w14:paraId="2CC8C4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734" w:type="pct"/>
            <w:gridSpan w:val="2"/>
            <w:tcBorders>
              <w:right w:val="single" w:color="auto" w:sz="4" w:space="0"/>
            </w:tcBorders>
            <w:vAlign w:val="center"/>
          </w:tcPr>
          <w:p w14:paraId="38525DE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r>
      <w:tr w14:paraId="019D9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vMerge w:val="continue"/>
            <w:tcBorders>
              <w:left w:val="single" w:color="auto" w:sz="4" w:space="0"/>
            </w:tcBorders>
            <w:vAlign w:val="center"/>
          </w:tcPr>
          <w:p w14:paraId="1C3774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412" w:type="pct"/>
            <w:vMerge w:val="continue"/>
            <w:vAlign w:val="center"/>
          </w:tcPr>
          <w:p w14:paraId="092D3AE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p>
        </w:tc>
        <w:tc>
          <w:tcPr>
            <w:tcW w:w="2210" w:type="pct"/>
            <w:gridSpan w:val="3"/>
            <w:vAlign w:val="center"/>
          </w:tcPr>
          <w:p w14:paraId="6C1F61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制定节能减排工作计划</w:t>
            </w:r>
          </w:p>
        </w:tc>
        <w:tc>
          <w:tcPr>
            <w:tcW w:w="694" w:type="pct"/>
            <w:vAlign w:val="center"/>
          </w:tcPr>
          <w:p w14:paraId="638752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c>
          <w:tcPr>
            <w:tcW w:w="734" w:type="pct"/>
            <w:gridSpan w:val="2"/>
            <w:tcBorders>
              <w:right w:val="single" w:color="auto" w:sz="4" w:space="0"/>
            </w:tcBorders>
            <w:vAlign w:val="center"/>
          </w:tcPr>
          <w:p w14:paraId="5E525C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w:t>
            </w:r>
          </w:p>
        </w:tc>
      </w:tr>
      <w:tr w14:paraId="2DF49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8" w:type="pct"/>
            <w:tcBorders>
              <w:left w:val="single" w:color="auto" w:sz="4" w:space="0"/>
              <w:bottom w:val="single" w:color="auto" w:sz="4" w:space="0"/>
            </w:tcBorders>
            <w:vAlign w:val="center"/>
          </w:tcPr>
          <w:p w14:paraId="3F19ACC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3</w:t>
            </w:r>
            <w:r>
              <w:rPr>
                <w:rFonts w:hint="default"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贯彻执行环境保护法规符合性</w:t>
            </w:r>
          </w:p>
        </w:tc>
        <w:tc>
          <w:tcPr>
            <w:tcW w:w="412" w:type="pct"/>
            <w:tcBorders>
              <w:bottom w:val="single" w:color="auto" w:sz="4" w:space="0"/>
            </w:tcBorders>
            <w:vAlign w:val="center"/>
          </w:tcPr>
          <w:p w14:paraId="76D7882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2210" w:type="pct"/>
            <w:gridSpan w:val="3"/>
            <w:tcBorders>
              <w:bottom w:val="single" w:color="auto" w:sz="4" w:space="0"/>
            </w:tcBorders>
            <w:vAlign w:val="center"/>
          </w:tcPr>
          <w:p w14:paraId="206CCBB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满足其他法律法规要求</w:t>
            </w:r>
          </w:p>
        </w:tc>
        <w:tc>
          <w:tcPr>
            <w:tcW w:w="694" w:type="pct"/>
            <w:tcBorders>
              <w:bottom w:val="single" w:color="auto" w:sz="4" w:space="0"/>
            </w:tcBorders>
            <w:vAlign w:val="center"/>
          </w:tcPr>
          <w:p w14:paraId="1E58B97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c>
          <w:tcPr>
            <w:tcW w:w="734" w:type="pct"/>
            <w:gridSpan w:val="2"/>
            <w:tcBorders>
              <w:bottom w:val="single" w:color="auto" w:sz="4" w:space="0"/>
              <w:right w:val="single" w:color="auto" w:sz="4" w:space="0"/>
            </w:tcBorders>
            <w:vAlign w:val="center"/>
          </w:tcPr>
          <w:p w14:paraId="67B6B8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20</w:t>
            </w:r>
          </w:p>
        </w:tc>
      </w:tr>
    </w:tbl>
    <w:p w14:paraId="37563BA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黑体" w:cs="Times New Roman"/>
          <w:b w:val="0"/>
          <w:bCs w:val="0"/>
          <w:color w:val="auto"/>
          <w:kern w:val="0"/>
          <w:sz w:val="21"/>
          <w:szCs w:val="21"/>
          <w:highlight w:val="none"/>
        </w:rPr>
      </w:pPr>
    </w:p>
    <w:p w14:paraId="58D1D0F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黑体" w:cs="Times New Roman"/>
          <w:b w:val="0"/>
          <w:bCs w:val="0"/>
          <w:color w:val="auto"/>
          <w:kern w:val="0"/>
          <w:sz w:val="21"/>
          <w:szCs w:val="21"/>
          <w:highlight w:val="none"/>
        </w:rPr>
      </w:pPr>
      <w:r>
        <w:rPr>
          <w:rFonts w:hint="default" w:ascii="Times New Roman" w:hAnsi="Times New Roman" w:eastAsia="黑体" w:cs="Times New Roman"/>
          <w:b w:val="0"/>
          <w:bCs w:val="0"/>
          <w:color w:val="auto"/>
          <w:kern w:val="0"/>
          <w:sz w:val="21"/>
          <w:szCs w:val="21"/>
          <w:highlight w:val="none"/>
        </w:rPr>
        <w:t>表3.</w:t>
      </w:r>
      <w:r>
        <w:rPr>
          <w:rFonts w:hint="default" w:ascii="Times New Roman" w:hAnsi="Times New Roman" w:eastAsia="黑体" w:cs="Times New Roman"/>
          <w:b w:val="0"/>
          <w:bCs w:val="0"/>
          <w:color w:val="auto"/>
          <w:kern w:val="0"/>
          <w:sz w:val="21"/>
          <w:szCs w:val="21"/>
          <w:highlight w:val="none"/>
          <w:lang w:val="en-US" w:eastAsia="zh-CN"/>
        </w:rPr>
        <w:t>5</w:t>
      </w:r>
      <w:r>
        <w:rPr>
          <w:rFonts w:hint="default" w:ascii="Times New Roman" w:hAnsi="Times New Roman" w:eastAsia="黑体" w:cs="Times New Roman"/>
          <w:b w:val="0"/>
          <w:bCs w:val="0"/>
          <w:color w:val="auto"/>
          <w:kern w:val="0"/>
          <w:sz w:val="21"/>
          <w:szCs w:val="21"/>
          <w:highlight w:val="none"/>
        </w:rPr>
        <w:t>-</w:t>
      </w:r>
      <w:r>
        <w:rPr>
          <w:rFonts w:hint="eastAsia" w:eastAsia="黑体" w:cs="Times New Roman"/>
          <w:b w:val="0"/>
          <w:bCs w:val="0"/>
          <w:color w:val="auto"/>
          <w:kern w:val="0"/>
          <w:sz w:val="21"/>
          <w:szCs w:val="21"/>
          <w:highlight w:val="none"/>
          <w:lang w:val="en-US" w:eastAsia="zh-CN"/>
        </w:rPr>
        <w:t xml:space="preserve">3   </w:t>
      </w:r>
      <w:r>
        <w:rPr>
          <w:rFonts w:hint="default" w:ascii="Times New Roman" w:hAnsi="Times New Roman" w:eastAsia="黑体" w:cs="Times New Roman"/>
          <w:b w:val="0"/>
          <w:bCs w:val="0"/>
          <w:color w:val="auto"/>
          <w:kern w:val="0"/>
          <w:sz w:val="21"/>
          <w:szCs w:val="21"/>
          <w:highlight w:val="none"/>
        </w:rPr>
        <w:t>采油</w:t>
      </w:r>
      <w:r>
        <w:rPr>
          <w:rFonts w:hint="default" w:ascii="Times New Roman" w:hAnsi="Times New Roman" w:eastAsia="黑体" w:cs="Times New Roman"/>
          <w:b w:val="0"/>
          <w:bCs w:val="0"/>
          <w:color w:val="auto"/>
          <w:kern w:val="0"/>
          <w:sz w:val="21"/>
          <w:szCs w:val="21"/>
          <w:highlight w:val="none"/>
          <w:lang w:eastAsia="zh-CN"/>
        </w:rPr>
        <w:t>（</w:t>
      </w:r>
      <w:r>
        <w:rPr>
          <w:rFonts w:hint="default" w:ascii="Times New Roman" w:hAnsi="Times New Roman" w:eastAsia="黑体" w:cs="Times New Roman"/>
          <w:b w:val="0"/>
          <w:bCs w:val="0"/>
          <w:color w:val="auto"/>
          <w:kern w:val="0"/>
          <w:sz w:val="21"/>
          <w:szCs w:val="21"/>
          <w:highlight w:val="none"/>
        </w:rPr>
        <w:t>气</w:t>
      </w:r>
      <w:r>
        <w:rPr>
          <w:rFonts w:hint="default" w:ascii="Times New Roman" w:hAnsi="Times New Roman" w:eastAsia="黑体" w:cs="Times New Roman"/>
          <w:b w:val="0"/>
          <w:bCs w:val="0"/>
          <w:color w:val="auto"/>
          <w:kern w:val="0"/>
          <w:sz w:val="21"/>
          <w:szCs w:val="21"/>
          <w:highlight w:val="none"/>
          <w:lang w:eastAsia="zh-CN"/>
        </w:rPr>
        <w:t>）</w:t>
      </w:r>
      <w:r>
        <w:rPr>
          <w:rFonts w:hint="default" w:ascii="Times New Roman" w:hAnsi="Times New Roman" w:eastAsia="黑体" w:cs="Times New Roman"/>
          <w:b w:val="0"/>
          <w:bCs w:val="0"/>
          <w:color w:val="auto"/>
          <w:kern w:val="0"/>
          <w:sz w:val="21"/>
          <w:szCs w:val="21"/>
          <w:highlight w:val="none"/>
        </w:rPr>
        <w:t>作业定量和定性评价指标项目、权重及基准值</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1134"/>
        <w:gridCol w:w="440"/>
        <w:gridCol w:w="2091"/>
        <w:gridCol w:w="821"/>
        <w:gridCol w:w="443"/>
        <w:gridCol w:w="454"/>
        <w:gridCol w:w="1441"/>
        <w:gridCol w:w="1947"/>
        <w:gridCol w:w="697"/>
        <w:gridCol w:w="1495"/>
        <w:gridCol w:w="683"/>
      </w:tblGrid>
      <w:tr w14:paraId="18F26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000" w:type="pct"/>
            <w:gridSpan w:val="12"/>
            <w:tcBorders>
              <w:top w:val="single" w:color="auto" w:sz="4" w:space="0"/>
              <w:left w:val="single" w:color="auto" w:sz="4" w:space="0"/>
              <w:right w:val="single" w:color="auto" w:sz="4" w:space="0"/>
            </w:tcBorders>
            <w:shd w:val="clear" w:color="auto" w:fill="auto"/>
            <w:vAlign w:val="center"/>
          </w:tcPr>
          <w:p w14:paraId="058E14C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定量指标</w:t>
            </w:r>
          </w:p>
        </w:tc>
      </w:tr>
      <w:tr w14:paraId="57B59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restart"/>
            <w:tcBorders>
              <w:left w:val="single" w:color="auto" w:sz="4" w:space="0"/>
            </w:tcBorders>
            <w:shd w:val="clear" w:color="auto" w:fill="auto"/>
            <w:vAlign w:val="center"/>
          </w:tcPr>
          <w:p w14:paraId="1C30163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一级指标</w:t>
            </w:r>
          </w:p>
        </w:tc>
        <w:tc>
          <w:tcPr>
            <w:tcW w:w="392" w:type="pct"/>
            <w:vMerge w:val="restart"/>
            <w:shd w:val="clear" w:color="auto" w:fill="auto"/>
            <w:vAlign w:val="center"/>
          </w:tcPr>
          <w:p w14:paraId="7CC4D49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权重值</w:t>
            </w:r>
          </w:p>
        </w:tc>
        <w:tc>
          <w:tcPr>
            <w:tcW w:w="875" w:type="pct"/>
            <w:gridSpan w:val="2"/>
            <w:vMerge w:val="restart"/>
            <w:shd w:val="clear" w:color="auto" w:fill="auto"/>
            <w:vAlign w:val="center"/>
          </w:tcPr>
          <w:p w14:paraId="0B7AC39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二级指标</w:t>
            </w:r>
          </w:p>
        </w:tc>
        <w:tc>
          <w:tcPr>
            <w:tcW w:w="593" w:type="pct"/>
            <w:gridSpan w:val="3"/>
            <w:vMerge w:val="restart"/>
            <w:shd w:val="clear" w:color="auto" w:fill="auto"/>
            <w:vAlign w:val="center"/>
          </w:tcPr>
          <w:p w14:paraId="123126E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498" w:type="pct"/>
            <w:vMerge w:val="restart"/>
            <w:shd w:val="clear" w:color="auto" w:fill="auto"/>
            <w:vAlign w:val="center"/>
          </w:tcPr>
          <w:p w14:paraId="712064D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权重值</w:t>
            </w:r>
          </w:p>
        </w:tc>
        <w:tc>
          <w:tcPr>
            <w:tcW w:w="672" w:type="pct"/>
            <w:vMerge w:val="restart"/>
            <w:shd w:val="clear" w:color="auto" w:fill="auto"/>
            <w:vAlign w:val="center"/>
          </w:tcPr>
          <w:p w14:paraId="7973707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评价基准值</w:t>
            </w:r>
          </w:p>
        </w:tc>
        <w:tc>
          <w:tcPr>
            <w:tcW w:w="993" w:type="pct"/>
            <w:gridSpan w:val="3"/>
            <w:tcBorders>
              <w:right w:val="single" w:color="auto" w:sz="4" w:space="0"/>
            </w:tcBorders>
            <w:shd w:val="clear" w:color="auto" w:fill="auto"/>
            <w:vAlign w:val="center"/>
          </w:tcPr>
          <w:p w14:paraId="6387CA4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本项目评价</w:t>
            </w:r>
          </w:p>
        </w:tc>
      </w:tr>
      <w:tr w14:paraId="52505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301468B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6491B1E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vMerge w:val="continue"/>
            <w:shd w:val="clear" w:color="auto" w:fill="auto"/>
            <w:vAlign w:val="center"/>
          </w:tcPr>
          <w:p w14:paraId="11C1443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593" w:type="pct"/>
            <w:gridSpan w:val="3"/>
            <w:vMerge w:val="continue"/>
            <w:shd w:val="clear" w:color="auto" w:fill="auto"/>
            <w:vAlign w:val="center"/>
          </w:tcPr>
          <w:p w14:paraId="5171E49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498" w:type="pct"/>
            <w:vMerge w:val="continue"/>
            <w:shd w:val="clear" w:color="auto" w:fill="auto"/>
            <w:vAlign w:val="center"/>
          </w:tcPr>
          <w:p w14:paraId="2DFA1FD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672" w:type="pct"/>
            <w:vMerge w:val="continue"/>
            <w:shd w:val="clear" w:color="auto" w:fill="auto"/>
            <w:vAlign w:val="center"/>
          </w:tcPr>
          <w:p w14:paraId="76742DC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758" w:type="pct"/>
            <w:gridSpan w:val="2"/>
            <w:shd w:val="clear" w:color="auto" w:fill="auto"/>
            <w:vAlign w:val="center"/>
          </w:tcPr>
          <w:p w14:paraId="6A764AC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实际值</w:t>
            </w:r>
          </w:p>
        </w:tc>
        <w:tc>
          <w:tcPr>
            <w:tcW w:w="235" w:type="pct"/>
            <w:tcBorders>
              <w:right w:val="single" w:color="auto" w:sz="4" w:space="0"/>
            </w:tcBorders>
            <w:shd w:val="clear" w:color="auto" w:fill="auto"/>
            <w:vAlign w:val="center"/>
          </w:tcPr>
          <w:p w14:paraId="596C42B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得分</w:t>
            </w:r>
          </w:p>
        </w:tc>
      </w:tr>
      <w:tr w14:paraId="76517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tcBorders>
              <w:left w:val="single" w:color="auto" w:sz="4" w:space="0"/>
            </w:tcBorders>
            <w:shd w:val="clear" w:color="auto" w:fill="auto"/>
            <w:vAlign w:val="center"/>
          </w:tcPr>
          <w:p w14:paraId="78A60EA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bookmarkStart w:id="285" w:name="_Hlk500928256"/>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资源和能源消耗指标</w:t>
            </w:r>
          </w:p>
        </w:tc>
        <w:tc>
          <w:tcPr>
            <w:tcW w:w="392" w:type="pct"/>
            <w:shd w:val="clear" w:color="auto" w:fill="auto"/>
            <w:vAlign w:val="center"/>
          </w:tcPr>
          <w:p w14:paraId="72CFCC2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875" w:type="pct"/>
            <w:gridSpan w:val="2"/>
            <w:shd w:val="clear" w:color="auto" w:fill="auto"/>
            <w:vAlign w:val="center"/>
          </w:tcPr>
          <w:p w14:paraId="67D1030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综合能耗</w:t>
            </w:r>
          </w:p>
        </w:tc>
        <w:tc>
          <w:tcPr>
            <w:tcW w:w="593" w:type="pct"/>
            <w:gridSpan w:val="3"/>
            <w:shd w:val="clear" w:color="auto" w:fill="auto"/>
            <w:vAlign w:val="center"/>
          </w:tcPr>
          <w:p w14:paraId="2A3B2EF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kg标煤/t天然气</w:t>
            </w:r>
          </w:p>
        </w:tc>
        <w:tc>
          <w:tcPr>
            <w:tcW w:w="498" w:type="pct"/>
            <w:shd w:val="clear" w:color="auto" w:fill="auto"/>
            <w:vAlign w:val="center"/>
          </w:tcPr>
          <w:p w14:paraId="2CB1EEF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672" w:type="pct"/>
            <w:shd w:val="clear" w:color="auto" w:fill="auto"/>
            <w:vAlign w:val="center"/>
          </w:tcPr>
          <w:p w14:paraId="5C6762BC">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天然气：≤50</w:t>
            </w:r>
          </w:p>
        </w:tc>
        <w:tc>
          <w:tcPr>
            <w:tcW w:w="758" w:type="pct"/>
            <w:gridSpan w:val="2"/>
            <w:shd w:val="clear" w:color="auto" w:fill="auto"/>
            <w:vAlign w:val="center"/>
          </w:tcPr>
          <w:p w14:paraId="26A4741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c>
          <w:tcPr>
            <w:tcW w:w="235" w:type="pct"/>
            <w:tcBorders>
              <w:right w:val="single" w:color="auto" w:sz="4" w:space="0"/>
            </w:tcBorders>
            <w:shd w:val="clear" w:color="auto" w:fill="auto"/>
            <w:vAlign w:val="center"/>
          </w:tcPr>
          <w:p w14:paraId="14082E9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r>
      <w:tr w14:paraId="1E3DF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restart"/>
            <w:tcBorders>
              <w:left w:val="single" w:color="auto" w:sz="4" w:space="0"/>
            </w:tcBorders>
            <w:shd w:val="clear" w:color="auto" w:fill="auto"/>
            <w:vAlign w:val="center"/>
          </w:tcPr>
          <w:p w14:paraId="19840A3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资源综合利用指标</w:t>
            </w:r>
          </w:p>
        </w:tc>
        <w:tc>
          <w:tcPr>
            <w:tcW w:w="392" w:type="pct"/>
            <w:vMerge w:val="restart"/>
            <w:shd w:val="clear" w:color="auto" w:fill="auto"/>
            <w:vAlign w:val="center"/>
          </w:tcPr>
          <w:p w14:paraId="69B9E7A0">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875" w:type="pct"/>
            <w:gridSpan w:val="2"/>
            <w:shd w:val="clear" w:color="auto" w:fill="auto"/>
            <w:vAlign w:val="center"/>
          </w:tcPr>
          <w:p w14:paraId="73D975D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余热余能利用率</w:t>
            </w:r>
          </w:p>
        </w:tc>
        <w:tc>
          <w:tcPr>
            <w:tcW w:w="593" w:type="pct"/>
            <w:gridSpan w:val="3"/>
            <w:shd w:val="clear" w:color="auto" w:fill="auto"/>
            <w:vAlign w:val="center"/>
          </w:tcPr>
          <w:p w14:paraId="7F7B477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98" w:type="pct"/>
            <w:shd w:val="clear" w:color="auto" w:fill="auto"/>
            <w:vAlign w:val="center"/>
          </w:tcPr>
          <w:p w14:paraId="2A50BC8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72" w:type="pct"/>
            <w:shd w:val="clear" w:color="auto" w:fill="auto"/>
            <w:vAlign w:val="center"/>
          </w:tcPr>
          <w:p w14:paraId="7251F04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758" w:type="pct"/>
            <w:gridSpan w:val="2"/>
            <w:shd w:val="clear" w:color="auto" w:fill="auto"/>
            <w:vAlign w:val="center"/>
          </w:tcPr>
          <w:p w14:paraId="1B76EE9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235" w:type="pct"/>
            <w:tcBorders>
              <w:right w:val="single" w:color="auto" w:sz="4" w:space="0"/>
            </w:tcBorders>
            <w:shd w:val="clear" w:color="auto" w:fill="auto"/>
            <w:vAlign w:val="center"/>
          </w:tcPr>
          <w:p w14:paraId="2ADB8CAC">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14:paraId="3154A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6892CDC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2BA7F0B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shd w:val="clear" w:color="auto" w:fill="auto"/>
            <w:vAlign w:val="center"/>
          </w:tcPr>
          <w:p w14:paraId="0778D62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油井伴生气回收利用率</w:t>
            </w:r>
          </w:p>
        </w:tc>
        <w:tc>
          <w:tcPr>
            <w:tcW w:w="593" w:type="pct"/>
            <w:gridSpan w:val="3"/>
            <w:shd w:val="clear" w:color="auto" w:fill="auto"/>
            <w:vAlign w:val="center"/>
          </w:tcPr>
          <w:p w14:paraId="60BE411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98" w:type="pct"/>
            <w:shd w:val="clear" w:color="auto" w:fill="auto"/>
            <w:vAlign w:val="center"/>
          </w:tcPr>
          <w:p w14:paraId="403A272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72" w:type="pct"/>
            <w:shd w:val="clear" w:color="auto" w:fill="auto"/>
            <w:vAlign w:val="center"/>
          </w:tcPr>
          <w:p w14:paraId="7471021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w:t>
            </w:r>
          </w:p>
        </w:tc>
        <w:tc>
          <w:tcPr>
            <w:tcW w:w="758" w:type="pct"/>
            <w:gridSpan w:val="2"/>
            <w:shd w:val="clear" w:color="auto" w:fill="auto"/>
            <w:vAlign w:val="center"/>
          </w:tcPr>
          <w:p w14:paraId="794E5AF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235" w:type="pct"/>
            <w:tcBorders>
              <w:right w:val="single" w:color="auto" w:sz="4" w:space="0"/>
            </w:tcBorders>
            <w:shd w:val="clear" w:color="auto" w:fill="auto"/>
            <w:vAlign w:val="center"/>
          </w:tcPr>
          <w:p w14:paraId="6A9C40B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51807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248AE25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2596B1B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shd w:val="clear" w:color="auto" w:fill="auto"/>
            <w:vAlign w:val="center"/>
          </w:tcPr>
          <w:p w14:paraId="267480F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含油污泥资源化利用率</w:t>
            </w:r>
          </w:p>
        </w:tc>
        <w:tc>
          <w:tcPr>
            <w:tcW w:w="593" w:type="pct"/>
            <w:gridSpan w:val="3"/>
            <w:shd w:val="clear" w:color="auto" w:fill="auto"/>
            <w:vAlign w:val="center"/>
          </w:tcPr>
          <w:p w14:paraId="3763C3A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98" w:type="pct"/>
            <w:shd w:val="clear" w:color="auto" w:fill="auto"/>
            <w:vAlign w:val="center"/>
          </w:tcPr>
          <w:p w14:paraId="4E67E62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72" w:type="pct"/>
            <w:shd w:val="clear" w:color="auto" w:fill="auto"/>
            <w:vAlign w:val="center"/>
          </w:tcPr>
          <w:p w14:paraId="3645BD8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w:t>
            </w:r>
          </w:p>
        </w:tc>
        <w:tc>
          <w:tcPr>
            <w:tcW w:w="758" w:type="pct"/>
            <w:gridSpan w:val="2"/>
            <w:shd w:val="clear" w:color="auto" w:fill="auto"/>
            <w:vAlign w:val="center"/>
          </w:tcPr>
          <w:p w14:paraId="29F1903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235" w:type="pct"/>
            <w:tcBorders>
              <w:right w:val="single" w:color="auto" w:sz="4" w:space="0"/>
            </w:tcBorders>
            <w:shd w:val="clear" w:color="auto" w:fill="auto"/>
            <w:vAlign w:val="center"/>
          </w:tcPr>
          <w:p w14:paraId="2340B8A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06FFD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restart"/>
            <w:tcBorders>
              <w:left w:val="single" w:color="auto" w:sz="4" w:space="0"/>
            </w:tcBorders>
            <w:shd w:val="clear" w:color="auto" w:fill="auto"/>
            <w:vAlign w:val="center"/>
          </w:tcPr>
          <w:p w14:paraId="53C9E62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3</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污染物产生指标</w:t>
            </w:r>
          </w:p>
        </w:tc>
        <w:tc>
          <w:tcPr>
            <w:tcW w:w="392" w:type="pct"/>
            <w:vMerge w:val="restart"/>
            <w:shd w:val="clear" w:color="auto" w:fill="auto"/>
            <w:vAlign w:val="center"/>
          </w:tcPr>
          <w:p w14:paraId="06DBB36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875" w:type="pct"/>
            <w:gridSpan w:val="2"/>
            <w:shd w:val="clear" w:color="auto" w:fill="auto"/>
            <w:vAlign w:val="center"/>
          </w:tcPr>
          <w:p w14:paraId="3F66410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石油类</w:t>
            </w:r>
          </w:p>
        </w:tc>
        <w:tc>
          <w:tcPr>
            <w:tcW w:w="593" w:type="pct"/>
            <w:gridSpan w:val="3"/>
            <w:shd w:val="clear" w:color="auto" w:fill="auto"/>
            <w:vAlign w:val="center"/>
          </w:tcPr>
          <w:p w14:paraId="39ADD1C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mg/L</w:t>
            </w:r>
          </w:p>
        </w:tc>
        <w:tc>
          <w:tcPr>
            <w:tcW w:w="498" w:type="pct"/>
            <w:shd w:val="clear" w:color="auto" w:fill="auto"/>
            <w:vAlign w:val="center"/>
          </w:tcPr>
          <w:p w14:paraId="3571468C">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672" w:type="pct"/>
            <w:shd w:val="clear" w:color="auto" w:fill="auto"/>
            <w:vAlign w:val="center"/>
          </w:tcPr>
          <w:p w14:paraId="1D9609DC">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758" w:type="pct"/>
            <w:gridSpan w:val="2"/>
            <w:shd w:val="clear" w:color="auto" w:fill="auto"/>
            <w:vAlign w:val="center"/>
          </w:tcPr>
          <w:p w14:paraId="29013CB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235" w:type="pct"/>
            <w:tcBorders>
              <w:right w:val="single" w:color="auto" w:sz="4" w:space="0"/>
            </w:tcBorders>
            <w:shd w:val="clear" w:color="auto" w:fill="auto"/>
            <w:vAlign w:val="center"/>
          </w:tcPr>
          <w:p w14:paraId="222802C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5</w:t>
            </w:r>
          </w:p>
        </w:tc>
      </w:tr>
      <w:tr w14:paraId="699BD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65F95B8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102DD2F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shd w:val="clear" w:color="auto" w:fill="auto"/>
            <w:vAlign w:val="center"/>
          </w:tcPr>
          <w:p w14:paraId="3F5335E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593" w:type="pct"/>
            <w:gridSpan w:val="3"/>
            <w:shd w:val="clear" w:color="auto" w:fill="auto"/>
            <w:vAlign w:val="center"/>
          </w:tcPr>
          <w:p w14:paraId="5977214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mg/L</w:t>
            </w:r>
          </w:p>
        </w:tc>
        <w:tc>
          <w:tcPr>
            <w:tcW w:w="498" w:type="pct"/>
            <w:shd w:val="clear" w:color="auto" w:fill="auto"/>
            <w:vAlign w:val="center"/>
          </w:tcPr>
          <w:p w14:paraId="4986D74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672" w:type="pct"/>
            <w:shd w:val="clear" w:color="auto" w:fill="auto"/>
            <w:vAlign w:val="center"/>
          </w:tcPr>
          <w:p w14:paraId="6B38F63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乙类区：≤150</w:t>
            </w:r>
          </w:p>
        </w:tc>
        <w:tc>
          <w:tcPr>
            <w:tcW w:w="758" w:type="pct"/>
            <w:gridSpan w:val="2"/>
            <w:shd w:val="clear" w:color="auto" w:fill="auto"/>
            <w:vAlign w:val="center"/>
          </w:tcPr>
          <w:p w14:paraId="45C4C49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＜150</w:t>
            </w:r>
          </w:p>
        </w:tc>
        <w:tc>
          <w:tcPr>
            <w:tcW w:w="235" w:type="pct"/>
            <w:tcBorders>
              <w:right w:val="single" w:color="auto" w:sz="4" w:space="0"/>
            </w:tcBorders>
            <w:shd w:val="clear" w:color="auto" w:fill="auto"/>
            <w:vAlign w:val="center"/>
          </w:tcPr>
          <w:p w14:paraId="7DD44EB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5</w:t>
            </w:r>
          </w:p>
        </w:tc>
      </w:tr>
      <w:tr w14:paraId="215B2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1B56881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79509CB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shd w:val="clear" w:color="auto" w:fill="auto"/>
            <w:vAlign w:val="center"/>
          </w:tcPr>
          <w:p w14:paraId="4BFE0AE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落地原油回收率</w:t>
            </w:r>
          </w:p>
        </w:tc>
        <w:tc>
          <w:tcPr>
            <w:tcW w:w="593" w:type="pct"/>
            <w:gridSpan w:val="3"/>
            <w:shd w:val="clear" w:color="auto" w:fill="auto"/>
            <w:vAlign w:val="center"/>
          </w:tcPr>
          <w:p w14:paraId="0B4B31C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98" w:type="pct"/>
            <w:shd w:val="clear" w:color="auto" w:fill="auto"/>
            <w:vAlign w:val="center"/>
          </w:tcPr>
          <w:p w14:paraId="2F69177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72" w:type="pct"/>
            <w:shd w:val="clear" w:color="auto" w:fill="auto"/>
            <w:vAlign w:val="center"/>
          </w:tcPr>
          <w:p w14:paraId="30655F7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758" w:type="pct"/>
            <w:gridSpan w:val="2"/>
            <w:shd w:val="clear" w:color="auto" w:fill="auto"/>
            <w:vAlign w:val="center"/>
          </w:tcPr>
          <w:p w14:paraId="411B7D3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235" w:type="pct"/>
            <w:tcBorders>
              <w:right w:val="single" w:color="auto" w:sz="4" w:space="0"/>
            </w:tcBorders>
            <w:shd w:val="clear" w:color="auto" w:fill="auto"/>
            <w:vAlign w:val="center"/>
          </w:tcPr>
          <w:p w14:paraId="04B296E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2357F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36A2AF1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2C004DF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shd w:val="clear" w:color="auto" w:fill="auto"/>
            <w:vAlign w:val="center"/>
          </w:tcPr>
          <w:p w14:paraId="39AB7F9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采油废水回用率</w:t>
            </w:r>
          </w:p>
        </w:tc>
        <w:tc>
          <w:tcPr>
            <w:tcW w:w="593" w:type="pct"/>
            <w:gridSpan w:val="3"/>
            <w:shd w:val="clear" w:color="auto" w:fill="auto"/>
            <w:vAlign w:val="center"/>
          </w:tcPr>
          <w:p w14:paraId="7422964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98" w:type="pct"/>
            <w:shd w:val="clear" w:color="auto" w:fill="auto"/>
            <w:vAlign w:val="center"/>
          </w:tcPr>
          <w:p w14:paraId="7A81FE3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72" w:type="pct"/>
            <w:shd w:val="clear" w:color="auto" w:fill="auto"/>
            <w:vAlign w:val="center"/>
          </w:tcPr>
          <w:p w14:paraId="2816CCC0">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758" w:type="pct"/>
            <w:gridSpan w:val="2"/>
            <w:shd w:val="clear" w:color="auto" w:fill="auto"/>
            <w:vAlign w:val="center"/>
          </w:tcPr>
          <w:p w14:paraId="604F34B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w:t>
            </w:r>
          </w:p>
        </w:tc>
        <w:tc>
          <w:tcPr>
            <w:tcW w:w="235" w:type="pct"/>
            <w:tcBorders>
              <w:right w:val="single" w:color="auto" w:sz="4" w:space="0"/>
            </w:tcBorders>
            <w:shd w:val="clear" w:color="auto" w:fill="auto"/>
            <w:vAlign w:val="center"/>
          </w:tcPr>
          <w:p w14:paraId="7CE4E01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235D7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3AD2FA3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6E48AF2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shd w:val="clear" w:color="auto" w:fill="auto"/>
            <w:vAlign w:val="center"/>
          </w:tcPr>
          <w:p w14:paraId="1BFEBA30">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油井伴生气外排率</w:t>
            </w:r>
          </w:p>
        </w:tc>
        <w:tc>
          <w:tcPr>
            <w:tcW w:w="593" w:type="pct"/>
            <w:gridSpan w:val="3"/>
            <w:shd w:val="clear" w:color="auto" w:fill="auto"/>
            <w:vAlign w:val="center"/>
          </w:tcPr>
          <w:p w14:paraId="46D1190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98" w:type="pct"/>
            <w:shd w:val="clear" w:color="auto" w:fill="auto"/>
            <w:vAlign w:val="center"/>
          </w:tcPr>
          <w:p w14:paraId="3349F43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72" w:type="pct"/>
            <w:shd w:val="clear" w:color="auto" w:fill="auto"/>
            <w:vAlign w:val="center"/>
          </w:tcPr>
          <w:p w14:paraId="5D68731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758" w:type="pct"/>
            <w:gridSpan w:val="2"/>
            <w:shd w:val="clear" w:color="auto" w:fill="auto"/>
            <w:vAlign w:val="center"/>
          </w:tcPr>
          <w:p w14:paraId="2C71A2C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235" w:type="pct"/>
            <w:tcBorders>
              <w:right w:val="single" w:color="auto" w:sz="4" w:space="0"/>
            </w:tcBorders>
            <w:shd w:val="clear" w:color="auto" w:fill="auto"/>
            <w:vAlign w:val="center"/>
          </w:tcPr>
          <w:p w14:paraId="7E6CA87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7E12B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590FAA8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7B7F4E3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875" w:type="pct"/>
            <w:gridSpan w:val="2"/>
            <w:shd w:val="clear" w:color="auto" w:fill="auto"/>
            <w:vAlign w:val="center"/>
          </w:tcPr>
          <w:p w14:paraId="1C60197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采油废水有效利用率</w:t>
            </w:r>
          </w:p>
        </w:tc>
        <w:tc>
          <w:tcPr>
            <w:tcW w:w="593" w:type="pct"/>
            <w:gridSpan w:val="3"/>
            <w:shd w:val="clear" w:color="auto" w:fill="auto"/>
            <w:vAlign w:val="center"/>
          </w:tcPr>
          <w:p w14:paraId="538B2B9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98" w:type="pct"/>
            <w:shd w:val="clear" w:color="auto" w:fill="auto"/>
            <w:vAlign w:val="center"/>
          </w:tcPr>
          <w:p w14:paraId="3D9FFFB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72" w:type="pct"/>
            <w:shd w:val="clear" w:color="auto" w:fill="auto"/>
            <w:vAlign w:val="center"/>
          </w:tcPr>
          <w:p w14:paraId="4386819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w:t>
            </w:r>
          </w:p>
        </w:tc>
        <w:tc>
          <w:tcPr>
            <w:tcW w:w="758" w:type="pct"/>
            <w:gridSpan w:val="2"/>
            <w:shd w:val="clear" w:color="auto" w:fill="auto"/>
            <w:vAlign w:val="center"/>
          </w:tcPr>
          <w:p w14:paraId="578CD61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w:t>
            </w:r>
          </w:p>
        </w:tc>
        <w:tc>
          <w:tcPr>
            <w:tcW w:w="235" w:type="pct"/>
            <w:tcBorders>
              <w:right w:val="single" w:color="auto" w:sz="4" w:space="0"/>
            </w:tcBorders>
            <w:shd w:val="clear" w:color="auto" w:fill="auto"/>
            <w:vAlign w:val="center"/>
          </w:tcPr>
          <w:p w14:paraId="608A40B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bookmarkEnd w:id="285"/>
      <w:tr w14:paraId="27FAE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000" w:type="pct"/>
            <w:gridSpan w:val="12"/>
            <w:tcBorders>
              <w:left w:val="single" w:color="auto" w:sz="4" w:space="0"/>
              <w:right w:val="single" w:color="auto" w:sz="4" w:space="0"/>
            </w:tcBorders>
            <w:shd w:val="clear" w:color="auto" w:fill="auto"/>
            <w:vAlign w:val="center"/>
          </w:tcPr>
          <w:p w14:paraId="6063D7C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定性指标</w:t>
            </w:r>
          </w:p>
        </w:tc>
      </w:tr>
      <w:tr w14:paraId="3800E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74" w:type="pct"/>
            <w:tcBorders>
              <w:left w:val="single" w:color="auto" w:sz="4" w:space="0"/>
            </w:tcBorders>
            <w:shd w:val="clear" w:color="auto" w:fill="auto"/>
            <w:vAlign w:val="center"/>
          </w:tcPr>
          <w:p w14:paraId="0B6B5D8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一级指标</w:t>
            </w:r>
          </w:p>
        </w:tc>
        <w:tc>
          <w:tcPr>
            <w:tcW w:w="392" w:type="pct"/>
            <w:shd w:val="clear" w:color="auto" w:fill="auto"/>
            <w:vAlign w:val="center"/>
          </w:tcPr>
          <w:p w14:paraId="7AAD143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指标</w:t>
            </w:r>
          </w:p>
          <w:p w14:paraId="26B1087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分值</w:t>
            </w:r>
          </w:p>
        </w:tc>
        <w:tc>
          <w:tcPr>
            <w:tcW w:w="2639" w:type="pct"/>
            <w:gridSpan w:val="7"/>
            <w:shd w:val="clear" w:color="auto" w:fill="auto"/>
            <w:vAlign w:val="center"/>
          </w:tcPr>
          <w:p w14:paraId="4826249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二级指标</w:t>
            </w:r>
          </w:p>
        </w:tc>
        <w:tc>
          <w:tcPr>
            <w:tcW w:w="241" w:type="pct"/>
            <w:shd w:val="clear" w:color="auto" w:fill="auto"/>
            <w:vAlign w:val="center"/>
          </w:tcPr>
          <w:p w14:paraId="0B080D7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指标</w:t>
            </w:r>
          </w:p>
          <w:p w14:paraId="180780A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分值</w:t>
            </w:r>
          </w:p>
        </w:tc>
        <w:tc>
          <w:tcPr>
            <w:tcW w:w="751" w:type="pct"/>
            <w:gridSpan w:val="2"/>
            <w:tcBorders>
              <w:right w:val="single" w:color="auto" w:sz="4" w:space="0"/>
            </w:tcBorders>
            <w:shd w:val="clear" w:color="auto" w:fill="auto"/>
            <w:vAlign w:val="center"/>
          </w:tcPr>
          <w:p w14:paraId="5730CF1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本项目评价</w:t>
            </w:r>
          </w:p>
        </w:tc>
      </w:tr>
      <w:tr w14:paraId="73E35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restart"/>
            <w:tcBorders>
              <w:left w:val="single" w:color="auto" w:sz="4" w:space="0"/>
            </w:tcBorders>
            <w:shd w:val="clear" w:color="auto" w:fill="auto"/>
            <w:vAlign w:val="center"/>
          </w:tcPr>
          <w:p w14:paraId="7A64174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生产工艺及设备要求</w:t>
            </w:r>
          </w:p>
        </w:tc>
        <w:tc>
          <w:tcPr>
            <w:tcW w:w="392" w:type="pct"/>
            <w:vMerge w:val="restart"/>
            <w:shd w:val="clear" w:color="auto" w:fill="auto"/>
            <w:vAlign w:val="center"/>
          </w:tcPr>
          <w:p w14:paraId="2B50EC1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45</w:t>
            </w:r>
          </w:p>
        </w:tc>
        <w:tc>
          <w:tcPr>
            <w:tcW w:w="1312" w:type="pct"/>
            <w:gridSpan w:val="4"/>
            <w:shd w:val="clear" w:color="auto" w:fill="auto"/>
            <w:vAlign w:val="center"/>
          </w:tcPr>
          <w:p w14:paraId="37CF7AA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井筒质量</w:t>
            </w:r>
          </w:p>
        </w:tc>
        <w:tc>
          <w:tcPr>
            <w:tcW w:w="1327" w:type="pct"/>
            <w:gridSpan w:val="3"/>
            <w:shd w:val="clear" w:color="auto" w:fill="auto"/>
            <w:vAlign w:val="center"/>
          </w:tcPr>
          <w:p w14:paraId="53A7379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井筒设施完好</w:t>
            </w:r>
          </w:p>
        </w:tc>
        <w:tc>
          <w:tcPr>
            <w:tcW w:w="241" w:type="pct"/>
            <w:shd w:val="clear" w:color="auto" w:fill="auto"/>
            <w:vAlign w:val="center"/>
          </w:tcPr>
          <w:p w14:paraId="0F19CB3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516" w:type="pct"/>
            <w:tcBorders>
              <w:right w:val="single" w:color="auto" w:sz="4" w:space="0"/>
            </w:tcBorders>
            <w:shd w:val="clear" w:color="auto" w:fill="auto"/>
            <w:vAlign w:val="center"/>
          </w:tcPr>
          <w:p w14:paraId="68BA882A">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井筒实施完好</w:t>
            </w:r>
          </w:p>
        </w:tc>
        <w:tc>
          <w:tcPr>
            <w:tcW w:w="235" w:type="pct"/>
            <w:tcBorders>
              <w:right w:val="single" w:color="auto" w:sz="4" w:space="0"/>
            </w:tcBorders>
            <w:shd w:val="clear" w:color="auto" w:fill="auto"/>
            <w:vAlign w:val="center"/>
          </w:tcPr>
          <w:p w14:paraId="6200819E">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r>
      <w:tr w14:paraId="54BDA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7C6B182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20E94BE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152" w:type="pct"/>
            <w:vMerge w:val="restart"/>
            <w:shd w:val="clear" w:color="auto" w:fill="auto"/>
            <w:vAlign w:val="center"/>
          </w:tcPr>
          <w:p w14:paraId="3E4F7E1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采气</w:t>
            </w:r>
          </w:p>
        </w:tc>
        <w:tc>
          <w:tcPr>
            <w:tcW w:w="1007" w:type="pct"/>
            <w:gridSpan w:val="2"/>
            <w:shd w:val="clear" w:color="auto" w:fill="auto"/>
            <w:vAlign w:val="center"/>
          </w:tcPr>
          <w:p w14:paraId="28964BE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采气过程醇回收设施</w:t>
            </w:r>
          </w:p>
        </w:tc>
        <w:tc>
          <w:tcPr>
            <w:tcW w:w="153" w:type="pct"/>
            <w:shd w:val="clear" w:color="auto" w:fill="auto"/>
            <w:vAlign w:val="center"/>
          </w:tcPr>
          <w:p w14:paraId="4C1A61B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56" w:type="pct"/>
            <w:vMerge w:val="restart"/>
            <w:shd w:val="clear" w:color="auto" w:fill="auto"/>
            <w:vAlign w:val="center"/>
          </w:tcPr>
          <w:p w14:paraId="4AF21A3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采油</w:t>
            </w:r>
          </w:p>
        </w:tc>
        <w:tc>
          <w:tcPr>
            <w:tcW w:w="1170" w:type="pct"/>
            <w:gridSpan w:val="2"/>
            <w:shd w:val="clear" w:color="auto" w:fill="auto"/>
            <w:vAlign w:val="center"/>
          </w:tcPr>
          <w:p w14:paraId="5DFA5D7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套管气回收装置</w:t>
            </w:r>
          </w:p>
        </w:tc>
        <w:tc>
          <w:tcPr>
            <w:tcW w:w="241" w:type="pct"/>
            <w:shd w:val="clear" w:color="auto" w:fill="auto"/>
            <w:vAlign w:val="center"/>
          </w:tcPr>
          <w:p w14:paraId="649AB00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516" w:type="pct"/>
            <w:tcBorders>
              <w:right w:val="single" w:color="auto" w:sz="4" w:space="0"/>
            </w:tcBorders>
            <w:shd w:val="clear" w:color="auto" w:fill="auto"/>
            <w:vAlign w:val="center"/>
          </w:tcPr>
          <w:p w14:paraId="1F2B5E0C">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无</w:t>
            </w:r>
          </w:p>
        </w:tc>
        <w:tc>
          <w:tcPr>
            <w:tcW w:w="235" w:type="pct"/>
            <w:tcBorders>
              <w:right w:val="single" w:color="auto" w:sz="4" w:space="0"/>
            </w:tcBorders>
            <w:shd w:val="clear" w:color="auto" w:fill="auto"/>
            <w:vAlign w:val="center"/>
          </w:tcPr>
          <w:p w14:paraId="4FA59A2F">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7873E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0FB6BE63">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214A08D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152" w:type="pct"/>
            <w:vMerge w:val="continue"/>
            <w:shd w:val="clear" w:color="auto" w:fill="auto"/>
            <w:vAlign w:val="center"/>
          </w:tcPr>
          <w:p w14:paraId="4DF0673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1007" w:type="pct"/>
            <w:gridSpan w:val="2"/>
            <w:shd w:val="clear" w:color="auto" w:fill="auto"/>
            <w:vAlign w:val="center"/>
          </w:tcPr>
          <w:p w14:paraId="4395A24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天然气净化设施先进、净化效率高</w:t>
            </w:r>
          </w:p>
        </w:tc>
        <w:tc>
          <w:tcPr>
            <w:tcW w:w="153" w:type="pct"/>
            <w:shd w:val="clear" w:color="auto" w:fill="auto"/>
            <w:vAlign w:val="center"/>
          </w:tcPr>
          <w:p w14:paraId="5EFFADE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156" w:type="pct"/>
            <w:vMerge w:val="continue"/>
            <w:shd w:val="clear" w:color="auto" w:fill="auto"/>
            <w:vAlign w:val="center"/>
          </w:tcPr>
          <w:p w14:paraId="14CD0F5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1170" w:type="pct"/>
            <w:gridSpan w:val="2"/>
            <w:shd w:val="clear" w:color="auto" w:fill="auto"/>
            <w:vAlign w:val="center"/>
          </w:tcPr>
          <w:p w14:paraId="3787382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防止落地原油产生措施</w:t>
            </w:r>
          </w:p>
        </w:tc>
        <w:tc>
          <w:tcPr>
            <w:tcW w:w="241" w:type="pct"/>
            <w:shd w:val="clear" w:color="auto" w:fill="auto"/>
            <w:vAlign w:val="center"/>
          </w:tcPr>
          <w:p w14:paraId="74F071D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516" w:type="pct"/>
            <w:tcBorders>
              <w:right w:val="single" w:color="auto" w:sz="4" w:space="0"/>
            </w:tcBorders>
            <w:shd w:val="clear" w:color="auto" w:fill="auto"/>
            <w:vAlign w:val="center"/>
          </w:tcPr>
          <w:p w14:paraId="41987399">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s="Calibri"/>
                <w:color w:val="auto"/>
                <w:spacing w:val="-10"/>
                <w:sz w:val="23"/>
                <w:szCs w:val="23"/>
                <w:highlight w:val="none"/>
              </w:rPr>
              <w:t>先进</w:t>
            </w:r>
          </w:p>
        </w:tc>
        <w:tc>
          <w:tcPr>
            <w:tcW w:w="235" w:type="pct"/>
            <w:tcBorders>
              <w:right w:val="single" w:color="auto" w:sz="4" w:space="0"/>
            </w:tcBorders>
            <w:shd w:val="clear" w:color="auto" w:fill="auto"/>
            <w:vAlign w:val="center"/>
          </w:tcPr>
          <w:p w14:paraId="2B70B8AF">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0C762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090CE6B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6EE9705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1469" w:type="pct"/>
            <w:gridSpan w:val="5"/>
            <w:shd w:val="clear" w:color="auto" w:fill="auto"/>
            <w:vAlign w:val="center"/>
          </w:tcPr>
          <w:p w14:paraId="7A848F9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采油方式</w:t>
            </w:r>
          </w:p>
        </w:tc>
        <w:tc>
          <w:tcPr>
            <w:tcW w:w="1170" w:type="pct"/>
            <w:gridSpan w:val="2"/>
            <w:shd w:val="clear" w:color="auto" w:fill="auto"/>
            <w:vAlign w:val="center"/>
          </w:tcPr>
          <w:p w14:paraId="3C02ACF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采油方式经过综合评价确定</w:t>
            </w:r>
          </w:p>
        </w:tc>
        <w:tc>
          <w:tcPr>
            <w:tcW w:w="241" w:type="pct"/>
            <w:shd w:val="clear" w:color="auto" w:fill="auto"/>
            <w:vAlign w:val="center"/>
          </w:tcPr>
          <w:p w14:paraId="4C76D6D0">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516" w:type="pct"/>
            <w:tcBorders>
              <w:right w:val="single" w:color="auto" w:sz="4" w:space="0"/>
            </w:tcBorders>
            <w:shd w:val="clear" w:color="auto" w:fill="auto"/>
            <w:vAlign w:val="center"/>
          </w:tcPr>
          <w:p w14:paraId="351BB086">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s="Calibri"/>
                <w:color w:val="auto"/>
                <w:spacing w:val="-10"/>
                <w:sz w:val="23"/>
                <w:szCs w:val="23"/>
                <w:highlight w:val="none"/>
              </w:rPr>
              <w:t>先进</w:t>
            </w:r>
          </w:p>
        </w:tc>
        <w:tc>
          <w:tcPr>
            <w:tcW w:w="235" w:type="pct"/>
            <w:tcBorders>
              <w:right w:val="single" w:color="auto" w:sz="4" w:space="0"/>
            </w:tcBorders>
            <w:shd w:val="clear" w:color="auto" w:fill="auto"/>
            <w:vAlign w:val="center"/>
          </w:tcPr>
          <w:p w14:paraId="4B14E8C5">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546BA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2CB47A4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712D412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1469" w:type="pct"/>
            <w:gridSpan w:val="5"/>
            <w:shd w:val="clear" w:color="auto" w:fill="auto"/>
            <w:vAlign w:val="center"/>
          </w:tcPr>
          <w:p w14:paraId="022B9BB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集输流程</w:t>
            </w:r>
          </w:p>
        </w:tc>
        <w:tc>
          <w:tcPr>
            <w:tcW w:w="1170" w:type="pct"/>
            <w:gridSpan w:val="2"/>
            <w:shd w:val="clear" w:color="auto" w:fill="auto"/>
            <w:vAlign w:val="center"/>
          </w:tcPr>
          <w:p w14:paraId="4485A5AE">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全密闭流程，并具有轻烃回收装置</w:t>
            </w:r>
          </w:p>
        </w:tc>
        <w:tc>
          <w:tcPr>
            <w:tcW w:w="241" w:type="pct"/>
            <w:shd w:val="clear" w:color="auto" w:fill="auto"/>
            <w:vAlign w:val="center"/>
          </w:tcPr>
          <w:p w14:paraId="0D5815E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516" w:type="pct"/>
            <w:tcBorders>
              <w:right w:val="single" w:color="auto" w:sz="4" w:space="0"/>
            </w:tcBorders>
            <w:shd w:val="clear" w:color="auto" w:fill="auto"/>
            <w:vAlign w:val="center"/>
          </w:tcPr>
          <w:p w14:paraId="3F8BF4A1">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Ansi="宋体"/>
                <w:color w:val="auto"/>
                <w:spacing w:val="-10"/>
                <w:sz w:val="23"/>
                <w:szCs w:val="23"/>
                <w:highlight w:val="none"/>
              </w:rPr>
              <w:t>全密闭</w:t>
            </w:r>
          </w:p>
        </w:tc>
        <w:tc>
          <w:tcPr>
            <w:tcW w:w="235" w:type="pct"/>
            <w:tcBorders>
              <w:right w:val="single" w:color="auto" w:sz="4" w:space="0"/>
            </w:tcBorders>
            <w:shd w:val="clear" w:color="auto" w:fill="auto"/>
            <w:vAlign w:val="center"/>
          </w:tcPr>
          <w:p w14:paraId="4183B8E5">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3B87A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restart"/>
            <w:tcBorders>
              <w:left w:val="single" w:color="auto" w:sz="4" w:space="0"/>
            </w:tcBorders>
            <w:shd w:val="clear" w:color="auto" w:fill="auto"/>
            <w:vAlign w:val="center"/>
          </w:tcPr>
          <w:p w14:paraId="790CC1DF">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环境管理体系建设及清洁生产审核</w:t>
            </w:r>
          </w:p>
        </w:tc>
        <w:tc>
          <w:tcPr>
            <w:tcW w:w="392" w:type="pct"/>
            <w:vMerge w:val="restart"/>
            <w:shd w:val="clear" w:color="auto" w:fill="auto"/>
            <w:vAlign w:val="center"/>
          </w:tcPr>
          <w:p w14:paraId="614FFD1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2639" w:type="pct"/>
            <w:gridSpan w:val="7"/>
            <w:shd w:val="clear" w:color="auto" w:fill="auto"/>
            <w:vAlign w:val="center"/>
          </w:tcPr>
          <w:p w14:paraId="19F4674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建立HSE管理体系并通过认证</w:t>
            </w:r>
          </w:p>
        </w:tc>
        <w:tc>
          <w:tcPr>
            <w:tcW w:w="241" w:type="pct"/>
            <w:shd w:val="clear" w:color="auto" w:fill="auto"/>
            <w:vAlign w:val="center"/>
          </w:tcPr>
          <w:p w14:paraId="4A62277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516" w:type="pct"/>
            <w:tcBorders>
              <w:right w:val="single" w:color="auto" w:sz="4" w:space="0"/>
            </w:tcBorders>
            <w:shd w:val="clear" w:color="auto" w:fill="auto"/>
            <w:vAlign w:val="center"/>
          </w:tcPr>
          <w:p w14:paraId="652A342F">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已建立</w:t>
            </w:r>
          </w:p>
        </w:tc>
        <w:tc>
          <w:tcPr>
            <w:tcW w:w="235" w:type="pct"/>
            <w:tcBorders>
              <w:right w:val="single" w:color="auto" w:sz="4" w:space="0"/>
            </w:tcBorders>
            <w:shd w:val="clear" w:color="auto" w:fill="auto"/>
            <w:vAlign w:val="center"/>
          </w:tcPr>
          <w:p w14:paraId="6AEBB731">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r w14:paraId="5B5F5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1EA064E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0BD2DED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2639" w:type="pct"/>
            <w:gridSpan w:val="7"/>
            <w:shd w:val="clear" w:color="auto" w:fill="auto"/>
            <w:vAlign w:val="center"/>
          </w:tcPr>
          <w:p w14:paraId="1C42F7D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开展清洁生产审核，并通过验收</w:t>
            </w:r>
          </w:p>
        </w:tc>
        <w:tc>
          <w:tcPr>
            <w:tcW w:w="241" w:type="pct"/>
            <w:shd w:val="clear" w:color="auto" w:fill="auto"/>
            <w:vAlign w:val="center"/>
          </w:tcPr>
          <w:p w14:paraId="71A275A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516" w:type="pct"/>
            <w:tcBorders>
              <w:right w:val="single" w:color="auto" w:sz="4" w:space="0"/>
            </w:tcBorders>
            <w:shd w:val="clear" w:color="auto" w:fill="auto"/>
            <w:vAlign w:val="center"/>
          </w:tcPr>
          <w:p w14:paraId="42C0D734">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已开展</w:t>
            </w:r>
          </w:p>
        </w:tc>
        <w:tc>
          <w:tcPr>
            <w:tcW w:w="235" w:type="pct"/>
            <w:tcBorders>
              <w:right w:val="single" w:color="auto" w:sz="4" w:space="0"/>
            </w:tcBorders>
            <w:shd w:val="clear" w:color="auto" w:fill="auto"/>
            <w:vAlign w:val="center"/>
          </w:tcPr>
          <w:p w14:paraId="19C341AC">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r>
      <w:tr w14:paraId="79E5E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454CE00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5E35E6E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2639" w:type="pct"/>
            <w:gridSpan w:val="7"/>
            <w:shd w:val="clear" w:color="auto" w:fill="auto"/>
            <w:vAlign w:val="center"/>
          </w:tcPr>
          <w:p w14:paraId="477108B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制定节能减排工作计划</w:t>
            </w:r>
          </w:p>
        </w:tc>
        <w:tc>
          <w:tcPr>
            <w:tcW w:w="241" w:type="pct"/>
            <w:shd w:val="clear" w:color="auto" w:fill="auto"/>
            <w:vAlign w:val="center"/>
          </w:tcPr>
          <w:p w14:paraId="03B4CFD2">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516" w:type="pct"/>
            <w:tcBorders>
              <w:right w:val="single" w:color="auto" w:sz="4" w:space="0"/>
            </w:tcBorders>
            <w:shd w:val="clear" w:color="auto" w:fill="auto"/>
            <w:vAlign w:val="center"/>
          </w:tcPr>
          <w:p w14:paraId="0DC7813F">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已制定</w:t>
            </w:r>
          </w:p>
        </w:tc>
        <w:tc>
          <w:tcPr>
            <w:tcW w:w="235" w:type="pct"/>
            <w:tcBorders>
              <w:right w:val="single" w:color="auto" w:sz="4" w:space="0"/>
            </w:tcBorders>
            <w:shd w:val="clear" w:color="auto" w:fill="auto"/>
            <w:vAlign w:val="center"/>
          </w:tcPr>
          <w:p w14:paraId="32C4517E">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r>
      <w:tr w14:paraId="1A9CA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974" w:type="pct"/>
            <w:vMerge w:val="restart"/>
            <w:tcBorders>
              <w:left w:val="single" w:color="auto" w:sz="4" w:space="0"/>
            </w:tcBorders>
            <w:shd w:val="clear" w:color="auto" w:fill="auto"/>
            <w:vAlign w:val="center"/>
          </w:tcPr>
          <w:p w14:paraId="6D6C7FF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3</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贯彻执行环境保护政策法规的执行情况</w:t>
            </w:r>
          </w:p>
        </w:tc>
        <w:tc>
          <w:tcPr>
            <w:tcW w:w="392" w:type="pct"/>
            <w:vMerge w:val="restart"/>
            <w:shd w:val="clear" w:color="auto" w:fill="auto"/>
            <w:vAlign w:val="center"/>
          </w:tcPr>
          <w:p w14:paraId="189FA857">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2639" w:type="pct"/>
            <w:gridSpan w:val="7"/>
            <w:shd w:val="clear" w:color="auto" w:fill="auto"/>
            <w:vAlign w:val="center"/>
          </w:tcPr>
          <w:p w14:paraId="188A582D">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建设项目环保“三同时”制度执行情况</w:t>
            </w:r>
          </w:p>
        </w:tc>
        <w:tc>
          <w:tcPr>
            <w:tcW w:w="241" w:type="pct"/>
            <w:shd w:val="clear" w:color="auto" w:fill="auto"/>
            <w:vAlign w:val="center"/>
          </w:tcPr>
          <w:p w14:paraId="6AC6F62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516" w:type="pct"/>
            <w:tcBorders>
              <w:right w:val="single" w:color="auto" w:sz="4" w:space="0"/>
            </w:tcBorders>
            <w:shd w:val="clear" w:color="auto" w:fill="auto"/>
            <w:vAlign w:val="center"/>
          </w:tcPr>
          <w:p w14:paraId="184F27F9">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已落实</w:t>
            </w:r>
          </w:p>
        </w:tc>
        <w:tc>
          <w:tcPr>
            <w:tcW w:w="235" w:type="pct"/>
            <w:tcBorders>
              <w:right w:val="single" w:color="auto" w:sz="4" w:space="0"/>
            </w:tcBorders>
            <w:shd w:val="clear" w:color="auto" w:fill="auto"/>
            <w:vAlign w:val="center"/>
          </w:tcPr>
          <w:p w14:paraId="787112E8">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r>
      <w:tr w14:paraId="78D52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3E350D1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3DDA7DB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2639" w:type="pct"/>
            <w:gridSpan w:val="7"/>
            <w:shd w:val="clear" w:color="auto" w:fill="auto"/>
            <w:vAlign w:val="center"/>
          </w:tcPr>
          <w:p w14:paraId="4BD8EF4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建设项目环境影响评价制度执行情况</w:t>
            </w:r>
          </w:p>
        </w:tc>
        <w:tc>
          <w:tcPr>
            <w:tcW w:w="241" w:type="pct"/>
            <w:shd w:val="clear" w:color="auto" w:fill="auto"/>
            <w:vAlign w:val="center"/>
          </w:tcPr>
          <w:p w14:paraId="3EAE4F66">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516" w:type="pct"/>
            <w:tcBorders>
              <w:right w:val="single" w:color="auto" w:sz="4" w:space="0"/>
            </w:tcBorders>
            <w:shd w:val="clear" w:color="auto" w:fill="auto"/>
            <w:vAlign w:val="center"/>
          </w:tcPr>
          <w:p w14:paraId="5CDE931A">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已落实</w:t>
            </w:r>
          </w:p>
        </w:tc>
        <w:tc>
          <w:tcPr>
            <w:tcW w:w="235" w:type="pct"/>
            <w:tcBorders>
              <w:right w:val="single" w:color="auto" w:sz="4" w:space="0"/>
            </w:tcBorders>
            <w:shd w:val="clear" w:color="auto" w:fill="auto"/>
            <w:vAlign w:val="center"/>
          </w:tcPr>
          <w:p w14:paraId="20F5FC93">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r>
      <w:tr w14:paraId="60A9E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tcBorders>
            <w:shd w:val="clear" w:color="auto" w:fill="auto"/>
            <w:vAlign w:val="center"/>
          </w:tcPr>
          <w:p w14:paraId="186CDD0A">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shd w:val="clear" w:color="auto" w:fill="auto"/>
            <w:vAlign w:val="center"/>
          </w:tcPr>
          <w:p w14:paraId="17FEE605">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2639" w:type="pct"/>
            <w:gridSpan w:val="7"/>
            <w:shd w:val="clear" w:color="auto" w:fill="auto"/>
            <w:vAlign w:val="center"/>
          </w:tcPr>
          <w:p w14:paraId="3B33766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老污染源限期治理项目完成情况</w:t>
            </w:r>
          </w:p>
        </w:tc>
        <w:tc>
          <w:tcPr>
            <w:tcW w:w="241" w:type="pct"/>
            <w:shd w:val="clear" w:color="auto" w:fill="auto"/>
            <w:vAlign w:val="center"/>
          </w:tcPr>
          <w:p w14:paraId="06606E4B">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516" w:type="pct"/>
            <w:tcBorders>
              <w:right w:val="single" w:color="auto" w:sz="4" w:space="0"/>
            </w:tcBorders>
            <w:shd w:val="clear" w:color="auto" w:fill="auto"/>
            <w:vAlign w:val="center"/>
          </w:tcPr>
          <w:p w14:paraId="1C1160B2">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不涉及</w:t>
            </w:r>
          </w:p>
        </w:tc>
        <w:tc>
          <w:tcPr>
            <w:tcW w:w="235" w:type="pct"/>
            <w:tcBorders>
              <w:right w:val="single" w:color="auto" w:sz="4" w:space="0"/>
            </w:tcBorders>
            <w:shd w:val="clear" w:color="auto" w:fill="auto"/>
            <w:vAlign w:val="center"/>
          </w:tcPr>
          <w:p w14:paraId="37CA3380">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r>
      <w:tr w14:paraId="699A1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74" w:type="pct"/>
            <w:vMerge w:val="continue"/>
            <w:tcBorders>
              <w:left w:val="single" w:color="auto" w:sz="4" w:space="0"/>
              <w:bottom w:val="single" w:color="auto" w:sz="4" w:space="0"/>
            </w:tcBorders>
            <w:shd w:val="clear" w:color="auto" w:fill="auto"/>
            <w:vAlign w:val="center"/>
          </w:tcPr>
          <w:p w14:paraId="0F357F81">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392" w:type="pct"/>
            <w:vMerge w:val="continue"/>
            <w:tcBorders>
              <w:bottom w:val="single" w:color="auto" w:sz="4" w:space="0"/>
            </w:tcBorders>
            <w:shd w:val="clear" w:color="auto" w:fill="auto"/>
            <w:vAlign w:val="center"/>
          </w:tcPr>
          <w:p w14:paraId="07CAA909">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p>
        </w:tc>
        <w:tc>
          <w:tcPr>
            <w:tcW w:w="2639" w:type="pct"/>
            <w:gridSpan w:val="7"/>
            <w:tcBorders>
              <w:bottom w:val="single" w:color="auto" w:sz="4" w:space="0"/>
            </w:tcBorders>
            <w:shd w:val="clear" w:color="auto" w:fill="auto"/>
            <w:vAlign w:val="center"/>
          </w:tcPr>
          <w:p w14:paraId="151E4318">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污染物排放总量控制与减排指标完成情况</w:t>
            </w:r>
          </w:p>
        </w:tc>
        <w:tc>
          <w:tcPr>
            <w:tcW w:w="241" w:type="pct"/>
            <w:tcBorders>
              <w:bottom w:val="single" w:color="auto" w:sz="4" w:space="0"/>
            </w:tcBorders>
            <w:shd w:val="clear" w:color="auto" w:fill="auto"/>
            <w:vAlign w:val="center"/>
          </w:tcPr>
          <w:p w14:paraId="5361C784">
            <w:pPr>
              <w:keepNext w:val="0"/>
              <w:keepLines w:val="0"/>
              <w:pageBreakBefore w:val="0"/>
              <w:widowControl/>
              <w:kinsoku/>
              <w:wordWrap/>
              <w:overflowPunct/>
              <w:topLinePunct w:val="0"/>
              <w:autoSpaceDE/>
              <w:autoSpaceDN/>
              <w:bidi w:val="0"/>
              <w:adjustRightInd w:val="0"/>
              <w:snapToGrid w:val="0"/>
              <w:spacing w:line="300" w:lineRule="exact"/>
              <w:ind w:left="0" w:right="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516" w:type="pct"/>
            <w:tcBorders>
              <w:bottom w:val="single" w:color="auto" w:sz="4" w:space="0"/>
              <w:right w:val="single" w:color="auto" w:sz="4" w:space="0"/>
            </w:tcBorders>
            <w:shd w:val="clear" w:color="auto" w:fill="auto"/>
            <w:vAlign w:val="center"/>
          </w:tcPr>
          <w:p w14:paraId="7E86D870">
            <w:pPr>
              <w:keepNext w:val="0"/>
              <w:keepLines w:val="0"/>
              <w:pageBreakBefore w:val="0"/>
              <w:widowControl/>
              <w:kinsoku/>
              <w:wordWrap/>
              <w:overflowPunct/>
              <w:topLinePunct w:val="0"/>
              <w:autoSpaceDE/>
              <w:autoSpaceDN/>
              <w:bidi w:val="0"/>
              <w:adjustRightInd w:val="0"/>
              <w:spacing w:line="300" w:lineRule="exact"/>
              <w:jc w:val="center"/>
              <w:rPr>
                <w:rFonts w:hint="default" w:ascii="Times New Roman" w:hAnsi="Times New Roman" w:eastAsia="宋体" w:cs="Times New Roman"/>
                <w:color w:val="auto"/>
                <w:kern w:val="0"/>
                <w:sz w:val="21"/>
                <w:szCs w:val="21"/>
                <w:highlight w:val="none"/>
              </w:rPr>
            </w:pPr>
            <w:r>
              <w:rPr>
                <w:rFonts w:hint="eastAsia" w:hAnsi="宋体"/>
                <w:color w:val="auto"/>
                <w:spacing w:val="-10"/>
                <w:sz w:val="23"/>
                <w:szCs w:val="23"/>
                <w:highlight w:val="none"/>
              </w:rPr>
              <w:t>已完成</w:t>
            </w:r>
          </w:p>
        </w:tc>
        <w:tc>
          <w:tcPr>
            <w:tcW w:w="235" w:type="pct"/>
            <w:tcBorders>
              <w:bottom w:val="single" w:color="auto" w:sz="4" w:space="0"/>
              <w:right w:val="single" w:color="auto" w:sz="4" w:space="0"/>
            </w:tcBorders>
            <w:shd w:val="clear" w:color="auto" w:fill="auto"/>
            <w:vAlign w:val="center"/>
          </w:tcPr>
          <w:p w14:paraId="4FB532B3">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r>
    </w:tbl>
    <w:p w14:paraId="75F95E6B">
      <w:pPr>
        <w:keepNext w:val="0"/>
        <w:keepLines w:val="0"/>
        <w:pageBreakBefore w:val="0"/>
        <w:widowControl/>
        <w:kinsoku/>
        <w:wordWrap/>
        <w:overflowPunct/>
        <w:autoSpaceDN/>
        <w:bidi w:val="0"/>
        <w:adjustRightInd w:val="0"/>
        <w:snapToGrid w:val="0"/>
        <w:spacing w:line="360" w:lineRule="auto"/>
        <w:ind w:firstLine="480" w:firstLineChars="200"/>
        <w:jc w:val="left"/>
        <w:rPr>
          <w:rFonts w:hint="default" w:ascii="Times New Roman" w:hAnsi="Times New Roman" w:cs="Times New Roman"/>
          <w:bCs/>
          <w:color w:val="auto"/>
          <w:kern w:val="0"/>
          <w:sz w:val="24"/>
          <w:szCs w:val="24"/>
          <w:highlight w:val="none"/>
          <w:lang w:val="zh-CN"/>
        </w:rPr>
        <w:sectPr>
          <w:pgSz w:w="16838" w:h="11905" w:orient="landscape"/>
          <w:pgMar w:top="1655" w:right="1389" w:bottom="1672" w:left="1202" w:header="1020" w:footer="1134" w:gutter="0"/>
          <w:pgBorders>
            <w:top w:val="none" w:sz="0" w:space="0"/>
            <w:left w:val="none" w:sz="0" w:space="0"/>
            <w:bottom w:val="none" w:sz="0" w:space="0"/>
            <w:right w:val="none" w:sz="0" w:space="0"/>
          </w:pgBorders>
          <w:pgNumType w:fmt="decimal"/>
          <w:cols w:space="0" w:num="1"/>
          <w:rtlGutter w:val="0"/>
          <w:docGrid w:linePitch="312" w:charSpace="0"/>
        </w:sectPr>
      </w:pPr>
    </w:p>
    <w:p w14:paraId="6C1B42AC">
      <w:pPr>
        <w:pStyle w:val="5"/>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286" w:name="bookmark20"/>
      <w:bookmarkEnd w:id="286"/>
      <w:bookmarkStart w:id="287" w:name="_Toc29480"/>
      <w:bookmarkStart w:id="288" w:name="_Toc11968"/>
      <w:bookmarkStart w:id="289" w:name="_Toc17630"/>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污染物排放总量控制分析</w:t>
      </w:r>
      <w:bookmarkEnd w:id="287"/>
      <w:bookmarkEnd w:id="288"/>
      <w:bookmarkEnd w:id="289"/>
    </w:p>
    <w:p w14:paraId="6F8A8ECA">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290" w:name="_Toc22022"/>
      <w:bookmarkStart w:id="291" w:name="_Toc14728"/>
      <w:bookmarkStart w:id="292" w:name="_Toc3640"/>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.1总量控制原则</w:t>
      </w:r>
      <w:bookmarkEnd w:id="290"/>
      <w:bookmarkEnd w:id="291"/>
      <w:bookmarkEnd w:id="292"/>
    </w:p>
    <w:p w14:paraId="64CBD322">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w:t>
      </w:r>
    </w:p>
    <w:p w14:paraId="61569DDF">
      <w:pPr>
        <w:pStyle w:val="12"/>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highlight w:val="none"/>
        </w:rPr>
        <w:t>性进行。</w:t>
      </w:r>
    </w:p>
    <w:p w14:paraId="61ACF116">
      <w:pPr>
        <w:pStyle w:val="6"/>
        <w:pageBreakBefore w:val="0"/>
        <w:widowControl w:val="0"/>
        <w:kinsoku/>
        <w:wordWrap/>
        <w:overflowPunct/>
        <w:topLinePunct w:val="0"/>
        <w:autoSpaceDE/>
        <w:autoSpaceDN/>
        <w:bidi w:val="0"/>
        <w:adjustRightInd w:val="0"/>
        <w:snapToGrid w:val="0"/>
        <w:spacing w:beforeLines="0" w:afterLines="0"/>
        <w:textAlignment w:val="auto"/>
        <w:rPr>
          <w:rFonts w:hint="eastAsia" w:ascii="Times New Roman" w:hAnsi="Times New Roman" w:eastAsia="宋体" w:cs="Times New Roman"/>
          <w:color w:val="auto"/>
          <w:highlight w:val="none"/>
          <w:lang w:eastAsia="zh-CN"/>
        </w:rPr>
      </w:pPr>
      <w:bookmarkStart w:id="293" w:name="_Toc27685"/>
      <w:bookmarkStart w:id="294" w:name="_Toc15211"/>
      <w:bookmarkStart w:id="295" w:name="_Toc17395"/>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w:t>
      </w:r>
      <w:bookmarkEnd w:id="293"/>
      <w:r>
        <w:rPr>
          <w:rFonts w:hint="default" w:ascii="Times New Roman" w:hAnsi="Times New Roman" w:cs="Times New Roman"/>
          <w:color w:val="auto"/>
          <w:highlight w:val="none"/>
        </w:rPr>
        <w:t>污染物总量控制因子</w:t>
      </w:r>
      <w:bookmarkEnd w:id="294"/>
      <w:bookmarkEnd w:id="295"/>
    </w:p>
    <w:p w14:paraId="332F1277">
      <w:pPr>
        <w:pStyle w:val="57"/>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snapToGrid/>
          <w:color w:val="auto"/>
          <w:highlight w:val="none"/>
        </w:rPr>
      </w:pPr>
      <w:bookmarkStart w:id="296" w:name="_Hlk57195659"/>
      <w:bookmarkStart w:id="297" w:name="_Hlk57195809"/>
      <w:r>
        <w:rPr>
          <w:rFonts w:hint="default" w:ascii="Times New Roman" w:hAnsi="Times New Roman" w:cs="Times New Roman"/>
          <w:snapToGrid/>
          <w:color w:val="auto"/>
          <w:highlight w:val="none"/>
        </w:rPr>
        <w:t>根据国家</w:t>
      </w:r>
      <w:r>
        <w:rPr>
          <w:rFonts w:hint="default" w:ascii="Times New Roman" w:hAnsi="Times New Roman" w:cs="Times New Roman"/>
          <w:snapToGrid/>
          <w:color w:val="auto"/>
          <w:highlight w:val="none"/>
          <w:lang w:eastAsia="zh-CN"/>
        </w:rPr>
        <w:t>“</w:t>
      </w:r>
      <w:r>
        <w:rPr>
          <w:rFonts w:hint="default" w:ascii="Times New Roman" w:hAnsi="Times New Roman" w:cs="Times New Roman"/>
          <w:snapToGrid/>
          <w:color w:val="auto"/>
          <w:highlight w:val="none"/>
        </w:rPr>
        <w:t>十四五</w:t>
      </w:r>
      <w:r>
        <w:rPr>
          <w:rFonts w:hint="default" w:ascii="Times New Roman" w:hAnsi="Times New Roman" w:cs="Times New Roman"/>
          <w:snapToGrid/>
          <w:color w:val="auto"/>
          <w:highlight w:val="none"/>
          <w:lang w:eastAsia="zh-CN"/>
        </w:rPr>
        <w:t>”</w:t>
      </w:r>
      <w:r>
        <w:rPr>
          <w:rFonts w:hint="default" w:ascii="Times New Roman" w:hAnsi="Times New Roman" w:cs="Times New Roman"/>
          <w:snapToGrid/>
          <w:color w:val="auto"/>
          <w:highlight w:val="none"/>
        </w:rPr>
        <w:t>污染物排放总量控制要求，污染物排放总量控制因子如下：</w:t>
      </w:r>
    </w:p>
    <w:p w14:paraId="74CA00EF">
      <w:pPr>
        <w:pStyle w:val="57"/>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snapToGrid/>
          <w:color w:val="auto"/>
          <w:highlight w:val="none"/>
        </w:rPr>
      </w:pPr>
      <w:r>
        <w:rPr>
          <w:rFonts w:hint="default" w:ascii="Times New Roman" w:hAnsi="Times New Roman" w:cs="Times New Roman"/>
          <w:snapToGrid/>
          <w:color w:val="auto"/>
          <w:highlight w:val="none"/>
        </w:rPr>
        <w:t>废气污染物：NO</w:t>
      </w:r>
      <w:r>
        <w:rPr>
          <w:rFonts w:hint="default" w:ascii="Times New Roman" w:hAnsi="Times New Roman" w:cs="Times New Roman"/>
          <w:snapToGrid/>
          <w:color w:val="auto"/>
          <w:highlight w:val="none"/>
          <w:vertAlign w:val="subscript"/>
        </w:rPr>
        <w:t>X</w:t>
      </w:r>
      <w:r>
        <w:rPr>
          <w:rFonts w:hint="default" w:ascii="Times New Roman" w:hAnsi="Times New Roman" w:cs="Times New Roman"/>
          <w:snapToGrid/>
          <w:color w:val="auto"/>
          <w:highlight w:val="none"/>
          <w:vertAlign w:val="baseline"/>
          <w:lang w:eastAsia="zh-CN"/>
        </w:rPr>
        <w:t>、</w:t>
      </w:r>
      <w:r>
        <w:rPr>
          <w:rFonts w:hint="default" w:ascii="Times New Roman" w:hAnsi="Times New Roman" w:cs="Times New Roman"/>
          <w:snapToGrid/>
          <w:color w:val="auto"/>
          <w:highlight w:val="none"/>
          <w:vertAlign w:val="baseline"/>
          <w:lang w:val="en-US" w:eastAsia="zh-CN"/>
        </w:rPr>
        <w:t>VOCs</w:t>
      </w:r>
      <w:r>
        <w:rPr>
          <w:rFonts w:hint="default" w:ascii="Times New Roman" w:hAnsi="Times New Roman" w:cs="Times New Roman"/>
          <w:snapToGrid/>
          <w:color w:val="auto"/>
          <w:highlight w:val="none"/>
        </w:rPr>
        <w:t>。</w:t>
      </w:r>
    </w:p>
    <w:p w14:paraId="71CA29CA">
      <w:pPr>
        <w:pStyle w:val="57"/>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snapToGrid/>
          <w:color w:val="auto"/>
          <w:highlight w:val="none"/>
        </w:rPr>
      </w:pPr>
      <w:r>
        <w:rPr>
          <w:rFonts w:hint="default" w:ascii="Times New Roman" w:hAnsi="Times New Roman" w:cs="Times New Roman"/>
          <w:snapToGrid/>
          <w:color w:val="auto"/>
          <w:highlight w:val="none"/>
        </w:rPr>
        <w:t>废水污染物：COD、NH</w:t>
      </w:r>
      <w:r>
        <w:rPr>
          <w:rFonts w:hint="default" w:ascii="Times New Roman" w:hAnsi="Times New Roman" w:cs="Times New Roman"/>
          <w:snapToGrid/>
          <w:color w:val="auto"/>
          <w:highlight w:val="none"/>
          <w:vertAlign w:val="subscript"/>
        </w:rPr>
        <w:t>3</w:t>
      </w:r>
      <w:r>
        <w:rPr>
          <w:rFonts w:hint="default" w:ascii="Times New Roman" w:hAnsi="Times New Roman" w:cs="Times New Roman"/>
          <w:snapToGrid/>
          <w:color w:val="auto"/>
          <w:highlight w:val="none"/>
        </w:rPr>
        <w:t>-N。</w:t>
      </w:r>
    </w:p>
    <w:bookmarkEnd w:id="296"/>
    <w:bookmarkEnd w:id="297"/>
    <w:p w14:paraId="0AD5F838">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本工程运营期主要废气污染物为油气开采、集输过程无组织挥发的非甲烷总烃和</w:t>
      </w:r>
      <w:r>
        <w:rPr>
          <w:rFonts w:hint="eastAsia" w:ascii="Times New Roman" w:hAnsi="Times New Roman" w:eastAsia="宋体" w:cs="Times New Roman"/>
          <w:color w:val="auto"/>
          <w:sz w:val="24"/>
          <w:szCs w:val="24"/>
          <w:highlight w:val="none"/>
          <w:lang w:val="en-US" w:eastAsia="zh-CN"/>
        </w:rPr>
        <w:t>硫化氢</w:t>
      </w:r>
      <w:r>
        <w:rPr>
          <w:rFonts w:hint="default" w:ascii="Times New Roman" w:hAnsi="Times New Roman" w:eastAsia="宋体" w:cs="Times New Roman"/>
          <w:color w:val="auto"/>
          <w:sz w:val="24"/>
          <w:szCs w:val="24"/>
          <w:highlight w:val="none"/>
        </w:rPr>
        <w:t>。</w:t>
      </w:r>
    </w:p>
    <w:p w14:paraId="69B22EC6">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运营期产生的采出水进入联合站污水处理系统处理达到</w:t>
      </w:r>
      <w:r>
        <w:rPr>
          <w:rFonts w:hint="default" w:ascii="Times New Roman" w:hAnsi="Times New Roman" w:eastAsia="宋体" w:cs="Times New Roman"/>
          <w:color w:val="auto"/>
          <w:sz w:val="24"/>
          <w:szCs w:val="24"/>
          <w:highlight w:val="none"/>
          <w:lang w:eastAsia="zh-CN"/>
        </w:rPr>
        <w:t>《碎屑岩油藏注水水质指标技术要求及分析方法》（SY/T5329-2022）</w:t>
      </w:r>
      <w:r>
        <w:rPr>
          <w:rFonts w:hint="default" w:ascii="Times New Roman" w:hAnsi="Times New Roman" w:eastAsia="宋体" w:cs="Times New Roman"/>
          <w:color w:val="auto"/>
          <w:sz w:val="24"/>
          <w:szCs w:val="24"/>
          <w:highlight w:val="none"/>
        </w:rPr>
        <w:t>中的有关标准后回注油层，井下作业废水经绿色环保</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z w:val="24"/>
          <w:szCs w:val="24"/>
          <w:highlight w:val="none"/>
        </w:rPr>
        <w:t>处理后回注地层，不外排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因此不对废水污染物进行总量控制。</w:t>
      </w:r>
    </w:p>
    <w:p w14:paraId="412AB274">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4"/>
          <w:sz w:val="24"/>
          <w:szCs w:val="24"/>
          <w:highlight w:val="none"/>
        </w:rPr>
      </w:pPr>
      <w:r>
        <w:rPr>
          <w:rFonts w:hint="default" w:ascii="Times New Roman" w:hAnsi="Times New Roman" w:cs="Times New Roman"/>
          <w:color w:val="auto"/>
          <w:sz w:val="24"/>
          <w:szCs w:val="24"/>
          <w:highlight w:val="none"/>
        </w:rPr>
        <w:t>由上可知，</w:t>
      </w:r>
      <w:r>
        <w:rPr>
          <w:rFonts w:hint="default" w:ascii="Times New Roman" w:hAnsi="Times New Roman"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总量控制因子：VOCs</w:t>
      </w:r>
      <w:r>
        <w:rPr>
          <w:rFonts w:hint="default" w:ascii="Times New Roman" w:hAnsi="Times New Roman" w:eastAsia="宋体" w:cs="Times New Roman"/>
          <w:color w:val="auto"/>
          <w:kern w:val="24"/>
          <w:sz w:val="24"/>
          <w:szCs w:val="24"/>
          <w:highlight w:val="none"/>
        </w:rPr>
        <w:t>。</w:t>
      </w:r>
    </w:p>
    <w:p w14:paraId="3E3FDBAB">
      <w:pPr>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bCs/>
          <w:color w:val="auto"/>
          <w:sz w:val="28"/>
          <w:szCs w:val="28"/>
          <w:highlight w:val="none"/>
          <w:lang w:eastAsia="zh-CN"/>
        </w:rPr>
      </w:pPr>
      <w:r>
        <w:rPr>
          <w:rFonts w:hint="default" w:ascii="Times New Roman" w:hAnsi="Times New Roman" w:cs="Times New Roman"/>
          <w:b/>
          <w:bCs/>
          <w:color w:val="auto"/>
          <w:sz w:val="28"/>
          <w:szCs w:val="28"/>
          <w:highlight w:val="none"/>
        </w:rPr>
        <w:t>3.</w:t>
      </w:r>
      <w:r>
        <w:rPr>
          <w:rFonts w:hint="default" w:ascii="Times New Roman" w:hAnsi="Times New Roman" w:cs="Times New Roman"/>
          <w:b/>
          <w:bCs/>
          <w:color w:val="auto"/>
          <w:sz w:val="28"/>
          <w:szCs w:val="28"/>
          <w:highlight w:val="none"/>
          <w:lang w:val="en-US" w:eastAsia="zh-CN"/>
        </w:rPr>
        <w:t>6</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rPr>
        <w:t>总量控制建议指标</w:t>
      </w:r>
      <w:bookmarkStart w:id="298" w:name="_Toc4529"/>
    </w:p>
    <w:p w14:paraId="053569B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napToGrid/>
          <w:color w:val="auto"/>
          <w:sz w:val="24"/>
          <w:szCs w:val="24"/>
          <w:highlight w:val="none"/>
          <w:lang w:eastAsia="zh-CN"/>
        </w:rPr>
      </w:pPr>
      <w:r>
        <w:rPr>
          <w:rFonts w:hint="default" w:ascii="Times New Roman" w:hAnsi="Times New Roman" w:cs="Times New Roman"/>
          <w:b w:val="0"/>
          <w:bCs/>
          <w:snapToGrid/>
          <w:color w:val="auto"/>
          <w:sz w:val="24"/>
          <w:szCs w:val="24"/>
          <w:highlight w:val="none"/>
          <w:lang w:eastAsia="zh-CN"/>
        </w:rPr>
        <w:t>（1）施工期</w:t>
      </w:r>
    </w:p>
    <w:p w14:paraId="4B21917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napToGrid/>
          <w:color w:val="auto"/>
          <w:sz w:val="24"/>
          <w:szCs w:val="24"/>
          <w:highlight w:val="none"/>
          <w:lang w:eastAsia="zh-CN"/>
        </w:rPr>
      </w:pPr>
      <w:r>
        <w:rPr>
          <w:rFonts w:hint="default" w:ascii="Times New Roman" w:hAnsi="Times New Roman" w:cs="Times New Roman"/>
          <w:b w:val="0"/>
          <w:bCs/>
          <w:snapToGrid/>
          <w:color w:val="auto"/>
          <w:sz w:val="24"/>
          <w:szCs w:val="24"/>
          <w:highlight w:val="none"/>
          <w:lang w:eastAsia="zh-CN"/>
        </w:rPr>
        <w:t>由于施工期的地面工程集中于较短时间内，地面工程期间排放的污染物将随地面工程的结束而消亡，故不考虑对施工期间产生的污染物进行总量控制。</w:t>
      </w:r>
    </w:p>
    <w:p w14:paraId="5150942F">
      <w:pPr>
        <w:pageBreakBefore w:val="0"/>
        <w:widowControl w:val="0"/>
        <w:numPr>
          <w:ilvl w:val="0"/>
          <w:numId w:val="6"/>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napToGrid/>
          <w:color w:val="auto"/>
          <w:sz w:val="24"/>
          <w:szCs w:val="24"/>
          <w:highlight w:val="none"/>
          <w:lang w:eastAsia="zh-CN"/>
        </w:rPr>
      </w:pPr>
      <w:r>
        <w:rPr>
          <w:rFonts w:hint="default" w:ascii="Times New Roman" w:hAnsi="Times New Roman" w:cs="Times New Roman"/>
          <w:b w:val="0"/>
          <w:bCs/>
          <w:snapToGrid/>
          <w:color w:val="auto"/>
          <w:sz w:val="24"/>
          <w:szCs w:val="24"/>
          <w:highlight w:val="none"/>
          <w:lang w:eastAsia="zh-CN"/>
        </w:rPr>
        <w:t>运营期</w:t>
      </w:r>
    </w:p>
    <w:p w14:paraId="0BEE43AC">
      <w:pPr>
        <w:keepNext w:val="0"/>
        <w:keepLines w:val="0"/>
        <w:pageBreakBefore w:val="0"/>
        <w:widowControl/>
        <w:kinsoku/>
        <w:wordWrap/>
        <w:overflowPunct/>
        <w:topLinePunct/>
        <w:autoSpaceDE/>
        <w:autoSpaceDN/>
        <w:bidi w:val="0"/>
        <w:adjustRightInd w:val="0"/>
        <w:snapToGrid/>
        <w:spacing w:line="360" w:lineRule="auto"/>
        <w:ind w:firstLine="480" w:firstLineChars="200"/>
        <w:textAlignment w:val="auto"/>
        <w:rPr>
          <w:rFonts w:hint="eastAsia" w:hAnsi="宋体" w:cs="宋体"/>
          <w:color w:val="auto"/>
          <w:highlight w:val="none"/>
        </w:rPr>
      </w:pPr>
      <w:r>
        <w:rPr>
          <w:rFonts w:hint="eastAsia" w:hAnsi="宋体" w:cs="宋体"/>
          <w:color w:val="auto"/>
          <w:highlight w:val="none"/>
        </w:rPr>
        <w:t>根据《陆上石油天然气开采工业大气污染物排放标准》(GB39728-2020)，挥发性有机物(VOCs)是参与大气光化学反应的有机化合物，或者根据有关规定确定的有机化合物。</w:t>
      </w:r>
      <w:r>
        <w:rPr>
          <w:rFonts w:hint="eastAsia" w:hAnsi="宋体" w:cs="宋体"/>
          <w:color w:val="auto"/>
          <w:kern w:val="0"/>
          <w:highlight w:val="none"/>
          <w:lang w:val="en-US" w:eastAsia="zh-CN"/>
        </w:rPr>
        <w:t>本项目</w:t>
      </w:r>
      <w:r>
        <w:rPr>
          <w:rFonts w:hint="eastAsia" w:hAnsi="宋体" w:cs="宋体"/>
          <w:color w:val="auto"/>
          <w:kern w:val="0"/>
          <w:highlight w:val="none"/>
        </w:rPr>
        <w:t>采用密闭集输工艺，</w:t>
      </w:r>
      <w:r>
        <w:rPr>
          <w:rFonts w:hint="eastAsia" w:hAnsi="宋体" w:cs="宋体"/>
          <w:color w:val="auto"/>
          <w:highlight w:val="none"/>
        </w:rPr>
        <w:t>在油气集输环节产生的挥发性有机物(VOCs)主要为非甲烷总烃，故建议</w:t>
      </w:r>
      <w:r>
        <w:rPr>
          <w:rFonts w:hint="eastAsia" w:hAnsi="宋体" w:cs="宋体"/>
          <w:color w:val="auto"/>
          <w:kern w:val="0"/>
          <w:highlight w:val="none"/>
        </w:rPr>
        <w:t>非甲烷总烃作为VOCs排放控制因子。根据计算，</w:t>
      </w:r>
      <w:r>
        <w:rPr>
          <w:rFonts w:hint="eastAsia" w:hAnsi="宋体" w:cs="宋体"/>
          <w:color w:val="auto"/>
          <w:highlight w:val="none"/>
        </w:rPr>
        <w:t>本次</w:t>
      </w:r>
      <w:r>
        <w:rPr>
          <w:rFonts w:hint="eastAsia" w:hAnsi="宋体" w:cs="宋体"/>
          <w:color w:val="auto"/>
          <w:kern w:val="0"/>
          <w:highlight w:val="none"/>
        </w:rPr>
        <w:t>无组织VOCs排放量为</w:t>
      </w:r>
      <w:r>
        <w:rPr>
          <w:rFonts w:hint="eastAsia" w:hAnsi="宋体" w:cs="宋体"/>
          <w:color w:val="auto"/>
          <w:kern w:val="0"/>
          <w:highlight w:val="none"/>
          <w:lang w:eastAsia="zh-CN"/>
        </w:rPr>
        <w:t>0.364</w:t>
      </w:r>
      <w:r>
        <w:rPr>
          <w:rFonts w:hint="eastAsia" w:hAnsi="宋体" w:cs="宋体"/>
          <w:color w:val="auto"/>
          <w:highlight w:val="none"/>
        </w:rPr>
        <w:t>t/a。</w:t>
      </w:r>
    </w:p>
    <w:bookmarkEnd w:id="298"/>
    <w:p w14:paraId="2A8BF397">
      <w:pPr>
        <w:adjustRightInd w:val="0"/>
        <w:spacing w:line="360" w:lineRule="auto"/>
        <w:ind w:firstLine="480" w:firstLineChars="200"/>
        <w:jc w:val="both"/>
        <w:rPr>
          <w:color w:val="auto"/>
          <w:sz w:val="24"/>
          <w:szCs w:val="24"/>
          <w:highlight w:val="none"/>
        </w:rPr>
      </w:pPr>
      <w:bookmarkStart w:id="299" w:name="bookmark21"/>
      <w:bookmarkEnd w:id="299"/>
      <w:bookmarkStart w:id="300" w:name="_Toc4094"/>
      <w:r>
        <w:rPr>
          <w:rFonts w:hint="eastAsia" w:ascii="Times New Roman" w:hAnsi="Times New Roman" w:cs="Times New Roman"/>
          <w:color w:val="auto"/>
          <w:sz w:val="24"/>
          <w:szCs w:val="24"/>
          <w:highlight w:val="none"/>
          <w:lang w:val="en-US" w:eastAsia="zh-CN"/>
        </w:rPr>
        <w:t>石油天然气</w:t>
      </w:r>
      <w:r>
        <w:rPr>
          <w:rFonts w:hint="eastAsia" w:ascii="Times New Roman" w:hAnsi="Times New Roman" w:cs="Times New Roman"/>
          <w:color w:val="auto"/>
          <w:sz w:val="24"/>
          <w:szCs w:val="24"/>
          <w:highlight w:val="none"/>
        </w:rPr>
        <w:t>开采</w:t>
      </w:r>
      <w:r>
        <w:rPr>
          <w:rFonts w:hint="eastAsia" w:ascii="Times New Roman" w:hAnsi="Times New Roman" w:cs="Times New Roman"/>
          <w:color w:val="auto"/>
          <w:sz w:val="24"/>
          <w:szCs w:val="24"/>
          <w:highlight w:val="none"/>
          <w:lang w:val="en-US" w:eastAsia="zh-CN"/>
        </w:rPr>
        <w:t>过程中</w:t>
      </w:r>
      <w:r>
        <w:rPr>
          <w:rFonts w:hint="eastAsia" w:ascii="Times New Roman" w:hAnsi="Times New Roman" w:cs="Times New Roman"/>
          <w:color w:val="auto"/>
          <w:sz w:val="24"/>
          <w:szCs w:val="24"/>
          <w:highlight w:val="none"/>
        </w:rPr>
        <w:t>井场无组织挥发产生的非甲烷总烃排放参照执行《陆上石油天然气开采工业大气污染物排放标准》（</w:t>
      </w:r>
      <w:r>
        <w:rPr>
          <w:rFonts w:ascii="Times New Roman" w:hAnsi="Times New Roman" w:cs="Times New Roman"/>
          <w:color w:val="auto"/>
          <w:sz w:val="24"/>
          <w:szCs w:val="24"/>
          <w:highlight w:val="none"/>
        </w:rPr>
        <w:t>GB39728-2020）中企业边界污染物控制要求4.0mg/m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p>
    <w:p w14:paraId="02F04975">
      <w:pPr>
        <w:adjustRightInd w:val="0"/>
        <w:spacing w:line="360" w:lineRule="auto"/>
        <w:ind w:firstLine="480" w:firstLineChars="200"/>
        <w:jc w:val="both"/>
        <w:rPr>
          <w:rFonts w:hint="eastAsia"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rPr>
        <w:t>本次评价提出</w:t>
      </w:r>
      <w:r>
        <w:rPr>
          <w:rFonts w:hint="eastAsia"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建议值，供生态环境主管部门对本工程实施环境管理以及下达污染物排放总量控制指标时参考。</w:t>
      </w:r>
    </w:p>
    <w:bookmarkEnd w:id="300"/>
    <w:p w14:paraId="4FB32AE6">
      <w:pPr>
        <w:keepNext w:val="0"/>
        <w:keepLines w:val="0"/>
        <w:pageBreakBefore w:val="0"/>
        <w:widowControl/>
        <w:kinsoku/>
        <w:wordWrap/>
        <w:overflowPunct/>
        <w:topLinePunct w:val="0"/>
        <w:autoSpaceDE/>
        <w:autoSpaceDN/>
        <w:bidi w:val="0"/>
        <w:adjustRightInd/>
        <w:snapToGrid/>
        <w:spacing w:line="360" w:lineRule="auto"/>
        <w:ind w:left="17"/>
        <w:textAlignment w:val="auto"/>
        <w:outlineLvl w:val="1"/>
        <w:rPr>
          <w:rFonts w:ascii="宋体" w:hAnsi="宋体" w:eastAsia="宋体" w:cs="宋体"/>
          <w:color w:val="auto"/>
          <w:sz w:val="30"/>
          <w:szCs w:val="30"/>
          <w:highlight w:val="none"/>
        </w:rPr>
      </w:pPr>
      <w:bookmarkStart w:id="301" w:name="_Toc28462"/>
      <w:bookmarkStart w:id="302" w:name="_Toc6005"/>
      <w:bookmarkStart w:id="303" w:name="_Toc15055"/>
      <w:bookmarkStart w:id="304" w:name="_Toc11148"/>
      <w:bookmarkStart w:id="305" w:name="_Toc8468"/>
      <w:r>
        <w:rPr>
          <w:rFonts w:ascii="Times New Roman" w:hAnsi="Times New Roman" w:eastAsia="Times New Roman" w:cs="Times New Roman"/>
          <w:b/>
          <w:bCs/>
          <w:color w:val="auto"/>
          <w:spacing w:val="-2"/>
          <w:sz w:val="30"/>
          <w:szCs w:val="30"/>
          <w:highlight w:val="none"/>
        </w:rPr>
        <w:t>3.7</w:t>
      </w:r>
      <w:r>
        <w:rPr>
          <w:rFonts w:ascii="宋体" w:hAnsi="宋体" w:eastAsia="宋体" w:cs="宋体"/>
          <w:b/>
          <w:bCs/>
          <w:color w:val="auto"/>
          <w:spacing w:val="-2"/>
          <w:sz w:val="30"/>
          <w:szCs w:val="30"/>
          <w:highlight w:val="none"/>
        </w:rPr>
        <w:t>相关法规、政策符合性分析</w:t>
      </w:r>
      <w:bookmarkEnd w:id="301"/>
      <w:bookmarkEnd w:id="302"/>
    </w:p>
    <w:p w14:paraId="4BA8BBC8">
      <w:pPr>
        <w:keepNext w:val="0"/>
        <w:keepLines w:val="0"/>
        <w:pageBreakBefore w:val="0"/>
        <w:widowControl/>
        <w:kinsoku/>
        <w:wordWrap/>
        <w:overflowPunct/>
        <w:topLinePunct w:val="0"/>
        <w:autoSpaceDE/>
        <w:autoSpaceDN/>
        <w:bidi w:val="0"/>
        <w:adjustRightInd/>
        <w:snapToGrid/>
        <w:spacing w:line="360" w:lineRule="auto"/>
        <w:ind w:left="17"/>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3.7.1</w:t>
      </w:r>
      <w:r>
        <w:rPr>
          <w:rFonts w:ascii="宋体" w:hAnsi="宋体" w:eastAsia="宋体" w:cs="宋体"/>
          <w:b/>
          <w:bCs/>
          <w:color w:val="auto"/>
          <w:spacing w:val="-2"/>
          <w:sz w:val="28"/>
          <w:szCs w:val="28"/>
          <w:highlight w:val="none"/>
        </w:rPr>
        <w:t>与《产业结构调整指导目录（</w:t>
      </w:r>
      <w:r>
        <w:rPr>
          <w:rFonts w:ascii="Times New Roman" w:hAnsi="Times New Roman" w:eastAsia="Times New Roman" w:cs="Times New Roman"/>
          <w:b/>
          <w:bCs/>
          <w:color w:val="auto"/>
          <w:spacing w:val="-2"/>
          <w:sz w:val="28"/>
          <w:szCs w:val="28"/>
          <w:highlight w:val="none"/>
        </w:rPr>
        <w:t>2024</w:t>
      </w:r>
      <w:r>
        <w:rPr>
          <w:rFonts w:ascii="宋体" w:hAnsi="宋体" w:eastAsia="宋体" w:cs="宋体"/>
          <w:b/>
          <w:bCs/>
          <w:color w:val="auto"/>
          <w:spacing w:val="-2"/>
          <w:sz w:val="28"/>
          <w:szCs w:val="28"/>
          <w:highlight w:val="none"/>
        </w:rPr>
        <w:t>本）》符合性分析</w:t>
      </w:r>
    </w:p>
    <w:p w14:paraId="0CF39E47">
      <w:pPr>
        <w:keepNext w:val="0"/>
        <w:keepLines w:val="0"/>
        <w:pageBreakBefore w:val="0"/>
        <w:widowControl/>
        <w:kinsoku/>
        <w:wordWrap/>
        <w:overflowPunct/>
        <w:topLinePunct w:val="0"/>
        <w:autoSpaceDE/>
        <w:autoSpaceDN/>
        <w:bidi w:val="0"/>
        <w:adjustRightInd/>
        <w:snapToGrid/>
        <w:spacing w:line="370" w:lineRule="auto"/>
        <w:ind w:left="28" w:firstLine="476"/>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石油天然气开发是当前国民经济的重要基础产业和支柱产业，</w:t>
      </w:r>
      <w:r>
        <w:rPr>
          <w:rFonts w:ascii="宋体" w:hAnsi="宋体" w:eastAsia="宋体" w:cs="宋体"/>
          <w:color w:val="auto"/>
          <w:spacing w:val="-4"/>
          <w:sz w:val="24"/>
          <w:szCs w:val="24"/>
          <w:highlight w:val="none"/>
        </w:rPr>
        <w:t>根据《产业结</w:t>
      </w:r>
      <w:r>
        <w:rPr>
          <w:rFonts w:ascii="宋体" w:hAnsi="宋体" w:eastAsia="宋体" w:cs="宋体"/>
          <w:color w:val="auto"/>
          <w:sz w:val="24"/>
          <w:szCs w:val="24"/>
          <w:highlight w:val="none"/>
        </w:rPr>
        <w:t>构调整指导目录（</w:t>
      </w:r>
      <w:r>
        <w:rPr>
          <w:rFonts w:ascii="Times New Roman" w:hAnsi="Times New Roman" w:eastAsia="Times New Roman" w:cs="Times New Roman"/>
          <w:color w:val="auto"/>
          <w:sz w:val="24"/>
          <w:szCs w:val="24"/>
          <w:highlight w:val="none"/>
        </w:rPr>
        <w:t>2024</w:t>
      </w:r>
      <w:r>
        <w:rPr>
          <w:rFonts w:ascii="宋体" w:hAnsi="宋体" w:eastAsia="宋体" w:cs="宋体"/>
          <w:color w:val="auto"/>
          <w:sz w:val="24"/>
          <w:szCs w:val="24"/>
          <w:highlight w:val="none"/>
        </w:rPr>
        <w:t>本）》，将“石油、天然气勘探及开采”列入“鼓励类”</w:t>
      </w:r>
      <w:r>
        <w:rPr>
          <w:rFonts w:ascii="宋体" w:hAnsi="宋体" w:eastAsia="宋体" w:cs="宋体"/>
          <w:color w:val="auto"/>
          <w:spacing w:val="-3"/>
          <w:sz w:val="24"/>
          <w:szCs w:val="24"/>
          <w:highlight w:val="none"/>
        </w:rPr>
        <w:t>项目。本项目位于自然资源部批准的新疆塔里木盆地塔河油田开采区域内，</w:t>
      </w:r>
      <w:r>
        <w:rPr>
          <w:rFonts w:ascii="宋体" w:hAnsi="宋体" w:eastAsia="宋体" w:cs="宋体"/>
          <w:color w:val="auto"/>
          <w:spacing w:val="-4"/>
          <w:sz w:val="24"/>
          <w:szCs w:val="24"/>
          <w:highlight w:val="none"/>
        </w:rPr>
        <w:t>项目</w:t>
      </w:r>
      <w:r>
        <w:rPr>
          <w:rFonts w:ascii="宋体" w:hAnsi="宋体" w:eastAsia="宋体" w:cs="宋体"/>
          <w:color w:val="auto"/>
          <w:spacing w:val="-1"/>
          <w:sz w:val="24"/>
          <w:szCs w:val="24"/>
          <w:highlight w:val="none"/>
        </w:rPr>
        <w:t>的建设符合国家的相关政策。</w:t>
      </w:r>
    </w:p>
    <w:p w14:paraId="4ECCE6B4">
      <w:pPr>
        <w:keepNext w:val="0"/>
        <w:keepLines w:val="0"/>
        <w:pageBreakBefore w:val="0"/>
        <w:widowControl/>
        <w:kinsoku/>
        <w:wordWrap/>
        <w:overflowPunct/>
        <w:topLinePunct w:val="0"/>
        <w:autoSpaceDE/>
        <w:autoSpaceDN/>
        <w:bidi w:val="0"/>
        <w:adjustRightInd/>
        <w:snapToGrid/>
        <w:spacing w:line="360" w:lineRule="auto"/>
        <w:ind w:left="0"/>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3.7.</w:t>
      </w:r>
      <w:r>
        <w:rPr>
          <w:rFonts w:hint="eastAsia" w:ascii="Times New Roman" w:hAnsi="Times New Roman" w:eastAsia="宋体" w:cs="Times New Roman"/>
          <w:b/>
          <w:bCs/>
          <w:color w:val="auto"/>
          <w:spacing w:val="-2"/>
          <w:sz w:val="28"/>
          <w:szCs w:val="28"/>
          <w:highlight w:val="none"/>
          <w:lang w:val="en-US" w:eastAsia="zh-CN"/>
        </w:rPr>
        <w:t>2</w:t>
      </w:r>
      <w:r>
        <w:rPr>
          <w:rFonts w:ascii="宋体" w:hAnsi="宋体" w:eastAsia="宋体" w:cs="宋体"/>
          <w:b/>
          <w:bCs/>
          <w:color w:val="auto"/>
          <w:spacing w:val="-2"/>
          <w:sz w:val="28"/>
          <w:szCs w:val="28"/>
          <w:highlight w:val="none"/>
        </w:rPr>
        <w:t>与《石油天然气开采业污染防治技术政策》的符合性分析</w:t>
      </w:r>
    </w:p>
    <w:p w14:paraId="703CAB1D">
      <w:pPr>
        <w:keepNext w:val="0"/>
        <w:keepLines w:val="0"/>
        <w:pageBreakBefore w:val="0"/>
        <w:widowControl/>
        <w:kinsoku/>
        <w:wordWrap/>
        <w:overflowPunct/>
        <w:topLinePunct w:val="0"/>
        <w:autoSpaceDE/>
        <w:autoSpaceDN/>
        <w:bidi w:val="0"/>
        <w:adjustRightInd/>
        <w:snapToGrid/>
        <w:spacing w:line="360" w:lineRule="auto"/>
        <w:ind w:left="0" w:right="0" w:firstLine="464"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《石油天然气开采业污染防治技术政策》提出：到</w:t>
      </w:r>
      <w:r>
        <w:rPr>
          <w:rFonts w:ascii="Times New Roman" w:hAnsi="Times New Roman" w:eastAsia="Times New Roman" w:cs="Times New Roman"/>
          <w:color w:val="auto"/>
          <w:spacing w:val="-4"/>
          <w:sz w:val="24"/>
          <w:szCs w:val="24"/>
          <w:highlight w:val="none"/>
        </w:rPr>
        <w:t>201</w:t>
      </w:r>
      <w:r>
        <w:rPr>
          <w:rFonts w:ascii="Times New Roman" w:hAnsi="Times New Roman" w:eastAsia="Times New Roman" w:cs="Times New Roman"/>
          <w:color w:val="auto"/>
          <w:spacing w:val="-5"/>
          <w:sz w:val="24"/>
          <w:szCs w:val="24"/>
          <w:highlight w:val="none"/>
        </w:rPr>
        <w:t>5</w:t>
      </w:r>
      <w:r>
        <w:rPr>
          <w:rFonts w:ascii="宋体" w:hAnsi="宋体" w:eastAsia="宋体" w:cs="宋体"/>
          <w:color w:val="auto"/>
          <w:spacing w:val="-5"/>
          <w:sz w:val="24"/>
          <w:szCs w:val="24"/>
          <w:highlight w:val="none"/>
        </w:rPr>
        <w:t>年末，行业新、改、</w:t>
      </w:r>
      <w:r>
        <w:rPr>
          <w:rFonts w:ascii="宋体" w:hAnsi="宋体" w:eastAsia="宋体" w:cs="宋体"/>
          <w:color w:val="auto"/>
          <w:spacing w:val="-2"/>
          <w:sz w:val="24"/>
          <w:szCs w:val="24"/>
          <w:highlight w:val="none"/>
        </w:rPr>
        <w:t>扩建项目均采用清洁生产工艺和技术，工业废水回用率达到</w:t>
      </w:r>
      <w:r>
        <w:rPr>
          <w:rFonts w:ascii="Times New Roman" w:hAnsi="Times New Roman" w:eastAsia="Times New Roman" w:cs="Times New Roman"/>
          <w:color w:val="auto"/>
          <w:spacing w:val="-2"/>
          <w:sz w:val="24"/>
          <w:szCs w:val="24"/>
          <w:highlight w:val="none"/>
        </w:rPr>
        <w:t>90%</w:t>
      </w:r>
      <w:r>
        <w:rPr>
          <w:rFonts w:ascii="宋体" w:hAnsi="宋体" w:eastAsia="宋体" w:cs="宋体"/>
          <w:color w:val="auto"/>
          <w:spacing w:val="-2"/>
          <w:sz w:val="24"/>
          <w:szCs w:val="24"/>
          <w:highlight w:val="none"/>
        </w:rPr>
        <w:t>以上，工业固体</w:t>
      </w:r>
      <w:r>
        <w:rPr>
          <w:rFonts w:ascii="宋体" w:hAnsi="宋体" w:eastAsia="宋体" w:cs="宋体"/>
          <w:color w:val="auto"/>
          <w:spacing w:val="-1"/>
          <w:sz w:val="24"/>
          <w:szCs w:val="24"/>
          <w:highlight w:val="none"/>
        </w:rPr>
        <w:t>废物资源化及无害化处理处置率达到</w:t>
      </w:r>
      <w:r>
        <w:rPr>
          <w:rFonts w:ascii="Times New Roman" w:hAnsi="Times New Roman" w:eastAsia="Times New Roman" w:cs="Times New Roman"/>
          <w:color w:val="auto"/>
          <w:spacing w:val="-1"/>
          <w:sz w:val="24"/>
          <w:szCs w:val="24"/>
          <w:highlight w:val="none"/>
        </w:rPr>
        <w:t>100%</w:t>
      </w:r>
      <w:r>
        <w:rPr>
          <w:rFonts w:ascii="宋体" w:hAnsi="宋体" w:eastAsia="宋体" w:cs="宋体"/>
          <w:color w:val="auto"/>
          <w:spacing w:val="-1"/>
          <w:sz w:val="24"/>
          <w:szCs w:val="24"/>
          <w:highlight w:val="none"/>
        </w:rPr>
        <w:t>；落地原油应及时回收，落地原油回收率应达到</w:t>
      </w:r>
      <w:r>
        <w:rPr>
          <w:rFonts w:ascii="Times New Roman" w:hAnsi="Times New Roman" w:eastAsia="Times New Roman" w:cs="Times New Roman"/>
          <w:color w:val="auto"/>
          <w:spacing w:val="-1"/>
          <w:sz w:val="24"/>
          <w:szCs w:val="24"/>
          <w:highlight w:val="none"/>
        </w:rPr>
        <w:t>100%</w:t>
      </w:r>
      <w:r>
        <w:rPr>
          <w:rFonts w:ascii="宋体" w:hAnsi="宋体" w:eastAsia="宋体" w:cs="宋体"/>
          <w:color w:val="auto"/>
          <w:spacing w:val="-1"/>
          <w:sz w:val="24"/>
          <w:szCs w:val="24"/>
          <w:highlight w:val="none"/>
        </w:rPr>
        <w:t>；油气田建设宜布置丛式井组，采用多分支井、水平井、小孔</w:t>
      </w:r>
      <w:r>
        <w:rPr>
          <w:rFonts w:ascii="宋体" w:hAnsi="宋体" w:eastAsia="宋体" w:cs="宋体"/>
          <w:color w:val="auto"/>
          <w:spacing w:val="-3"/>
          <w:sz w:val="24"/>
          <w:szCs w:val="24"/>
          <w:highlight w:val="none"/>
        </w:rPr>
        <w:t>钻井、空气钻井等钻井技术，以减少废物产生和占地；在开发过程中，伴生气应回收利用，减少温室气体排放，不具备回收利用条件的，应充分燃烧，伴生气回</w:t>
      </w:r>
      <w:r>
        <w:rPr>
          <w:rFonts w:ascii="宋体" w:hAnsi="宋体" w:eastAsia="宋体" w:cs="宋体"/>
          <w:color w:val="auto"/>
          <w:spacing w:val="-1"/>
          <w:sz w:val="24"/>
          <w:szCs w:val="24"/>
          <w:highlight w:val="none"/>
        </w:rPr>
        <w:t>收利用率应达到</w:t>
      </w:r>
      <w:r>
        <w:rPr>
          <w:rFonts w:ascii="Times New Roman" w:hAnsi="Times New Roman" w:eastAsia="Times New Roman" w:cs="Times New Roman"/>
          <w:color w:val="auto"/>
          <w:spacing w:val="-1"/>
          <w:sz w:val="24"/>
          <w:szCs w:val="24"/>
          <w:highlight w:val="none"/>
        </w:rPr>
        <w:t>80%</w:t>
      </w:r>
      <w:r>
        <w:rPr>
          <w:rFonts w:ascii="宋体" w:hAnsi="宋体" w:eastAsia="宋体" w:cs="宋体"/>
          <w:color w:val="auto"/>
          <w:spacing w:val="-1"/>
          <w:sz w:val="24"/>
          <w:szCs w:val="24"/>
          <w:highlight w:val="none"/>
        </w:rPr>
        <w:t>以上；站场放空天然气应充分燃烧。</w:t>
      </w:r>
    </w:p>
    <w:p w14:paraId="00A3494D">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本项目采出水由</w:t>
      </w:r>
      <w:r>
        <w:rPr>
          <w:rFonts w:hint="eastAsia" w:ascii="宋体" w:hAnsi="宋体" w:eastAsia="宋体" w:cs="宋体"/>
          <w:color w:val="auto"/>
          <w:spacing w:val="-3"/>
          <w:sz w:val="24"/>
          <w:szCs w:val="24"/>
          <w:highlight w:val="none"/>
          <w:lang w:val="en-US" w:eastAsia="zh-CN"/>
        </w:rPr>
        <w:t>三号</w:t>
      </w:r>
      <w:r>
        <w:rPr>
          <w:rFonts w:ascii="宋体" w:hAnsi="宋体" w:eastAsia="宋体" w:cs="宋体"/>
          <w:color w:val="auto"/>
          <w:spacing w:val="-3"/>
          <w:sz w:val="24"/>
          <w:szCs w:val="24"/>
          <w:highlight w:val="none"/>
        </w:rPr>
        <w:t>联合站污水处理系统统一处理调配；项目伴生</w:t>
      </w:r>
      <w:r>
        <w:rPr>
          <w:rFonts w:ascii="宋体" w:hAnsi="宋体" w:eastAsia="宋体" w:cs="宋体"/>
          <w:color w:val="auto"/>
          <w:spacing w:val="-4"/>
          <w:sz w:val="24"/>
          <w:szCs w:val="24"/>
          <w:highlight w:val="none"/>
        </w:rPr>
        <w:t>气进行回收利</w:t>
      </w:r>
      <w:r>
        <w:rPr>
          <w:rFonts w:ascii="宋体" w:hAnsi="宋体" w:eastAsia="宋体" w:cs="宋体"/>
          <w:color w:val="auto"/>
          <w:spacing w:val="-1"/>
          <w:sz w:val="24"/>
          <w:szCs w:val="24"/>
          <w:highlight w:val="none"/>
        </w:rPr>
        <w:t>用；井下作业时带罐作业，落地油</w:t>
      </w:r>
      <w:r>
        <w:rPr>
          <w:rFonts w:ascii="Times New Roman" w:hAnsi="Times New Roman" w:eastAsia="Times New Roman" w:cs="Times New Roman"/>
          <w:color w:val="auto"/>
          <w:spacing w:val="-1"/>
          <w:sz w:val="24"/>
          <w:szCs w:val="24"/>
          <w:highlight w:val="none"/>
        </w:rPr>
        <w:t>100%</w:t>
      </w:r>
      <w:r>
        <w:rPr>
          <w:rFonts w:ascii="宋体" w:hAnsi="宋体" w:eastAsia="宋体" w:cs="宋体"/>
          <w:color w:val="auto"/>
          <w:spacing w:val="-1"/>
          <w:sz w:val="24"/>
          <w:szCs w:val="24"/>
          <w:highlight w:val="none"/>
        </w:rPr>
        <w:t>回收，产生油泥（砂）采用专用罐运至</w:t>
      </w:r>
      <w:r>
        <w:rPr>
          <w:rFonts w:ascii="宋体" w:hAnsi="宋体" w:eastAsia="宋体" w:cs="宋体"/>
          <w:color w:val="auto"/>
          <w:spacing w:val="-3"/>
          <w:sz w:val="24"/>
          <w:szCs w:val="24"/>
          <w:highlight w:val="none"/>
        </w:rPr>
        <w:t>塔河油田绿色环保站无害化处置。项目建设符合《石油天然气开采业污染防治技</w:t>
      </w:r>
      <w:r>
        <w:rPr>
          <w:rFonts w:ascii="宋体" w:hAnsi="宋体" w:eastAsia="宋体" w:cs="宋体"/>
          <w:color w:val="auto"/>
          <w:spacing w:val="-2"/>
          <w:sz w:val="24"/>
          <w:szCs w:val="24"/>
          <w:highlight w:val="none"/>
        </w:rPr>
        <w:t>术政策》要求。</w:t>
      </w:r>
    </w:p>
    <w:p w14:paraId="6648B8B1">
      <w:pPr>
        <w:spacing w:before="97" w:line="220" w:lineRule="auto"/>
        <w:ind w:left="18"/>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3.7.</w:t>
      </w:r>
      <w:r>
        <w:rPr>
          <w:rFonts w:hint="eastAsia" w:ascii="Times New Roman" w:hAnsi="Times New Roman" w:eastAsia="宋体" w:cs="Times New Roman"/>
          <w:b/>
          <w:bCs/>
          <w:color w:val="auto"/>
          <w:spacing w:val="-2"/>
          <w:sz w:val="28"/>
          <w:szCs w:val="28"/>
          <w:highlight w:val="none"/>
          <w:lang w:val="en-US" w:eastAsia="zh-CN"/>
        </w:rPr>
        <w:t>3</w:t>
      </w:r>
      <w:r>
        <w:rPr>
          <w:rFonts w:ascii="宋体" w:hAnsi="宋体" w:eastAsia="宋体" w:cs="宋体"/>
          <w:b/>
          <w:bCs/>
          <w:color w:val="auto"/>
          <w:spacing w:val="-2"/>
          <w:sz w:val="28"/>
          <w:szCs w:val="28"/>
          <w:highlight w:val="none"/>
        </w:rPr>
        <w:t>与《新疆维吾尔自治区大气污染防治条例》的符合性分析</w:t>
      </w:r>
    </w:p>
    <w:p w14:paraId="1155A2F4">
      <w:pPr>
        <w:spacing w:before="255" w:line="370" w:lineRule="auto"/>
        <w:ind w:left="24" w:right="234" w:firstLine="485"/>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《新疆维吾尔自治区大气污染防治条例》第三十七</w:t>
      </w:r>
      <w:r>
        <w:rPr>
          <w:rFonts w:ascii="宋体" w:hAnsi="宋体" w:eastAsia="宋体" w:cs="宋体"/>
          <w:color w:val="auto"/>
          <w:spacing w:val="-4"/>
          <w:sz w:val="24"/>
          <w:szCs w:val="24"/>
          <w:highlight w:val="none"/>
        </w:rPr>
        <w:t>条规定：各级人民政府应</w:t>
      </w:r>
      <w:r>
        <w:rPr>
          <w:rFonts w:ascii="宋体" w:hAnsi="宋体" w:eastAsia="宋体" w:cs="宋体"/>
          <w:color w:val="auto"/>
          <w:spacing w:val="-3"/>
          <w:sz w:val="24"/>
          <w:szCs w:val="24"/>
          <w:highlight w:val="none"/>
        </w:rPr>
        <w:t>当加强对建设施工、矿产资源开采、物料运输的扬尘和沙尘污染的治理，保持道路清洁、控制堆料和渣土堆放，科学合理扩大绿地、水面、湿地、地面铺装和防</w:t>
      </w:r>
      <w:r>
        <w:rPr>
          <w:rFonts w:ascii="宋体" w:hAnsi="宋体" w:eastAsia="宋体" w:cs="宋体"/>
          <w:color w:val="auto"/>
          <w:spacing w:val="-1"/>
          <w:sz w:val="24"/>
          <w:szCs w:val="24"/>
          <w:highlight w:val="none"/>
        </w:rPr>
        <w:t>风固沙绿化面积，防治扬尘污染。</w:t>
      </w:r>
    </w:p>
    <w:p w14:paraId="68CB99B2">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第四十四条矿山开采产生的废石、废渣、泥土等应当堆放到专门存放地，</w:t>
      </w:r>
      <w:r>
        <w:rPr>
          <w:rFonts w:ascii="宋体" w:hAnsi="宋体" w:eastAsia="宋体" w:cs="宋体"/>
          <w:color w:val="auto"/>
          <w:spacing w:val="-1"/>
          <w:sz w:val="24"/>
          <w:szCs w:val="24"/>
          <w:highlight w:val="none"/>
        </w:rPr>
        <w:t>并采取围挡、设置防尘网或者防尘布等防尘措施；施工便道应当硬化。</w:t>
      </w:r>
    </w:p>
    <w:p w14:paraId="35388BCB">
      <w:pPr>
        <w:spacing w:before="34" w:line="372" w:lineRule="auto"/>
        <w:ind w:left="23" w:right="200" w:firstLine="48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本项目施工期产生的建筑垃圾集中收集后送至当地建筑垃圾填埋场填埋处</w:t>
      </w:r>
      <w:r>
        <w:rPr>
          <w:rFonts w:ascii="宋体" w:hAnsi="宋体" w:eastAsia="宋体" w:cs="宋体"/>
          <w:color w:val="auto"/>
          <w:spacing w:val="-3"/>
          <w:sz w:val="24"/>
          <w:szCs w:val="24"/>
          <w:highlight w:val="none"/>
        </w:rPr>
        <w:t>理。项目钻井岩屑采用不落地系统进行处理，处理后的岩屑必须满足《油气田钻</w:t>
      </w:r>
      <w:r>
        <w:rPr>
          <w:rFonts w:ascii="宋体" w:hAnsi="宋体" w:eastAsia="宋体" w:cs="宋体"/>
          <w:color w:val="auto"/>
          <w:sz w:val="24"/>
          <w:szCs w:val="24"/>
          <w:highlight w:val="none"/>
        </w:rPr>
        <w:t>井固体废物综合利用污染控制要求》（</w:t>
      </w:r>
      <w:r>
        <w:rPr>
          <w:rFonts w:ascii="Times New Roman" w:hAnsi="Times New Roman" w:eastAsia="Times New Roman" w:cs="Times New Roman"/>
          <w:color w:val="auto"/>
          <w:sz w:val="24"/>
          <w:szCs w:val="24"/>
          <w:highlight w:val="none"/>
        </w:rPr>
        <w:t>DB65/T3997-201</w:t>
      </w:r>
      <w:r>
        <w:rPr>
          <w:rFonts w:ascii="Times New Roman" w:hAnsi="Times New Roman" w:eastAsia="Times New Roman" w:cs="Times New Roman"/>
          <w:color w:val="auto"/>
          <w:spacing w:val="-1"/>
          <w:sz w:val="24"/>
          <w:szCs w:val="24"/>
          <w:highlight w:val="none"/>
        </w:rPr>
        <w:t>7</w:t>
      </w:r>
      <w:r>
        <w:rPr>
          <w:rFonts w:ascii="宋体" w:hAnsi="宋体" w:eastAsia="宋体" w:cs="宋体"/>
          <w:color w:val="auto"/>
          <w:spacing w:val="-1"/>
          <w:sz w:val="24"/>
          <w:szCs w:val="24"/>
          <w:highlight w:val="none"/>
        </w:rPr>
        <w:t>）等国家及有关部门、</w:t>
      </w:r>
      <w:r>
        <w:rPr>
          <w:rFonts w:ascii="宋体" w:hAnsi="宋体" w:eastAsia="宋体" w:cs="宋体"/>
          <w:color w:val="auto"/>
          <w:spacing w:val="-3"/>
          <w:sz w:val="24"/>
          <w:szCs w:val="24"/>
          <w:highlight w:val="none"/>
        </w:rPr>
        <w:t>地方相关标准和生态环境保护要求后，用于铺设通井路、铺垫井场基础材料。项目施工结束后拟对临时占地进行恢复治理，可减少扬尘影响。项目建设符合《新</w:t>
      </w:r>
      <w:r>
        <w:rPr>
          <w:rFonts w:ascii="宋体" w:hAnsi="宋体" w:eastAsia="宋体" w:cs="宋体"/>
          <w:color w:val="auto"/>
          <w:spacing w:val="-1"/>
          <w:sz w:val="24"/>
          <w:szCs w:val="24"/>
          <w:highlight w:val="none"/>
        </w:rPr>
        <w:t>疆维吾尔自治区大气污染防治条例》要求。</w:t>
      </w:r>
    </w:p>
    <w:p w14:paraId="4162FD72">
      <w:pPr>
        <w:keepNext w:val="0"/>
        <w:keepLines w:val="0"/>
        <w:pageBreakBefore w:val="0"/>
        <w:widowControl/>
        <w:kinsoku/>
        <w:wordWrap/>
        <w:overflowPunct/>
        <w:topLinePunct w:val="0"/>
        <w:autoSpaceDE/>
        <w:autoSpaceDN/>
        <w:bidi w:val="0"/>
        <w:adjustRightInd/>
        <w:snapToGrid/>
        <w:spacing w:line="360" w:lineRule="auto"/>
        <w:ind w:left="0"/>
        <w:jc w:val="left"/>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8"/>
          <w:sz w:val="28"/>
          <w:szCs w:val="28"/>
          <w:highlight w:val="none"/>
        </w:rPr>
        <w:t>3.7.</w:t>
      </w:r>
      <w:r>
        <w:rPr>
          <w:rFonts w:hint="eastAsia" w:ascii="Times New Roman" w:hAnsi="Times New Roman" w:eastAsia="宋体" w:cs="Times New Roman"/>
          <w:b/>
          <w:bCs/>
          <w:color w:val="auto"/>
          <w:spacing w:val="-8"/>
          <w:sz w:val="28"/>
          <w:szCs w:val="28"/>
          <w:highlight w:val="none"/>
          <w:lang w:val="en-US" w:eastAsia="zh-CN"/>
        </w:rPr>
        <w:t>4</w:t>
      </w:r>
      <w:r>
        <w:rPr>
          <w:rFonts w:ascii="宋体" w:hAnsi="宋体" w:eastAsia="宋体" w:cs="宋体"/>
          <w:b/>
          <w:bCs/>
          <w:color w:val="auto"/>
          <w:spacing w:val="-8"/>
          <w:sz w:val="28"/>
          <w:szCs w:val="28"/>
          <w:highlight w:val="none"/>
        </w:rPr>
        <w:t>与《关于进一步加强石油天然气行业环境影响评价的通知》（环</w:t>
      </w:r>
      <w:r>
        <w:rPr>
          <w:rFonts w:hint="eastAsia" w:ascii="宋体" w:hAnsi="宋体" w:eastAsia="宋体" w:cs="宋体"/>
          <w:b/>
          <w:bCs/>
          <w:color w:val="auto"/>
          <w:spacing w:val="-8"/>
          <w:sz w:val="28"/>
          <w:szCs w:val="28"/>
          <w:highlight w:val="none"/>
          <w:lang w:val="en-US" w:eastAsia="zh-CN"/>
        </w:rPr>
        <w:t>办</w:t>
      </w:r>
      <w:r>
        <w:rPr>
          <w:rFonts w:ascii="宋体" w:hAnsi="宋体" w:eastAsia="宋体" w:cs="宋体"/>
          <w:b/>
          <w:bCs/>
          <w:color w:val="auto"/>
          <w:spacing w:val="-2"/>
          <w:sz w:val="28"/>
          <w:szCs w:val="28"/>
          <w:highlight w:val="none"/>
        </w:rPr>
        <w:t>环评函〔</w:t>
      </w:r>
      <w:r>
        <w:rPr>
          <w:rFonts w:ascii="Times New Roman" w:hAnsi="Times New Roman" w:eastAsia="Times New Roman" w:cs="Times New Roman"/>
          <w:b/>
          <w:bCs/>
          <w:color w:val="auto"/>
          <w:spacing w:val="-2"/>
          <w:sz w:val="28"/>
          <w:szCs w:val="28"/>
          <w:highlight w:val="none"/>
        </w:rPr>
        <w:t>2019</w:t>
      </w:r>
      <w:r>
        <w:rPr>
          <w:rFonts w:ascii="宋体" w:hAnsi="宋体" w:eastAsia="宋体" w:cs="宋体"/>
          <w:b/>
          <w:bCs/>
          <w:color w:val="auto"/>
          <w:spacing w:val="-2"/>
          <w:sz w:val="28"/>
          <w:szCs w:val="28"/>
          <w:highlight w:val="none"/>
        </w:rPr>
        <w:t>〕</w:t>
      </w:r>
      <w:r>
        <w:rPr>
          <w:rFonts w:ascii="Times New Roman" w:hAnsi="Times New Roman" w:eastAsia="Times New Roman" w:cs="Times New Roman"/>
          <w:b/>
          <w:bCs/>
          <w:color w:val="auto"/>
          <w:spacing w:val="-2"/>
          <w:sz w:val="28"/>
          <w:szCs w:val="28"/>
          <w:highlight w:val="none"/>
        </w:rPr>
        <w:t>910</w:t>
      </w:r>
      <w:r>
        <w:rPr>
          <w:rFonts w:ascii="宋体" w:hAnsi="宋体" w:eastAsia="宋体" w:cs="宋体"/>
          <w:b/>
          <w:bCs/>
          <w:color w:val="auto"/>
          <w:spacing w:val="-2"/>
          <w:sz w:val="28"/>
          <w:szCs w:val="28"/>
          <w:highlight w:val="none"/>
        </w:rPr>
        <w:t>号）、新环评价发〔</w:t>
      </w:r>
      <w:r>
        <w:rPr>
          <w:rFonts w:ascii="Times New Roman" w:hAnsi="Times New Roman" w:eastAsia="Times New Roman" w:cs="Times New Roman"/>
          <w:b/>
          <w:bCs/>
          <w:color w:val="auto"/>
          <w:spacing w:val="-2"/>
          <w:sz w:val="28"/>
          <w:szCs w:val="28"/>
          <w:highlight w:val="none"/>
        </w:rPr>
        <w:t>2020</w:t>
      </w:r>
      <w:r>
        <w:rPr>
          <w:rFonts w:ascii="宋体" w:hAnsi="宋体" w:eastAsia="宋体" w:cs="宋体"/>
          <w:b/>
          <w:bCs/>
          <w:color w:val="auto"/>
          <w:spacing w:val="-2"/>
          <w:sz w:val="28"/>
          <w:szCs w:val="28"/>
          <w:highlight w:val="none"/>
        </w:rPr>
        <w:t>〕</w:t>
      </w:r>
      <w:r>
        <w:rPr>
          <w:rFonts w:ascii="Times New Roman" w:hAnsi="Times New Roman" w:eastAsia="Times New Roman" w:cs="Times New Roman"/>
          <w:b/>
          <w:bCs/>
          <w:color w:val="auto"/>
          <w:spacing w:val="-2"/>
          <w:sz w:val="28"/>
          <w:szCs w:val="28"/>
          <w:highlight w:val="none"/>
        </w:rPr>
        <w:t>142</w:t>
      </w:r>
      <w:r>
        <w:rPr>
          <w:rFonts w:ascii="宋体" w:hAnsi="宋体" w:eastAsia="宋体" w:cs="宋体"/>
          <w:b/>
          <w:bCs/>
          <w:color w:val="auto"/>
          <w:spacing w:val="-2"/>
          <w:sz w:val="28"/>
          <w:szCs w:val="28"/>
          <w:highlight w:val="none"/>
        </w:rPr>
        <w:t>号的符合性分</w:t>
      </w:r>
      <w:r>
        <w:rPr>
          <w:rFonts w:ascii="宋体" w:hAnsi="宋体" w:eastAsia="宋体" w:cs="宋体"/>
          <w:b/>
          <w:bCs/>
          <w:color w:val="auto"/>
          <w:spacing w:val="-3"/>
          <w:sz w:val="28"/>
          <w:szCs w:val="28"/>
          <w:highlight w:val="none"/>
        </w:rPr>
        <w:t>析</w:t>
      </w:r>
    </w:p>
    <w:p w14:paraId="34352DF9">
      <w:pPr>
        <w:keepNext w:val="0"/>
        <w:keepLines w:val="0"/>
        <w:pageBreakBefore w:val="0"/>
        <w:widowControl/>
        <w:kinsoku/>
        <w:wordWrap/>
        <w:overflowPunct/>
        <w:topLinePunct w:val="0"/>
        <w:autoSpaceDE/>
        <w:autoSpaceDN/>
        <w:bidi w:val="0"/>
        <w:adjustRightInd/>
        <w:snapToGrid/>
        <w:spacing w:before="1" w:line="360" w:lineRule="auto"/>
        <w:ind w:left="23" w:firstLine="480"/>
        <w:jc w:val="both"/>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根据（环办环评函〔</w:t>
      </w:r>
      <w:r>
        <w:rPr>
          <w:rFonts w:ascii="Times New Roman" w:hAnsi="Times New Roman" w:eastAsia="Times New Roman" w:cs="Times New Roman"/>
          <w:color w:val="auto"/>
          <w:spacing w:val="-2"/>
          <w:sz w:val="24"/>
          <w:szCs w:val="24"/>
          <w:highlight w:val="none"/>
        </w:rPr>
        <w:t>2019</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910</w:t>
      </w:r>
      <w:r>
        <w:rPr>
          <w:rFonts w:ascii="宋体" w:hAnsi="宋体" w:eastAsia="宋体" w:cs="宋体"/>
          <w:color w:val="auto"/>
          <w:spacing w:val="-2"/>
          <w:sz w:val="24"/>
          <w:szCs w:val="24"/>
          <w:highlight w:val="none"/>
        </w:rPr>
        <w:t>号</w:t>
      </w:r>
      <w:r>
        <w:rPr>
          <w:rFonts w:ascii="宋体" w:hAnsi="宋体" w:eastAsia="宋体" w:cs="宋体"/>
          <w:color w:val="auto"/>
          <w:spacing w:val="4"/>
          <w:sz w:val="24"/>
          <w:szCs w:val="24"/>
          <w:highlight w:val="none"/>
        </w:rPr>
        <w:t>）：</w:t>
      </w:r>
      <w:r>
        <w:rPr>
          <w:rFonts w:ascii="宋体" w:hAnsi="宋体" w:eastAsia="宋体" w:cs="宋体"/>
          <w:color w:val="auto"/>
          <w:spacing w:val="-2"/>
          <w:sz w:val="24"/>
          <w:szCs w:val="24"/>
          <w:highlight w:val="none"/>
        </w:rPr>
        <w:t>在相关行业污染控制标准发布前，回</w:t>
      </w:r>
      <w:r>
        <w:rPr>
          <w:rFonts w:ascii="宋体" w:hAnsi="宋体" w:eastAsia="宋体" w:cs="宋体"/>
          <w:color w:val="auto"/>
          <w:spacing w:val="4"/>
          <w:sz w:val="24"/>
          <w:szCs w:val="24"/>
          <w:highlight w:val="none"/>
        </w:rPr>
        <w:t>注的开采废水应当经处理并符合《碎屑岩油藏注水水质推</w:t>
      </w:r>
      <w:r>
        <w:rPr>
          <w:rFonts w:ascii="宋体" w:hAnsi="宋体" w:eastAsia="宋体" w:cs="宋体"/>
          <w:color w:val="auto"/>
          <w:spacing w:val="3"/>
          <w:sz w:val="24"/>
          <w:szCs w:val="24"/>
          <w:highlight w:val="none"/>
        </w:rPr>
        <w:t>荐指标及分析方法》（</w:t>
      </w:r>
      <w:r>
        <w:rPr>
          <w:rFonts w:ascii="Times New Roman" w:hAnsi="Times New Roman" w:eastAsia="Times New Roman" w:cs="Times New Roman"/>
          <w:color w:val="auto"/>
          <w:sz w:val="24"/>
          <w:szCs w:val="24"/>
          <w:highlight w:val="none"/>
        </w:rPr>
        <w:t>SY</w:t>
      </w:r>
      <w:r>
        <w:rPr>
          <w:rFonts w:ascii="Times New Roman" w:hAnsi="Times New Roman" w:eastAsia="Times New Roman" w:cs="Times New Roman"/>
          <w:color w:val="auto"/>
          <w:spacing w:val="3"/>
          <w:sz w:val="24"/>
          <w:szCs w:val="24"/>
          <w:highlight w:val="none"/>
        </w:rPr>
        <w:t>/T5329</w:t>
      </w:r>
      <w:r>
        <w:rPr>
          <w:rFonts w:ascii="宋体" w:hAnsi="宋体" w:eastAsia="宋体" w:cs="宋体"/>
          <w:color w:val="auto"/>
          <w:spacing w:val="3"/>
          <w:sz w:val="24"/>
          <w:szCs w:val="24"/>
          <w:highlight w:val="none"/>
        </w:rPr>
        <w:t>）相关标准要求后回注，同步采取切实</w:t>
      </w:r>
      <w:r>
        <w:rPr>
          <w:rFonts w:ascii="宋体" w:hAnsi="宋体" w:eastAsia="宋体" w:cs="宋体"/>
          <w:color w:val="auto"/>
          <w:spacing w:val="2"/>
          <w:sz w:val="24"/>
          <w:szCs w:val="24"/>
          <w:highlight w:val="none"/>
        </w:rPr>
        <w:t>可行措施防治污染；陆地油</w:t>
      </w:r>
      <w:r>
        <w:rPr>
          <w:rFonts w:ascii="宋体" w:hAnsi="宋体" w:eastAsia="宋体" w:cs="宋体"/>
          <w:color w:val="auto"/>
          <w:spacing w:val="-4"/>
          <w:sz w:val="24"/>
          <w:szCs w:val="24"/>
          <w:highlight w:val="none"/>
        </w:rPr>
        <w:t>气开采项目的建设单位应当对挥发性有机物液体储存和装载损失、废水液面逸散、</w:t>
      </w:r>
      <w:r>
        <w:rPr>
          <w:rFonts w:ascii="宋体" w:hAnsi="宋体" w:eastAsia="宋体" w:cs="宋体"/>
          <w:color w:val="auto"/>
          <w:spacing w:val="1"/>
          <w:sz w:val="24"/>
          <w:szCs w:val="24"/>
          <w:highlight w:val="none"/>
        </w:rPr>
        <w:t>设备与管线组件泄漏、非正常工况等挥发性</w:t>
      </w:r>
      <w:r>
        <w:rPr>
          <w:rFonts w:ascii="宋体" w:hAnsi="宋体" w:eastAsia="宋体" w:cs="宋体"/>
          <w:color w:val="auto"/>
          <w:sz w:val="24"/>
          <w:szCs w:val="24"/>
          <w:highlight w:val="none"/>
        </w:rPr>
        <w:t>有机物无组织排放源进行有效管控，</w:t>
      </w:r>
      <w:r>
        <w:rPr>
          <w:rFonts w:ascii="宋体" w:hAnsi="宋体" w:eastAsia="宋体" w:cs="宋体"/>
          <w:color w:val="auto"/>
          <w:spacing w:val="-3"/>
          <w:sz w:val="24"/>
          <w:szCs w:val="24"/>
          <w:highlight w:val="none"/>
        </w:rPr>
        <w:t>通过采取设备密闭、废气有效收集及配套高效末端处理设施等措施，有效控制挥</w:t>
      </w:r>
      <w:r>
        <w:rPr>
          <w:rFonts w:ascii="宋体" w:hAnsi="宋体" w:eastAsia="宋体" w:cs="宋体"/>
          <w:color w:val="auto"/>
          <w:sz w:val="24"/>
          <w:szCs w:val="24"/>
          <w:highlight w:val="none"/>
        </w:rPr>
        <w:t>发性有机物和恶臭气体无组织排放；涉及高含硫天然气开采的，应当强化钻井、</w:t>
      </w:r>
      <w:r>
        <w:rPr>
          <w:rFonts w:ascii="宋体" w:hAnsi="宋体" w:eastAsia="宋体" w:cs="宋体"/>
          <w:color w:val="auto"/>
          <w:spacing w:val="-3"/>
          <w:sz w:val="24"/>
          <w:szCs w:val="24"/>
          <w:highlight w:val="none"/>
        </w:rPr>
        <w:t>输送、净化等环节环境风险防范措施。含硫油气田回注采出水，应当采取有效措施减少废水处理站和回注井场硫化氢的无组织排放。井场加热炉等排放大气污染物的设备，应当优先使用清洁燃料，废气排放应当满足国家和地方大气污染物排</w:t>
      </w:r>
      <w:r>
        <w:rPr>
          <w:rFonts w:ascii="宋体" w:hAnsi="宋体" w:eastAsia="宋体" w:cs="宋体"/>
          <w:color w:val="auto"/>
          <w:spacing w:val="1"/>
          <w:sz w:val="24"/>
          <w:szCs w:val="24"/>
          <w:highlight w:val="none"/>
        </w:rPr>
        <w:t>放标准要求；建设单位或生产经营单位按规</w:t>
      </w:r>
      <w:r>
        <w:rPr>
          <w:rFonts w:ascii="宋体" w:hAnsi="宋体" w:eastAsia="宋体" w:cs="宋体"/>
          <w:color w:val="auto"/>
          <w:sz w:val="24"/>
          <w:szCs w:val="24"/>
          <w:highlight w:val="none"/>
        </w:rPr>
        <w:t>定开展建设项目竣工环境保护验收，</w:t>
      </w:r>
      <w:r>
        <w:rPr>
          <w:rFonts w:ascii="宋体" w:hAnsi="宋体" w:eastAsia="宋体" w:cs="宋体"/>
          <w:color w:val="auto"/>
          <w:spacing w:val="-1"/>
          <w:sz w:val="24"/>
          <w:szCs w:val="24"/>
          <w:highlight w:val="none"/>
        </w:rPr>
        <w:t>并录入全国建设项目竣工环境保护验收信息平台。</w:t>
      </w:r>
    </w:p>
    <w:p w14:paraId="1554CA67">
      <w:pPr>
        <w:keepNext w:val="0"/>
        <w:keepLines w:val="0"/>
        <w:pageBreakBefore w:val="0"/>
        <w:widowControl/>
        <w:kinsoku/>
        <w:wordWrap/>
        <w:overflowPunct/>
        <w:topLinePunct w:val="0"/>
        <w:autoSpaceDE/>
        <w:autoSpaceDN/>
        <w:bidi w:val="0"/>
        <w:adjustRightInd/>
        <w:snapToGrid/>
        <w:spacing w:before="32" w:line="360" w:lineRule="auto"/>
        <w:ind w:left="23" w:right="165" w:firstLine="481"/>
        <w:jc w:val="both"/>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本项目采出水依托塔河油田</w:t>
      </w:r>
      <w:r>
        <w:rPr>
          <w:rFonts w:hint="eastAsia" w:ascii="宋体" w:hAnsi="宋体" w:eastAsia="宋体" w:cs="宋体"/>
          <w:color w:val="auto"/>
          <w:spacing w:val="-2"/>
          <w:sz w:val="24"/>
          <w:szCs w:val="24"/>
          <w:highlight w:val="none"/>
          <w:lang w:val="en-US" w:eastAsia="zh-CN"/>
        </w:rPr>
        <w:t>三</w:t>
      </w:r>
      <w:r>
        <w:rPr>
          <w:rFonts w:ascii="宋体" w:hAnsi="宋体" w:eastAsia="宋体" w:cs="宋体"/>
          <w:color w:val="auto"/>
          <w:spacing w:val="-2"/>
          <w:sz w:val="24"/>
          <w:szCs w:val="24"/>
          <w:highlight w:val="none"/>
        </w:rPr>
        <w:t>号联合站处理达标后回</w:t>
      </w:r>
      <w:r>
        <w:rPr>
          <w:rFonts w:ascii="宋体" w:hAnsi="宋体" w:eastAsia="宋体" w:cs="宋体"/>
          <w:color w:val="auto"/>
          <w:spacing w:val="-3"/>
          <w:sz w:val="24"/>
          <w:szCs w:val="24"/>
          <w:highlight w:val="none"/>
        </w:rPr>
        <w:t>注</w:t>
      </w:r>
      <w:r>
        <w:rPr>
          <w:rFonts w:hint="eastAsia" w:ascii="宋体" w:hAnsi="宋体" w:eastAsia="宋体" w:cs="宋体"/>
          <w:color w:val="auto"/>
          <w:spacing w:val="-3"/>
          <w:sz w:val="24"/>
          <w:szCs w:val="24"/>
          <w:highlight w:val="none"/>
          <w:lang w:val="en-US" w:eastAsia="zh-CN"/>
        </w:rPr>
        <w:t>油</w:t>
      </w:r>
      <w:r>
        <w:rPr>
          <w:rFonts w:ascii="宋体" w:hAnsi="宋体" w:eastAsia="宋体" w:cs="宋体"/>
          <w:color w:val="auto"/>
          <w:spacing w:val="-3"/>
          <w:sz w:val="24"/>
          <w:szCs w:val="24"/>
          <w:highlight w:val="none"/>
        </w:rPr>
        <w:t>层，采用密闭集输等措施控制无组织排放，废气排放可满足国家大气污染物排放标准要求，采油厂针对油田在施工期和运营期可能发生的各种环境风险事故，制定了详细的风险事故应急预案，当事件一旦发生时可迅速加以控制，使危害和损失降低到尽可能低的程度。本项目后续根据开发时序等进行分</w:t>
      </w:r>
      <w:r>
        <w:rPr>
          <w:rFonts w:ascii="宋体" w:hAnsi="宋体" w:eastAsia="宋体" w:cs="宋体"/>
          <w:color w:val="auto"/>
          <w:spacing w:val="-1"/>
          <w:sz w:val="24"/>
          <w:szCs w:val="24"/>
          <w:highlight w:val="none"/>
        </w:rPr>
        <w:t>期验收，符合文件中相关要求。</w:t>
      </w:r>
    </w:p>
    <w:p w14:paraId="00C248A1">
      <w:pPr>
        <w:keepNext w:val="0"/>
        <w:keepLines w:val="0"/>
        <w:pageBreakBefore w:val="0"/>
        <w:widowControl/>
        <w:kinsoku/>
        <w:wordWrap/>
        <w:overflowPunct/>
        <w:topLinePunct w:val="0"/>
        <w:autoSpaceDE/>
        <w:autoSpaceDN/>
        <w:bidi w:val="0"/>
        <w:adjustRightInd/>
        <w:snapToGrid/>
        <w:spacing w:line="360" w:lineRule="auto"/>
        <w:ind w:left="0"/>
        <w:jc w:val="both"/>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12"/>
          <w:sz w:val="28"/>
          <w:szCs w:val="28"/>
          <w:highlight w:val="none"/>
        </w:rPr>
        <w:t>3.7.</w:t>
      </w:r>
      <w:r>
        <w:rPr>
          <w:rFonts w:hint="eastAsia" w:ascii="Times New Roman" w:hAnsi="Times New Roman" w:eastAsia="宋体" w:cs="Times New Roman"/>
          <w:b/>
          <w:bCs/>
          <w:color w:val="auto"/>
          <w:spacing w:val="-12"/>
          <w:sz w:val="28"/>
          <w:szCs w:val="28"/>
          <w:highlight w:val="none"/>
          <w:lang w:val="en-US" w:eastAsia="zh-CN"/>
        </w:rPr>
        <w:t>5</w:t>
      </w:r>
      <w:r>
        <w:rPr>
          <w:rFonts w:ascii="宋体" w:hAnsi="宋体" w:eastAsia="宋体" w:cs="宋体"/>
          <w:b/>
          <w:bCs/>
          <w:color w:val="auto"/>
          <w:spacing w:val="-12"/>
          <w:sz w:val="28"/>
          <w:szCs w:val="28"/>
          <w:highlight w:val="none"/>
        </w:rPr>
        <w:t>与《陆上石油天然气开采业绿色矿山建设规范》（</w:t>
      </w:r>
      <w:r>
        <w:rPr>
          <w:rFonts w:ascii="Times New Roman" w:hAnsi="Times New Roman" w:eastAsia="Times New Roman" w:cs="Times New Roman"/>
          <w:b/>
          <w:bCs/>
          <w:color w:val="auto"/>
          <w:spacing w:val="-12"/>
          <w:sz w:val="28"/>
          <w:szCs w:val="28"/>
          <w:highlight w:val="none"/>
        </w:rPr>
        <w:t>DZ/T0317-2018</w:t>
      </w:r>
      <w:r>
        <w:rPr>
          <w:rFonts w:ascii="宋体" w:hAnsi="宋体" w:eastAsia="宋体" w:cs="宋体"/>
          <w:b/>
          <w:bCs/>
          <w:color w:val="auto"/>
          <w:spacing w:val="-12"/>
          <w:sz w:val="28"/>
          <w:szCs w:val="28"/>
          <w:highlight w:val="none"/>
        </w:rPr>
        <w:t>）</w:t>
      </w:r>
    </w:p>
    <w:p w14:paraId="5EA5A15A">
      <w:pPr>
        <w:keepNext w:val="0"/>
        <w:keepLines w:val="0"/>
        <w:pageBreakBefore w:val="0"/>
        <w:widowControl/>
        <w:kinsoku/>
        <w:wordWrap/>
        <w:overflowPunct/>
        <w:topLinePunct w:val="0"/>
        <w:autoSpaceDE/>
        <w:autoSpaceDN/>
        <w:bidi w:val="0"/>
        <w:adjustRightInd/>
        <w:snapToGrid/>
        <w:spacing w:line="360" w:lineRule="auto"/>
        <w:ind w:left="0"/>
        <w:textAlignment w:val="auto"/>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的符合性分析</w:t>
      </w:r>
    </w:p>
    <w:p w14:paraId="2B3E6A6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color w:val="auto"/>
          <w:sz w:val="21"/>
          <w:szCs w:val="21"/>
          <w:highlight w:val="none"/>
        </w:rPr>
      </w:pPr>
      <w:r>
        <w:rPr>
          <w:rFonts w:hint="default" w:ascii="Times New Roman" w:hAnsi="Times New Roman" w:cs="Times New Roman"/>
          <w:color w:val="auto"/>
          <w:sz w:val="24"/>
          <w:szCs w:val="24"/>
          <w:highlight w:val="none"/>
          <w:lang w:eastAsia="zh-CN"/>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采取的各项环保措施与《陆上石油天然气开采业绿色矿山建设规范》（DZ/T0317-2018）中要求的相符性分析详见表3.</w:t>
      </w:r>
      <w:r>
        <w:rPr>
          <w:rFonts w:hint="eastAsia" w:ascii="Times New Roman" w:hAnsi="Times New Roman" w:cs="Times New Roman"/>
          <w:color w:val="auto"/>
          <w:sz w:val="24"/>
          <w:szCs w:val="24"/>
          <w:highlight w:val="none"/>
          <w:lang w:val="en-US" w:eastAsia="zh-CN"/>
        </w:rPr>
        <w:t>7-1</w:t>
      </w:r>
      <w:r>
        <w:rPr>
          <w:rFonts w:hint="default" w:ascii="Times New Roman" w:hAnsi="Times New Roman" w:cs="Times New Roman"/>
          <w:color w:val="auto"/>
          <w:sz w:val="24"/>
          <w:szCs w:val="24"/>
          <w:highlight w:val="none"/>
        </w:rPr>
        <w:t>。</w:t>
      </w:r>
    </w:p>
    <w:p w14:paraId="088F9B24">
      <w:pPr>
        <w:pStyle w:val="139"/>
        <w:shd w:val="clear" w:color="auto" w:fil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表3</w:t>
      </w:r>
      <w:r>
        <w:rPr>
          <w:rFonts w:hint="default" w:ascii="Times New Roman" w:hAnsi="Times New Roman"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7-1</w:t>
      </w:r>
      <w:r>
        <w:rPr>
          <w:rFonts w:hint="default" w:ascii="Times New Roman" w:hAnsi="Times New Roman" w:cs="Times New Roman"/>
          <w:b w:val="0"/>
          <w:bCs/>
          <w:color w:val="auto"/>
          <w:highlight w:val="none"/>
        </w:rPr>
        <w:t>与《陆上石油天然气开采业绿色矿山建设规范》（DZ/T0317-2018）符合性</w:t>
      </w:r>
    </w:p>
    <w:tbl>
      <w:tblPr>
        <w:tblStyle w:val="35"/>
        <w:tblW w:w="5024" w:type="pct"/>
        <w:jc w:val="center"/>
        <w:tblLayout w:type="autofit"/>
        <w:tblCellMar>
          <w:top w:w="0" w:type="dxa"/>
          <w:left w:w="0" w:type="dxa"/>
          <w:bottom w:w="0" w:type="dxa"/>
          <w:right w:w="0" w:type="dxa"/>
        </w:tblCellMar>
      </w:tblPr>
      <w:tblGrid>
        <w:gridCol w:w="589"/>
        <w:gridCol w:w="3558"/>
        <w:gridCol w:w="3467"/>
        <w:gridCol w:w="965"/>
      </w:tblGrid>
      <w:tr w14:paraId="79474B8C">
        <w:tblPrEx>
          <w:tblCellMar>
            <w:top w:w="0" w:type="dxa"/>
            <w:left w:w="0" w:type="dxa"/>
            <w:bottom w:w="0" w:type="dxa"/>
            <w:right w:w="0" w:type="dxa"/>
          </w:tblCellMar>
        </w:tblPrEx>
        <w:trPr>
          <w:trHeight w:val="340"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14:paraId="6036E29C">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2073" w:type="pct"/>
            <w:tcBorders>
              <w:top w:val="single" w:color="000000" w:sz="4" w:space="0"/>
              <w:left w:val="single" w:color="000000" w:sz="4" w:space="0"/>
              <w:bottom w:val="single" w:color="000000" w:sz="4" w:space="0"/>
              <w:right w:val="single" w:color="000000" w:sz="4" w:space="0"/>
            </w:tcBorders>
            <w:noWrap w:val="0"/>
            <w:vAlign w:val="center"/>
          </w:tcPr>
          <w:p w14:paraId="147464D0">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规范中要求</w:t>
            </w:r>
          </w:p>
        </w:tc>
        <w:tc>
          <w:tcPr>
            <w:tcW w:w="2020" w:type="pct"/>
            <w:tcBorders>
              <w:top w:val="single" w:color="000000" w:sz="4" w:space="0"/>
              <w:left w:val="single" w:color="000000" w:sz="4" w:space="0"/>
              <w:bottom w:val="single" w:color="000000" w:sz="4" w:space="0"/>
              <w:right w:val="single" w:color="000000" w:sz="4" w:space="0"/>
            </w:tcBorders>
            <w:noWrap w:val="0"/>
            <w:vAlign w:val="center"/>
          </w:tcPr>
          <w:p w14:paraId="751900B5">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本工程情况</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37F140BA">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符合性</w:t>
            </w:r>
          </w:p>
        </w:tc>
      </w:tr>
      <w:tr w14:paraId="5D956EDC">
        <w:tblPrEx>
          <w:tblCellMar>
            <w:top w:w="0" w:type="dxa"/>
            <w:left w:w="0" w:type="dxa"/>
            <w:bottom w:w="0" w:type="dxa"/>
            <w:right w:w="0" w:type="dxa"/>
          </w:tblCellMar>
        </w:tblPrEx>
        <w:trPr>
          <w:trHeight w:val="340"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14:paraId="23E9DD60">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073" w:type="pct"/>
            <w:tcBorders>
              <w:top w:val="single" w:color="000000" w:sz="4" w:space="0"/>
              <w:left w:val="single" w:color="000000" w:sz="4" w:space="0"/>
              <w:bottom w:val="single" w:color="000000" w:sz="4" w:space="0"/>
              <w:right w:val="single" w:color="000000" w:sz="4" w:space="0"/>
            </w:tcBorders>
            <w:noWrap w:val="0"/>
            <w:vAlign w:val="center"/>
          </w:tcPr>
          <w:p w14:paraId="0D06DE69">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油气场站应采用合理有效的技术措施对高噪音设备进行降噪处理。</w:t>
            </w:r>
          </w:p>
        </w:tc>
        <w:tc>
          <w:tcPr>
            <w:tcW w:w="2020" w:type="pct"/>
            <w:tcBorders>
              <w:top w:val="single" w:color="000000" w:sz="4" w:space="0"/>
              <w:left w:val="single" w:color="000000" w:sz="4" w:space="0"/>
              <w:bottom w:val="single" w:color="000000" w:sz="4" w:space="0"/>
              <w:right w:val="single" w:color="000000" w:sz="4" w:space="0"/>
            </w:tcBorders>
            <w:noWrap w:val="0"/>
            <w:vAlign w:val="center"/>
          </w:tcPr>
          <w:p w14:paraId="2CFC206E">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井场无高噪音设备，采取基础减振等措施进行降噪。</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5476D3BD">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5A19D8F8">
        <w:tblPrEx>
          <w:tblCellMar>
            <w:top w:w="0" w:type="dxa"/>
            <w:left w:w="0" w:type="dxa"/>
            <w:bottom w:w="0" w:type="dxa"/>
            <w:right w:w="0" w:type="dxa"/>
          </w:tblCellMar>
        </w:tblPrEx>
        <w:trPr>
          <w:trHeight w:val="340"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14:paraId="005ADD42">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073" w:type="pct"/>
            <w:tcBorders>
              <w:top w:val="single" w:color="000000" w:sz="4" w:space="0"/>
              <w:left w:val="single" w:color="000000" w:sz="4" w:space="0"/>
              <w:bottom w:val="single" w:color="000000" w:sz="4" w:space="0"/>
              <w:right w:val="single" w:color="000000" w:sz="4" w:space="0"/>
            </w:tcBorders>
            <w:noWrap w:val="0"/>
            <w:vAlign w:val="center"/>
          </w:tcPr>
          <w:p w14:paraId="425E360F">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tc>
        <w:tc>
          <w:tcPr>
            <w:tcW w:w="2020" w:type="pct"/>
            <w:tcBorders>
              <w:top w:val="single" w:color="000000" w:sz="4" w:space="0"/>
              <w:left w:val="single" w:color="000000" w:sz="4" w:space="0"/>
              <w:bottom w:val="single" w:color="000000" w:sz="4" w:space="0"/>
              <w:right w:val="single" w:color="000000" w:sz="4" w:space="0"/>
            </w:tcBorders>
            <w:noWrap w:val="0"/>
            <w:vAlign w:val="center"/>
          </w:tcPr>
          <w:p w14:paraId="2B19758E">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本工程所用技术、工艺和设备不属于国家和自治区明令限制和淘汰的技术、工艺和设备。</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7A7554E8">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36DAEF1B">
        <w:tblPrEx>
          <w:tblCellMar>
            <w:top w:w="0" w:type="dxa"/>
            <w:left w:w="0" w:type="dxa"/>
            <w:bottom w:w="0" w:type="dxa"/>
            <w:right w:w="0" w:type="dxa"/>
          </w:tblCellMar>
        </w:tblPrEx>
        <w:trPr>
          <w:trHeight w:val="340"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14:paraId="0A405CA6">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073" w:type="pct"/>
            <w:tcBorders>
              <w:top w:val="single" w:color="000000" w:sz="4" w:space="0"/>
              <w:left w:val="single" w:color="000000" w:sz="4" w:space="0"/>
              <w:bottom w:val="single" w:color="000000" w:sz="4" w:space="0"/>
              <w:right w:val="single" w:color="000000" w:sz="4" w:space="0"/>
            </w:tcBorders>
            <w:noWrap w:val="0"/>
            <w:vAlign w:val="center"/>
          </w:tcPr>
          <w:p w14:paraId="30A1A13D">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集约节约利用土地资源，土地利用符合用地指标政策。合理确定站址、场址、管网、路网建设占地规模。</w:t>
            </w:r>
          </w:p>
        </w:tc>
        <w:tc>
          <w:tcPr>
            <w:tcW w:w="2020" w:type="pct"/>
            <w:tcBorders>
              <w:top w:val="single" w:color="000000" w:sz="4" w:space="0"/>
              <w:left w:val="single" w:color="000000" w:sz="4" w:space="0"/>
              <w:bottom w:val="single" w:color="000000" w:sz="4" w:space="0"/>
              <w:right w:val="single" w:color="000000" w:sz="4" w:space="0"/>
            </w:tcBorders>
            <w:noWrap w:val="0"/>
            <w:vAlign w:val="center"/>
          </w:tcPr>
          <w:p w14:paraId="082CDE22">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方案设计基于区块概念设计，合理布置</w:t>
            </w:r>
            <w:r>
              <w:rPr>
                <w:rFonts w:hint="default" w:ascii="Times New Roman" w:hAnsi="Times New Roman" w:cs="Times New Roman"/>
                <w:color w:val="auto"/>
                <w:highlight w:val="none"/>
                <w:lang w:val="en-US" w:eastAsia="zh-CN"/>
              </w:rPr>
              <w:t>井</w:t>
            </w:r>
            <w:r>
              <w:rPr>
                <w:rFonts w:hint="default" w:ascii="Times New Roman" w:hAnsi="Times New Roman" w:cs="Times New Roman"/>
                <w:color w:val="auto"/>
                <w:highlight w:val="none"/>
              </w:rPr>
              <w:t>场及管线，并根据施工需求确定管线占地规模。</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7FDBE2B0">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7B58E6AF">
        <w:tblPrEx>
          <w:tblCellMar>
            <w:top w:w="0" w:type="dxa"/>
            <w:left w:w="0" w:type="dxa"/>
            <w:bottom w:w="0" w:type="dxa"/>
            <w:right w:w="0" w:type="dxa"/>
          </w:tblCellMar>
        </w:tblPrEx>
        <w:trPr>
          <w:trHeight w:val="340"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14:paraId="3E355321">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073" w:type="pct"/>
            <w:tcBorders>
              <w:top w:val="single" w:color="000000" w:sz="4" w:space="0"/>
              <w:left w:val="single" w:color="000000" w:sz="4" w:space="0"/>
              <w:bottom w:val="single" w:color="000000" w:sz="4" w:space="0"/>
              <w:right w:val="single" w:color="000000" w:sz="4" w:space="0"/>
            </w:tcBorders>
            <w:noWrap w:val="0"/>
            <w:vAlign w:val="center"/>
          </w:tcPr>
          <w:p w14:paraId="688DB560">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废液、废气、固体废物应建档分类管理，并清洁化、无害化处置，处置率应达到100%。</w:t>
            </w:r>
          </w:p>
        </w:tc>
        <w:tc>
          <w:tcPr>
            <w:tcW w:w="2020" w:type="pct"/>
            <w:tcBorders>
              <w:top w:val="single" w:color="000000" w:sz="4" w:space="0"/>
              <w:left w:val="single" w:color="000000" w:sz="4" w:space="0"/>
              <w:bottom w:val="single" w:color="000000" w:sz="4" w:space="0"/>
              <w:right w:val="single" w:color="000000" w:sz="4" w:space="0"/>
            </w:tcBorders>
            <w:noWrap w:val="0"/>
            <w:vAlign w:val="center"/>
          </w:tcPr>
          <w:p w14:paraId="21823E16">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废水及固体废物处理及处置措施得当，处置率100%。</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62AF375E">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25DA2E5">
        <w:tblPrEx>
          <w:tblCellMar>
            <w:top w:w="0" w:type="dxa"/>
            <w:left w:w="0" w:type="dxa"/>
            <w:bottom w:w="0" w:type="dxa"/>
            <w:right w:w="0" w:type="dxa"/>
          </w:tblCellMar>
        </w:tblPrEx>
        <w:trPr>
          <w:trHeight w:val="340"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14:paraId="2B41C7F3">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073" w:type="pct"/>
            <w:tcBorders>
              <w:top w:val="single" w:color="000000" w:sz="4" w:space="0"/>
              <w:left w:val="single" w:color="000000" w:sz="4" w:space="0"/>
              <w:bottom w:val="single" w:color="000000" w:sz="4" w:space="0"/>
              <w:right w:val="single" w:color="000000" w:sz="4" w:space="0"/>
            </w:tcBorders>
            <w:noWrap w:val="0"/>
            <w:vAlign w:val="center"/>
          </w:tcPr>
          <w:p w14:paraId="2E0E5D55">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油气生产过程中的采出水应清洁处理后循环利用；不能循环利用的，应达标排放、回注或采取其他有效利用方式。</w:t>
            </w:r>
          </w:p>
        </w:tc>
        <w:tc>
          <w:tcPr>
            <w:tcW w:w="2020" w:type="pct"/>
            <w:tcBorders>
              <w:top w:val="single" w:color="000000" w:sz="4" w:space="0"/>
              <w:left w:val="single" w:color="000000" w:sz="4" w:space="0"/>
              <w:bottom w:val="single" w:color="000000" w:sz="4" w:space="0"/>
              <w:right w:val="single" w:color="000000" w:sz="4" w:space="0"/>
            </w:tcBorders>
            <w:noWrap w:val="0"/>
            <w:vAlign w:val="center"/>
          </w:tcPr>
          <w:p w14:paraId="1FBFE230">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采出水依托</w:t>
            </w:r>
            <w:r>
              <w:rPr>
                <w:rFonts w:hint="eastAsia" w:ascii="Times New Roman" w:hAnsi="Times New Roman" w:cs="Times New Roman"/>
                <w:color w:val="auto"/>
                <w:highlight w:val="none"/>
                <w:lang w:val="en-US" w:eastAsia="zh-CN"/>
              </w:rPr>
              <w:t>塔河油田三号</w:t>
            </w:r>
            <w:r>
              <w:rPr>
                <w:rFonts w:hint="default" w:ascii="Times New Roman" w:hAnsi="Times New Roman" w:cs="Times New Roman"/>
                <w:color w:val="auto"/>
                <w:highlight w:val="none"/>
              </w:rPr>
              <w:t>联合站采出水处理系统处理达标后，回注</w:t>
            </w:r>
            <w:r>
              <w:rPr>
                <w:rFonts w:hint="eastAsia" w:ascii="Times New Roman" w:hAnsi="Times New Roman" w:cs="Times New Roman"/>
                <w:color w:val="auto"/>
                <w:highlight w:val="none"/>
                <w:lang w:val="en-US" w:eastAsia="zh-CN"/>
              </w:rPr>
              <w:t>油</w:t>
            </w:r>
            <w:r>
              <w:rPr>
                <w:rFonts w:hint="default" w:ascii="Times New Roman" w:hAnsi="Times New Roman" w:cs="Times New Roman"/>
                <w:color w:val="auto"/>
                <w:highlight w:val="none"/>
              </w:rPr>
              <w:t>层。</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635CEB8A">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D886EDC">
        <w:tblPrEx>
          <w:tblCellMar>
            <w:top w:w="0" w:type="dxa"/>
            <w:left w:w="0" w:type="dxa"/>
            <w:bottom w:w="0" w:type="dxa"/>
            <w:right w:w="0" w:type="dxa"/>
          </w:tblCellMar>
        </w:tblPrEx>
        <w:trPr>
          <w:trHeight w:val="340"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14:paraId="0D22B582">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073" w:type="pct"/>
            <w:tcBorders>
              <w:top w:val="single" w:color="000000" w:sz="4" w:space="0"/>
              <w:left w:val="single" w:color="000000" w:sz="4" w:space="0"/>
              <w:bottom w:val="single" w:color="000000" w:sz="4" w:space="0"/>
              <w:right w:val="single" w:color="000000" w:sz="4" w:space="0"/>
            </w:tcBorders>
            <w:noWrap w:val="0"/>
            <w:vAlign w:val="center"/>
          </w:tcPr>
          <w:p w14:paraId="4F88DE8F">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油气开采过程中产生的落地原油应及时全部回收。</w:t>
            </w:r>
          </w:p>
        </w:tc>
        <w:tc>
          <w:tcPr>
            <w:tcW w:w="2020" w:type="pct"/>
            <w:tcBorders>
              <w:top w:val="single" w:color="000000" w:sz="4" w:space="0"/>
              <w:left w:val="single" w:color="000000" w:sz="4" w:space="0"/>
              <w:bottom w:val="single" w:color="000000" w:sz="4" w:space="0"/>
              <w:right w:val="single" w:color="000000" w:sz="4" w:space="0"/>
            </w:tcBorders>
            <w:noWrap w:val="0"/>
            <w:vAlign w:val="center"/>
          </w:tcPr>
          <w:p w14:paraId="30094386">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井下作业时铺设防渗材料，防止落地油产生。</w:t>
            </w:r>
            <w:r>
              <w:rPr>
                <w:rFonts w:hint="default" w:ascii="Times New Roman" w:hAnsi="Times New Roman" w:cs="Times New Roman"/>
                <w:color w:val="auto"/>
                <w:highlight w:val="none"/>
              </w:rPr>
              <w:t>含油污染物妥善收集并及时委托有资质的单位处置。</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2D999D16">
            <w:pPr>
              <w:pStyle w:val="67"/>
              <w:keepNext w:val="0"/>
              <w:keepLines w:val="0"/>
              <w:pageBreakBefore w:val="0"/>
              <w:widowControl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0BC6AB68">
      <w:pPr>
        <w:spacing w:before="91" w:line="220" w:lineRule="auto"/>
        <w:ind w:left="18"/>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z w:val="28"/>
          <w:szCs w:val="28"/>
          <w:highlight w:val="none"/>
        </w:rPr>
        <w:t>3.7.</w:t>
      </w:r>
      <w:r>
        <w:rPr>
          <w:rFonts w:hint="eastAsia" w:ascii="Times New Roman" w:hAnsi="Times New Roman" w:eastAsia="宋体" w:cs="Times New Roman"/>
          <w:b/>
          <w:bCs/>
          <w:color w:val="auto"/>
          <w:sz w:val="28"/>
          <w:szCs w:val="28"/>
          <w:highlight w:val="none"/>
          <w:lang w:val="en-US" w:eastAsia="zh-CN"/>
        </w:rPr>
        <w:t>6</w:t>
      </w:r>
      <w:r>
        <w:rPr>
          <w:rFonts w:ascii="宋体" w:hAnsi="宋体" w:eastAsia="宋体" w:cs="宋体"/>
          <w:b/>
          <w:bCs/>
          <w:color w:val="auto"/>
          <w:sz w:val="28"/>
          <w:szCs w:val="28"/>
          <w:highlight w:val="none"/>
        </w:rPr>
        <w:t>与《国家级公益林管理办法》《建设项目使用林地审核审批管</w:t>
      </w:r>
    </w:p>
    <w:p w14:paraId="3034D29D">
      <w:pPr>
        <w:spacing w:before="319" w:line="220" w:lineRule="auto"/>
        <w:ind w:left="28"/>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理办法》《新疆维吾尔自治区国家级公益林管护办法》符合性分析</w:t>
      </w:r>
    </w:p>
    <w:p w14:paraId="6909BB23">
      <w:pPr>
        <w:spacing w:before="259" w:line="372" w:lineRule="auto"/>
        <w:ind w:left="24" w:right="61" w:firstLine="539"/>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根据《国家级公益林管理办法》规定：“一级国</w:t>
      </w:r>
      <w:r>
        <w:rPr>
          <w:rFonts w:ascii="宋体" w:hAnsi="宋体" w:eastAsia="宋体" w:cs="宋体"/>
          <w:color w:val="auto"/>
          <w:spacing w:val="-1"/>
          <w:sz w:val="24"/>
          <w:szCs w:val="24"/>
          <w:highlight w:val="none"/>
        </w:rPr>
        <w:t>家级公益林原则上不得开</w:t>
      </w:r>
      <w:r>
        <w:rPr>
          <w:rFonts w:ascii="宋体" w:hAnsi="宋体" w:eastAsia="宋体" w:cs="宋体"/>
          <w:color w:val="auto"/>
          <w:spacing w:val="-3"/>
          <w:sz w:val="24"/>
          <w:szCs w:val="24"/>
          <w:highlight w:val="none"/>
        </w:rPr>
        <w:t>展生产经营活动，严禁打枝、采脂、割漆、剥树皮、掘根等行为。国有一级国家级公益林，不得开展任何形式的生产经营活动。”第十三条规定“二级国家级公益林在不影响整体森林生态系统功能发挥的前提下，可以按照第十二条第三款相关技术规程的规定开展抚育和更新性质的采伐。在不破坏森林植被的前提下，可以合理利用其林地资源，适度开展林下种植养殖和森林游憩等非木质资源开发与</w:t>
      </w:r>
      <w:r>
        <w:rPr>
          <w:rFonts w:ascii="宋体" w:hAnsi="宋体" w:eastAsia="宋体" w:cs="宋体"/>
          <w:color w:val="auto"/>
          <w:spacing w:val="5"/>
          <w:sz w:val="24"/>
          <w:szCs w:val="24"/>
          <w:highlight w:val="none"/>
        </w:rPr>
        <w:t>利用，科学发展林下经济。”</w:t>
      </w:r>
    </w:p>
    <w:p w14:paraId="10A00C0E">
      <w:pPr>
        <w:spacing w:before="33" w:line="372" w:lineRule="auto"/>
        <w:ind w:left="24" w:firstLine="53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根据《建设项目使用林地审核审批管理办法》规定，“建设项目占</w:t>
      </w:r>
      <w:r>
        <w:rPr>
          <w:rFonts w:ascii="宋体" w:hAnsi="宋体" w:eastAsia="宋体" w:cs="宋体"/>
          <w:color w:val="auto"/>
          <w:spacing w:val="-4"/>
          <w:sz w:val="24"/>
          <w:szCs w:val="24"/>
          <w:highlight w:val="none"/>
        </w:rPr>
        <w:t>用林地，</w:t>
      </w:r>
      <w:r>
        <w:rPr>
          <w:rFonts w:ascii="宋体" w:hAnsi="宋体" w:eastAsia="宋体" w:cs="宋体"/>
          <w:color w:val="auto"/>
          <w:spacing w:val="-3"/>
          <w:sz w:val="24"/>
          <w:szCs w:val="24"/>
          <w:highlight w:val="none"/>
        </w:rPr>
        <w:t>经林业主管部门审核同意后，建设单位和个人应当依照法律法规的规定办理建设用地审批手续。建设项目需要使用林地的，用地单位或者个人应当向林地所在地的县级人民政府林业主管部门提出申请。公路、铁路、输电线路、油气管线和水利水电、航道建设项目临时占用林地的，可以根据施工进展情况，一次或者分批</w:t>
      </w:r>
      <w:r>
        <w:rPr>
          <w:rFonts w:ascii="宋体" w:hAnsi="宋体" w:eastAsia="宋体" w:cs="宋体"/>
          <w:color w:val="auto"/>
          <w:spacing w:val="2"/>
          <w:sz w:val="24"/>
          <w:szCs w:val="24"/>
          <w:highlight w:val="none"/>
        </w:rPr>
        <w:t>次由具有整体项目审批权限的人民政府林业主管部门审批临时占用林地。”</w:t>
      </w:r>
    </w:p>
    <w:p w14:paraId="5372FA83">
      <w:pPr>
        <w:spacing w:before="34" w:line="371" w:lineRule="auto"/>
        <w:ind w:left="23" w:right="61" w:firstLine="54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根据《新疆维吾尔自治区国家级公益林管护办法》规定，“勘查、开采矿</w:t>
      </w:r>
      <w:r>
        <w:rPr>
          <w:rFonts w:ascii="宋体" w:hAnsi="宋体" w:eastAsia="宋体" w:cs="宋体"/>
          <w:color w:val="auto"/>
          <w:spacing w:val="-3"/>
          <w:sz w:val="24"/>
          <w:szCs w:val="24"/>
          <w:highlight w:val="none"/>
        </w:rPr>
        <w:t>藏和修建道路、水利、电力、通讯等工程需要占用征收国家级公益林地的，应当依法办理占用征收林地审核审批手续；占用征收国家级公益林地的单位，必须按国家和自治区相关规定缴纳相关费用。森林植被恢复费用于国家级公益林森林植</w:t>
      </w:r>
      <w:r>
        <w:rPr>
          <w:rFonts w:ascii="宋体" w:hAnsi="宋体" w:eastAsia="宋体" w:cs="宋体"/>
          <w:color w:val="auto"/>
          <w:spacing w:val="-1"/>
          <w:sz w:val="24"/>
          <w:szCs w:val="24"/>
          <w:highlight w:val="none"/>
        </w:rPr>
        <w:t>被恢复，确保国家级公益林面积不减少”。</w:t>
      </w:r>
    </w:p>
    <w:p w14:paraId="00E49467">
      <w:pPr>
        <w:spacing w:before="29" w:line="373" w:lineRule="auto"/>
        <w:ind w:left="21" w:right="7" w:firstLine="543"/>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经调查，本项目不涉及国有一级国家级公益林及</w:t>
      </w:r>
      <w:r>
        <w:rPr>
          <w:rFonts w:ascii="Times New Roman" w:hAnsi="Times New Roman" w:eastAsia="Times New Roman" w:cs="Times New Roman"/>
          <w:color w:val="auto"/>
          <w:spacing w:val="-4"/>
          <w:sz w:val="24"/>
          <w:szCs w:val="24"/>
          <w:highlight w:val="none"/>
        </w:rPr>
        <w:t>I</w:t>
      </w:r>
      <w:r>
        <w:rPr>
          <w:rFonts w:ascii="宋体" w:hAnsi="宋体" w:eastAsia="宋体" w:cs="宋体"/>
          <w:color w:val="auto"/>
          <w:spacing w:val="-4"/>
          <w:sz w:val="24"/>
          <w:szCs w:val="24"/>
          <w:highlight w:val="none"/>
        </w:rPr>
        <w:t>级林地，所涉及的</w:t>
      </w:r>
      <w:r>
        <w:rPr>
          <w:rFonts w:hint="eastAsia" w:ascii="宋体" w:hAnsi="宋体" w:eastAsia="宋体" w:cs="宋体"/>
          <w:color w:val="auto"/>
          <w:spacing w:val="-4"/>
          <w:sz w:val="24"/>
          <w:szCs w:val="24"/>
          <w:highlight w:val="none"/>
          <w:lang w:val="en-US" w:eastAsia="zh-CN"/>
        </w:rPr>
        <w:t>国家二级公益林</w:t>
      </w:r>
      <w:r>
        <w:rPr>
          <w:rFonts w:ascii="宋体" w:hAnsi="宋体" w:eastAsia="宋体" w:cs="宋体"/>
          <w:color w:val="auto"/>
          <w:spacing w:val="-3"/>
          <w:sz w:val="24"/>
          <w:szCs w:val="24"/>
          <w:highlight w:val="none"/>
        </w:rPr>
        <w:t>建设单</w:t>
      </w:r>
      <w:r>
        <w:rPr>
          <w:rFonts w:hint="eastAsia" w:ascii="宋体" w:hAnsi="宋体" w:cs="宋体"/>
          <w:color w:val="auto"/>
          <w:spacing w:val="-3"/>
          <w:sz w:val="24"/>
          <w:szCs w:val="24"/>
          <w:highlight w:val="none"/>
          <w:lang w:eastAsia="zh-CN"/>
        </w:rPr>
        <w:t>位在</w:t>
      </w:r>
      <w:r>
        <w:rPr>
          <w:rFonts w:ascii="宋体" w:hAnsi="宋体" w:eastAsia="宋体" w:cs="宋体"/>
          <w:color w:val="auto"/>
          <w:spacing w:val="-3"/>
          <w:sz w:val="24"/>
          <w:szCs w:val="24"/>
          <w:highlight w:val="none"/>
        </w:rPr>
        <w:t>施工前根据《国家级公益林管理办法》《建设项目使用林地审核审批管理办法》《新疆维吾尔自治区国家级公益林管护办法》的相关要求，根据施工</w:t>
      </w:r>
      <w:r>
        <w:rPr>
          <w:rFonts w:ascii="宋体" w:hAnsi="宋体" w:eastAsia="宋体" w:cs="宋体"/>
          <w:color w:val="auto"/>
          <w:spacing w:val="-1"/>
          <w:sz w:val="24"/>
          <w:szCs w:val="24"/>
          <w:highlight w:val="none"/>
        </w:rPr>
        <w:t>进展情况，一次或者分批次经林业主管部门审批</w:t>
      </w:r>
      <w:r>
        <w:rPr>
          <w:rFonts w:ascii="宋体" w:hAnsi="宋体" w:eastAsia="宋体" w:cs="宋体"/>
          <w:color w:val="auto"/>
          <w:spacing w:val="-2"/>
          <w:sz w:val="24"/>
          <w:szCs w:val="24"/>
          <w:highlight w:val="none"/>
        </w:rPr>
        <w:t>，办理占地手续后方开工建设。</w:t>
      </w:r>
      <w:r>
        <w:rPr>
          <w:rFonts w:ascii="宋体" w:hAnsi="宋体" w:eastAsia="宋体" w:cs="宋体"/>
          <w:color w:val="auto"/>
          <w:spacing w:val="-3"/>
          <w:sz w:val="24"/>
          <w:szCs w:val="24"/>
          <w:highlight w:val="none"/>
        </w:rPr>
        <w:t>施工完成后及时对占用林地进行恢复，符合《国家级公益林管理办法》《新疆维吾尔自治区国家级公益林管护办法》《建设项目使用林地审核审批管理办法》中</w:t>
      </w:r>
      <w:r>
        <w:rPr>
          <w:rFonts w:ascii="宋体" w:hAnsi="宋体" w:eastAsia="宋体" w:cs="宋体"/>
          <w:color w:val="auto"/>
          <w:spacing w:val="-2"/>
          <w:sz w:val="24"/>
          <w:szCs w:val="24"/>
          <w:highlight w:val="none"/>
        </w:rPr>
        <w:t>相关要求。</w:t>
      </w:r>
    </w:p>
    <w:p w14:paraId="10DFD6F6">
      <w:pPr>
        <w:keepNext w:val="0"/>
        <w:keepLines w:val="0"/>
        <w:pageBreakBefore w:val="0"/>
        <w:widowControl/>
        <w:kinsoku/>
        <w:wordWrap/>
        <w:overflowPunct/>
        <w:topLinePunct w:val="0"/>
        <w:autoSpaceDE/>
        <w:autoSpaceDN/>
        <w:bidi w:val="0"/>
        <w:adjustRightInd/>
        <w:snapToGrid/>
        <w:spacing w:before="94" w:line="360" w:lineRule="auto"/>
        <w:ind w:left="121"/>
        <w:textAlignment w:val="auto"/>
        <w:outlineLvl w:val="2"/>
        <w:rPr>
          <w:rFonts w:ascii="宋体" w:hAnsi="宋体" w:eastAsia="宋体" w:cs="宋体"/>
          <w:b/>
          <w:bCs/>
          <w:color w:val="auto"/>
          <w:spacing w:val="-2"/>
          <w:sz w:val="28"/>
          <w:szCs w:val="28"/>
          <w:highlight w:val="none"/>
        </w:rPr>
      </w:pPr>
      <w:r>
        <w:rPr>
          <w:rFonts w:ascii="Times New Roman" w:hAnsi="Times New Roman" w:eastAsia="Times New Roman" w:cs="Times New Roman"/>
          <w:b/>
          <w:bCs/>
          <w:color w:val="auto"/>
          <w:spacing w:val="-2"/>
          <w:sz w:val="28"/>
          <w:szCs w:val="28"/>
          <w:highlight w:val="none"/>
        </w:rPr>
        <w:t>3.7.</w:t>
      </w:r>
      <w:r>
        <w:rPr>
          <w:rFonts w:hint="eastAsia" w:ascii="Times New Roman" w:hAnsi="Times New Roman" w:eastAsia="宋体" w:cs="Times New Roman"/>
          <w:b/>
          <w:bCs/>
          <w:color w:val="auto"/>
          <w:spacing w:val="-2"/>
          <w:sz w:val="28"/>
          <w:szCs w:val="28"/>
          <w:highlight w:val="none"/>
          <w:lang w:val="en-US" w:eastAsia="zh-CN"/>
        </w:rPr>
        <w:t>7</w:t>
      </w:r>
      <w:r>
        <w:rPr>
          <w:rFonts w:ascii="宋体" w:hAnsi="宋体" w:eastAsia="宋体" w:cs="宋体"/>
          <w:b/>
          <w:bCs/>
          <w:color w:val="auto"/>
          <w:spacing w:val="-2"/>
          <w:sz w:val="28"/>
          <w:szCs w:val="28"/>
          <w:highlight w:val="none"/>
        </w:rPr>
        <w:t>与《天然林保护修复制度方案》符合性分析</w:t>
      </w:r>
    </w:p>
    <w:p w14:paraId="397BABF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color w:val="auto"/>
          <w:sz w:val="21"/>
          <w:szCs w:val="21"/>
          <w:highlight w:val="none"/>
        </w:rPr>
      </w:pPr>
      <w:r>
        <w:rPr>
          <w:rFonts w:hint="eastAsia"/>
          <w:color w:val="auto"/>
          <w:highlight w:val="none"/>
          <w:lang w:val="en-US" w:eastAsia="zh-CN"/>
        </w:rPr>
        <w:t>经调查，本项目部分管线临时占用国家二级公益林，项目开工前须取得林草主管部门的相关许可，本项目</w:t>
      </w:r>
      <w:r>
        <w:rPr>
          <w:rFonts w:hint="default" w:ascii="Times New Roman" w:hAnsi="Times New Roman" w:cs="Times New Roman"/>
          <w:color w:val="auto"/>
          <w:sz w:val="24"/>
          <w:szCs w:val="24"/>
          <w:highlight w:val="none"/>
        </w:rPr>
        <w:t>采取的各项环保措施与《</w:t>
      </w:r>
      <w:r>
        <w:rPr>
          <w:rFonts w:hint="eastAsia" w:ascii="Times New Roman" w:hAnsi="Times New Roman" w:cs="Times New Roman"/>
          <w:color w:val="auto"/>
          <w:sz w:val="24"/>
          <w:szCs w:val="24"/>
          <w:highlight w:val="none"/>
          <w:lang w:val="en-US" w:eastAsia="zh-CN"/>
        </w:rPr>
        <w:t>天然林保护修复制度方案</w:t>
      </w:r>
      <w:r>
        <w:rPr>
          <w:rFonts w:hint="default" w:ascii="Times New Roman" w:hAnsi="Times New Roman" w:cs="Times New Roman"/>
          <w:color w:val="auto"/>
          <w:sz w:val="24"/>
          <w:szCs w:val="24"/>
          <w:highlight w:val="none"/>
        </w:rPr>
        <w:t>》中要求的相符性分析详见表3.</w:t>
      </w:r>
      <w:r>
        <w:rPr>
          <w:rFonts w:hint="eastAsia" w:ascii="Times New Roman" w:hAnsi="Times New Roman" w:cs="Times New Roman"/>
          <w:color w:val="auto"/>
          <w:sz w:val="24"/>
          <w:szCs w:val="24"/>
          <w:highlight w:val="none"/>
          <w:lang w:val="en-US" w:eastAsia="zh-CN"/>
        </w:rPr>
        <w:t>7-2</w:t>
      </w:r>
      <w:r>
        <w:rPr>
          <w:rFonts w:hint="default" w:ascii="Times New Roman" w:hAnsi="Times New Roman" w:cs="Times New Roman"/>
          <w:color w:val="auto"/>
          <w:sz w:val="24"/>
          <w:szCs w:val="24"/>
          <w:highlight w:val="none"/>
        </w:rPr>
        <w:t>。</w:t>
      </w:r>
    </w:p>
    <w:p w14:paraId="72A3A273">
      <w:pPr>
        <w:keepNext w:val="0"/>
        <w:keepLines w:val="0"/>
        <w:pageBreakBefore w:val="0"/>
        <w:widowControl/>
        <w:kinsoku/>
        <w:wordWrap/>
        <w:overflowPunct/>
        <w:topLinePunct w:val="0"/>
        <w:autoSpaceDE/>
        <w:autoSpaceDN/>
        <w:bidi w:val="0"/>
        <w:adjustRightInd/>
        <w:snapToGrid/>
        <w:spacing w:line="240" w:lineRule="auto"/>
        <w:ind w:left="1604"/>
        <w:textAlignment w:val="auto"/>
        <w:rPr>
          <w:rFonts w:ascii="黑体" w:hAnsi="黑体" w:eastAsia="黑体" w:cs="黑体"/>
          <w:color w:val="auto"/>
          <w:sz w:val="22"/>
          <w:szCs w:val="22"/>
          <w:highlight w:val="none"/>
        </w:rPr>
      </w:pPr>
      <w:r>
        <w:rPr>
          <w:rFonts w:ascii="黑体" w:hAnsi="黑体" w:eastAsia="黑体" w:cs="黑体"/>
          <w:color w:val="auto"/>
          <w:spacing w:val="-1"/>
          <w:sz w:val="22"/>
          <w:szCs w:val="22"/>
          <w:highlight w:val="none"/>
        </w:rPr>
        <w:t>表</w:t>
      </w:r>
      <w:r>
        <w:rPr>
          <w:rFonts w:ascii="Times New Roman" w:hAnsi="Times New Roman" w:eastAsia="Times New Roman" w:cs="Times New Roman"/>
          <w:color w:val="auto"/>
          <w:spacing w:val="-1"/>
          <w:sz w:val="22"/>
          <w:szCs w:val="22"/>
          <w:highlight w:val="none"/>
        </w:rPr>
        <w:t>3.7-</w:t>
      </w:r>
      <w:r>
        <w:rPr>
          <w:rFonts w:hint="eastAsia" w:ascii="Times New Roman" w:hAnsi="Times New Roman" w:eastAsia="宋体" w:cs="Times New Roman"/>
          <w:color w:val="auto"/>
          <w:spacing w:val="-1"/>
          <w:sz w:val="22"/>
          <w:szCs w:val="22"/>
          <w:highlight w:val="none"/>
          <w:lang w:val="en-US" w:eastAsia="zh-CN"/>
        </w:rPr>
        <w:t>2</w:t>
      </w:r>
      <w:r>
        <w:rPr>
          <w:rFonts w:ascii="黑体" w:hAnsi="黑体" w:eastAsia="黑体" w:cs="黑体"/>
          <w:color w:val="auto"/>
          <w:spacing w:val="-1"/>
          <w:sz w:val="22"/>
          <w:szCs w:val="22"/>
          <w:highlight w:val="none"/>
        </w:rPr>
        <w:t>与《天然林保护修复制度方案》符合性分析</w:t>
      </w:r>
    </w:p>
    <w:p w14:paraId="11103938">
      <w:pPr>
        <w:spacing w:line="102" w:lineRule="auto"/>
        <w:rPr>
          <w:rFonts w:ascii="Arial"/>
          <w:color w:val="auto"/>
          <w:sz w:val="2"/>
          <w:highlight w:val="none"/>
        </w:rPr>
      </w:pPr>
    </w:p>
    <w:tbl>
      <w:tblPr>
        <w:tblStyle w:val="60"/>
        <w:tblW w:w="852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0"/>
        <w:gridCol w:w="2737"/>
        <w:gridCol w:w="956"/>
      </w:tblGrid>
      <w:tr w14:paraId="63B09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830" w:type="dxa"/>
            <w:tcBorders>
              <w:top w:val="single" w:color="000000" w:sz="6" w:space="0"/>
              <w:left w:val="single" w:color="000000" w:sz="6" w:space="0"/>
            </w:tcBorders>
            <w:vAlign w:val="top"/>
          </w:tcPr>
          <w:p w14:paraId="0A02C47A">
            <w:pPr>
              <w:keepNext w:val="0"/>
              <w:keepLines w:val="0"/>
              <w:pageBreakBefore w:val="0"/>
              <w:widowControl/>
              <w:kinsoku/>
              <w:wordWrap/>
              <w:overflowPunct/>
              <w:topLinePunct w:val="0"/>
              <w:autoSpaceDE/>
              <w:autoSpaceDN/>
              <w:bidi w:val="0"/>
              <w:adjustRightInd/>
              <w:snapToGrid/>
              <w:spacing w:line="240" w:lineRule="auto"/>
              <w:ind w:left="1996"/>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方案要求</w:t>
            </w:r>
          </w:p>
        </w:tc>
        <w:tc>
          <w:tcPr>
            <w:tcW w:w="2737" w:type="dxa"/>
            <w:tcBorders>
              <w:top w:val="single" w:color="000000" w:sz="6" w:space="0"/>
            </w:tcBorders>
            <w:vAlign w:val="top"/>
          </w:tcPr>
          <w:p w14:paraId="029B0C27">
            <w:pPr>
              <w:keepNext w:val="0"/>
              <w:keepLines w:val="0"/>
              <w:pageBreakBefore w:val="0"/>
              <w:widowControl/>
              <w:kinsoku/>
              <w:wordWrap/>
              <w:overflowPunct/>
              <w:topLinePunct w:val="0"/>
              <w:autoSpaceDE/>
              <w:autoSpaceDN/>
              <w:bidi w:val="0"/>
              <w:adjustRightInd/>
              <w:snapToGrid/>
              <w:spacing w:line="240" w:lineRule="auto"/>
              <w:ind w:left="1062"/>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本项目</w:t>
            </w:r>
          </w:p>
        </w:tc>
        <w:tc>
          <w:tcPr>
            <w:tcW w:w="956" w:type="dxa"/>
            <w:tcBorders>
              <w:top w:val="single" w:color="000000" w:sz="6" w:space="0"/>
              <w:right w:val="single" w:color="000000" w:sz="6" w:space="0"/>
            </w:tcBorders>
            <w:vAlign w:val="top"/>
          </w:tcPr>
          <w:p w14:paraId="7BF5F76F">
            <w:pPr>
              <w:keepNext w:val="0"/>
              <w:keepLines w:val="0"/>
              <w:pageBreakBefore w:val="0"/>
              <w:widowControl/>
              <w:kinsoku/>
              <w:wordWrap/>
              <w:overflowPunct/>
              <w:topLinePunct w:val="0"/>
              <w:autoSpaceDE/>
              <w:autoSpaceDN/>
              <w:bidi w:val="0"/>
              <w:adjustRightInd/>
              <w:snapToGrid/>
              <w:spacing w:line="240" w:lineRule="auto"/>
              <w:ind w:left="171"/>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符合性</w:t>
            </w:r>
          </w:p>
        </w:tc>
      </w:tr>
      <w:tr w14:paraId="3D896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830" w:type="dxa"/>
            <w:tcBorders>
              <w:left w:val="single" w:color="000000" w:sz="6" w:space="0"/>
            </w:tcBorders>
            <w:vAlign w:val="top"/>
          </w:tcPr>
          <w:p w14:paraId="0A211B32">
            <w:pPr>
              <w:keepNext w:val="0"/>
              <w:keepLines w:val="0"/>
              <w:pageBreakBefore w:val="0"/>
              <w:widowControl/>
              <w:kinsoku/>
              <w:wordWrap/>
              <w:overflowPunct/>
              <w:topLinePunct w:val="0"/>
              <w:autoSpaceDE/>
              <w:autoSpaceDN/>
              <w:bidi w:val="0"/>
              <w:adjustRightInd/>
              <w:snapToGrid/>
              <w:spacing w:line="240" w:lineRule="auto"/>
              <w:ind w:left="108" w:right="105"/>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sz w:val="21"/>
                <w:szCs w:val="21"/>
                <w:highlight w:val="none"/>
              </w:rPr>
              <w:t>全面停止天然林商业性采伐。对纳入保护重点区域的天然林，除森林病虫害防治、森林防火等维护天然林生态系统健康的必要措施外，禁止其他一切生产经营活动。开展天然林抚育作业的，必须编制作业设计，经林业主管部门审查批准后实施。依托国家储备林基地建设，培育大径材和珍贵树种，维护</w:t>
            </w:r>
            <w:r>
              <w:rPr>
                <w:rFonts w:hint="default" w:ascii="Times New Roman" w:hAnsi="Times New Roman" w:eastAsia="宋体" w:cs="Times New Roman"/>
                <w:color w:val="auto"/>
                <w:spacing w:val="8"/>
                <w:sz w:val="21"/>
                <w:szCs w:val="21"/>
                <w:highlight w:val="none"/>
              </w:rPr>
              <w:t>国家木材安全</w:t>
            </w:r>
            <w:r>
              <w:rPr>
                <w:rFonts w:hint="eastAsia" w:ascii="Times New Roman" w:hAnsi="Times New Roman" w:eastAsia="宋体" w:cs="Times New Roman"/>
                <w:color w:val="auto"/>
                <w:spacing w:val="8"/>
                <w:sz w:val="21"/>
                <w:szCs w:val="21"/>
                <w:highlight w:val="none"/>
                <w:lang w:eastAsia="zh-CN"/>
              </w:rPr>
              <w:t>。</w:t>
            </w:r>
          </w:p>
        </w:tc>
        <w:tc>
          <w:tcPr>
            <w:tcW w:w="2737" w:type="dxa"/>
            <w:vAlign w:val="top"/>
          </w:tcPr>
          <w:p w14:paraId="54D14C96">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p w14:paraId="750C166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p w14:paraId="6E0C8AD9">
            <w:pPr>
              <w:keepNext w:val="0"/>
              <w:keepLines w:val="0"/>
              <w:pageBreakBefore w:val="0"/>
              <w:widowControl/>
              <w:kinsoku/>
              <w:wordWrap/>
              <w:overflowPunct/>
              <w:topLinePunct w:val="0"/>
              <w:autoSpaceDE/>
              <w:autoSpaceDN/>
              <w:bidi w:val="0"/>
              <w:adjustRightInd/>
              <w:snapToGrid/>
              <w:spacing w:line="240" w:lineRule="auto"/>
              <w:ind w:left="116" w:right="108" w:hanging="2"/>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本项目属于陆地石油开采类</w:t>
            </w:r>
            <w:r>
              <w:rPr>
                <w:rFonts w:hint="default" w:ascii="Times New Roman" w:hAnsi="Times New Roman" w:eastAsia="宋体" w:cs="Times New Roman"/>
                <w:color w:val="auto"/>
                <w:spacing w:val="8"/>
                <w:sz w:val="21"/>
                <w:szCs w:val="21"/>
                <w:highlight w:val="none"/>
              </w:rPr>
              <w:t>项目，不涉及商业性采伐。</w:t>
            </w:r>
          </w:p>
        </w:tc>
        <w:tc>
          <w:tcPr>
            <w:tcW w:w="956" w:type="dxa"/>
            <w:tcBorders>
              <w:right w:val="single" w:color="000000" w:sz="6" w:space="0"/>
            </w:tcBorders>
            <w:vAlign w:val="top"/>
          </w:tcPr>
          <w:p w14:paraId="234FBF2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p w14:paraId="5B01E4E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p w14:paraId="77A21CF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p w14:paraId="3752B2D3">
            <w:pPr>
              <w:keepNext w:val="0"/>
              <w:keepLines w:val="0"/>
              <w:pageBreakBefore w:val="0"/>
              <w:widowControl/>
              <w:kinsoku/>
              <w:wordWrap/>
              <w:overflowPunct/>
              <w:topLinePunct w:val="0"/>
              <w:autoSpaceDE/>
              <w:autoSpaceDN/>
              <w:bidi w:val="0"/>
              <w:adjustRightInd/>
              <w:snapToGrid/>
              <w:spacing w:line="240" w:lineRule="auto"/>
              <w:ind w:left="27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5181D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4830" w:type="dxa"/>
            <w:tcBorders>
              <w:left w:val="single" w:color="000000" w:sz="6" w:space="0"/>
            </w:tcBorders>
            <w:vAlign w:val="top"/>
          </w:tcPr>
          <w:p w14:paraId="4569D142">
            <w:pPr>
              <w:keepNext w:val="0"/>
              <w:keepLines w:val="0"/>
              <w:pageBreakBefore w:val="0"/>
              <w:widowControl/>
              <w:kinsoku/>
              <w:wordWrap/>
              <w:overflowPunct/>
              <w:topLinePunct w:val="0"/>
              <w:autoSpaceDE/>
              <w:autoSpaceDN/>
              <w:bidi w:val="0"/>
              <w:adjustRightInd/>
              <w:snapToGrid/>
              <w:spacing w:line="240" w:lineRule="auto"/>
              <w:ind w:left="108" w:right="105" w:firstLine="1"/>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9"/>
                <w:sz w:val="21"/>
                <w:szCs w:val="21"/>
                <w:highlight w:val="none"/>
              </w:rPr>
              <w:t>严格控制天然林地转为其他用途，除国防建设、国家重大工程项目建设特殊需要外，禁止占用保护重点区域的天然林地。在不破坏地表植被、不影响生物多样性保护前提下，可在天然林地适度发展生态旅游、休闲康养、特色种植养殖等产业</w:t>
            </w:r>
            <w:r>
              <w:rPr>
                <w:rFonts w:hint="eastAsia" w:ascii="Times New Roman" w:hAnsi="Times New Roman" w:eastAsia="宋体" w:cs="Times New Roman"/>
                <w:color w:val="auto"/>
                <w:spacing w:val="9"/>
                <w:sz w:val="21"/>
                <w:szCs w:val="21"/>
                <w:highlight w:val="none"/>
                <w:lang w:val="en-US" w:eastAsia="zh-CN"/>
              </w:rPr>
              <w:t>.</w:t>
            </w:r>
          </w:p>
        </w:tc>
        <w:tc>
          <w:tcPr>
            <w:tcW w:w="2737" w:type="dxa"/>
            <w:vAlign w:val="top"/>
          </w:tcPr>
          <w:p w14:paraId="069D5810">
            <w:pPr>
              <w:keepNext w:val="0"/>
              <w:keepLines w:val="0"/>
              <w:pageBreakBefore w:val="0"/>
              <w:widowControl/>
              <w:kinsoku/>
              <w:wordWrap/>
              <w:overflowPunct/>
              <w:topLinePunct w:val="0"/>
              <w:autoSpaceDE/>
              <w:autoSpaceDN/>
              <w:bidi w:val="0"/>
              <w:adjustRightInd/>
              <w:snapToGrid/>
              <w:spacing w:line="240" w:lineRule="auto"/>
              <w:ind w:left="112" w:right="108" w:firstLine="1"/>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本项目为陆地石油开采类项目，报告对占地进行严格要求，临时占地在施工结束后及时进行恢复，以维持区域天然林生态功能不因项目实</w:t>
            </w:r>
            <w:r>
              <w:rPr>
                <w:rFonts w:hint="default" w:ascii="Times New Roman" w:hAnsi="Times New Roman" w:eastAsia="宋体" w:cs="Times New Roman"/>
                <w:color w:val="auto"/>
                <w:spacing w:val="6"/>
                <w:sz w:val="21"/>
                <w:szCs w:val="21"/>
                <w:highlight w:val="none"/>
              </w:rPr>
              <w:t>施而降低。</w:t>
            </w:r>
          </w:p>
        </w:tc>
        <w:tc>
          <w:tcPr>
            <w:tcW w:w="956" w:type="dxa"/>
            <w:tcBorders>
              <w:right w:val="single" w:color="000000" w:sz="6" w:space="0"/>
            </w:tcBorders>
            <w:vAlign w:val="top"/>
          </w:tcPr>
          <w:p w14:paraId="6840831B">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p w14:paraId="6028F25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p w14:paraId="674BC758">
            <w:pPr>
              <w:keepNext w:val="0"/>
              <w:keepLines w:val="0"/>
              <w:pageBreakBefore w:val="0"/>
              <w:widowControl/>
              <w:kinsoku/>
              <w:wordWrap/>
              <w:overflowPunct/>
              <w:topLinePunct w:val="0"/>
              <w:autoSpaceDE/>
              <w:autoSpaceDN/>
              <w:bidi w:val="0"/>
              <w:adjustRightInd/>
              <w:snapToGrid/>
              <w:spacing w:line="240" w:lineRule="auto"/>
              <w:ind w:left="27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22D49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4830" w:type="dxa"/>
            <w:tcBorders>
              <w:left w:val="single" w:color="000000" w:sz="6" w:space="0"/>
            </w:tcBorders>
            <w:vAlign w:val="top"/>
          </w:tcPr>
          <w:p w14:paraId="7F6C1E5C">
            <w:pPr>
              <w:keepNext w:val="0"/>
              <w:keepLines w:val="0"/>
              <w:pageBreakBefore w:val="0"/>
              <w:widowControl/>
              <w:kinsoku/>
              <w:wordWrap/>
              <w:overflowPunct/>
              <w:topLinePunct w:val="0"/>
              <w:autoSpaceDE/>
              <w:autoSpaceDN/>
              <w:bidi w:val="0"/>
              <w:adjustRightInd/>
              <w:snapToGrid/>
              <w:spacing w:line="240" w:lineRule="auto"/>
              <w:ind w:left="113" w:right="105"/>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强化天然林保护修复责任追究，建立天然林资</w:t>
            </w:r>
            <w:r>
              <w:rPr>
                <w:rFonts w:hint="default" w:ascii="Times New Roman" w:hAnsi="Times New Roman" w:eastAsia="宋体" w:cs="Times New Roman"/>
                <w:color w:val="auto"/>
                <w:spacing w:val="8"/>
                <w:sz w:val="21"/>
                <w:szCs w:val="21"/>
                <w:highlight w:val="none"/>
              </w:rPr>
              <w:t>源损</w:t>
            </w:r>
            <w:r>
              <w:rPr>
                <w:rFonts w:hint="default" w:ascii="Times New Roman" w:hAnsi="Times New Roman" w:eastAsia="宋体" w:cs="Times New Roman"/>
                <w:color w:val="auto"/>
                <w:spacing w:val="9"/>
                <w:sz w:val="21"/>
                <w:szCs w:val="21"/>
                <w:highlight w:val="none"/>
              </w:rPr>
              <w:t>害责任终身追究制。对落实天然林保护政策和部署不力、盲目决策，造成严重后果的；对天然林保护修复不担当、不作为，造成严重后果的；对破坏天然林资源事件处置不力、整改执行不到位，造成重</w:t>
            </w:r>
            <w:r>
              <w:rPr>
                <w:rFonts w:hint="default" w:ascii="Times New Roman" w:hAnsi="Times New Roman" w:eastAsia="宋体" w:cs="Times New Roman"/>
                <w:color w:val="auto"/>
                <w:spacing w:val="8"/>
                <w:sz w:val="21"/>
                <w:szCs w:val="21"/>
                <w:highlight w:val="none"/>
              </w:rPr>
              <w:t>大影响的，依规依纪依法严肃问责。</w:t>
            </w:r>
          </w:p>
        </w:tc>
        <w:tc>
          <w:tcPr>
            <w:tcW w:w="2737" w:type="dxa"/>
            <w:vAlign w:val="top"/>
          </w:tcPr>
          <w:p w14:paraId="36178715">
            <w:pPr>
              <w:pStyle w:val="2"/>
              <w:jc w:val="both"/>
              <w:rPr>
                <w:rFonts w:hint="default"/>
                <w:color w:val="auto"/>
                <w:highlight w:val="none"/>
              </w:rPr>
            </w:pPr>
            <w:r>
              <w:rPr>
                <w:rFonts w:hint="default" w:ascii="Times New Roman" w:hAnsi="Times New Roman" w:cs="Times New Roman"/>
                <w:color w:val="auto"/>
                <w:sz w:val="21"/>
                <w:szCs w:val="21"/>
                <w:highlight w:val="none"/>
                <w:lang w:eastAsia="zh-CN"/>
              </w:rPr>
              <w:t>本项目</w:t>
            </w:r>
            <w:r>
              <w:rPr>
                <w:rFonts w:hint="eastAsia" w:ascii="Times New Roman" w:hAnsi="Times New Roman" w:cs="Times New Roman"/>
                <w:color w:val="auto"/>
                <w:sz w:val="21"/>
                <w:szCs w:val="21"/>
                <w:highlight w:val="none"/>
                <w:lang w:val="en-US" w:eastAsia="zh-CN"/>
              </w:rPr>
              <w:t>部分管线工程</w:t>
            </w:r>
            <w:r>
              <w:rPr>
                <w:rFonts w:hint="default" w:ascii="Times New Roman" w:hAnsi="Times New Roman" w:cs="Times New Roman"/>
                <w:color w:val="auto"/>
                <w:sz w:val="21"/>
                <w:szCs w:val="21"/>
                <w:highlight w:val="none"/>
                <w:lang w:eastAsia="zh-CN"/>
              </w:rPr>
              <w:t>将</w:t>
            </w:r>
            <w:r>
              <w:rPr>
                <w:rFonts w:hint="eastAsia" w:ascii="Times New Roman" w:hAnsi="Times New Roman" w:cs="Times New Roman"/>
                <w:color w:val="auto"/>
                <w:sz w:val="21"/>
                <w:szCs w:val="21"/>
                <w:highlight w:val="none"/>
                <w:lang w:val="en-US" w:eastAsia="zh-CN"/>
              </w:rPr>
              <w:t>临时</w:t>
            </w:r>
            <w:r>
              <w:rPr>
                <w:rFonts w:hint="default" w:ascii="Times New Roman" w:hAnsi="Times New Roman" w:cs="Times New Roman"/>
                <w:color w:val="auto"/>
                <w:sz w:val="21"/>
                <w:szCs w:val="21"/>
                <w:highlight w:val="none"/>
                <w:lang w:eastAsia="zh-CN"/>
              </w:rPr>
              <w:t>占用重点公益林，公益林保护等级为国家二级公益林，建设单位将按照林业部门管理要求办理相关手续并积极采取恢复措施。</w:t>
            </w:r>
          </w:p>
        </w:tc>
        <w:tc>
          <w:tcPr>
            <w:tcW w:w="956" w:type="dxa"/>
            <w:tcBorders>
              <w:bottom w:val="single" w:color="000000" w:sz="6" w:space="0"/>
              <w:right w:val="single" w:color="000000" w:sz="6" w:space="0"/>
            </w:tcBorders>
            <w:vAlign w:val="top"/>
          </w:tcPr>
          <w:p w14:paraId="717EECCF">
            <w:pPr>
              <w:keepNext w:val="0"/>
              <w:keepLines w:val="0"/>
              <w:pageBreakBefore w:val="0"/>
              <w:widowControl/>
              <w:kinsoku/>
              <w:wordWrap/>
              <w:overflowPunct/>
              <w:topLinePunct w:val="0"/>
              <w:autoSpaceDE/>
              <w:autoSpaceDN/>
              <w:bidi w:val="0"/>
              <w:adjustRightInd/>
              <w:snapToGrid/>
              <w:spacing w:line="240" w:lineRule="auto"/>
              <w:ind w:left="27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bl>
    <w:p w14:paraId="32D0C9AF">
      <w:pPr>
        <w:keepNext w:val="0"/>
        <w:keepLines w:val="0"/>
        <w:pageBreakBefore w:val="0"/>
        <w:widowControl/>
        <w:kinsoku/>
        <w:wordWrap/>
        <w:overflowPunct/>
        <w:topLinePunct w:val="0"/>
        <w:autoSpaceDE/>
        <w:autoSpaceDN/>
        <w:bidi w:val="0"/>
        <w:adjustRightInd/>
        <w:snapToGrid/>
        <w:spacing w:before="123" w:line="360" w:lineRule="auto"/>
        <w:ind w:left="608"/>
        <w:textAlignment w:val="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综上，本项目建设符合《天然林保护修复制度方案》相关要求。</w:t>
      </w:r>
    </w:p>
    <w:p w14:paraId="30B93433">
      <w:pPr>
        <w:keepNext/>
        <w:keepLines/>
        <w:pageBreakBefore w:val="0"/>
        <w:widowControl/>
        <w:kinsoku/>
        <w:wordWrap/>
        <w:overflowPunct/>
        <w:topLinePunct w:val="0"/>
        <w:autoSpaceDE/>
        <w:autoSpaceDN/>
        <w:bidi w:val="0"/>
        <w:adjustRightInd/>
        <w:snapToGrid/>
        <w:spacing w:before="120" w:after="120" w:line="360" w:lineRule="auto"/>
        <w:textAlignment w:val="auto"/>
        <w:outlineLvl w:val="2"/>
        <w:rPr>
          <w:rFonts w:hint="default" w:ascii="Times New Roman" w:hAnsi="Times New Roman" w:eastAsia="宋体" w:cs="Times New Roman"/>
          <w:b/>
          <w:color w:val="auto"/>
          <w:sz w:val="28"/>
          <w:szCs w:val="22"/>
          <w:highlight w:val="none"/>
        </w:rPr>
      </w:pPr>
      <w:r>
        <w:rPr>
          <w:rFonts w:hint="default" w:ascii="Times New Roman" w:hAnsi="Times New Roman" w:eastAsia="宋体" w:cs="Times New Roman"/>
          <w:b/>
          <w:color w:val="auto"/>
          <w:sz w:val="28"/>
          <w:szCs w:val="22"/>
          <w:highlight w:val="none"/>
        </w:rPr>
        <w:t>3</w:t>
      </w:r>
      <w:r>
        <w:rPr>
          <w:rFonts w:hint="default" w:ascii="Times New Roman" w:hAnsi="Times New Roman" w:eastAsia="宋体" w:cs="Times New Roman"/>
          <w:b/>
          <w:color w:val="auto"/>
          <w:sz w:val="28"/>
          <w:szCs w:val="22"/>
          <w:highlight w:val="none"/>
          <w:lang w:val="en-US" w:eastAsia="zh-CN"/>
        </w:rPr>
        <w:t>.</w:t>
      </w:r>
      <w:r>
        <w:rPr>
          <w:rFonts w:hint="eastAsia" w:ascii="Times New Roman" w:hAnsi="Times New Roman" w:eastAsia="宋体" w:cs="Times New Roman"/>
          <w:b/>
          <w:color w:val="auto"/>
          <w:sz w:val="28"/>
          <w:szCs w:val="22"/>
          <w:highlight w:val="none"/>
          <w:lang w:val="en-US" w:eastAsia="zh-CN"/>
        </w:rPr>
        <w:t>7</w:t>
      </w:r>
      <w:r>
        <w:rPr>
          <w:rFonts w:hint="default" w:ascii="Times New Roman" w:hAnsi="Times New Roman" w:eastAsia="宋体" w:cs="Times New Roman"/>
          <w:b/>
          <w:color w:val="auto"/>
          <w:sz w:val="28"/>
          <w:szCs w:val="22"/>
          <w:highlight w:val="none"/>
        </w:rPr>
        <w:t>.</w:t>
      </w:r>
      <w:r>
        <w:rPr>
          <w:rFonts w:hint="eastAsia" w:ascii="Times New Roman" w:hAnsi="Times New Roman" w:eastAsia="宋体" w:cs="Times New Roman"/>
          <w:b/>
          <w:color w:val="auto"/>
          <w:sz w:val="28"/>
          <w:szCs w:val="22"/>
          <w:highlight w:val="none"/>
          <w:lang w:val="en-US" w:eastAsia="zh-CN"/>
        </w:rPr>
        <w:t>8</w:t>
      </w:r>
      <w:r>
        <w:rPr>
          <w:rFonts w:hint="default" w:ascii="Times New Roman" w:hAnsi="Times New Roman" w:eastAsia="宋体" w:cs="Times New Roman"/>
          <w:b/>
          <w:color w:val="auto"/>
          <w:sz w:val="28"/>
          <w:szCs w:val="22"/>
          <w:highlight w:val="none"/>
        </w:rPr>
        <w:t>与《中华人民共和国水土保持法》相符性分析</w:t>
      </w:r>
    </w:p>
    <w:p w14:paraId="4085B2AD">
      <w:pPr>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bCs/>
          <w:color w:val="auto"/>
          <w:szCs w:val="21"/>
          <w:highlight w:val="none"/>
        </w:rPr>
      </w:pPr>
      <w:r>
        <w:rPr>
          <w:rFonts w:hint="default" w:ascii="Times New Roman" w:hAnsi="Times New Roman" w:eastAsia="宋体" w:cs="Times New Roman"/>
          <w:color w:val="auto"/>
          <w:highlight w:val="none"/>
          <w:lang w:eastAsia="zh-CN" w:bidi="ar"/>
        </w:rPr>
        <w:t>本工程</w:t>
      </w:r>
      <w:r>
        <w:rPr>
          <w:rFonts w:hint="default" w:ascii="Times New Roman" w:hAnsi="Times New Roman" w:eastAsia="宋体" w:cs="Times New Roman"/>
          <w:color w:val="auto"/>
          <w:highlight w:val="none"/>
          <w:lang w:bidi="ar"/>
        </w:rPr>
        <w:t>与《中华人民共和国水土保持法》（2011年3月）符合性分析见下表3.</w:t>
      </w:r>
      <w:r>
        <w:rPr>
          <w:rFonts w:hint="eastAsia" w:ascii="Times New Roman" w:hAnsi="Times New Roman" w:eastAsia="宋体" w:cs="Times New Roman"/>
          <w:color w:val="auto"/>
          <w:highlight w:val="none"/>
          <w:lang w:val="en-US" w:eastAsia="zh-CN" w:bidi="ar"/>
        </w:rPr>
        <w:t>7</w:t>
      </w:r>
      <w:r>
        <w:rPr>
          <w:rFonts w:hint="eastAsia" w:ascii="Times New Roman" w:hAnsi="Times New Roman" w:cs="Times New Roman"/>
          <w:color w:val="auto"/>
          <w:highlight w:val="none"/>
          <w:lang w:val="en-US" w:eastAsia="zh-CN" w:bidi="ar"/>
        </w:rPr>
        <w:t>-6</w:t>
      </w:r>
      <w:r>
        <w:rPr>
          <w:rFonts w:hint="default" w:ascii="Times New Roman" w:hAnsi="Times New Roman" w:eastAsia="宋体" w:cs="Times New Roman"/>
          <w:color w:val="auto"/>
          <w:highlight w:val="none"/>
          <w:lang w:bidi="ar"/>
        </w:rPr>
        <w:t>。</w:t>
      </w:r>
    </w:p>
    <w:p w14:paraId="4BC875F8">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黑体" w:hAnsi="黑体" w:eastAsia="黑体" w:cs="黑体"/>
          <w:color w:val="auto"/>
          <w:spacing w:val="7"/>
          <w:sz w:val="20"/>
          <w:szCs w:val="20"/>
          <w:highlight w:val="none"/>
        </w:rPr>
      </w:pPr>
    </w:p>
    <w:p w14:paraId="08592271">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黑体" w:hAnsi="黑体" w:eastAsia="黑体" w:cs="黑体"/>
          <w:color w:val="auto"/>
          <w:spacing w:val="7"/>
          <w:sz w:val="20"/>
          <w:szCs w:val="20"/>
          <w:highlight w:val="none"/>
        </w:rPr>
      </w:pPr>
      <w:r>
        <w:rPr>
          <w:rFonts w:hint="default" w:ascii="黑体" w:hAnsi="黑体" w:eastAsia="黑体" w:cs="黑体"/>
          <w:color w:val="auto"/>
          <w:spacing w:val="7"/>
          <w:sz w:val="20"/>
          <w:szCs w:val="20"/>
          <w:highlight w:val="none"/>
        </w:rPr>
        <w:t>表3</w:t>
      </w:r>
      <w:r>
        <w:rPr>
          <w:rFonts w:hint="eastAsia" w:ascii="黑体" w:hAnsi="黑体" w:eastAsia="黑体" w:cs="黑体"/>
          <w:color w:val="auto"/>
          <w:spacing w:val="7"/>
          <w:sz w:val="20"/>
          <w:szCs w:val="20"/>
          <w:highlight w:val="none"/>
          <w:lang w:val="en-US" w:eastAsia="zh-CN"/>
        </w:rPr>
        <w:t>.7-6</w:t>
      </w:r>
      <w:r>
        <w:rPr>
          <w:rFonts w:hint="default" w:ascii="黑体" w:hAnsi="黑体" w:eastAsia="黑体" w:cs="黑体"/>
          <w:color w:val="auto"/>
          <w:spacing w:val="7"/>
          <w:sz w:val="20"/>
          <w:szCs w:val="20"/>
          <w:highlight w:val="none"/>
          <w:lang w:eastAsia="zh-CN"/>
        </w:rPr>
        <w:t>本工程</w:t>
      </w:r>
      <w:r>
        <w:rPr>
          <w:rFonts w:hint="default" w:ascii="黑体" w:hAnsi="黑体" w:eastAsia="黑体" w:cs="黑体"/>
          <w:color w:val="auto"/>
          <w:spacing w:val="7"/>
          <w:sz w:val="20"/>
          <w:szCs w:val="20"/>
          <w:highlight w:val="none"/>
        </w:rPr>
        <w:t>与《中华人民共和国水土保持法》的符合性分析</w:t>
      </w:r>
    </w:p>
    <w:tbl>
      <w:tblPr>
        <w:tblStyle w:val="35"/>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4"/>
        <w:gridCol w:w="3823"/>
        <w:gridCol w:w="831"/>
      </w:tblGrid>
      <w:tr w14:paraId="2CF4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964" w:type="dxa"/>
            <w:noWrap w:val="0"/>
            <w:vAlign w:val="center"/>
          </w:tcPr>
          <w:p w14:paraId="63EAC57A">
            <w:pPr>
              <w:pStyle w:val="70"/>
              <w:ind w:left="-42" w:right="-4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法规内容</w:t>
            </w:r>
          </w:p>
        </w:tc>
        <w:tc>
          <w:tcPr>
            <w:tcW w:w="3823" w:type="dxa"/>
            <w:noWrap w:val="0"/>
            <w:vAlign w:val="center"/>
          </w:tcPr>
          <w:p w14:paraId="0343DE84">
            <w:pPr>
              <w:pStyle w:val="70"/>
              <w:ind w:left="-42" w:right="-4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本工程</w:t>
            </w:r>
            <w:r>
              <w:rPr>
                <w:rFonts w:hint="default" w:ascii="Times New Roman" w:hAnsi="Times New Roman" w:cs="Times New Roman"/>
                <w:color w:val="auto"/>
                <w:sz w:val="21"/>
                <w:szCs w:val="21"/>
                <w:highlight w:val="none"/>
              </w:rPr>
              <w:t>情况</w:t>
            </w:r>
          </w:p>
        </w:tc>
        <w:tc>
          <w:tcPr>
            <w:tcW w:w="831" w:type="dxa"/>
            <w:noWrap w:val="0"/>
            <w:vAlign w:val="center"/>
          </w:tcPr>
          <w:p w14:paraId="0B585FFE">
            <w:pPr>
              <w:pStyle w:val="14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3"/>
                <w:sz w:val="21"/>
                <w:szCs w:val="21"/>
                <w:highlight w:val="none"/>
              </w:rPr>
              <w:t>符合性分析</w:t>
            </w:r>
          </w:p>
        </w:tc>
      </w:tr>
      <w:tr w14:paraId="2DB0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4" w:type="dxa"/>
            <w:noWrap w:val="0"/>
            <w:vAlign w:val="center"/>
          </w:tcPr>
          <w:p w14:paraId="06C4CABB">
            <w:pPr>
              <w:pStyle w:val="70"/>
              <w:ind w:left="-42" w:right="-42"/>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第二十四条</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生产建设项目选址、选线应当避让水土流失重点预防区和重点治理区；无法避让的，应当提高防治标准，优化施工工艺，减少地表扰动和植被损坏范围，有效控制可能造成的水土流失。</w:t>
            </w:r>
          </w:p>
        </w:tc>
        <w:tc>
          <w:tcPr>
            <w:tcW w:w="3823" w:type="dxa"/>
            <w:noWrap w:val="0"/>
            <w:vAlign w:val="center"/>
          </w:tcPr>
          <w:p w14:paraId="5957F9B4">
            <w:pPr>
              <w:pStyle w:val="70"/>
              <w:ind w:left="-42" w:right="-42"/>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根据</w:t>
            </w:r>
            <w:r>
              <w:rPr>
                <w:rFonts w:hint="default" w:ascii="Times New Roman" w:hAnsi="Times New Roman" w:eastAsia="宋体" w:cs="Times New Roman"/>
                <w:color w:val="auto"/>
                <w:sz w:val="21"/>
                <w:szCs w:val="21"/>
                <w:highlight w:val="none"/>
              </w:rPr>
              <w:t>（</w:t>
            </w:r>
            <w:bookmarkStart w:id="306" w:name="OLE_LINK345"/>
            <w:r>
              <w:rPr>
                <w:rFonts w:hint="default" w:ascii="Times New Roman" w:hAnsi="Times New Roman" w:eastAsia="宋体" w:cs="Times New Roman"/>
                <w:color w:val="auto"/>
                <w:sz w:val="21"/>
                <w:szCs w:val="21"/>
                <w:highlight w:val="none"/>
              </w:rPr>
              <w:t>新水水保〔2019〕4号</w:t>
            </w:r>
            <w:bookmarkEnd w:id="306"/>
            <w:r>
              <w:rPr>
                <w:rFonts w:hint="default" w:ascii="Times New Roman" w:hAnsi="Times New Roman" w:eastAsia="宋体" w:cs="Times New Roman"/>
                <w:color w:val="auto"/>
                <w:sz w:val="21"/>
                <w:szCs w:val="21"/>
                <w:highlight w:val="none"/>
              </w:rPr>
              <w:t>），项目区位于塔里木河流域水土流失重点治理区范围内；</w:t>
            </w:r>
            <w:r>
              <w:rPr>
                <w:rFonts w:hint="default" w:ascii="Times New Roman" w:hAnsi="Times New Roman" w:eastAsia="宋体" w:cs="Times New Roman"/>
                <w:color w:val="auto"/>
                <w:sz w:val="21"/>
                <w:szCs w:val="21"/>
                <w:highlight w:val="none"/>
                <w:lang w:eastAsia="zh-CN"/>
              </w:rPr>
              <w:t>本</w:t>
            </w:r>
            <w:r>
              <w:rPr>
                <w:rFonts w:hint="eastAsia"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环评提出按照水土保持方案的要求，严格执行各项水土保持措施。</w:t>
            </w:r>
          </w:p>
        </w:tc>
        <w:tc>
          <w:tcPr>
            <w:tcW w:w="831" w:type="dxa"/>
            <w:noWrap w:val="0"/>
            <w:vAlign w:val="center"/>
          </w:tcPr>
          <w:p w14:paraId="08448516">
            <w:pPr>
              <w:pStyle w:val="14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16A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3964" w:type="dxa"/>
            <w:noWrap w:val="0"/>
            <w:vAlign w:val="center"/>
          </w:tcPr>
          <w:p w14:paraId="3597492C">
            <w:pPr>
              <w:pStyle w:val="70"/>
              <w:ind w:left="-42" w:right="-42"/>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在风力侵蚀地区，地方各级人民政府及其有关部门应当组织单位和个人，因地制宜地采取轮封轮牧、植树种草、设置人工沙障和网格林带等措施，建立防风固沙防护体系。</w:t>
            </w:r>
          </w:p>
        </w:tc>
        <w:tc>
          <w:tcPr>
            <w:tcW w:w="3823" w:type="dxa"/>
            <w:noWrap w:val="0"/>
            <w:vAlign w:val="center"/>
          </w:tcPr>
          <w:p w14:paraId="03F0CA97">
            <w:pPr>
              <w:pStyle w:val="70"/>
              <w:ind w:left="-42" w:right="-42"/>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工程施工期间严格划定施工活动范围，严格控制和管理运输车辆及重型机械的运行范围，不另辟施工便道，不得离开运输道路及随意驾驶。由专人监督负责，以防破坏土壤和植被。</w:t>
            </w:r>
          </w:p>
        </w:tc>
        <w:tc>
          <w:tcPr>
            <w:tcW w:w="831" w:type="dxa"/>
            <w:noWrap w:val="0"/>
            <w:vAlign w:val="center"/>
          </w:tcPr>
          <w:p w14:paraId="442D9A1B">
            <w:pPr>
              <w:pStyle w:val="14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B30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5" w:hRule="atLeast"/>
          <w:jc w:val="center"/>
        </w:trPr>
        <w:tc>
          <w:tcPr>
            <w:tcW w:w="3964" w:type="dxa"/>
            <w:noWrap w:val="0"/>
            <w:vAlign w:val="center"/>
          </w:tcPr>
          <w:p w14:paraId="45B01DD3">
            <w:pPr>
              <w:pStyle w:val="70"/>
              <w:ind w:left="-42" w:right="-42"/>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第三十九条</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国家鼓励和支持在山区、丘陵区、风沙区以及容易发生水土流失的其他区域，采取下列有利于水土保持的措施：（一）免耕等高耕作、轮耕轮作、草田轮作、间作套种等；（二）封禁抚育、轮封轮牧、舍饲圈养；（三）发展沼气、节柴灶，利用太阳能、风能和水能，以煤、电、气代替薪柴等；（四）从生态脆弱地区向外移民；（五）其他有利于水土保持的措施。</w:t>
            </w:r>
          </w:p>
        </w:tc>
        <w:tc>
          <w:tcPr>
            <w:tcW w:w="3823" w:type="dxa"/>
            <w:noWrap w:val="0"/>
            <w:vAlign w:val="center"/>
          </w:tcPr>
          <w:p w14:paraId="4B6B5865">
            <w:pPr>
              <w:pStyle w:val="70"/>
              <w:ind w:left="-42" w:right="-42"/>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选线和拟采用的技术标准，应该充分考虑水土流失因素，尽量避开植被茂盛地段，施工期间严格划定施工活动范围，严格控制和管理运输车辆及重型机械的运行范围，不另辟施工便道，不得离开运输道路及随意驾驶。由专人监督负责，以防破坏土壤和植被</w:t>
            </w:r>
            <w:r>
              <w:rPr>
                <w:rFonts w:hint="eastAsia"/>
                <w:color w:val="auto"/>
                <w:sz w:val="21"/>
                <w:szCs w:val="21"/>
                <w:highlight w:val="none"/>
                <w:lang w:eastAsia="zh-CN"/>
              </w:rPr>
              <w:t>；根据水土保持方案，针对井场、</w:t>
            </w:r>
            <w:r>
              <w:rPr>
                <w:rFonts w:hint="eastAsia"/>
                <w:color w:val="auto"/>
                <w:sz w:val="21"/>
                <w:szCs w:val="21"/>
                <w:highlight w:val="none"/>
                <w:lang w:val="en-US" w:eastAsia="zh-CN"/>
              </w:rPr>
              <w:t>管线均</w:t>
            </w:r>
            <w:r>
              <w:rPr>
                <w:rFonts w:hint="eastAsia"/>
                <w:color w:val="auto"/>
                <w:sz w:val="21"/>
                <w:szCs w:val="21"/>
                <w:highlight w:val="none"/>
                <w:lang w:eastAsia="zh-CN"/>
              </w:rPr>
              <w:t>采取防沙治沙措施。</w:t>
            </w:r>
          </w:p>
        </w:tc>
        <w:tc>
          <w:tcPr>
            <w:tcW w:w="831" w:type="dxa"/>
            <w:noWrap w:val="0"/>
            <w:vAlign w:val="center"/>
          </w:tcPr>
          <w:p w14:paraId="0BF0F071">
            <w:pPr>
              <w:pStyle w:val="14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040330C6">
      <w:pPr>
        <w:keepNext w:val="0"/>
        <w:keepLines w:val="0"/>
        <w:pageBreakBefore w:val="0"/>
        <w:widowControl/>
        <w:kinsoku/>
        <w:wordWrap/>
        <w:overflowPunct/>
        <w:topLinePunct w:val="0"/>
        <w:autoSpaceDE/>
        <w:autoSpaceDN/>
        <w:bidi w:val="0"/>
        <w:adjustRightInd/>
        <w:snapToGrid/>
        <w:spacing w:line="360" w:lineRule="auto"/>
        <w:ind w:left="121"/>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3.7.9</w:t>
      </w:r>
      <w:r>
        <w:rPr>
          <w:rFonts w:ascii="宋体" w:hAnsi="宋体" w:eastAsia="宋体" w:cs="宋体"/>
          <w:b/>
          <w:bCs/>
          <w:color w:val="auto"/>
          <w:spacing w:val="-2"/>
          <w:sz w:val="28"/>
          <w:szCs w:val="28"/>
          <w:highlight w:val="none"/>
        </w:rPr>
        <w:t>与《钻前工程及井场布置技术要求》符合性分析</w:t>
      </w:r>
    </w:p>
    <w:p w14:paraId="1ED97E56">
      <w:pPr>
        <w:keepNext w:val="0"/>
        <w:keepLines w:val="0"/>
        <w:pageBreakBefore w:val="0"/>
        <w:widowControl/>
        <w:kinsoku/>
        <w:wordWrap/>
        <w:overflowPunct/>
        <w:topLinePunct w:val="0"/>
        <w:autoSpaceDE/>
        <w:autoSpaceDN/>
        <w:bidi w:val="0"/>
        <w:adjustRightInd/>
        <w:snapToGrid/>
        <w:spacing w:line="360" w:lineRule="auto"/>
        <w:ind w:left="125" w:right="42" w:firstLine="48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根据《钻前工程及井场布置技术要求》要求：井位的选择应根据</w:t>
      </w:r>
      <w:r>
        <w:rPr>
          <w:rFonts w:ascii="宋体" w:hAnsi="宋体" w:eastAsia="宋体" w:cs="宋体"/>
          <w:color w:val="auto"/>
          <w:spacing w:val="-4"/>
          <w:sz w:val="24"/>
          <w:szCs w:val="24"/>
          <w:highlight w:val="none"/>
        </w:rPr>
        <w:t>勘探或开发</w:t>
      </w:r>
      <w:r>
        <w:rPr>
          <w:rFonts w:ascii="宋体" w:hAnsi="宋体" w:eastAsia="宋体" w:cs="宋体"/>
          <w:color w:val="auto"/>
          <w:spacing w:val="-3"/>
          <w:sz w:val="24"/>
          <w:szCs w:val="24"/>
          <w:highlight w:val="none"/>
        </w:rPr>
        <w:t>部门给定的井位坐标，由建设单位、地质部门和施工单位实地勘测确定地面井口位置。基础施工结束后应复测井位坐标。油、气井井口距高压线及其他永久性设</w:t>
      </w:r>
      <w:r>
        <w:rPr>
          <w:rFonts w:ascii="宋体" w:hAnsi="宋体" w:eastAsia="宋体" w:cs="宋体"/>
          <w:color w:val="auto"/>
          <w:spacing w:val="-5"/>
          <w:sz w:val="24"/>
          <w:szCs w:val="24"/>
          <w:highlight w:val="none"/>
        </w:rPr>
        <w:t>施不小于</w:t>
      </w:r>
      <w:r>
        <w:rPr>
          <w:rFonts w:ascii="Times New Roman" w:hAnsi="Times New Roman" w:eastAsia="Times New Roman" w:cs="Times New Roman"/>
          <w:color w:val="auto"/>
          <w:spacing w:val="-5"/>
          <w:sz w:val="24"/>
          <w:szCs w:val="24"/>
          <w:highlight w:val="none"/>
        </w:rPr>
        <w:t>75m</w:t>
      </w:r>
      <w:r>
        <w:rPr>
          <w:rFonts w:ascii="宋体" w:hAnsi="宋体" w:eastAsia="宋体" w:cs="宋体"/>
          <w:color w:val="auto"/>
          <w:spacing w:val="-5"/>
          <w:sz w:val="24"/>
          <w:szCs w:val="24"/>
          <w:highlight w:val="none"/>
        </w:rPr>
        <w:t>，距民宅不小于</w:t>
      </w:r>
      <w:r>
        <w:rPr>
          <w:rFonts w:ascii="Times New Roman" w:hAnsi="Times New Roman" w:eastAsia="Times New Roman" w:cs="Times New Roman"/>
          <w:color w:val="auto"/>
          <w:spacing w:val="-5"/>
          <w:sz w:val="24"/>
          <w:szCs w:val="24"/>
          <w:highlight w:val="none"/>
        </w:rPr>
        <w:t>100m</w:t>
      </w:r>
      <w:r>
        <w:rPr>
          <w:rFonts w:ascii="宋体" w:hAnsi="宋体" w:eastAsia="宋体" w:cs="宋体"/>
          <w:color w:val="auto"/>
          <w:spacing w:val="-5"/>
          <w:sz w:val="24"/>
          <w:szCs w:val="24"/>
          <w:highlight w:val="none"/>
        </w:rPr>
        <w:t>。距铁路、高速公路不小于</w:t>
      </w:r>
      <w:r>
        <w:rPr>
          <w:rFonts w:ascii="Times New Roman" w:hAnsi="Times New Roman" w:eastAsia="Times New Roman" w:cs="Times New Roman"/>
          <w:color w:val="auto"/>
          <w:spacing w:val="-5"/>
          <w:sz w:val="24"/>
          <w:szCs w:val="24"/>
          <w:highlight w:val="none"/>
        </w:rPr>
        <w:t>200m</w:t>
      </w:r>
      <w:r>
        <w:rPr>
          <w:rFonts w:ascii="宋体" w:hAnsi="宋体" w:eastAsia="宋体" w:cs="宋体"/>
          <w:color w:val="auto"/>
          <w:spacing w:val="-5"/>
          <w:sz w:val="24"/>
          <w:szCs w:val="24"/>
          <w:highlight w:val="none"/>
        </w:rPr>
        <w:t>，距学校、</w:t>
      </w:r>
      <w:r>
        <w:rPr>
          <w:rFonts w:ascii="宋体" w:hAnsi="宋体" w:eastAsia="宋体" w:cs="宋体"/>
          <w:color w:val="auto"/>
          <w:spacing w:val="-1"/>
          <w:sz w:val="24"/>
          <w:szCs w:val="24"/>
          <w:highlight w:val="none"/>
        </w:rPr>
        <w:t>医院和大型油库等人口密集性、高危性场所不小于</w:t>
      </w:r>
      <w:r>
        <w:rPr>
          <w:rFonts w:ascii="Times New Roman" w:hAnsi="Times New Roman" w:eastAsia="Times New Roman" w:cs="Times New Roman"/>
          <w:color w:val="auto"/>
          <w:spacing w:val="-1"/>
          <w:sz w:val="24"/>
          <w:szCs w:val="24"/>
          <w:highlight w:val="none"/>
        </w:rPr>
        <w:t>500m</w:t>
      </w:r>
      <w:r>
        <w:rPr>
          <w:rFonts w:ascii="宋体" w:hAnsi="宋体" w:eastAsia="宋体" w:cs="宋体"/>
          <w:color w:val="auto"/>
          <w:spacing w:val="-1"/>
          <w:sz w:val="24"/>
          <w:szCs w:val="24"/>
          <w:highlight w:val="none"/>
        </w:rPr>
        <w:t>。在地下矿产采掘</w:t>
      </w:r>
      <w:r>
        <w:rPr>
          <w:rFonts w:ascii="宋体" w:hAnsi="宋体" w:eastAsia="宋体" w:cs="宋体"/>
          <w:color w:val="auto"/>
          <w:spacing w:val="-2"/>
          <w:sz w:val="24"/>
          <w:szCs w:val="24"/>
          <w:highlight w:val="none"/>
        </w:rPr>
        <w:t>区钻井，井筒与采掘坑道、矿井坑道之间的距离不小于</w:t>
      </w:r>
      <w:r>
        <w:rPr>
          <w:rFonts w:ascii="Times New Roman" w:hAnsi="Times New Roman" w:eastAsia="Times New Roman" w:cs="Times New Roman"/>
          <w:color w:val="auto"/>
          <w:spacing w:val="-2"/>
          <w:sz w:val="24"/>
          <w:szCs w:val="24"/>
          <w:highlight w:val="none"/>
        </w:rPr>
        <w:t>100m</w:t>
      </w:r>
      <w:r>
        <w:rPr>
          <w:rFonts w:ascii="宋体" w:hAnsi="宋体" w:eastAsia="宋体" w:cs="宋体"/>
          <w:color w:val="auto"/>
          <w:spacing w:val="-2"/>
          <w:sz w:val="24"/>
          <w:szCs w:val="24"/>
          <w:highlight w:val="none"/>
        </w:rPr>
        <w:t>。本项目井位选择符合</w:t>
      </w:r>
      <w:r>
        <w:rPr>
          <w:rFonts w:ascii="宋体" w:hAnsi="宋体" w:eastAsia="宋体" w:cs="宋体"/>
          <w:color w:val="auto"/>
          <w:spacing w:val="-1"/>
          <w:sz w:val="24"/>
          <w:szCs w:val="24"/>
          <w:highlight w:val="none"/>
        </w:rPr>
        <w:t>《钻前工程及井场布置技术要求》要求。</w:t>
      </w:r>
    </w:p>
    <w:p w14:paraId="55543D50">
      <w:pPr>
        <w:keepNext w:val="0"/>
        <w:keepLines w:val="0"/>
        <w:pageBreakBefore w:val="0"/>
        <w:widowControl/>
        <w:kinsoku/>
        <w:wordWrap/>
        <w:overflowPunct/>
        <w:topLinePunct w:val="0"/>
        <w:autoSpaceDE/>
        <w:autoSpaceDN/>
        <w:bidi w:val="0"/>
        <w:adjustRightInd/>
        <w:snapToGrid/>
        <w:spacing w:line="360" w:lineRule="auto"/>
        <w:ind w:left="0"/>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3.7.1</w:t>
      </w:r>
      <w:r>
        <w:rPr>
          <w:rFonts w:hint="eastAsia" w:ascii="Times New Roman" w:hAnsi="Times New Roman" w:eastAsia="宋体" w:cs="Times New Roman"/>
          <w:b/>
          <w:bCs/>
          <w:color w:val="auto"/>
          <w:spacing w:val="-2"/>
          <w:sz w:val="28"/>
          <w:szCs w:val="28"/>
          <w:highlight w:val="none"/>
          <w:lang w:val="en-US" w:eastAsia="zh-CN"/>
        </w:rPr>
        <w:t>0</w:t>
      </w:r>
      <w:r>
        <w:rPr>
          <w:rFonts w:ascii="宋体" w:hAnsi="宋体" w:eastAsia="宋体" w:cs="宋体"/>
          <w:b/>
          <w:bCs/>
          <w:color w:val="auto"/>
          <w:spacing w:val="-2"/>
          <w:sz w:val="28"/>
          <w:szCs w:val="28"/>
          <w:highlight w:val="none"/>
        </w:rPr>
        <w:t>与《国务院关于印发〈空气质量持续改善行动计划〉的通知》</w:t>
      </w:r>
    </w:p>
    <w:p w14:paraId="5864B02D">
      <w:pPr>
        <w:keepNext w:val="0"/>
        <w:keepLines w:val="0"/>
        <w:pageBreakBefore w:val="0"/>
        <w:widowControl/>
        <w:kinsoku/>
        <w:wordWrap/>
        <w:overflowPunct/>
        <w:topLinePunct w:val="0"/>
        <w:autoSpaceDE/>
        <w:autoSpaceDN/>
        <w:bidi w:val="0"/>
        <w:adjustRightInd/>
        <w:snapToGrid/>
        <w:spacing w:line="360" w:lineRule="auto"/>
        <w:ind w:left="0"/>
        <w:textAlignment w:val="auto"/>
        <w:rPr>
          <w:rFonts w:ascii="宋体" w:hAnsi="宋体" w:eastAsia="宋体" w:cs="宋体"/>
          <w:b/>
          <w:bCs/>
          <w:color w:val="auto"/>
          <w:spacing w:val="-3"/>
          <w:sz w:val="28"/>
          <w:szCs w:val="28"/>
          <w:highlight w:val="none"/>
        </w:rPr>
      </w:pPr>
      <w:r>
        <w:rPr>
          <w:rFonts w:ascii="宋体" w:hAnsi="宋体" w:eastAsia="宋体" w:cs="宋体"/>
          <w:b/>
          <w:bCs/>
          <w:color w:val="auto"/>
          <w:spacing w:val="-3"/>
          <w:sz w:val="28"/>
          <w:szCs w:val="28"/>
          <w:highlight w:val="none"/>
        </w:rPr>
        <w:t>（国发〔</w:t>
      </w:r>
      <w:r>
        <w:rPr>
          <w:rFonts w:ascii="Times New Roman" w:hAnsi="Times New Roman" w:eastAsia="Times New Roman" w:cs="Times New Roman"/>
          <w:b/>
          <w:bCs/>
          <w:color w:val="auto"/>
          <w:spacing w:val="-3"/>
          <w:sz w:val="28"/>
          <w:szCs w:val="28"/>
          <w:highlight w:val="none"/>
        </w:rPr>
        <w:t>2023</w:t>
      </w:r>
      <w:r>
        <w:rPr>
          <w:rFonts w:ascii="宋体" w:hAnsi="宋体" w:eastAsia="宋体" w:cs="宋体"/>
          <w:b/>
          <w:bCs/>
          <w:color w:val="auto"/>
          <w:spacing w:val="-3"/>
          <w:sz w:val="28"/>
          <w:szCs w:val="28"/>
          <w:highlight w:val="none"/>
        </w:rPr>
        <w:t>〕</w:t>
      </w:r>
      <w:r>
        <w:rPr>
          <w:rFonts w:ascii="Times New Roman" w:hAnsi="Times New Roman" w:eastAsia="Times New Roman" w:cs="Times New Roman"/>
          <w:b/>
          <w:bCs/>
          <w:color w:val="auto"/>
          <w:spacing w:val="-3"/>
          <w:sz w:val="28"/>
          <w:szCs w:val="28"/>
          <w:highlight w:val="none"/>
        </w:rPr>
        <w:t>24</w:t>
      </w:r>
      <w:r>
        <w:rPr>
          <w:rFonts w:ascii="宋体" w:hAnsi="宋体" w:eastAsia="宋体" w:cs="宋体"/>
          <w:b/>
          <w:bCs/>
          <w:color w:val="auto"/>
          <w:spacing w:val="-3"/>
          <w:sz w:val="28"/>
          <w:szCs w:val="28"/>
          <w:highlight w:val="none"/>
        </w:rPr>
        <w:t>号）的符合性分析</w:t>
      </w:r>
    </w:p>
    <w:p w14:paraId="5B67942D">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本项目采取的环境保护措施与</w:t>
      </w:r>
      <w:r>
        <w:rPr>
          <w:rFonts w:hint="default" w:ascii="Times New Roman" w:hAnsi="Times New Roman" w:eastAsia="宋体" w:cs="Times New Roman"/>
          <w:color w:val="auto"/>
          <w:spacing w:val="-1"/>
          <w:sz w:val="24"/>
          <w:szCs w:val="24"/>
          <w:highlight w:val="none"/>
        </w:rPr>
        <w:t>《国务院关于印发〈空气质量持续改善行动计划〉的通知》（国发〔2023〕24号）的符合性分析</w:t>
      </w:r>
      <w:r>
        <w:rPr>
          <w:rFonts w:hint="default" w:ascii="Times New Roman" w:hAnsi="Times New Roman" w:eastAsia="宋体" w:cs="Times New Roman"/>
          <w:color w:val="auto"/>
          <w:spacing w:val="-1"/>
          <w:sz w:val="24"/>
          <w:szCs w:val="24"/>
          <w:highlight w:val="none"/>
          <w:lang w:val="en-US" w:eastAsia="zh-CN"/>
        </w:rPr>
        <w:t>见表3.7-3</w:t>
      </w:r>
      <w:r>
        <w:rPr>
          <w:rFonts w:ascii="宋体" w:hAnsi="宋体" w:eastAsia="宋体" w:cs="宋体"/>
          <w:color w:val="auto"/>
          <w:spacing w:val="-1"/>
          <w:sz w:val="24"/>
          <w:szCs w:val="24"/>
          <w:highlight w:val="none"/>
        </w:rPr>
        <w:t>。</w:t>
      </w:r>
    </w:p>
    <w:p w14:paraId="0E3DDFD8">
      <w:pPr>
        <w:keepNext w:val="0"/>
        <w:keepLines w:val="0"/>
        <w:pageBreakBefore w:val="0"/>
        <w:widowControl/>
        <w:kinsoku/>
        <w:wordWrap/>
        <w:overflowPunct/>
        <w:topLinePunct w:val="0"/>
        <w:autoSpaceDE/>
        <w:autoSpaceDN/>
        <w:bidi w:val="0"/>
        <w:adjustRightInd/>
        <w:snapToGrid/>
        <w:spacing w:line="240" w:lineRule="auto"/>
        <w:ind w:left="1797"/>
        <w:textAlignment w:val="auto"/>
        <w:rPr>
          <w:rFonts w:ascii="黑体" w:hAnsi="黑体" w:eastAsia="黑体" w:cs="黑体"/>
          <w:color w:val="auto"/>
          <w:sz w:val="22"/>
          <w:szCs w:val="22"/>
          <w:highlight w:val="none"/>
        </w:rPr>
      </w:pPr>
      <w:r>
        <w:rPr>
          <w:rFonts w:ascii="黑体" w:hAnsi="黑体" w:eastAsia="黑体" w:cs="黑体"/>
          <w:color w:val="auto"/>
          <w:spacing w:val="-1"/>
          <w:sz w:val="22"/>
          <w:szCs w:val="22"/>
          <w:highlight w:val="none"/>
        </w:rPr>
        <w:t>表</w:t>
      </w:r>
      <w:r>
        <w:rPr>
          <w:rFonts w:ascii="Times New Roman" w:hAnsi="Times New Roman" w:eastAsia="Times New Roman" w:cs="Times New Roman"/>
          <w:color w:val="auto"/>
          <w:spacing w:val="-1"/>
          <w:sz w:val="22"/>
          <w:szCs w:val="22"/>
          <w:highlight w:val="none"/>
        </w:rPr>
        <w:t>3.7-</w:t>
      </w:r>
      <w:r>
        <w:rPr>
          <w:rFonts w:hint="eastAsia" w:ascii="Times New Roman" w:hAnsi="Times New Roman" w:eastAsia="宋体" w:cs="Times New Roman"/>
          <w:color w:val="auto"/>
          <w:spacing w:val="-1"/>
          <w:sz w:val="22"/>
          <w:szCs w:val="22"/>
          <w:highlight w:val="none"/>
          <w:lang w:val="en-US" w:eastAsia="zh-CN"/>
        </w:rPr>
        <w:t>3</w:t>
      </w:r>
      <w:r>
        <w:rPr>
          <w:rFonts w:ascii="黑体" w:hAnsi="黑体" w:eastAsia="黑体" w:cs="黑体"/>
          <w:color w:val="auto"/>
          <w:spacing w:val="-1"/>
          <w:sz w:val="22"/>
          <w:szCs w:val="22"/>
          <w:highlight w:val="none"/>
        </w:rPr>
        <w:t>与国发〔</w:t>
      </w:r>
      <w:r>
        <w:rPr>
          <w:rFonts w:ascii="Times New Roman" w:hAnsi="Times New Roman" w:eastAsia="Times New Roman" w:cs="Times New Roman"/>
          <w:color w:val="auto"/>
          <w:spacing w:val="-1"/>
          <w:sz w:val="22"/>
          <w:szCs w:val="22"/>
          <w:highlight w:val="none"/>
        </w:rPr>
        <w:t>2023</w:t>
      </w:r>
      <w:r>
        <w:rPr>
          <w:rFonts w:ascii="黑体" w:hAnsi="黑体" w:eastAsia="黑体" w:cs="黑体"/>
          <w:color w:val="auto"/>
          <w:spacing w:val="-1"/>
          <w:sz w:val="22"/>
          <w:szCs w:val="22"/>
          <w:highlight w:val="none"/>
        </w:rPr>
        <w:t>〕</w:t>
      </w:r>
      <w:r>
        <w:rPr>
          <w:rFonts w:ascii="Times New Roman" w:hAnsi="Times New Roman" w:eastAsia="Times New Roman" w:cs="Times New Roman"/>
          <w:color w:val="auto"/>
          <w:spacing w:val="-1"/>
          <w:sz w:val="22"/>
          <w:szCs w:val="22"/>
          <w:highlight w:val="none"/>
        </w:rPr>
        <w:t>24</w:t>
      </w:r>
      <w:r>
        <w:rPr>
          <w:rFonts w:ascii="黑体" w:hAnsi="黑体" w:eastAsia="黑体" w:cs="黑体"/>
          <w:color w:val="auto"/>
          <w:spacing w:val="-1"/>
          <w:sz w:val="22"/>
          <w:szCs w:val="22"/>
          <w:highlight w:val="none"/>
        </w:rPr>
        <w:t>号文件的符合性分析</w:t>
      </w:r>
    </w:p>
    <w:tbl>
      <w:tblPr>
        <w:tblStyle w:val="60"/>
        <w:tblW w:w="852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8"/>
        <w:gridCol w:w="2599"/>
        <w:gridCol w:w="956"/>
      </w:tblGrid>
      <w:tr w14:paraId="2A1A0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968" w:type="dxa"/>
            <w:tcBorders>
              <w:top w:val="single" w:color="000000" w:sz="6" w:space="0"/>
              <w:left w:val="single" w:color="000000" w:sz="6" w:space="0"/>
            </w:tcBorders>
            <w:vAlign w:val="top"/>
          </w:tcPr>
          <w:p w14:paraId="06C76273">
            <w:pPr>
              <w:spacing w:before="40" w:line="224" w:lineRule="auto"/>
              <w:ind w:left="2018"/>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文件要求</w:t>
            </w:r>
          </w:p>
        </w:tc>
        <w:tc>
          <w:tcPr>
            <w:tcW w:w="2599" w:type="dxa"/>
            <w:tcBorders>
              <w:top w:val="single" w:color="000000" w:sz="6" w:space="0"/>
            </w:tcBorders>
            <w:vAlign w:val="top"/>
          </w:tcPr>
          <w:p w14:paraId="067273E3">
            <w:pPr>
              <w:spacing w:before="35" w:line="217" w:lineRule="auto"/>
              <w:ind w:left="1062"/>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本项目</w:t>
            </w:r>
          </w:p>
        </w:tc>
        <w:tc>
          <w:tcPr>
            <w:tcW w:w="956" w:type="dxa"/>
            <w:tcBorders>
              <w:top w:val="single" w:color="000000" w:sz="6" w:space="0"/>
              <w:right w:val="single" w:color="000000" w:sz="6" w:space="0"/>
            </w:tcBorders>
            <w:vAlign w:val="top"/>
          </w:tcPr>
          <w:p w14:paraId="3769986B">
            <w:pPr>
              <w:spacing w:before="35" w:line="217" w:lineRule="auto"/>
              <w:ind w:left="171"/>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符合性</w:t>
            </w:r>
          </w:p>
        </w:tc>
      </w:tr>
      <w:tr w14:paraId="1C0AB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968" w:type="dxa"/>
            <w:tcBorders>
              <w:left w:val="single" w:color="000000" w:sz="6" w:space="0"/>
            </w:tcBorders>
            <w:vAlign w:val="top"/>
          </w:tcPr>
          <w:p w14:paraId="057580E1">
            <w:pPr>
              <w:spacing w:before="167" w:line="242" w:lineRule="auto"/>
              <w:ind w:left="108" w:right="107" w:firstLine="1"/>
              <w:jc w:val="both"/>
              <w:rPr>
                <w:rFonts w:hint="eastAsia"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rPr>
              <w:t>重点区域有京津冀及周边地区、长三角地区、汾渭平原</w:t>
            </w:r>
          </w:p>
        </w:tc>
        <w:tc>
          <w:tcPr>
            <w:tcW w:w="2599" w:type="dxa"/>
            <w:vAlign w:val="top"/>
          </w:tcPr>
          <w:p w14:paraId="63B805B5">
            <w:pPr>
              <w:spacing w:before="34" w:line="239" w:lineRule="auto"/>
              <w:ind w:left="114" w:right="101"/>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本项目地处新疆阿克苏地区，所在区域不属于重点区域。</w:t>
            </w:r>
          </w:p>
        </w:tc>
        <w:tc>
          <w:tcPr>
            <w:tcW w:w="956" w:type="dxa"/>
            <w:tcBorders>
              <w:right w:val="single" w:color="000000" w:sz="6" w:space="0"/>
            </w:tcBorders>
            <w:vAlign w:val="top"/>
          </w:tcPr>
          <w:p w14:paraId="6901A6B8">
            <w:pPr>
              <w:spacing w:before="304" w:line="228" w:lineRule="auto"/>
              <w:ind w:left="277"/>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w:t>
            </w:r>
          </w:p>
        </w:tc>
      </w:tr>
      <w:tr w14:paraId="332EF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4968" w:type="dxa"/>
            <w:tcBorders>
              <w:left w:val="single" w:color="000000" w:sz="6" w:space="0"/>
            </w:tcBorders>
            <w:vAlign w:val="top"/>
          </w:tcPr>
          <w:p w14:paraId="16E1886D">
            <w:pPr>
              <w:pStyle w:val="42"/>
              <w:spacing w:before="33" w:line="242" w:lineRule="auto"/>
              <w:ind w:left="109" w:right="105" w:firstLine="3"/>
              <w:jc w:val="both"/>
              <w:rPr>
                <w:rFonts w:hint="eastAsia"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rPr>
              <w:t>坚决遏制高耗能、高排放、低水平项目盲目上马；加快退出重点行业落后产能；全面开展传统产业集群升级改造；优化含VOCs原辅材料和产品结构；推动绿色环保产业健康发展</w:t>
            </w:r>
          </w:p>
        </w:tc>
        <w:tc>
          <w:tcPr>
            <w:tcW w:w="2599" w:type="dxa"/>
            <w:vAlign w:val="top"/>
          </w:tcPr>
          <w:p w14:paraId="0521DBB4">
            <w:pPr>
              <w:spacing w:before="165" w:line="244" w:lineRule="auto"/>
              <w:ind w:left="153" w:right="30" w:hanging="39"/>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本项目为陆地石油开采项目，属于国家“鼓励类”项目，不在“三高”行业之列。</w:t>
            </w:r>
          </w:p>
        </w:tc>
        <w:tc>
          <w:tcPr>
            <w:tcW w:w="956" w:type="dxa"/>
            <w:tcBorders>
              <w:right w:val="single" w:color="000000" w:sz="6" w:space="0"/>
            </w:tcBorders>
            <w:vAlign w:val="top"/>
          </w:tcPr>
          <w:p w14:paraId="2AB1F621">
            <w:pPr>
              <w:spacing w:line="373" w:lineRule="auto"/>
              <w:jc w:val="both"/>
              <w:rPr>
                <w:rFonts w:hint="default" w:ascii="Times New Roman" w:hAnsi="Times New Roman" w:cs="Times New Roman" w:eastAsiaTheme="minorEastAsia"/>
                <w:color w:val="auto"/>
                <w:spacing w:val="0"/>
                <w:sz w:val="21"/>
                <w:szCs w:val="21"/>
                <w:highlight w:val="none"/>
              </w:rPr>
            </w:pPr>
          </w:p>
          <w:p w14:paraId="547C545A">
            <w:pPr>
              <w:spacing w:before="65" w:line="228" w:lineRule="auto"/>
              <w:ind w:left="277"/>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w:t>
            </w:r>
          </w:p>
        </w:tc>
      </w:tr>
      <w:tr w14:paraId="33B9F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968" w:type="dxa"/>
            <w:tcBorders>
              <w:left w:val="single" w:color="000000" w:sz="6" w:space="0"/>
            </w:tcBorders>
            <w:vAlign w:val="top"/>
          </w:tcPr>
          <w:p w14:paraId="5A041B72">
            <w:pPr>
              <w:spacing w:before="35" w:line="239" w:lineRule="auto"/>
              <w:ind w:left="114" w:right="105" w:hanging="2"/>
              <w:jc w:val="both"/>
              <w:rPr>
                <w:rFonts w:hint="eastAsia"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rPr>
              <w:t>大力发展新能源和清洁能源；严格合理控制煤炭消费总量；积极开展燃煤锅炉关停整合；实施工业炉窑清洁能源替代；持续推进北方地区清洁取暖</w:t>
            </w:r>
          </w:p>
        </w:tc>
        <w:tc>
          <w:tcPr>
            <w:tcW w:w="2599" w:type="dxa"/>
            <w:vAlign w:val="top"/>
          </w:tcPr>
          <w:p w14:paraId="49D531F1">
            <w:pPr>
              <w:spacing w:before="172" w:line="239" w:lineRule="auto"/>
              <w:ind w:left="117" w:right="101" w:hanging="3"/>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本项目</w:t>
            </w:r>
            <w:r>
              <w:rPr>
                <w:rFonts w:hint="eastAsia" w:ascii="Times New Roman" w:hAnsi="Times New Roman" w:cs="Times New Roman" w:eastAsiaTheme="minorEastAsia"/>
                <w:color w:val="auto"/>
                <w:spacing w:val="0"/>
                <w:sz w:val="21"/>
                <w:szCs w:val="21"/>
                <w:highlight w:val="none"/>
                <w:lang w:val="en-US" w:eastAsia="zh-CN"/>
              </w:rPr>
              <w:t>侧钻井</w:t>
            </w:r>
            <w:r>
              <w:rPr>
                <w:rFonts w:hint="default" w:ascii="Times New Roman" w:hAnsi="Times New Roman" w:cs="Times New Roman" w:eastAsiaTheme="minorEastAsia"/>
                <w:color w:val="auto"/>
                <w:spacing w:val="0"/>
                <w:sz w:val="21"/>
                <w:szCs w:val="21"/>
                <w:highlight w:val="none"/>
              </w:rPr>
              <w:t>运营期井场</w:t>
            </w:r>
            <w:r>
              <w:rPr>
                <w:rFonts w:hint="eastAsia" w:ascii="Times New Roman" w:hAnsi="Times New Roman" w:cs="Times New Roman" w:eastAsiaTheme="minorEastAsia"/>
                <w:color w:val="auto"/>
                <w:spacing w:val="0"/>
                <w:sz w:val="21"/>
                <w:szCs w:val="21"/>
                <w:highlight w:val="none"/>
                <w:lang w:val="en-US" w:eastAsia="zh-CN"/>
              </w:rPr>
              <w:t>利旧</w:t>
            </w:r>
            <w:r>
              <w:rPr>
                <w:rFonts w:hint="default" w:ascii="Times New Roman" w:hAnsi="Times New Roman" w:cs="Times New Roman" w:eastAsiaTheme="minorEastAsia"/>
                <w:color w:val="auto"/>
                <w:spacing w:val="0"/>
                <w:sz w:val="21"/>
                <w:szCs w:val="21"/>
                <w:highlight w:val="none"/>
              </w:rPr>
              <w:t>加热炉</w:t>
            </w:r>
            <w:r>
              <w:rPr>
                <w:rFonts w:hint="eastAsia" w:ascii="Times New Roman" w:hAnsi="Times New Roman" w:cs="Times New Roman" w:eastAsiaTheme="minorEastAsia"/>
                <w:color w:val="auto"/>
                <w:spacing w:val="0"/>
                <w:sz w:val="21"/>
                <w:szCs w:val="21"/>
                <w:highlight w:val="none"/>
                <w:lang w:val="en-US" w:eastAsia="zh-CN"/>
              </w:rPr>
              <w:t>燃料</w:t>
            </w:r>
            <w:r>
              <w:rPr>
                <w:rFonts w:hint="default" w:ascii="Times New Roman" w:hAnsi="Times New Roman" w:cs="Times New Roman" w:eastAsiaTheme="minorEastAsia"/>
                <w:color w:val="auto"/>
                <w:spacing w:val="0"/>
                <w:sz w:val="21"/>
                <w:szCs w:val="21"/>
                <w:highlight w:val="none"/>
              </w:rPr>
              <w:t>为天然气，属于清洁能源。</w:t>
            </w:r>
          </w:p>
        </w:tc>
        <w:tc>
          <w:tcPr>
            <w:tcW w:w="956" w:type="dxa"/>
            <w:tcBorders>
              <w:right w:val="single" w:color="000000" w:sz="6" w:space="0"/>
            </w:tcBorders>
            <w:vAlign w:val="top"/>
          </w:tcPr>
          <w:p w14:paraId="30C939D1">
            <w:pPr>
              <w:spacing w:before="306" w:line="228" w:lineRule="auto"/>
              <w:ind w:left="277"/>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w:t>
            </w:r>
          </w:p>
        </w:tc>
      </w:tr>
      <w:tr w14:paraId="40A71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6" w:hRule="atLeast"/>
        </w:trPr>
        <w:tc>
          <w:tcPr>
            <w:tcW w:w="4968" w:type="dxa"/>
            <w:tcBorders>
              <w:left w:val="single" w:color="000000" w:sz="6" w:space="0"/>
            </w:tcBorders>
            <w:vAlign w:val="top"/>
          </w:tcPr>
          <w:p w14:paraId="72993710">
            <w:pPr>
              <w:pStyle w:val="42"/>
              <w:spacing w:before="30" w:line="248" w:lineRule="auto"/>
              <w:ind w:left="108" w:right="50" w:firstLine="5"/>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废气处理设施</w:t>
            </w:r>
          </w:p>
        </w:tc>
        <w:tc>
          <w:tcPr>
            <w:tcW w:w="2599" w:type="dxa"/>
            <w:vAlign w:val="top"/>
          </w:tcPr>
          <w:p w14:paraId="113FE974">
            <w:pPr>
              <w:spacing w:line="305" w:lineRule="auto"/>
              <w:jc w:val="both"/>
              <w:rPr>
                <w:rFonts w:hint="default" w:ascii="Times New Roman" w:hAnsi="Times New Roman" w:cs="Times New Roman" w:eastAsiaTheme="minorEastAsia"/>
                <w:color w:val="auto"/>
                <w:spacing w:val="0"/>
                <w:sz w:val="21"/>
                <w:szCs w:val="21"/>
                <w:highlight w:val="none"/>
              </w:rPr>
            </w:pPr>
          </w:p>
          <w:p w14:paraId="4AF3F886">
            <w:pPr>
              <w:spacing w:line="305" w:lineRule="auto"/>
              <w:jc w:val="both"/>
              <w:rPr>
                <w:rFonts w:hint="default" w:ascii="Times New Roman" w:hAnsi="Times New Roman" w:cs="Times New Roman" w:eastAsiaTheme="minorEastAsia"/>
                <w:color w:val="auto"/>
                <w:spacing w:val="0"/>
                <w:sz w:val="21"/>
                <w:szCs w:val="21"/>
                <w:highlight w:val="none"/>
              </w:rPr>
            </w:pPr>
          </w:p>
          <w:p w14:paraId="556B2580">
            <w:pPr>
              <w:spacing w:line="306" w:lineRule="auto"/>
              <w:jc w:val="both"/>
              <w:rPr>
                <w:rFonts w:hint="default" w:ascii="Times New Roman" w:hAnsi="Times New Roman" w:cs="Times New Roman" w:eastAsiaTheme="minorEastAsia"/>
                <w:color w:val="auto"/>
                <w:spacing w:val="0"/>
                <w:sz w:val="21"/>
                <w:szCs w:val="21"/>
                <w:highlight w:val="none"/>
              </w:rPr>
            </w:pPr>
          </w:p>
          <w:p w14:paraId="5F7BB948">
            <w:pPr>
              <w:pStyle w:val="42"/>
              <w:spacing w:before="65" w:line="246" w:lineRule="auto"/>
              <w:ind w:left="107" w:right="101" w:firstLine="8"/>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建设单位在运营期须加强VOCs泄漏检测，定期对油气生产设施开展密封性检测。</w:t>
            </w:r>
          </w:p>
        </w:tc>
        <w:tc>
          <w:tcPr>
            <w:tcW w:w="956" w:type="dxa"/>
            <w:tcBorders>
              <w:right w:val="single" w:color="000000" w:sz="6" w:space="0"/>
            </w:tcBorders>
            <w:vAlign w:val="top"/>
          </w:tcPr>
          <w:p w14:paraId="101E5551">
            <w:pPr>
              <w:spacing w:line="264" w:lineRule="auto"/>
              <w:jc w:val="both"/>
              <w:rPr>
                <w:rFonts w:hint="default" w:ascii="Times New Roman" w:hAnsi="Times New Roman" w:cs="Times New Roman" w:eastAsiaTheme="minorEastAsia"/>
                <w:color w:val="auto"/>
                <w:spacing w:val="0"/>
                <w:sz w:val="21"/>
                <w:szCs w:val="21"/>
                <w:highlight w:val="none"/>
              </w:rPr>
            </w:pPr>
          </w:p>
          <w:p w14:paraId="7432E9DD">
            <w:pPr>
              <w:spacing w:line="264" w:lineRule="auto"/>
              <w:jc w:val="both"/>
              <w:rPr>
                <w:rFonts w:hint="default" w:ascii="Times New Roman" w:hAnsi="Times New Roman" w:cs="Times New Roman" w:eastAsiaTheme="minorEastAsia"/>
                <w:color w:val="auto"/>
                <w:spacing w:val="0"/>
                <w:sz w:val="21"/>
                <w:szCs w:val="21"/>
                <w:highlight w:val="none"/>
              </w:rPr>
            </w:pPr>
          </w:p>
          <w:p w14:paraId="23776512">
            <w:pPr>
              <w:spacing w:line="265" w:lineRule="auto"/>
              <w:jc w:val="both"/>
              <w:rPr>
                <w:rFonts w:hint="default" w:ascii="Times New Roman" w:hAnsi="Times New Roman" w:cs="Times New Roman" w:eastAsiaTheme="minorEastAsia"/>
                <w:color w:val="auto"/>
                <w:spacing w:val="0"/>
                <w:sz w:val="21"/>
                <w:szCs w:val="21"/>
                <w:highlight w:val="none"/>
              </w:rPr>
            </w:pPr>
          </w:p>
          <w:p w14:paraId="56BBF874">
            <w:pPr>
              <w:spacing w:line="265" w:lineRule="auto"/>
              <w:jc w:val="both"/>
              <w:rPr>
                <w:rFonts w:hint="default" w:ascii="Times New Roman" w:hAnsi="Times New Roman" w:cs="Times New Roman" w:eastAsiaTheme="minorEastAsia"/>
                <w:color w:val="auto"/>
                <w:spacing w:val="0"/>
                <w:sz w:val="21"/>
                <w:szCs w:val="21"/>
                <w:highlight w:val="none"/>
              </w:rPr>
            </w:pPr>
          </w:p>
          <w:p w14:paraId="5BD04F48">
            <w:pPr>
              <w:spacing w:line="265" w:lineRule="auto"/>
              <w:jc w:val="both"/>
              <w:rPr>
                <w:rFonts w:hint="default" w:ascii="Times New Roman" w:hAnsi="Times New Roman" w:cs="Times New Roman" w:eastAsiaTheme="minorEastAsia"/>
                <w:color w:val="auto"/>
                <w:spacing w:val="0"/>
                <w:sz w:val="21"/>
                <w:szCs w:val="21"/>
                <w:highlight w:val="none"/>
              </w:rPr>
            </w:pPr>
          </w:p>
          <w:p w14:paraId="5D78B90F">
            <w:pPr>
              <w:spacing w:before="65" w:line="228" w:lineRule="auto"/>
              <w:ind w:left="277"/>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w:t>
            </w:r>
          </w:p>
        </w:tc>
      </w:tr>
      <w:tr w14:paraId="09113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4968" w:type="dxa"/>
            <w:tcBorders>
              <w:left w:val="single" w:color="000000" w:sz="6" w:space="0"/>
            </w:tcBorders>
            <w:vAlign w:val="top"/>
          </w:tcPr>
          <w:p w14:paraId="7C120F1B">
            <w:pPr>
              <w:pStyle w:val="42"/>
              <w:spacing w:before="41" w:line="244" w:lineRule="auto"/>
              <w:ind w:left="105" w:right="105" w:firstLine="3"/>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推进重点行业污染深度治理。高质量推进钢铁、水泥、焦化等重点行业及燃煤锅炉超低排放改造。到2025年，全国80%以上的钢铁产能完成超低排放改造任务；重点区域全部实现钢铁行业超低排放，基本完成燃煤锅炉超低排放改造；推进燃气锅炉低氮燃烧改造。</w:t>
            </w:r>
          </w:p>
        </w:tc>
        <w:tc>
          <w:tcPr>
            <w:tcW w:w="2599" w:type="dxa"/>
            <w:vAlign w:val="top"/>
          </w:tcPr>
          <w:p w14:paraId="2762FF5A">
            <w:pPr>
              <w:spacing w:line="257" w:lineRule="auto"/>
              <w:jc w:val="both"/>
              <w:rPr>
                <w:rFonts w:hint="default" w:ascii="Times New Roman" w:hAnsi="Times New Roman" w:cs="Times New Roman" w:eastAsiaTheme="minorEastAsia"/>
                <w:color w:val="auto"/>
                <w:spacing w:val="0"/>
                <w:sz w:val="21"/>
                <w:szCs w:val="21"/>
                <w:highlight w:val="none"/>
              </w:rPr>
            </w:pPr>
          </w:p>
          <w:p w14:paraId="3632A664">
            <w:pPr>
              <w:spacing w:line="258" w:lineRule="auto"/>
              <w:jc w:val="both"/>
              <w:rPr>
                <w:rFonts w:hint="default" w:ascii="Times New Roman" w:hAnsi="Times New Roman" w:cs="Times New Roman" w:eastAsiaTheme="minorEastAsia"/>
                <w:color w:val="auto"/>
                <w:spacing w:val="0"/>
                <w:sz w:val="21"/>
                <w:szCs w:val="21"/>
                <w:highlight w:val="none"/>
              </w:rPr>
            </w:pPr>
          </w:p>
          <w:p w14:paraId="33F282B7">
            <w:pPr>
              <w:spacing w:before="65" w:line="239" w:lineRule="auto"/>
              <w:ind w:left="118" w:right="104"/>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本项目</w:t>
            </w:r>
            <w:r>
              <w:rPr>
                <w:rFonts w:hint="eastAsia" w:ascii="Times New Roman" w:hAnsi="Times New Roman" w:cs="Times New Roman" w:eastAsiaTheme="minorEastAsia"/>
                <w:color w:val="auto"/>
                <w:spacing w:val="0"/>
                <w:sz w:val="21"/>
                <w:szCs w:val="21"/>
                <w:highlight w:val="none"/>
                <w:lang w:val="en-US" w:eastAsia="zh-CN"/>
              </w:rPr>
              <w:t>侧钻井</w:t>
            </w:r>
            <w:r>
              <w:rPr>
                <w:rFonts w:hint="default" w:ascii="Times New Roman" w:hAnsi="Times New Roman" w:cs="Times New Roman" w:eastAsiaTheme="minorEastAsia"/>
                <w:color w:val="auto"/>
                <w:spacing w:val="0"/>
                <w:sz w:val="21"/>
                <w:szCs w:val="21"/>
                <w:highlight w:val="none"/>
              </w:rPr>
              <w:t>运营期井场</w:t>
            </w:r>
            <w:r>
              <w:rPr>
                <w:rFonts w:hint="eastAsia" w:ascii="Times New Roman" w:hAnsi="Times New Roman" w:cs="Times New Roman" w:eastAsiaTheme="minorEastAsia"/>
                <w:color w:val="auto"/>
                <w:spacing w:val="0"/>
                <w:sz w:val="21"/>
                <w:szCs w:val="21"/>
                <w:highlight w:val="none"/>
                <w:lang w:val="en-US" w:eastAsia="zh-CN"/>
              </w:rPr>
              <w:t>利旧</w:t>
            </w:r>
            <w:r>
              <w:rPr>
                <w:rFonts w:hint="default" w:ascii="Times New Roman" w:hAnsi="Times New Roman" w:cs="Times New Roman" w:eastAsiaTheme="minorEastAsia"/>
                <w:color w:val="auto"/>
                <w:spacing w:val="0"/>
                <w:sz w:val="21"/>
                <w:szCs w:val="21"/>
                <w:highlight w:val="none"/>
              </w:rPr>
              <w:t>燃气加热炉采用低氮燃烧技术。</w:t>
            </w:r>
          </w:p>
        </w:tc>
        <w:tc>
          <w:tcPr>
            <w:tcW w:w="956" w:type="dxa"/>
            <w:tcBorders>
              <w:right w:val="single" w:color="000000" w:sz="6" w:space="0"/>
            </w:tcBorders>
            <w:vAlign w:val="top"/>
          </w:tcPr>
          <w:p w14:paraId="5DDAC34D">
            <w:pPr>
              <w:spacing w:line="324" w:lineRule="auto"/>
              <w:jc w:val="both"/>
              <w:rPr>
                <w:rFonts w:hint="default" w:ascii="Times New Roman" w:hAnsi="Times New Roman" w:cs="Times New Roman" w:eastAsiaTheme="minorEastAsia"/>
                <w:color w:val="auto"/>
                <w:spacing w:val="0"/>
                <w:sz w:val="21"/>
                <w:szCs w:val="21"/>
                <w:highlight w:val="none"/>
              </w:rPr>
            </w:pPr>
          </w:p>
          <w:p w14:paraId="44DF93ED">
            <w:pPr>
              <w:spacing w:line="325" w:lineRule="auto"/>
              <w:jc w:val="both"/>
              <w:rPr>
                <w:rFonts w:hint="default" w:ascii="Times New Roman" w:hAnsi="Times New Roman" w:cs="Times New Roman" w:eastAsiaTheme="minorEastAsia"/>
                <w:color w:val="auto"/>
                <w:spacing w:val="0"/>
                <w:sz w:val="21"/>
                <w:szCs w:val="21"/>
                <w:highlight w:val="none"/>
              </w:rPr>
            </w:pPr>
          </w:p>
          <w:p w14:paraId="678438F0">
            <w:pPr>
              <w:spacing w:before="65" w:line="228" w:lineRule="auto"/>
              <w:ind w:left="277"/>
              <w:jc w:val="both"/>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w:t>
            </w:r>
          </w:p>
        </w:tc>
      </w:tr>
      <w:tr w14:paraId="39F10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68" w:type="dxa"/>
            <w:tcBorders>
              <w:left w:val="single" w:color="000000" w:sz="6" w:space="0"/>
            </w:tcBorders>
            <w:vAlign w:val="top"/>
          </w:tcPr>
          <w:p w14:paraId="7E3DF080">
            <w:pPr>
              <w:spacing w:before="42" w:line="229" w:lineRule="auto"/>
              <w:ind w:left="109" w:right="107"/>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开展餐饮油烟、恶臭异味专项治理；稳步推进</w:t>
            </w:r>
            <w:r>
              <w:rPr>
                <w:rFonts w:hint="eastAsia" w:cs="Times New Roman" w:eastAsiaTheme="minorEastAsia"/>
                <w:color w:val="auto"/>
                <w:spacing w:val="0"/>
                <w:sz w:val="21"/>
                <w:szCs w:val="21"/>
                <w:highlight w:val="none"/>
                <w:lang w:eastAsia="zh-CN"/>
              </w:rPr>
              <w:t>大气</w:t>
            </w:r>
            <w:r>
              <w:rPr>
                <w:rFonts w:hint="default" w:ascii="Times New Roman" w:hAnsi="Times New Roman" w:cs="Times New Roman" w:eastAsiaTheme="minorEastAsia"/>
                <w:color w:val="auto"/>
                <w:spacing w:val="0"/>
                <w:sz w:val="21"/>
                <w:szCs w:val="21"/>
                <w:highlight w:val="none"/>
              </w:rPr>
              <w:t>污染防控</w:t>
            </w:r>
          </w:p>
        </w:tc>
        <w:tc>
          <w:tcPr>
            <w:tcW w:w="2599" w:type="dxa"/>
            <w:vAlign w:val="top"/>
          </w:tcPr>
          <w:p w14:paraId="4E7F5305">
            <w:pPr>
              <w:spacing w:before="176" w:line="229" w:lineRule="auto"/>
              <w:ind w:firstLine="210" w:firstLineChars="100"/>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不涉及</w:t>
            </w:r>
          </w:p>
        </w:tc>
        <w:tc>
          <w:tcPr>
            <w:tcW w:w="956" w:type="dxa"/>
            <w:tcBorders>
              <w:right w:val="single" w:color="000000" w:sz="6" w:space="0"/>
            </w:tcBorders>
            <w:vAlign w:val="top"/>
          </w:tcPr>
          <w:p w14:paraId="3AE56C87">
            <w:pPr>
              <w:spacing w:before="176" w:line="228" w:lineRule="auto"/>
              <w:ind w:left="277"/>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w:t>
            </w:r>
          </w:p>
        </w:tc>
      </w:tr>
      <w:tr w14:paraId="4C8D9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4968" w:type="dxa"/>
            <w:tcBorders>
              <w:left w:val="single" w:color="000000" w:sz="6" w:space="0"/>
            </w:tcBorders>
            <w:vAlign w:val="top"/>
          </w:tcPr>
          <w:p w14:paraId="718F0939">
            <w:pPr>
              <w:spacing w:before="42" w:line="248" w:lineRule="auto"/>
              <w:ind w:left="108" w:right="105" w:firstLine="3"/>
              <w:rPr>
                <w:rFonts w:hint="eastAsia" w:ascii="宋体" w:hAnsi="宋体" w:eastAsia="宋体" w:cs="宋体"/>
                <w:color w:val="auto"/>
                <w:highlight w:val="none"/>
                <w:lang w:eastAsia="zh-CN"/>
              </w:rPr>
            </w:pPr>
            <w:r>
              <w:rPr>
                <w:rFonts w:hint="default" w:ascii="Times New Roman" w:hAnsi="Times New Roman" w:cs="Times New Roman" w:eastAsiaTheme="minorEastAsia"/>
                <w:color w:val="auto"/>
                <w:spacing w:val="0"/>
                <w:sz w:val="21"/>
                <w:szCs w:val="21"/>
                <w:highlight w:val="none"/>
              </w:rPr>
              <w:t>完善区域大气污染防治协作机制。国家统筹推进京津冀及周边地区大气污染联防联控工作，继续发挥长三角地区协作机制、汾渭平原协作机制作用。国家加强对成渝地区、长江中游城市群、东北地区、天山北坡城市群等区域大气污染防治协作的指导，将粤港澳大湾区作为空气质量改善先行示范区。各省级政府加强本行政区域内联防联控。鼓励省际交</w:t>
            </w:r>
            <w:r>
              <w:rPr>
                <w:rFonts w:ascii="宋体" w:hAnsi="宋体" w:eastAsia="宋体" w:cs="宋体"/>
                <w:color w:val="auto"/>
                <w:spacing w:val="19"/>
                <w:sz w:val="21"/>
                <w:szCs w:val="21"/>
                <w:highlight w:val="none"/>
              </w:rPr>
              <w:t>界地区市县积极开展联防联控，推动联合交叉执</w:t>
            </w:r>
            <w:r>
              <w:rPr>
                <w:rFonts w:ascii="宋体" w:hAnsi="宋体" w:eastAsia="宋体" w:cs="宋体"/>
                <w:color w:val="auto"/>
                <w:spacing w:val="12"/>
                <w:sz w:val="21"/>
                <w:szCs w:val="21"/>
                <w:highlight w:val="none"/>
              </w:rPr>
              <w:t>法。对省界两侧</w:t>
            </w:r>
            <w:r>
              <w:rPr>
                <w:color w:val="auto"/>
                <w:spacing w:val="12"/>
                <w:sz w:val="21"/>
                <w:szCs w:val="21"/>
                <w:highlight w:val="none"/>
              </w:rPr>
              <w:t>20</w:t>
            </w:r>
            <w:r>
              <w:rPr>
                <w:rFonts w:ascii="宋体" w:hAnsi="宋体" w:eastAsia="宋体" w:cs="宋体"/>
                <w:color w:val="auto"/>
                <w:spacing w:val="12"/>
                <w:sz w:val="21"/>
                <w:szCs w:val="21"/>
                <w:highlight w:val="none"/>
              </w:rPr>
              <w:t>公里内的涉气重点行业新建项</w:t>
            </w:r>
            <w:r>
              <w:rPr>
                <w:rFonts w:ascii="宋体" w:hAnsi="宋体" w:eastAsia="宋体" w:cs="宋体"/>
                <w:color w:val="auto"/>
                <w:spacing w:val="9"/>
                <w:sz w:val="21"/>
                <w:szCs w:val="21"/>
                <w:highlight w:val="none"/>
              </w:rPr>
              <w:t>目，以及对下风向空气质量影响大的新建高架源项目，有关省份要开展环评一致性会商</w:t>
            </w:r>
            <w:r>
              <w:rPr>
                <w:rFonts w:hint="eastAsia" w:ascii="宋体" w:hAnsi="宋体" w:cs="宋体"/>
                <w:color w:val="auto"/>
                <w:spacing w:val="9"/>
                <w:sz w:val="21"/>
                <w:szCs w:val="21"/>
                <w:highlight w:val="none"/>
                <w:lang w:eastAsia="zh-CN"/>
              </w:rPr>
              <w:t>。</w:t>
            </w:r>
          </w:p>
        </w:tc>
        <w:tc>
          <w:tcPr>
            <w:tcW w:w="2599" w:type="dxa"/>
            <w:vAlign w:val="top"/>
          </w:tcPr>
          <w:p w14:paraId="56AE7E4C">
            <w:pPr>
              <w:spacing w:line="327" w:lineRule="auto"/>
              <w:rPr>
                <w:rFonts w:hint="default" w:ascii="Times New Roman" w:hAnsi="Times New Roman" w:cs="Times New Roman" w:eastAsiaTheme="minorEastAsia"/>
                <w:color w:val="auto"/>
                <w:spacing w:val="0"/>
                <w:sz w:val="21"/>
                <w:szCs w:val="21"/>
                <w:highlight w:val="none"/>
              </w:rPr>
            </w:pPr>
          </w:p>
          <w:p w14:paraId="52E815C6">
            <w:pPr>
              <w:spacing w:line="328" w:lineRule="auto"/>
              <w:rPr>
                <w:rFonts w:hint="default" w:ascii="Times New Roman" w:hAnsi="Times New Roman" w:cs="Times New Roman" w:eastAsiaTheme="minorEastAsia"/>
                <w:color w:val="auto"/>
                <w:spacing w:val="0"/>
                <w:sz w:val="21"/>
                <w:szCs w:val="21"/>
                <w:highlight w:val="none"/>
              </w:rPr>
            </w:pPr>
          </w:p>
          <w:p w14:paraId="6A777315">
            <w:pPr>
              <w:spacing w:before="65" w:line="239" w:lineRule="auto"/>
              <w:ind w:left="126" w:right="101" w:hanging="12"/>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本项目所在区域不属于“联防联控区”。</w:t>
            </w:r>
          </w:p>
        </w:tc>
        <w:tc>
          <w:tcPr>
            <w:tcW w:w="956" w:type="dxa"/>
            <w:tcBorders>
              <w:bottom w:val="single" w:color="000000" w:sz="6" w:space="0"/>
              <w:right w:val="single" w:color="000000" w:sz="6" w:space="0"/>
            </w:tcBorders>
            <w:vAlign w:val="top"/>
          </w:tcPr>
          <w:p w14:paraId="314123E3">
            <w:pPr>
              <w:spacing w:line="262" w:lineRule="auto"/>
              <w:rPr>
                <w:rFonts w:hint="default" w:ascii="Times New Roman" w:hAnsi="Times New Roman" w:cs="Times New Roman" w:eastAsiaTheme="minorEastAsia"/>
                <w:color w:val="auto"/>
                <w:spacing w:val="0"/>
                <w:sz w:val="21"/>
                <w:szCs w:val="21"/>
                <w:highlight w:val="none"/>
              </w:rPr>
            </w:pPr>
          </w:p>
          <w:p w14:paraId="23BE4DDA">
            <w:pPr>
              <w:spacing w:line="263" w:lineRule="auto"/>
              <w:rPr>
                <w:rFonts w:hint="default" w:ascii="Times New Roman" w:hAnsi="Times New Roman" w:cs="Times New Roman" w:eastAsiaTheme="minorEastAsia"/>
                <w:color w:val="auto"/>
                <w:spacing w:val="0"/>
                <w:sz w:val="21"/>
                <w:szCs w:val="21"/>
                <w:highlight w:val="none"/>
              </w:rPr>
            </w:pPr>
          </w:p>
          <w:p w14:paraId="29733570">
            <w:pPr>
              <w:spacing w:line="263" w:lineRule="auto"/>
              <w:rPr>
                <w:rFonts w:hint="default" w:ascii="Times New Roman" w:hAnsi="Times New Roman" w:cs="Times New Roman" w:eastAsiaTheme="minorEastAsia"/>
                <w:color w:val="auto"/>
                <w:spacing w:val="0"/>
                <w:sz w:val="21"/>
                <w:szCs w:val="21"/>
                <w:highlight w:val="none"/>
              </w:rPr>
            </w:pPr>
          </w:p>
          <w:p w14:paraId="1CB4F4E1">
            <w:pPr>
              <w:spacing w:before="65" w:line="228" w:lineRule="auto"/>
              <w:ind w:left="277"/>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符合</w:t>
            </w:r>
          </w:p>
        </w:tc>
      </w:tr>
    </w:tbl>
    <w:p w14:paraId="630ADFE7">
      <w:pPr>
        <w:spacing w:before="122" w:line="364" w:lineRule="auto"/>
        <w:ind w:left="125" w:right="120" w:firstLine="482"/>
        <w:rPr>
          <w:rFonts w:ascii="宋体" w:hAnsi="宋体" w:eastAsia="宋体" w:cs="宋体"/>
          <w:color w:val="auto"/>
          <w:spacing w:val="-2"/>
          <w:sz w:val="24"/>
          <w:szCs w:val="24"/>
          <w:highlight w:val="none"/>
        </w:rPr>
      </w:pPr>
      <w:r>
        <w:rPr>
          <w:rFonts w:ascii="宋体" w:hAnsi="宋体" w:eastAsia="宋体" w:cs="宋体"/>
          <w:color w:val="auto"/>
          <w:spacing w:val="-3"/>
          <w:sz w:val="24"/>
          <w:szCs w:val="24"/>
          <w:highlight w:val="none"/>
        </w:rPr>
        <w:t>综上，本项目建设符合《国务院关于印发〈空气质量持续</w:t>
      </w:r>
      <w:r>
        <w:rPr>
          <w:rFonts w:ascii="宋体" w:hAnsi="宋体" w:eastAsia="宋体" w:cs="宋体"/>
          <w:color w:val="auto"/>
          <w:spacing w:val="-4"/>
          <w:sz w:val="24"/>
          <w:szCs w:val="24"/>
          <w:highlight w:val="none"/>
        </w:rPr>
        <w:t>改善行动计划〉的</w:t>
      </w:r>
      <w:r>
        <w:rPr>
          <w:rFonts w:ascii="宋体" w:hAnsi="宋体" w:eastAsia="宋体" w:cs="宋体"/>
          <w:color w:val="auto"/>
          <w:spacing w:val="-2"/>
          <w:sz w:val="24"/>
          <w:szCs w:val="24"/>
          <w:highlight w:val="none"/>
        </w:rPr>
        <w:t>通知》（国发〔</w:t>
      </w:r>
      <w:r>
        <w:rPr>
          <w:rFonts w:ascii="Times New Roman" w:hAnsi="Times New Roman" w:eastAsia="Times New Roman" w:cs="Times New Roman"/>
          <w:color w:val="auto"/>
          <w:spacing w:val="-2"/>
          <w:sz w:val="24"/>
          <w:szCs w:val="24"/>
          <w:highlight w:val="none"/>
        </w:rPr>
        <w:t>2023</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24</w:t>
      </w:r>
      <w:r>
        <w:rPr>
          <w:rFonts w:ascii="宋体" w:hAnsi="宋体" w:eastAsia="宋体" w:cs="宋体"/>
          <w:color w:val="auto"/>
          <w:spacing w:val="-2"/>
          <w:sz w:val="24"/>
          <w:szCs w:val="24"/>
          <w:highlight w:val="none"/>
        </w:rPr>
        <w:t>号）相关要求。</w:t>
      </w:r>
    </w:p>
    <w:p w14:paraId="3A38072C">
      <w:pPr>
        <w:keepNext/>
        <w:keepLines/>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color w:val="auto"/>
          <w:sz w:val="28"/>
          <w:szCs w:val="22"/>
          <w:highlight w:val="none"/>
          <w:lang w:val="en-US" w:eastAsia="zh-CN"/>
        </w:rPr>
      </w:pPr>
      <w:r>
        <w:rPr>
          <w:rFonts w:hint="eastAsia" w:ascii="Times New Roman" w:hAnsi="Times New Roman" w:eastAsia="宋体" w:cs="Times New Roman"/>
          <w:b/>
          <w:color w:val="auto"/>
          <w:sz w:val="28"/>
          <w:szCs w:val="22"/>
          <w:highlight w:val="none"/>
          <w:lang w:val="en-US" w:eastAsia="zh-CN"/>
        </w:rPr>
        <w:t>3</w:t>
      </w:r>
      <w:r>
        <w:rPr>
          <w:rFonts w:hint="default" w:ascii="Times New Roman" w:hAnsi="Times New Roman" w:eastAsia="宋体" w:cs="Times New Roman"/>
          <w:b/>
          <w:color w:val="auto"/>
          <w:sz w:val="28"/>
          <w:szCs w:val="22"/>
          <w:highlight w:val="none"/>
          <w:lang w:val="en-US" w:eastAsia="zh-CN"/>
        </w:rPr>
        <w:t>.</w:t>
      </w:r>
      <w:r>
        <w:rPr>
          <w:rFonts w:hint="eastAsia" w:ascii="Times New Roman" w:hAnsi="Times New Roman" w:eastAsia="宋体" w:cs="Times New Roman"/>
          <w:b/>
          <w:color w:val="auto"/>
          <w:sz w:val="28"/>
          <w:szCs w:val="22"/>
          <w:highlight w:val="none"/>
          <w:lang w:val="en-US" w:eastAsia="zh-CN"/>
        </w:rPr>
        <w:t>7</w:t>
      </w:r>
      <w:r>
        <w:rPr>
          <w:rFonts w:hint="default" w:ascii="Times New Roman" w:hAnsi="Times New Roman" w:eastAsia="宋体" w:cs="Times New Roman"/>
          <w:b/>
          <w:color w:val="auto"/>
          <w:sz w:val="28"/>
          <w:szCs w:val="22"/>
          <w:highlight w:val="none"/>
          <w:lang w:val="en-US" w:eastAsia="zh-CN"/>
        </w:rPr>
        <w:t>.</w:t>
      </w:r>
      <w:r>
        <w:rPr>
          <w:rFonts w:hint="eastAsia" w:ascii="Times New Roman" w:hAnsi="Times New Roman" w:eastAsia="宋体" w:cs="Times New Roman"/>
          <w:b/>
          <w:color w:val="auto"/>
          <w:sz w:val="28"/>
          <w:szCs w:val="22"/>
          <w:highlight w:val="none"/>
          <w:lang w:val="en-US" w:eastAsia="zh-CN"/>
        </w:rPr>
        <w:t>1</w:t>
      </w:r>
      <w:r>
        <w:rPr>
          <w:rFonts w:hint="eastAsia" w:ascii="Times New Roman" w:hAnsi="Times New Roman" w:cs="Times New Roman"/>
          <w:b/>
          <w:color w:val="auto"/>
          <w:sz w:val="28"/>
          <w:szCs w:val="22"/>
          <w:highlight w:val="none"/>
          <w:lang w:val="en-US" w:eastAsia="zh-CN"/>
        </w:rPr>
        <w:t>1</w:t>
      </w:r>
      <w:r>
        <w:rPr>
          <w:rFonts w:hint="default" w:ascii="Times New Roman" w:hAnsi="Times New Roman" w:eastAsia="宋体" w:cs="Times New Roman"/>
          <w:b/>
          <w:color w:val="auto"/>
          <w:sz w:val="28"/>
          <w:szCs w:val="22"/>
          <w:highlight w:val="none"/>
          <w:lang w:val="en-US" w:eastAsia="zh-CN"/>
        </w:rPr>
        <w:t>与《关于加强生态红线管理的通知（试行）》</w:t>
      </w:r>
      <w:r>
        <w:rPr>
          <w:rFonts w:hint="eastAsia" w:ascii="Times New Roman" w:hAnsi="Times New Roman" w:cs="Times New Roman"/>
          <w:b/>
          <w:color w:val="auto"/>
          <w:sz w:val="28"/>
          <w:szCs w:val="22"/>
          <w:highlight w:val="none"/>
          <w:lang w:val="en-US" w:eastAsia="zh-CN"/>
        </w:rPr>
        <w:t>（</w:t>
      </w:r>
      <w:r>
        <w:rPr>
          <w:rFonts w:hint="default" w:ascii="Times New Roman" w:hAnsi="Times New Roman" w:eastAsia="宋体" w:cs="Times New Roman"/>
          <w:b/>
          <w:color w:val="auto"/>
          <w:sz w:val="28"/>
          <w:szCs w:val="22"/>
          <w:highlight w:val="none"/>
          <w:lang w:val="en-US" w:eastAsia="zh-CN"/>
        </w:rPr>
        <w:t>自然资发</w:t>
      </w:r>
      <w:r>
        <w:rPr>
          <w:rFonts w:hint="eastAsia" w:ascii="Times New Roman" w:hAnsi="Times New Roman" w:eastAsia="宋体" w:cs="Times New Roman"/>
          <w:b/>
          <w:color w:val="auto"/>
          <w:sz w:val="28"/>
          <w:szCs w:val="22"/>
          <w:highlight w:val="none"/>
          <w:lang w:val="en-US" w:eastAsia="zh-CN"/>
        </w:rPr>
        <w:t>〔</w:t>
      </w:r>
      <w:r>
        <w:rPr>
          <w:rFonts w:hint="default" w:ascii="Times New Roman" w:hAnsi="Times New Roman" w:eastAsia="宋体" w:cs="Times New Roman"/>
          <w:b/>
          <w:color w:val="auto"/>
          <w:sz w:val="28"/>
          <w:szCs w:val="22"/>
          <w:highlight w:val="none"/>
          <w:lang w:val="en-US" w:eastAsia="zh-CN"/>
        </w:rPr>
        <w:t>2022</w:t>
      </w:r>
      <w:r>
        <w:rPr>
          <w:rFonts w:hint="eastAsia" w:ascii="Times New Roman" w:hAnsi="Times New Roman" w:eastAsia="宋体" w:cs="Times New Roman"/>
          <w:b/>
          <w:color w:val="auto"/>
          <w:sz w:val="28"/>
          <w:szCs w:val="22"/>
          <w:highlight w:val="none"/>
          <w:lang w:val="en-US" w:eastAsia="zh-CN"/>
        </w:rPr>
        <w:t>〕</w:t>
      </w:r>
      <w:r>
        <w:rPr>
          <w:rFonts w:hint="default" w:ascii="Times New Roman" w:hAnsi="Times New Roman" w:eastAsia="宋体" w:cs="Times New Roman"/>
          <w:b/>
          <w:color w:val="auto"/>
          <w:sz w:val="28"/>
          <w:szCs w:val="22"/>
          <w:highlight w:val="none"/>
          <w:lang w:val="en-US" w:eastAsia="zh-CN"/>
        </w:rPr>
        <w:t>142号</w:t>
      </w:r>
      <w:r>
        <w:rPr>
          <w:rFonts w:hint="eastAsia" w:ascii="Times New Roman" w:hAnsi="Times New Roman" w:cs="Times New Roman"/>
          <w:b/>
          <w:color w:val="auto"/>
          <w:sz w:val="28"/>
          <w:szCs w:val="22"/>
          <w:highlight w:val="none"/>
          <w:lang w:val="en-US" w:eastAsia="zh-CN"/>
        </w:rPr>
        <w:t>）</w:t>
      </w:r>
      <w:r>
        <w:rPr>
          <w:rFonts w:hint="default" w:ascii="Times New Roman" w:hAnsi="Times New Roman" w:eastAsia="宋体" w:cs="Times New Roman"/>
          <w:b/>
          <w:color w:val="auto"/>
          <w:sz w:val="28"/>
          <w:szCs w:val="22"/>
          <w:highlight w:val="none"/>
          <w:lang w:val="en-US" w:eastAsia="zh-CN"/>
        </w:rPr>
        <w:t>符合性分析</w:t>
      </w:r>
    </w:p>
    <w:p w14:paraId="4103B2E6">
      <w:pPr>
        <w:spacing w:line="360" w:lineRule="auto"/>
        <w:ind w:firstLine="480" w:firstLineChars="200"/>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sz w:val="24"/>
          <w:szCs w:val="24"/>
          <w:highlight w:val="none"/>
          <w:lang w:bidi="ar"/>
        </w:rPr>
        <w:t>本</w:t>
      </w:r>
      <w:r>
        <w:rPr>
          <w:rFonts w:hint="eastAsia" w:ascii="Times New Roman" w:hAnsi="Times New Roman" w:cs="Times New Roman"/>
          <w:color w:val="auto"/>
          <w:sz w:val="24"/>
          <w:szCs w:val="24"/>
          <w:highlight w:val="none"/>
          <w:lang w:val="en-US" w:eastAsia="zh-CN" w:bidi="ar"/>
        </w:rPr>
        <w:t>项目</w:t>
      </w:r>
      <w:r>
        <w:rPr>
          <w:rFonts w:hint="default" w:ascii="Times New Roman" w:hAnsi="Times New Roman" w:cs="Times New Roman"/>
          <w:color w:val="auto"/>
          <w:sz w:val="24"/>
          <w:szCs w:val="24"/>
          <w:highlight w:val="none"/>
          <w:lang w:bidi="ar"/>
        </w:rPr>
        <w:t>与《关于加强生态红线管理的通知（试行）》（自然资发</w:t>
      </w:r>
      <w:r>
        <w:rPr>
          <w:rFonts w:hint="eastAsia"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bidi="ar"/>
        </w:rPr>
        <w:t>2022</w:t>
      </w:r>
      <w:r>
        <w:rPr>
          <w:rFonts w:hint="eastAsia"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bidi="ar"/>
        </w:rPr>
        <w:t>142号）符合性分析见表</w:t>
      </w:r>
      <w:r>
        <w:rPr>
          <w:rFonts w:hint="eastAsia" w:ascii="Times New Roman" w:hAnsi="Times New Roman" w:cs="Times New Roman"/>
          <w:color w:val="auto"/>
          <w:sz w:val="24"/>
          <w:szCs w:val="24"/>
          <w:highlight w:val="none"/>
          <w:lang w:val="en-US" w:eastAsia="zh-CN" w:bidi="ar"/>
        </w:rPr>
        <w:t>3.7-4</w:t>
      </w:r>
      <w:r>
        <w:rPr>
          <w:rFonts w:hint="default" w:ascii="Times New Roman" w:hAnsi="Times New Roman" w:cs="Times New Roman"/>
          <w:color w:val="auto"/>
          <w:sz w:val="24"/>
          <w:szCs w:val="24"/>
          <w:highlight w:val="none"/>
          <w:lang w:bidi="ar"/>
        </w:rPr>
        <w:t>。</w:t>
      </w:r>
    </w:p>
    <w:p w14:paraId="189DA215">
      <w:pPr>
        <w:keepNext w:val="0"/>
        <w:keepLines w:val="0"/>
        <w:pageBreakBefore w:val="0"/>
        <w:widowControl/>
        <w:kinsoku/>
        <w:wordWrap/>
        <w:overflowPunct/>
        <w:topLinePunct w:val="0"/>
        <w:autoSpaceDE/>
        <w:autoSpaceDN/>
        <w:bidi w:val="0"/>
        <w:adjustRightInd/>
        <w:snapToGrid/>
        <w:spacing w:line="240" w:lineRule="auto"/>
        <w:ind w:left="1797"/>
        <w:textAlignment w:val="auto"/>
        <w:rPr>
          <w:rFonts w:ascii="黑体" w:hAnsi="黑体" w:eastAsia="黑体" w:cs="黑体"/>
          <w:color w:val="auto"/>
          <w:spacing w:val="-1"/>
          <w:sz w:val="22"/>
          <w:szCs w:val="22"/>
          <w:highlight w:val="none"/>
        </w:rPr>
      </w:pPr>
      <w:r>
        <w:rPr>
          <w:rFonts w:hint="default" w:ascii="黑体" w:hAnsi="黑体" w:eastAsia="黑体" w:cs="黑体"/>
          <w:color w:val="auto"/>
          <w:spacing w:val="-1"/>
          <w:sz w:val="22"/>
          <w:szCs w:val="22"/>
          <w:highlight w:val="none"/>
        </w:rPr>
        <w:t>表</w:t>
      </w:r>
      <w:r>
        <w:rPr>
          <w:rFonts w:hint="default" w:ascii="黑体" w:hAnsi="黑体" w:eastAsia="黑体" w:cs="黑体"/>
          <w:color w:val="auto"/>
          <w:spacing w:val="-1"/>
          <w:sz w:val="22"/>
          <w:szCs w:val="22"/>
          <w:highlight w:val="none"/>
          <w:lang w:val="en-US" w:eastAsia="zh-CN"/>
        </w:rPr>
        <w:t>3.</w:t>
      </w:r>
      <w:r>
        <w:rPr>
          <w:rFonts w:hint="eastAsia" w:ascii="黑体" w:hAnsi="黑体" w:eastAsia="黑体" w:cs="黑体"/>
          <w:color w:val="auto"/>
          <w:spacing w:val="-1"/>
          <w:sz w:val="22"/>
          <w:szCs w:val="22"/>
          <w:highlight w:val="none"/>
          <w:lang w:val="en-US" w:eastAsia="zh-CN"/>
        </w:rPr>
        <w:t>7-4</w:t>
      </w:r>
      <w:r>
        <w:rPr>
          <w:rFonts w:hint="default" w:ascii="黑体" w:hAnsi="黑体" w:eastAsia="黑体" w:cs="黑体"/>
          <w:color w:val="auto"/>
          <w:spacing w:val="-1"/>
          <w:sz w:val="22"/>
          <w:szCs w:val="22"/>
          <w:highlight w:val="none"/>
        </w:rPr>
        <w:t>项目与</w:t>
      </w:r>
      <w:r>
        <w:rPr>
          <w:rFonts w:hint="eastAsia" w:ascii="黑体" w:hAnsi="黑体" w:eastAsia="黑体" w:cs="黑体"/>
          <w:color w:val="auto"/>
          <w:spacing w:val="-1"/>
          <w:sz w:val="22"/>
          <w:szCs w:val="22"/>
          <w:highlight w:val="none"/>
          <w:lang w:val="en-US" w:eastAsia="zh-CN"/>
        </w:rPr>
        <w:t>生态保护红线地相关</w:t>
      </w:r>
      <w:r>
        <w:rPr>
          <w:rFonts w:hint="default" w:ascii="黑体" w:hAnsi="黑体" w:eastAsia="黑体" w:cs="黑体"/>
          <w:color w:val="auto"/>
          <w:spacing w:val="-1"/>
          <w:sz w:val="22"/>
          <w:szCs w:val="22"/>
          <w:highlight w:val="none"/>
        </w:rPr>
        <w:t>要求符合性分析</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5900"/>
        <w:gridCol w:w="1517"/>
      </w:tblGrid>
      <w:tr w14:paraId="030F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noWrap w:val="0"/>
            <w:vAlign w:val="center"/>
          </w:tcPr>
          <w:p w14:paraId="5120A877">
            <w:pPr>
              <w:widowControl w:val="0"/>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文件</w:t>
            </w:r>
          </w:p>
        </w:tc>
        <w:tc>
          <w:tcPr>
            <w:tcW w:w="3373" w:type="pct"/>
            <w:noWrap w:val="0"/>
            <w:vAlign w:val="center"/>
          </w:tcPr>
          <w:p w14:paraId="7D36EB93">
            <w:pPr>
              <w:widowControl w:val="0"/>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生态保护红线相关</w:t>
            </w:r>
            <w:r>
              <w:rPr>
                <w:rFonts w:hint="default" w:ascii="Times New Roman" w:hAnsi="Times New Roman" w:eastAsia="宋体" w:cs="Times New Roman"/>
                <w:b w:val="0"/>
                <w:bCs w:val="0"/>
                <w:color w:val="auto"/>
                <w:kern w:val="0"/>
                <w:sz w:val="21"/>
                <w:szCs w:val="21"/>
                <w:highlight w:val="none"/>
              </w:rPr>
              <w:t>要求</w:t>
            </w:r>
          </w:p>
        </w:tc>
        <w:tc>
          <w:tcPr>
            <w:tcW w:w="867" w:type="pct"/>
            <w:noWrap w:val="0"/>
            <w:vAlign w:val="center"/>
          </w:tcPr>
          <w:p w14:paraId="1672B929">
            <w:pPr>
              <w:widowControl w:val="0"/>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符合性分析</w:t>
            </w:r>
          </w:p>
        </w:tc>
      </w:tr>
      <w:tr w14:paraId="69BD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9" w:type="pct"/>
            <w:vMerge w:val="restart"/>
            <w:noWrap w:val="0"/>
            <w:vAlign w:val="center"/>
          </w:tcPr>
          <w:p w14:paraId="3F42340B">
            <w:pPr>
              <w:widowControl w:val="0"/>
              <w:spacing w:line="240" w:lineRule="auto"/>
              <w:ind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《自然资源部生态环境部国家林业和草原局关于加强生态保护红线管理的通知（试行）》（自然资发</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2022</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142号）</w:t>
            </w:r>
          </w:p>
        </w:tc>
        <w:tc>
          <w:tcPr>
            <w:tcW w:w="3373" w:type="pct"/>
            <w:noWrap w:val="0"/>
            <w:vAlign w:val="center"/>
          </w:tcPr>
          <w:p w14:paraId="4B709422">
            <w:pPr>
              <w:widowControl w:val="0"/>
              <w:spacing w:line="240" w:lineRule="auto"/>
              <w:ind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14:paraId="1F63A6FE">
            <w:pPr>
              <w:widowControl w:val="0"/>
              <w:spacing w:line="240" w:lineRule="auto"/>
              <w:ind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tc>
        <w:tc>
          <w:tcPr>
            <w:tcW w:w="867" w:type="pct"/>
            <w:noWrap w:val="0"/>
            <w:vAlign w:val="center"/>
          </w:tcPr>
          <w:p w14:paraId="11EB9AAE">
            <w:pPr>
              <w:widowControl w:val="0"/>
              <w:spacing w:line="240" w:lineRule="auto"/>
              <w:ind w:firstLine="0" w:firstLineChars="0"/>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本工程</w:t>
            </w:r>
            <w:r>
              <w:rPr>
                <w:rFonts w:hint="default" w:ascii="Times New Roman" w:hAnsi="Times New Roman" w:cs="Times New Roman"/>
                <w:color w:val="auto"/>
                <w:sz w:val="21"/>
                <w:szCs w:val="21"/>
                <w:highlight w:val="none"/>
              </w:rPr>
              <w:t>为</w:t>
            </w:r>
            <w:r>
              <w:rPr>
                <w:rFonts w:hint="eastAsia" w:ascii="Times New Roman" w:hAnsi="Times New Roman" w:cs="Times New Roman"/>
                <w:color w:val="auto"/>
                <w:sz w:val="21"/>
                <w:szCs w:val="21"/>
                <w:highlight w:val="none"/>
                <w:lang w:val="en-US" w:eastAsia="zh-CN"/>
              </w:rPr>
              <w:t>陆上石油天然气</w:t>
            </w:r>
            <w:r>
              <w:rPr>
                <w:rFonts w:hint="default" w:ascii="Times New Roman" w:hAnsi="Times New Roman" w:cs="Times New Roman"/>
                <w:color w:val="auto"/>
                <w:sz w:val="21"/>
                <w:szCs w:val="21"/>
                <w:highlight w:val="none"/>
              </w:rPr>
              <w:t>开采项目，位于</w:t>
            </w:r>
            <w:r>
              <w:rPr>
                <w:rFonts w:hint="eastAsia" w:ascii="Times New Roman" w:hAnsi="Times New Roman" w:cs="Times New Roman"/>
                <w:color w:val="auto"/>
                <w:sz w:val="21"/>
                <w:szCs w:val="21"/>
                <w:highlight w:val="none"/>
                <w:lang w:val="en-US" w:eastAsia="zh-CN"/>
              </w:rPr>
              <w:t>塔河油田8区、10区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在</w:t>
            </w:r>
            <w:r>
              <w:rPr>
                <w:rFonts w:hint="eastAsia" w:ascii="Times New Roman" w:hAnsi="Times New Roman" w:cs="Times New Roman"/>
                <w:color w:val="auto"/>
                <w:sz w:val="21"/>
                <w:szCs w:val="21"/>
                <w:highlight w:val="none"/>
                <w:lang w:val="en-US" w:eastAsia="zh-CN"/>
              </w:rPr>
              <w:t>西北油田分公司塔河油田</w:t>
            </w:r>
            <w:r>
              <w:rPr>
                <w:rFonts w:hint="default" w:ascii="Times New Roman" w:hAnsi="Times New Roman" w:cs="Times New Roman"/>
                <w:color w:val="auto"/>
                <w:sz w:val="21"/>
                <w:szCs w:val="21"/>
                <w:highlight w:val="none"/>
                <w:lang w:val="en-US" w:eastAsia="zh-CN"/>
              </w:rPr>
              <w:t>矿权范围内</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w:t>
            </w:r>
            <w:r>
              <w:rPr>
                <w:rFonts w:hint="eastAsia" w:ascii="Times New Roman" w:hAnsi="Times New Roman" w:eastAsia="宋体" w:cs="Times New Roman"/>
                <w:color w:val="auto"/>
                <w:sz w:val="21"/>
                <w:szCs w:val="21"/>
                <w:highlight w:val="none"/>
                <w:lang w:val="en-US" w:eastAsia="zh-CN"/>
              </w:rPr>
              <w:t>项目不涉及生态保护红线区</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符合相关要求</w:t>
            </w:r>
            <w:r>
              <w:rPr>
                <w:rFonts w:hint="default" w:ascii="Times New Roman" w:hAnsi="Times New Roman" w:eastAsia="宋体" w:cs="Times New Roman"/>
                <w:color w:val="auto"/>
                <w:kern w:val="0"/>
                <w:sz w:val="21"/>
                <w:szCs w:val="21"/>
                <w:highlight w:val="none"/>
                <w:lang w:eastAsia="zh-CN"/>
              </w:rPr>
              <w:t>。</w:t>
            </w:r>
          </w:p>
        </w:tc>
      </w:tr>
      <w:tr w14:paraId="3B41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759" w:type="pct"/>
            <w:vMerge w:val="continue"/>
            <w:noWrap w:val="0"/>
            <w:vAlign w:val="center"/>
          </w:tcPr>
          <w:p w14:paraId="6D4F4EAF">
            <w:pPr>
              <w:widowControl w:val="0"/>
              <w:spacing w:line="240" w:lineRule="auto"/>
              <w:ind w:firstLine="0" w:firstLineChars="0"/>
              <w:jc w:val="both"/>
              <w:rPr>
                <w:rFonts w:hint="default" w:ascii="Times New Roman" w:hAnsi="Times New Roman" w:eastAsia="宋体" w:cs="Times New Roman"/>
                <w:color w:val="auto"/>
                <w:kern w:val="0"/>
                <w:sz w:val="21"/>
                <w:szCs w:val="21"/>
                <w:highlight w:val="none"/>
              </w:rPr>
            </w:pPr>
          </w:p>
        </w:tc>
        <w:tc>
          <w:tcPr>
            <w:tcW w:w="3373" w:type="pct"/>
            <w:noWrap w:val="0"/>
            <w:vAlign w:val="center"/>
          </w:tcPr>
          <w:p w14:paraId="23633F6B">
            <w:pPr>
              <w:widowControl w:val="0"/>
              <w:numPr>
                <w:ilvl w:val="0"/>
                <w:numId w:val="7"/>
              </w:numPr>
              <w:spacing w:line="240" w:lineRule="auto"/>
              <w:ind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办理要求</w:t>
            </w:r>
          </w:p>
          <w:p w14:paraId="7BD64F0F">
            <w:pPr>
              <w:widowControl w:val="0"/>
              <w:numPr>
                <w:ilvl w:val="0"/>
                <w:numId w:val="0"/>
              </w:numPr>
              <w:spacing w:line="240" w:lineRule="auto"/>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上述项目（不含新增填海造地和新增用岛）按规定由自然资源部进行用地用海预审后，报国务院批准</w:t>
            </w:r>
            <w:r>
              <w:rPr>
                <w:rFonts w:hint="default" w:ascii="Times New Roman" w:hAnsi="Times New Roman" w:eastAsia="宋体" w:cs="Times New Roman"/>
                <w:color w:val="auto"/>
                <w:kern w:val="0"/>
                <w:sz w:val="21"/>
                <w:szCs w:val="21"/>
                <w:highlight w:val="none"/>
                <w:lang w:eastAsia="zh-CN"/>
              </w:rPr>
              <w:t>。占用生态保护红线的国家重大项目，应严格落实生态环境分区管控要求，依法开展环境影响评价。</w:t>
            </w:r>
            <w:r>
              <w:rPr>
                <w:rFonts w:hint="default" w:ascii="Times New Roman" w:hAnsi="Times New Roman" w:eastAsia="宋体" w:cs="Times New Roman"/>
                <w:color w:val="auto"/>
                <w:kern w:val="0"/>
                <w:sz w:val="21"/>
                <w:szCs w:val="21"/>
                <w:highlight w:val="none"/>
              </w:rPr>
              <w:t>生态保护红线内允许有限人为活动和国家重大项目占用生态保护红线涉及临时用地的，按照自然资源部关于规范临时用地管理的有关要求，参照临时占用永久基本农田规定办理，严格落实恢复责任。</w:t>
            </w:r>
          </w:p>
        </w:tc>
        <w:tc>
          <w:tcPr>
            <w:tcW w:w="867" w:type="pct"/>
            <w:noWrap w:val="0"/>
            <w:vAlign w:val="center"/>
          </w:tcPr>
          <w:p w14:paraId="082216E7">
            <w:pPr>
              <w:widowControl w:val="0"/>
              <w:spacing w:line="240" w:lineRule="auto"/>
              <w:ind w:firstLine="0" w:firstLineChars="0"/>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w:t>
            </w:r>
            <w:r>
              <w:rPr>
                <w:rFonts w:hint="eastAsia" w:ascii="Times New Roman" w:hAnsi="Times New Roman" w:eastAsia="宋体" w:cs="Times New Roman"/>
                <w:color w:val="auto"/>
                <w:sz w:val="21"/>
                <w:szCs w:val="21"/>
                <w:highlight w:val="none"/>
                <w:lang w:val="en-US" w:eastAsia="zh-CN"/>
              </w:rPr>
              <w:t>项目不涉及生态保护红线区</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符合相关要求</w:t>
            </w:r>
            <w:r>
              <w:rPr>
                <w:rFonts w:hint="default" w:ascii="Times New Roman" w:hAnsi="Times New Roman" w:eastAsia="宋体" w:cs="Times New Roman"/>
                <w:color w:val="auto"/>
                <w:kern w:val="0"/>
                <w:sz w:val="21"/>
                <w:szCs w:val="21"/>
                <w:highlight w:val="none"/>
                <w:lang w:eastAsia="zh-CN"/>
              </w:rPr>
              <w:t>。</w:t>
            </w:r>
          </w:p>
        </w:tc>
      </w:tr>
    </w:tbl>
    <w:p w14:paraId="6CB8B155">
      <w:pPr>
        <w:keepNext w:val="0"/>
        <w:keepLines w:val="0"/>
        <w:pageBreakBefore w:val="0"/>
        <w:widowControl/>
        <w:kinsoku/>
        <w:wordWrap/>
        <w:overflowPunct/>
        <w:topLinePunct w:val="0"/>
        <w:autoSpaceDE/>
        <w:autoSpaceDN/>
        <w:bidi w:val="0"/>
        <w:adjustRightInd/>
        <w:snapToGrid/>
        <w:spacing w:line="360" w:lineRule="auto"/>
        <w:ind w:left="0"/>
        <w:textAlignment w:val="auto"/>
        <w:outlineLvl w:val="2"/>
        <w:rPr>
          <w:rFonts w:hint="default" w:ascii="Times New Roman" w:hAnsi="Times New Roman" w:eastAsia="宋体" w:cs="Times New Roman"/>
          <w:b/>
          <w:bCs/>
          <w:color w:val="auto"/>
          <w:spacing w:val="-3"/>
          <w:sz w:val="28"/>
          <w:szCs w:val="28"/>
          <w:highlight w:val="none"/>
        </w:rPr>
      </w:pPr>
      <w:r>
        <w:rPr>
          <w:rFonts w:hint="default" w:ascii="Times New Roman" w:hAnsi="Times New Roman" w:eastAsia="宋体" w:cs="Times New Roman"/>
          <w:b/>
          <w:bCs/>
          <w:color w:val="auto"/>
          <w:spacing w:val="-3"/>
          <w:sz w:val="28"/>
          <w:szCs w:val="28"/>
          <w:highlight w:val="none"/>
        </w:rPr>
        <w:t>3.7.1</w:t>
      </w:r>
      <w:r>
        <w:rPr>
          <w:rFonts w:hint="eastAsia" w:ascii="Times New Roman" w:hAnsi="Times New Roman" w:cs="Times New Roman"/>
          <w:b/>
          <w:bCs/>
          <w:color w:val="auto"/>
          <w:spacing w:val="-3"/>
          <w:sz w:val="28"/>
          <w:szCs w:val="28"/>
          <w:highlight w:val="none"/>
          <w:lang w:val="en-US" w:eastAsia="zh-CN"/>
        </w:rPr>
        <w:t>2</w:t>
      </w:r>
      <w:r>
        <w:rPr>
          <w:rFonts w:hint="default" w:ascii="Times New Roman" w:hAnsi="Times New Roman" w:eastAsia="宋体" w:cs="Times New Roman"/>
          <w:b/>
          <w:bCs/>
          <w:color w:val="auto"/>
          <w:spacing w:val="-3"/>
          <w:sz w:val="28"/>
          <w:szCs w:val="28"/>
          <w:highlight w:val="none"/>
        </w:rPr>
        <w:t>与《关于规范临时用地管理的通知》（自然资规〔2021〕2号）</w:t>
      </w:r>
    </w:p>
    <w:p w14:paraId="4A0006CD">
      <w:pPr>
        <w:keepNext w:val="0"/>
        <w:keepLines w:val="0"/>
        <w:pageBreakBefore w:val="0"/>
        <w:widowControl/>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b/>
          <w:bCs/>
          <w:color w:val="auto"/>
          <w:spacing w:val="-3"/>
          <w:sz w:val="28"/>
          <w:szCs w:val="28"/>
          <w:highlight w:val="none"/>
        </w:rPr>
      </w:pPr>
      <w:bookmarkStart w:id="307" w:name="bookmark49"/>
      <w:bookmarkEnd w:id="307"/>
      <w:r>
        <w:rPr>
          <w:rFonts w:hint="default" w:ascii="Times New Roman" w:hAnsi="Times New Roman" w:eastAsia="宋体" w:cs="Times New Roman"/>
          <w:b/>
          <w:bCs/>
          <w:color w:val="auto"/>
          <w:spacing w:val="-3"/>
          <w:sz w:val="28"/>
          <w:szCs w:val="28"/>
          <w:highlight w:val="none"/>
        </w:rPr>
        <w:t>符合性分析</w:t>
      </w:r>
    </w:p>
    <w:p w14:paraId="2B8CF7BD">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本项目临时用地与《关于规范临时用地管理的通知》符合性见表3.7-5。</w:t>
      </w:r>
    </w:p>
    <w:p w14:paraId="3690B89B">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ascii="黑体" w:hAnsi="黑体" w:eastAsia="黑体" w:cs="黑体"/>
          <w:color w:val="auto"/>
          <w:sz w:val="20"/>
          <w:szCs w:val="20"/>
          <w:highlight w:val="none"/>
        </w:rPr>
      </w:pPr>
      <w:r>
        <w:rPr>
          <w:rFonts w:ascii="黑体" w:hAnsi="黑体" w:eastAsia="黑体" w:cs="黑体"/>
          <w:color w:val="auto"/>
          <w:spacing w:val="7"/>
          <w:sz w:val="20"/>
          <w:szCs w:val="20"/>
          <w:highlight w:val="none"/>
        </w:rPr>
        <w:t>表</w:t>
      </w:r>
      <w:r>
        <w:rPr>
          <w:rFonts w:ascii="Times New Roman" w:hAnsi="Times New Roman" w:eastAsia="Times New Roman" w:cs="Times New Roman"/>
          <w:color w:val="auto"/>
          <w:spacing w:val="7"/>
          <w:sz w:val="20"/>
          <w:szCs w:val="20"/>
          <w:highlight w:val="none"/>
        </w:rPr>
        <w:t>3.7-</w:t>
      </w:r>
      <w:r>
        <w:rPr>
          <w:rFonts w:hint="eastAsia" w:ascii="Times New Roman" w:hAnsi="Times New Roman" w:eastAsia="宋体" w:cs="Times New Roman"/>
          <w:color w:val="auto"/>
          <w:spacing w:val="7"/>
          <w:sz w:val="20"/>
          <w:szCs w:val="20"/>
          <w:highlight w:val="none"/>
          <w:lang w:val="en-US" w:eastAsia="zh-CN"/>
        </w:rPr>
        <w:t>5</w:t>
      </w:r>
      <w:r>
        <w:rPr>
          <w:rFonts w:ascii="黑体" w:hAnsi="黑体" w:eastAsia="黑体" w:cs="黑体"/>
          <w:color w:val="auto"/>
          <w:spacing w:val="7"/>
          <w:sz w:val="20"/>
          <w:szCs w:val="20"/>
          <w:highlight w:val="none"/>
        </w:rPr>
        <w:t>与《关于规范临时用地管理的通知</w:t>
      </w:r>
      <w:r>
        <w:rPr>
          <w:rFonts w:ascii="黑体" w:hAnsi="黑体" w:eastAsia="黑体" w:cs="黑体"/>
          <w:color w:val="auto"/>
          <w:spacing w:val="6"/>
          <w:sz w:val="20"/>
          <w:szCs w:val="20"/>
          <w:highlight w:val="none"/>
        </w:rPr>
        <w:t>》符合性分析</w:t>
      </w:r>
    </w:p>
    <w:p w14:paraId="13594FF3">
      <w:pPr>
        <w:spacing w:line="20" w:lineRule="exact"/>
        <w:rPr>
          <w:color w:val="auto"/>
          <w:highlight w:val="none"/>
        </w:rPr>
      </w:pPr>
    </w:p>
    <w:tbl>
      <w:tblPr>
        <w:tblStyle w:val="60"/>
        <w:tblW w:w="830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1"/>
        <w:gridCol w:w="4155"/>
        <w:gridCol w:w="1845"/>
        <w:gridCol w:w="922"/>
      </w:tblGrid>
      <w:tr w14:paraId="3799C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381" w:type="dxa"/>
            <w:tcBorders>
              <w:top w:val="single" w:color="000000" w:sz="6" w:space="0"/>
              <w:left w:val="single" w:color="000000" w:sz="6" w:space="0"/>
            </w:tcBorders>
            <w:vAlign w:val="top"/>
          </w:tcPr>
          <w:p w14:paraId="038520DB">
            <w:pPr>
              <w:keepNext w:val="0"/>
              <w:keepLines w:val="0"/>
              <w:pageBreakBefore w:val="0"/>
              <w:widowControl/>
              <w:kinsoku/>
              <w:wordWrap/>
              <w:overflowPunct/>
              <w:topLinePunct w:val="0"/>
              <w:autoSpaceDE/>
              <w:autoSpaceDN/>
              <w:bidi w:val="0"/>
              <w:adjustRightInd/>
              <w:snapToGrid/>
              <w:spacing w:line="280" w:lineRule="exact"/>
              <w:ind w:left="113"/>
              <w:textAlignment w:val="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文件名称</w:t>
            </w:r>
          </w:p>
        </w:tc>
        <w:tc>
          <w:tcPr>
            <w:tcW w:w="4155" w:type="dxa"/>
            <w:tcBorders>
              <w:top w:val="single" w:color="000000" w:sz="6" w:space="0"/>
            </w:tcBorders>
            <w:vAlign w:val="top"/>
          </w:tcPr>
          <w:p w14:paraId="4AB573E4">
            <w:pPr>
              <w:keepNext w:val="0"/>
              <w:keepLines w:val="0"/>
              <w:pageBreakBefore w:val="0"/>
              <w:widowControl/>
              <w:kinsoku/>
              <w:wordWrap/>
              <w:overflowPunct/>
              <w:topLinePunct w:val="0"/>
              <w:autoSpaceDE/>
              <w:autoSpaceDN/>
              <w:bidi w:val="0"/>
              <w:adjustRightInd/>
              <w:snapToGrid/>
              <w:spacing w:line="280" w:lineRule="exact"/>
              <w:ind w:left="1468"/>
              <w:textAlignment w:val="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文件要求</w:t>
            </w:r>
          </w:p>
        </w:tc>
        <w:tc>
          <w:tcPr>
            <w:tcW w:w="1845" w:type="dxa"/>
            <w:tcBorders>
              <w:top w:val="single" w:color="000000" w:sz="6" w:space="0"/>
            </w:tcBorders>
            <w:vAlign w:val="top"/>
          </w:tcPr>
          <w:p w14:paraId="712A0193">
            <w:pPr>
              <w:keepNext w:val="0"/>
              <w:keepLines w:val="0"/>
              <w:pageBreakBefore w:val="0"/>
              <w:widowControl/>
              <w:kinsoku/>
              <w:wordWrap/>
              <w:overflowPunct/>
              <w:topLinePunct w:val="0"/>
              <w:autoSpaceDE/>
              <w:autoSpaceDN/>
              <w:bidi w:val="0"/>
              <w:adjustRightInd/>
              <w:snapToGrid/>
              <w:spacing w:line="280" w:lineRule="exact"/>
              <w:ind w:left="933"/>
              <w:textAlignment w:val="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本项目</w:t>
            </w:r>
          </w:p>
        </w:tc>
        <w:tc>
          <w:tcPr>
            <w:tcW w:w="922" w:type="dxa"/>
            <w:tcBorders>
              <w:top w:val="single" w:color="000000" w:sz="6" w:space="0"/>
              <w:right w:val="single" w:color="000000" w:sz="6" w:space="0"/>
            </w:tcBorders>
            <w:vAlign w:val="top"/>
          </w:tcPr>
          <w:p w14:paraId="0CBEB8BD">
            <w:pPr>
              <w:keepNext w:val="0"/>
              <w:keepLines w:val="0"/>
              <w:pageBreakBefore w:val="0"/>
              <w:widowControl/>
              <w:kinsoku/>
              <w:wordWrap/>
              <w:overflowPunct/>
              <w:topLinePunct w:val="0"/>
              <w:autoSpaceDE/>
              <w:autoSpaceDN/>
              <w:bidi w:val="0"/>
              <w:adjustRightInd/>
              <w:snapToGrid/>
              <w:spacing w:line="280" w:lineRule="exact"/>
              <w:ind w:left="189"/>
              <w:textAlignment w:val="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符合性</w:t>
            </w:r>
          </w:p>
        </w:tc>
      </w:tr>
      <w:tr w14:paraId="1BF0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6" w:hRule="atLeast"/>
        </w:trPr>
        <w:tc>
          <w:tcPr>
            <w:tcW w:w="1381" w:type="dxa"/>
            <w:vMerge w:val="restart"/>
            <w:tcBorders>
              <w:left w:val="single" w:color="000000" w:sz="6" w:space="0"/>
              <w:bottom w:val="nil"/>
            </w:tcBorders>
            <w:vAlign w:val="top"/>
          </w:tcPr>
          <w:p w14:paraId="534B73D2">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63073D00">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73EA57BF">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4D0308E4">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1743AE8A">
            <w:pPr>
              <w:keepNext w:val="0"/>
              <w:keepLines w:val="0"/>
              <w:pageBreakBefore w:val="0"/>
              <w:widowControl/>
              <w:kinsoku/>
              <w:wordWrap/>
              <w:overflowPunct/>
              <w:topLinePunct w:val="0"/>
              <w:autoSpaceDE/>
              <w:autoSpaceDN/>
              <w:bidi w:val="0"/>
              <w:adjustRightInd/>
              <w:snapToGrid/>
              <w:spacing w:line="280" w:lineRule="exact"/>
              <w:ind w:left="108" w:right="104" w:firstLine="2"/>
              <w:textAlignment w:val="auto"/>
              <w:rPr>
                <w:rFonts w:ascii="宋体" w:hAnsi="宋体" w:eastAsia="宋体" w:cs="宋体"/>
                <w:color w:val="auto"/>
                <w:spacing w:val="8"/>
                <w:sz w:val="21"/>
                <w:szCs w:val="21"/>
                <w:highlight w:val="none"/>
              </w:rPr>
            </w:pPr>
          </w:p>
          <w:p w14:paraId="5FBED078">
            <w:pPr>
              <w:keepNext w:val="0"/>
              <w:keepLines w:val="0"/>
              <w:pageBreakBefore w:val="0"/>
              <w:widowControl/>
              <w:kinsoku/>
              <w:wordWrap/>
              <w:overflowPunct/>
              <w:topLinePunct w:val="0"/>
              <w:autoSpaceDE/>
              <w:autoSpaceDN/>
              <w:bidi w:val="0"/>
              <w:adjustRightInd/>
              <w:snapToGrid/>
              <w:spacing w:line="280" w:lineRule="exact"/>
              <w:ind w:left="108" w:right="104" w:firstLine="2"/>
              <w:textAlignment w:val="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《关于规范临时用地管理的通知》（自然资规〔2021〕2号）</w:t>
            </w:r>
          </w:p>
        </w:tc>
        <w:tc>
          <w:tcPr>
            <w:tcW w:w="4155" w:type="dxa"/>
            <w:vAlign w:val="top"/>
          </w:tcPr>
          <w:p w14:paraId="769C50E8">
            <w:pPr>
              <w:keepNext w:val="0"/>
              <w:keepLines w:val="0"/>
              <w:pageBreakBefore w:val="0"/>
              <w:widowControl/>
              <w:kinsoku/>
              <w:wordWrap/>
              <w:overflowPunct/>
              <w:topLinePunct w:val="0"/>
              <w:autoSpaceDE/>
              <w:autoSpaceDN/>
              <w:bidi w:val="0"/>
              <w:adjustRightInd/>
              <w:snapToGrid/>
              <w:spacing w:line="280" w:lineRule="exact"/>
              <w:ind w:left="108" w:right="104" w:firstLine="2"/>
              <w:textAlignment w:val="auto"/>
              <w:rPr>
                <w:rFonts w:hint="eastAsia" w:ascii="宋体" w:hAnsi="宋体" w:eastAsia="宋体" w:cs="宋体"/>
                <w:color w:val="auto"/>
                <w:sz w:val="21"/>
                <w:szCs w:val="21"/>
                <w:highlight w:val="none"/>
                <w:lang w:eastAsia="zh-CN"/>
              </w:rPr>
            </w:pPr>
            <w:r>
              <w:rPr>
                <w:rFonts w:ascii="宋体" w:hAnsi="宋体" w:eastAsia="宋体" w:cs="宋体"/>
                <w:color w:val="auto"/>
                <w:spacing w:val="8"/>
                <w:sz w:val="21"/>
                <w:szCs w:val="21"/>
                <w:highlight w:val="none"/>
              </w:rPr>
              <w:t>建设项目施工、地质勘查使用临时用地</w:t>
            </w:r>
            <w:r>
              <w:rPr>
                <w:rFonts w:ascii="宋体" w:hAnsi="宋体" w:eastAsia="宋体" w:cs="宋体"/>
                <w:color w:val="auto"/>
                <w:spacing w:val="5"/>
                <w:sz w:val="21"/>
                <w:szCs w:val="21"/>
                <w:highlight w:val="none"/>
              </w:rPr>
              <w:t>时应坚持“用多少、批多少、占多少、</w:t>
            </w:r>
            <w:r>
              <w:rPr>
                <w:rFonts w:ascii="宋体" w:hAnsi="宋体" w:eastAsia="宋体" w:cs="宋体"/>
                <w:color w:val="auto"/>
                <w:spacing w:val="7"/>
                <w:sz w:val="21"/>
                <w:szCs w:val="21"/>
                <w:highlight w:val="none"/>
              </w:rPr>
              <w:t>恢复多少”，尽量不占或者少占耕地。</w:t>
            </w:r>
            <w:r>
              <w:rPr>
                <w:rFonts w:ascii="宋体" w:hAnsi="宋体" w:eastAsia="宋体" w:cs="宋体"/>
                <w:color w:val="auto"/>
                <w:spacing w:val="8"/>
                <w:sz w:val="21"/>
                <w:szCs w:val="21"/>
                <w:highlight w:val="none"/>
              </w:rPr>
              <w:t>使用后土地复垦难度较大的临时用地，要严格控制占用耕地。铁路、公路等单独选址建设项目，应科学组织施工，节约集约使用临时用地。制梁场、</w:t>
            </w:r>
            <w:r>
              <w:rPr>
                <w:rFonts w:hint="eastAsia" w:ascii="宋体" w:hAnsi="宋体" w:cs="宋体"/>
                <w:color w:val="auto"/>
                <w:spacing w:val="8"/>
                <w:sz w:val="21"/>
                <w:szCs w:val="21"/>
                <w:highlight w:val="none"/>
                <w:lang w:eastAsia="zh-CN"/>
              </w:rPr>
              <w:t>拌和站</w:t>
            </w:r>
            <w:r>
              <w:rPr>
                <w:rFonts w:ascii="宋体" w:hAnsi="宋体" w:eastAsia="宋体" w:cs="宋体"/>
                <w:color w:val="auto"/>
                <w:spacing w:val="21"/>
                <w:sz w:val="21"/>
                <w:szCs w:val="21"/>
                <w:highlight w:val="none"/>
              </w:rPr>
              <w:t>等难以恢复原种植条件的不得以临时</w:t>
            </w:r>
            <w:r>
              <w:rPr>
                <w:rFonts w:ascii="宋体" w:hAnsi="宋体" w:eastAsia="宋体" w:cs="宋体"/>
                <w:color w:val="auto"/>
                <w:spacing w:val="8"/>
                <w:sz w:val="21"/>
                <w:szCs w:val="21"/>
                <w:highlight w:val="none"/>
              </w:rPr>
              <w:t>用地方式占用耕地和永久基本农田，可</w:t>
            </w:r>
            <w:r>
              <w:rPr>
                <w:rFonts w:ascii="宋体" w:hAnsi="宋体" w:eastAsia="宋体" w:cs="宋体"/>
                <w:color w:val="auto"/>
                <w:spacing w:val="21"/>
                <w:sz w:val="21"/>
                <w:szCs w:val="21"/>
                <w:highlight w:val="none"/>
              </w:rPr>
              <w:t>以建设用地方式或者临时占用未利用</w:t>
            </w:r>
            <w:r>
              <w:rPr>
                <w:rFonts w:ascii="宋体" w:hAnsi="宋体" w:eastAsia="宋体" w:cs="宋体"/>
                <w:color w:val="auto"/>
                <w:spacing w:val="8"/>
                <w:sz w:val="21"/>
                <w:szCs w:val="21"/>
                <w:highlight w:val="none"/>
              </w:rPr>
              <w:t>地方式使用土地</w:t>
            </w:r>
            <w:r>
              <w:rPr>
                <w:rFonts w:hint="eastAsia" w:ascii="宋体" w:hAnsi="宋体" w:eastAsia="宋体" w:cs="宋体"/>
                <w:color w:val="auto"/>
                <w:spacing w:val="8"/>
                <w:sz w:val="21"/>
                <w:szCs w:val="21"/>
                <w:highlight w:val="none"/>
                <w:lang w:eastAsia="zh-CN"/>
              </w:rPr>
              <w:t>。</w:t>
            </w:r>
          </w:p>
        </w:tc>
        <w:tc>
          <w:tcPr>
            <w:tcW w:w="1845" w:type="dxa"/>
            <w:vAlign w:val="top"/>
          </w:tcPr>
          <w:p w14:paraId="21ED1A08">
            <w:pPr>
              <w:keepNext w:val="0"/>
              <w:keepLines w:val="0"/>
              <w:pageBreakBefore w:val="0"/>
              <w:widowControl/>
              <w:kinsoku/>
              <w:wordWrap/>
              <w:overflowPunct/>
              <w:topLinePunct w:val="0"/>
              <w:autoSpaceDE/>
              <w:autoSpaceDN/>
              <w:bidi w:val="0"/>
              <w:adjustRightInd/>
              <w:snapToGrid/>
              <w:spacing w:line="280" w:lineRule="exact"/>
              <w:ind w:left="113" w:right="100" w:firstLine="4"/>
              <w:jc w:val="both"/>
              <w:textAlignment w:val="auto"/>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项目施工过程中严格控</w:t>
            </w:r>
            <w:r>
              <w:rPr>
                <w:rFonts w:ascii="宋体" w:hAnsi="宋体" w:eastAsia="宋体" w:cs="宋体"/>
                <w:color w:val="auto"/>
                <w:spacing w:val="5"/>
                <w:sz w:val="21"/>
                <w:szCs w:val="21"/>
                <w:highlight w:val="none"/>
              </w:rPr>
              <w:t>制施工占地，井场建设和管线敷设完成后，采取措施及时恢复临时占地，尽</w:t>
            </w:r>
            <w:r>
              <w:rPr>
                <w:rFonts w:ascii="宋体" w:hAnsi="宋体" w:eastAsia="宋体" w:cs="宋体"/>
                <w:color w:val="auto"/>
                <w:spacing w:val="25"/>
                <w:sz w:val="21"/>
                <w:szCs w:val="21"/>
                <w:highlight w:val="none"/>
              </w:rPr>
              <w:t>可能减少对区域生态的</w:t>
            </w:r>
            <w:r>
              <w:rPr>
                <w:rFonts w:ascii="宋体" w:hAnsi="宋体" w:eastAsia="宋体" w:cs="宋体"/>
                <w:color w:val="auto"/>
                <w:spacing w:val="3"/>
                <w:sz w:val="21"/>
                <w:szCs w:val="21"/>
                <w:highlight w:val="none"/>
              </w:rPr>
              <w:t>影响。</w:t>
            </w:r>
          </w:p>
        </w:tc>
        <w:tc>
          <w:tcPr>
            <w:tcW w:w="922" w:type="dxa"/>
            <w:tcBorders>
              <w:right w:val="single" w:color="000000" w:sz="6" w:space="0"/>
            </w:tcBorders>
            <w:vAlign w:val="top"/>
          </w:tcPr>
          <w:p w14:paraId="694D71FD">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7734EEA6">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360D8EB9">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1403D423">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28AD92BF">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4E0D684A">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618D0640">
            <w:pPr>
              <w:keepNext w:val="0"/>
              <w:keepLines w:val="0"/>
              <w:pageBreakBefore w:val="0"/>
              <w:widowControl/>
              <w:kinsoku/>
              <w:wordWrap/>
              <w:overflowPunct/>
              <w:topLinePunct w:val="0"/>
              <w:autoSpaceDE/>
              <w:autoSpaceDN/>
              <w:bidi w:val="0"/>
              <w:adjustRightInd/>
              <w:snapToGrid/>
              <w:spacing w:line="280" w:lineRule="exact"/>
              <w:ind w:left="295"/>
              <w:textAlignment w:val="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符合</w:t>
            </w:r>
          </w:p>
        </w:tc>
      </w:tr>
      <w:tr w14:paraId="4297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1381" w:type="dxa"/>
            <w:vMerge w:val="continue"/>
            <w:tcBorders>
              <w:top w:val="nil"/>
              <w:left w:val="single" w:color="000000" w:sz="6" w:space="0"/>
              <w:bottom w:val="single" w:color="000000" w:sz="6" w:space="0"/>
            </w:tcBorders>
            <w:vAlign w:val="top"/>
          </w:tcPr>
          <w:p w14:paraId="28E8A181">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tc>
        <w:tc>
          <w:tcPr>
            <w:tcW w:w="4155" w:type="dxa"/>
            <w:tcBorders>
              <w:bottom w:val="single" w:color="000000" w:sz="6" w:space="0"/>
            </w:tcBorders>
            <w:vAlign w:val="top"/>
          </w:tcPr>
          <w:p w14:paraId="5081AEA1">
            <w:pPr>
              <w:keepNext w:val="0"/>
              <w:keepLines w:val="0"/>
              <w:pageBreakBefore w:val="0"/>
              <w:widowControl/>
              <w:kinsoku/>
              <w:wordWrap/>
              <w:overflowPunct/>
              <w:topLinePunct w:val="0"/>
              <w:autoSpaceDE/>
              <w:autoSpaceDN/>
              <w:bidi w:val="0"/>
              <w:adjustRightInd/>
              <w:snapToGrid/>
              <w:spacing w:line="280" w:lineRule="exact"/>
              <w:ind w:left="108" w:right="104" w:firstLine="3"/>
              <w:jc w:val="both"/>
              <w:textAlignment w:val="auto"/>
              <w:rPr>
                <w:rFonts w:hint="eastAsia" w:ascii="宋体" w:hAnsi="宋体" w:eastAsia="宋体" w:cs="宋体"/>
                <w:color w:val="auto"/>
                <w:sz w:val="21"/>
                <w:szCs w:val="21"/>
                <w:highlight w:val="none"/>
                <w:lang w:eastAsia="zh-CN"/>
              </w:rPr>
            </w:pPr>
            <w:r>
              <w:rPr>
                <w:rFonts w:ascii="宋体" w:hAnsi="宋体" w:eastAsia="宋体" w:cs="宋体"/>
                <w:color w:val="auto"/>
                <w:spacing w:val="21"/>
                <w:sz w:val="21"/>
                <w:szCs w:val="21"/>
                <w:highlight w:val="none"/>
              </w:rPr>
              <w:t>油气资源探采合一开发涉及的钻井及</w:t>
            </w:r>
            <w:r>
              <w:rPr>
                <w:rFonts w:ascii="宋体" w:hAnsi="宋体" w:eastAsia="宋体" w:cs="宋体"/>
                <w:color w:val="auto"/>
                <w:spacing w:val="8"/>
                <w:sz w:val="21"/>
                <w:szCs w:val="21"/>
                <w:highlight w:val="none"/>
              </w:rPr>
              <w:t>配套设施建设用地，可先以临时用地方</w:t>
            </w:r>
            <w:r>
              <w:rPr>
                <w:rFonts w:ascii="宋体" w:hAnsi="宋体" w:eastAsia="宋体" w:cs="宋体"/>
                <w:color w:val="auto"/>
                <w:spacing w:val="21"/>
                <w:sz w:val="21"/>
                <w:szCs w:val="21"/>
                <w:highlight w:val="none"/>
              </w:rPr>
              <w:t>式批准使用，勘探结束转入生产使用</w:t>
            </w:r>
            <w:r>
              <w:rPr>
                <w:rFonts w:ascii="宋体" w:hAnsi="宋体" w:eastAsia="宋体" w:cs="宋体"/>
                <w:color w:val="auto"/>
                <w:spacing w:val="9"/>
                <w:sz w:val="21"/>
                <w:szCs w:val="21"/>
                <w:highlight w:val="none"/>
              </w:rPr>
              <w:t>的，办理建设用地审批手续</w:t>
            </w:r>
            <w:r>
              <w:rPr>
                <w:rFonts w:hint="eastAsia" w:ascii="宋体" w:hAnsi="宋体" w:eastAsia="宋体" w:cs="宋体"/>
                <w:color w:val="auto"/>
                <w:spacing w:val="9"/>
                <w:sz w:val="21"/>
                <w:szCs w:val="21"/>
                <w:highlight w:val="none"/>
                <w:lang w:eastAsia="zh-CN"/>
              </w:rPr>
              <w:t>。</w:t>
            </w:r>
          </w:p>
        </w:tc>
        <w:tc>
          <w:tcPr>
            <w:tcW w:w="1845" w:type="dxa"/>
            <w:tcBorders>
              <w:bottom w:val="single" w:color="000000" w:sz="6" w:space="0"/>
            </w:tcBorders>
            <w:vAlign w:val="top"/>
          </w:tcPr>
          <w:p w14:paraId="0DEBE8CE">
            <w:pPr>
              <w:keepNext w:val="0"/>
              <w:keepLines w:val="0"/>
              <w:pageBreakBefore w:val="0"/>
              <w:widowControl/>
              <w:kinsoku/>
              <w:wordWrap/>
              <w:overflowPunct/>
              <w:topLinePunct w:val="0"/>
              <w:autoSpaceDE/>
              <w:autoSpaceDN/>
              <w:bidi w:val="0"/>
              <w:adjustRightInd/>
              <w:snapToGrid/>
              <w:spacing w:line="280" w:lineRule="exact"/>
              <w:ind w:left="116" w:right="100" w:hanging="1"/>
              <w:textAlignment w:val="auto"/>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严格按照有</w:t>
            </w:r>
            <w:r>
              <w:rPr>
                <w:rFonts w:hint="eastAsia" w:ascii="宋体" w:hAnsi="宋体" w:eastAsia="宋体" w:cs="宋体"/>
                <w:color w:val="auto"/>
                <w:spacing w:val="25"/>
                <w:sz w:val="21"/>
                <w:szCs w:val="21"/>
                <w:highlight w:val="none"/>
                <w:lang w:val="en-US" w:eastAsia="zh-CN"/>
              </w:rPr>
              <w:t>关</w:t>
            </w:r>
            <w:r>
              <w:rPr>
                <w:rFonts w:ascii="宋体" w:hAnsi="宋体" w:eastAsia="宋体" w:cs="宋体"/>
                <w:color w:val="auto"/>
                <w:spacing w:val="25"/>
                <w:sz w:val="21"/>
                <w:szCs w:val="21"/>
                <w:highlight w:val="none"/>
              </w:rPr>
              <w:t>规定办理</w:t>
            </w:r>
            <w:r>
              <w:rPr>
                <w:rFonts w:ascii="宋体" w:hAnsi="宋体" w:eastAsia="宋体" w:cs="宋体"/>
                <w:color w:val="auto"/>
                <w:spacing w:val="7"/>
                <w:sz w:val="21"/>
                <w:szCs w:val="21"/>
                <w:highlight w:val="none"/>
              </w:rPr>
              <w:t>建设用地审批手续。</w:t>
            </w:r>
          </w:p>
        </w:tc>
        <w:tc>
          <w:tcPr>
            <w:tcW w:w="922" w:type="dxa"/>
            <w:tcBorders>
              <w:bottom w:val="single" w:color="000000" w:sz="6" w:space="0"/>
              <w:right w:val="single" w:color="000000" w:sz="6" w:space="0"/>
            </w:tcBorders>
            <w:vAlign w:val="top"/>
          </w:tcPr>
          <w:p w14:paraId="6E56EE9E">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7919C8E1">
            <w:pPr>
              <w:keepNext w:val="0"/>
              <w:keepLines w:val="0"/>
              <w:pageBreakBefore w:val="0"/>
              <w:widowControl/>
              <w:kinsoku/>
              <w:wordWrap/>
              <w:overflowPunct/>
              <w:topLinePunct w:val="0"/>
              <w:autoSpaceDE/>
              <w:autoSpaceDN/>
              <w:bidi w:val="0"/>
              <w:adjustRightInd/>
              <w:snapToGrid/>
              <w:spacing w:line="280" w:lineRule="exact"/>
              <w:textAlignment w:val="auto"/>
              <w:rPr>
                <w:rFonts w:ascii="Arial"/>
                <w:color w:val="auto"/>
                <w:sz w:val="21"/>
                <w:szCs w:val="21"/>
                <w:highlight w:val="none"/>
              </w:rPr>
            </w:pPr>
          </w:p>
          <w:p w14:paraId="43C561E8">
            <w:pPr>
              <w:keepNext w:val="0"/>
              <w:keepLines w:val="0"/>
              <w:pageBreakBefore w:val="0"/>
              <w:widowControl/>
              <w:kinsoku/>
              <w:wordWrap/>
              <w:overflowPunct/>
              <w:topLinePunct w:val="0"/>
              <w:autoSpaceDE/>
              <w:autoSpaceDN/>
              <w:bidi w:val="0"/>
              <w:adjustRightInd/>
              <w:snapToGrid/>
              <w:spacing w:line="280" w:lineRule="exact"/>
              <w:ind w:left="295"/>
              <w:textAlignment w:val="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符合</w:t>
            </w:r>
          </w:p>
        </w:tc>
      </w:tr>
    </w:tbl>
    <w:p w14:paraId="010993A8">
      <w:pPr>
        <w:keepNext/>
        <w:keepLines/>
        <w:pageBreakBefore w:val="0"/>
        <w:widowControl/>
        <w:kinsoku/>
        <w:wordWrap/>
        <w:overflowPunct/>
        <w:topLinePunct w:val="0"/>
        <w:autoSpaceDE/>
        <w:autoSpaceDN/>
        <w:bidi w:val="0"/>
        <w:adjustRightInd/>
        <w:snapToGrid/>
        <w:spacing w:before="120" w:after="120" w:line="360" w:lineRule="auto"/>
        <w:textAlignment w:val="auto"/>
        <w:outlineLvl w:val="2"/>
        <w:rPr>
          <w:rFonts w:hint="default" w:ascii="Times New Roman" w:hAnsi="Times New Roman" w:cs="Times New Roman"/>
          <w:b/>
          <w:color w:val="auto"/>
          <w:sz w:val="28"/>
          <w:szCs w:val="22"/>
          <w:highlight w:val="none"/>
        </w:rPr>
      </w:pPr>
      <w:r>
        <w:rPr>
          <w:rFonts w:hint="default" w:ascii="Times New Roman" w:hAnsi="Times New Roman" w:cs="Times New Roman"/>
          <w:b/>
          <w:color w:val="auto"/>
          <w:sz w:val="28"/>
          <w:szCs w:val="22"/>
          <w:highlight w:val="none"/>
        </w:rPr>
        <w:t>3.</w:t>
      </w:r>
      <w:r>
        <w:rPr>
          <w:rFonts w:hint="eastAsia" w:ascii="Times New Roman" w:hAnsi="Times New Roman" w:cs="Times New Roman"/>
          <w:b/>
          <w:color w:val="auto"/>
          <w:sz w:val="28"/>
          <w:szCs w:val="22"/>
          <w:highlight w:val="none"/>
          <w:lang w:val="en-US" w:eastAsia="zh-CN"/>
        </w:rPr>
        <w:t>7</w:t>
      </w:r>
      <w:r>
        <w:rPr>
          <w:rFonts w:hint="default" w:ascii="Times New Roman" w:hAnsi="Times New Roman" w:cs="Times New Roman"/>
          <w:b/>
          <w:color w:val="auto"/>
          <w:sz w:val="28"/>
          <w:szCs w:val="22"/>
          <w:highlight w:val="none"/>
        </w:rPr>
        <w:t>.</w:t>
      </w:r>
      <w:r>
        <w:rPr>
          <w:rFonts w:hint="eastAsia" w:ascii="Times New Roman" w:hAnsi="Times New Roman" w:cs="Times New Roman"/>
          <w:b/>
          <w:color w:val="auto"/>
          <w:sz w:val="28"/>
          <w:szCs w:val="22"/>
          <w:highlight w:val="none"/>
          <w:lang w:val="en-US" w:eastAsia="zh-CN"/>
        </w:rPr>
        <w:t>13</w:t>
      </w:r>
      <w:r>
        <w:rPr>
          <w:rFonts w:hint="default" w:ascii="Times New Roman" w:hAnsi="Times New Roman" w:cs="Times New Roman"/>
          <w:b/>
          <w:color w:val="auto"/>
          <w:sz w:val="28"/>
          <w:szCs w:val="22"/>
          <w:highlight w:val="none"/>
        </w:rPr>
        <w:t>与《</w:t>
      </w:r>
      <w:bookmarkStart w:id="308" w:name="OLE_LINK134"/>
      <w:r>
        <w:rPr>
          <w:rFonts w:hint="default" w:ascii="Times New Roman" w:hAnsi="Times New Roman" w:cs="Times New Roman"/>
          <w:b/>
          <w:color w:val="auto"/>
          <w:sz w:val="28"/>
          <w:szCs w:val="22"/>
          <w:highlight w:val="none"/>
        </w:rPr>
        <w:t>关于加快解决当前挥发性有机物治理突出问题的通知</w:t>
      </w:r>
      <w:bookmarkEnd w:id="308"/>
      <w:r>
        <w:rPr>
          <w:rFonts w:hint="default" w:ascii="Times New Roman" w:hAnsi="Times New Roman" w:cs="Times New Roman"/>
          <w:b/>
          <w:color w:val="auto"/>
          <w:sz w:val="28"/>
          <w:szCs w:val="22"/>
          <w:highlight w:val="none"/>
        </w:rPr>
        <w:t>》符合性分析</w:t>
      </w:r>
    </w:p>
    <w:p w14:paraId="1371D941">
      <w:pPr>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color w:val="auto"/>
          <w:sz w:val="21"/>
          <w:szCs w:val="21"/>
          <w:highlight w:val="none"/>
        </w:rPr>
      </w:pPr>
      <w:r>
        <w:rPr>
          <w:rFonts w:hint="default" w:ascii="Times New Roman" w:hAnsi="Times New Roman" w:cs="Times New Roman"/>
          <w:color w:val="auto"/>
          <w:highlight w:val="none"/>
          <w:lang w:eastAsia="zh-CN" w:bidi="ar"/>
        </w:rPr>
        <w:t>本工程</w:t>
      </w:r>
      <w:r>
        <w:rPr>
          <w:rFonts w:hint="default" w:ascii="Times New Roman" w:hAnsi="Times New Roman" w:cs="Times New Roman"/>
          <w:color w:val="auto"/>
          <w:highlight w:val="none"/>
          <w:lang w:bidi="ar"/>
        </w:rPr>
        <w:t>与《关于加快解决当前挥发性有机物治理突出问题的通知》符合性分析见表3.</w:t>
      </w:r>
      <w:r>
        <w:rPr>
          <w:rFonts w:hint="eastAsia" w:ascii="Times New Roman" w:hAnsi="Times New Roman" w:cs="Times New Roman"/>
          <w:color w:val="auto"/>
          <w:highlight w:val="none"/>
          <w:lang w:val="en-US" w:eastAsia="zh-CN" w:bidi="ar"/>
        </w:rPr>
        <w:t>7-7</w:t>
      </w:r>
      <w:r>
        <w:rPr>
          <w:rFonts w:hint="default" w:ascii="Times New Roman" w:hAnsi="Times New Roman" w:cs="Times New Roman"/>
          <w:color w:val="auto"/>
          <w:highlight w:val="none"/>
          <w:lang w:bidi="ar"/>
        </w:rPr>
        <w:t>。</w:t>
      </w:r>
      <w:bookmarkStart w:id="309" w:name="_Hlk120542785"/>
      <w:bookmarkStart w:id="310" w:name="_Hlk120542796"/>
    </w:p>
    <w:p w14:paraId="0B3DC0FB">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黑体" w:hAnsi="黑体" w:eastAsia="黑体" w:cs="黑体"/>
          <w:color w:val="auto"/>
          <w:spacing w:val="7"/>
          <w:sz w:val="20"/>
          <w:szCs w:val="20"/>
          <w:highlight w:val="none"/>
          <w:lang w:val="en-US" w:eastAsia="zh-CN"/>
        </w:rPr>
      </w:pPr>
      <w:r>
        <w:rPr>
          <w:rFonts w:hint="default" w:ascii="黑体" w:hAnsi="黑体" w:eastAsia="黑体" w:cs="黑体"/>
          <w:color w:val="auto"/>
          <w:spacing w:val="7"/>
          <w:sz w:val="20"/>
          <w:szCs w:val="20"/>
          <w:highlight w:val="none"/>
        </w:rPr>
        <w:t>表3.</w:t>
      </w:r>
      <w:bookmarkEnd w:id="309"/>
      <w:r>
        <w:rPr>
          <w:rFonts w:hint="eastAsia" w:ascii="黑体" w:hAnsi="黑体" w:eastAsia="黑体" w:cs="黑体"/>
          <w:color w:val="auto"/>
          <w:spacing w:val="7"/>
          <w:sz w:val="20"/>
          <w:szCs w:val="20"/>
          <w:highlight w:val="none"/>
          <w:lang w:val="en-US" w:eastAsia="zh-CN"/>
        </w:rPr>
        <w:t>7-7</w:t>
      </w:r>
      <w:r>
        <w:rPr>
          <w:rFonts w:hint="default" w:ascii="黑体" w:hAnsi="黑体" w:eastAsia="黑体" w:cs="黑体"/>
          <w:color w:val="auto"/>
          <w:spacing w:val="7"/>
          <w:sz w:val="20"/>
          <w:szCs w:val="20"/>
          <w:highlight w:val="none"/>
        </w:rPr>
        <w:t>与《关于加快解决当前挥发性有机物治理突出问题的通知》符合性</w:t>
      </w:r>
      <w:r>
        <w:rPr>
          <w:rFonts w:hint="eastAsia" w:ascii="黑体" w:hAnsi="黑体" w:eastAsia="黑体" w:cs="黑体"/>
          <w:color w:val="auto"/>
          <w:spacing w:val="7"/>
          <w:sz w:val="20"/>
          <w:szCs w:val="20"/>
          <w:highlight w:val="none"/>
          <w:lang w:val="en-US" w:eastAsia="zh-CN"/>
        </w:rPr>
        <w:t>分析</w:t>
      </w:r>
    </w:p>
    <w:bookmarkEnd w:id="310"/>
    <w:tbl>
      <w:tblPr>
        <w:tblStyle w:val="35"/>
        <w:tblW w:w="8329" w:type="dxa"/>
        <w:tblInd w:w="0" w:type="dxa"/>
        <w:tblLayout w:type="fixed"/>
        <w:tblCellMar>
          <w:top w:w="0" w:type="dxa"/>
          <w:left w:w="0" w:type="dxa"/>
          <w:bottom w:w="0" w:type="dxa"/>
          <w:right w:w="0" w:type="dxa"/>
        </w:tblCellMar>
      </w:tblPr>
      <w:tblGrid>
        <w:gridCol w:w="555"/>
        <w:gridCol w:w="4150"/>
        <w:gridCol w:w="2879"/>
        <w:gridCol w:w="745"/>
      </w:tblGrid>
      <w:tr w14:paraId="2373F795">
        <w:tblPrEx>
          <w:tblCellMar>
            <w:top w:w="0" w:type="dxa"/>
            <w:left w:w="0" w:type="dxa"/>
            <w:bottom w:w="0" w:type="dxa"/>
            <w:right w:w="0"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noWrap w:val="0"/>
            <w:vAlign w:val="top"/>
          </w:tcPr>
          <w:p w14:paraId="67AD7EB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14:paraId="3D0F4FD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c>
          <w:tcPr>
            <w:tcW w:w="2879" w:type="dxa"/>
            <w:tcBorders>
              <w:top w:val="single" w:color="000000" w:sz="4" w:space="0"/>
              <w:left w:val="single" w:color="000000" w:sz="4" w:space="0"/>
              <w:bottom w:val="single" w:color="000000" w:sz="4" w:space="0"/>
              <w:right w:val="single" w:color="000000" w:sz="4" w:space="0"/>
            </w:tcBorders>
            <w:noWrap w:val="0"/>
            <w:vAlign w:val="top"/>
          </w:tcPr>
          <w:p w14:paraId="5123230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项目情况</w:t>
            </w:r>
          </w:p>
        </w:tc>
        <w:tc>
          <w:tcPr>
            <w:tcW w:w="745" w:type="dxa"/>
            <w:tcBorders>
              <w:top w:val="single" w:color="000000" w:sz="4" w:space="0"/>
              <w:left w:val="single" w:color="000000" w:sz="4" w:space="0"/>
              <w:bottom w:val="single" w:color="000000" w:sz="4" w:space="0"/>
              <w:right w:val="single" w:color="000000" w:sz="4" w:space="0"/>
            </w:tcBorders>
            <w:noWrap w:val="0"/>
            <w:vAlign w:val="top"/>
          </w:tcPr>
          <w:p w14:paraId="3E007D30">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符合性</w:t>
            </w:r>
          </w:p>
        </w:tc>
      </w:tr>
      <w:tr w14:paraId="53DFB282">
        <w:tblPrEx>
          <w:tblCellMar>
            <w:top w:w="0" w:type="dxa"/>
            <w:left w:w="0" w:type="dxa"/>
            <w:bottom w:w="0" w:type="dxa"/>
            <w:right w:w="0"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noWrap w:val="0"/>
            <w:vAlign w:val="top"/>
          </w:tcPr>
          <w:p w14:paraId="4DB5EC0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14:paraId="2B92A356">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产生VOCs的生产环节优先采用密闭设备、在密闭空间中操作或采用全密闭集气罩收集方式，并保持负压运行。</w:t>
            </w:r>
          </w:p>
        </w:tc>
        <w:tc>
          <w:tcPr>
            <w:tcW w:w="2879" w:type="dxa"/>
            <w:tcBorders>
              <w:top w:val="single" w:color="000000" w:sz="4" w:space="0"/>
              <w:left w:val="single" w:color="000000" w:sz="4" w:space="0"/>
              <w:bottom w:val="single" w:color="000000" w:sz="4" w:space="0"/>
              <w:right w:val="single" w:color="000000" w:sz="4" w:space="0"/>
            </w:tcBorders>
            <w:noWrap w:val="0"/>
            <w:vAlign w:val="top"/>
          </w:tcPr>
          <w:p w14:paraId="0D771C44">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eastAsia="zh-CN"/>
              </w:rPr>
              <w:t>本</w:t>
            </w:r>
            <w:r>
              <w:rPr>
                <w:rFonts w:hint="eastAsia" w:ascii="Times New Roman" w:hAnsi="Times New Roman" w:cs="Times New Roman"/>
                <w:color w:val="auto"/>
                <w:kern w:val="2"/>
                <w:sz w:val="21"/>
                <w:szCs w:val="21"/>
                <w:highlight w:val="none"/>
                <w:lang w:val="en-US" w:eastAsia="zh-CN"/>
              </w:rPr>
              <w:t>项目</w:t>
            </w:r>
            <w:r>
              <w:rPr>
                <w:rFonts w:hint="default" w:ascii="Times New Roman" w:hAnsi="Times New Roman" w:cs="Times New Roman"/>
                <w:color w:val="auto"/>
                <w:kern w:val="2"/>
                <w:sz w:val="21"/>
                <w:szCs w:val="21"/>
                <w:highlight w:val="none"/>
                <w:lang w:val="en-US" w:eastAsia="zh-CN"/>
              </w:rPr>
              <w:t>属于</w:t>
            </w:r>
            <w:r>
              <w:rPr>
                <w:rFonts w:hint="eastAsia" w:ascii="Times New Roman" w:hAnsi="Times New Roman" w:cs="Times New Roman"/>
                <w:color w:val="auto"/>
                <w:kern w:val="2"/>
                <w:sz w:val="21"/>
                <w:szCs w:val="21"/>
                <w:highlight w:val="none"/>
                <w:lang w:val="en-US" w:eastAsia="zh-CN"/>
              </w:rPr>
              <w:t>陆上石油天然气</w:t>
            </w:r>
            <w:r>
              <w:rPr>
                <w:rFonts w:hint="default" w:ascii="Times New Roman" w:hAnsi="Times New Roman" w:cs="Times New Roman"/>
                <w:color w:val="auto"/>
                <w:kern w:val="2"/>
                <w:sz w:val="21"/>
                <w:szCs w:val="21"/>
                <w:highlight w:val="none"/>
              </w:rPr>
              <w:t>开采</w:t>
            </w:r>
            <w:r>
              <w:rPr>
                <w:rFonts w:hint="default" w:ascii="Times New Roman" w:hAnsi="Times New Roman" w:cs="Times New Roman"/>
                <w:color w:val="auto"/>
                <w:kern w:val="2"/>
                <w:sz w:val="21"/>
                <w:szCs w:val="21"/>
                <w:highlight w:val="none"/>
                <w:lang w:val="en-US" w:eastAsia="zh-CN"/>
              </w:rPr>
              <w:t>项目</w:t>
            </w:r>
            <w:r>
              <w:rPr>
                <w:rFonts w:hint="default" w:ascii="Times New Roman" w:hAnsi="Times New Roman" w:cs="Times New Roman"/>
                <w:color w:val="auto"/>
                <w:kern w:val="2"/>
                <w:sz w:val="21"/>
                <w:szCs w:val="21"/>
                <w:highlight w:val="none"/>
                <w:lang w:eastAsia="zh-CN"/>
              </w:rPr>
              <w:t>，</w:t>
            </w:r>
            <w:bookmarkStart w:id="311" w:name="OLE_LINK142"/>
            <w:r>
              <w:rPr>
                <w:rFonts w:hint="default" w:ascii="Times New Roman" w:hAnsi="Times New Roman" w:cs="Times New Roman"/>
                <w:color w:val="auto"/>
                <w:kern w:val="2"/>
                <w:sz w:val="21"/>
                <w:szCs w:val="21"/>
                <w:highlight w:val="none"/>
              </w:rPr>
              <w:t>集输环节均为密闭流程。</w:t>
            </w:r>
            <w:bookmarkEnd w:id="311"/>
          </w:p>
        </w:tc>
        <w:tc>
          <w:tcPr>
            <w:tcW w:w="745" w:type="dxa"/>
            <w:tcBorders>
              <w:top w:val="single" w:color="000000" w:sz="4" w:space="0"/>
              <w:left w:val="single" w:color="000000" w:sz="4" w:space="0"/>
              <w:bottom w:val="single" w:color="000000" w:sz="4" w:space="0"/>
              <w:right w:val="single" w:color="000000" w:sz="4" w:space="0"/>
            </w:tcBorders>
            <w:noWrap w:val="0"/>
            <w:vAlign w:val="top"/>
          </w:tcPr>
          <w:p w14:paraId="6C65CCE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符合</w:t>
            </w:r>
          </w:p>
        </w:tc>
      </w:tr>
      <w:tr w14:paraId="74CA2B10">
        <w:tblPrEx>
          <w:tblCellMar>
            <w:top w:w="0" w:type="dxa"/>
            <w:left w:w="0" w:type="dxa"/>
            <w:bottom w:w="0" w:type="dxa"/>
            <w:right w:w="0"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noWrap w:val="0"/>
            <w:vAlign w:val="top"/>
          </w:tcPr>
          <w:p w14:paraId="4889F9A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14:paraId="58881FCC">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重点排查汽油（包括含醇汽油、航空汽油）、航空煤油、原油、石脑油及苯、甲苯、二甲苯等装卸的物料类型、装载量、油气回收量，装载方式、密封型式、压紧方式及治理设施建设情况、工艺类型和运行情况，建立装卸排查清单；检查检测罐车人孔盖、油气回收耦合阀，底部装载有机废气回收快速接头、顶部浸没式装载密封罩、油气回收管线法兰等密封点泄漏情况，及治理设施排放浓度、排放速率和去除效率</w:t>
            </w:r>
            <w:r>
              <w:rPr>
                <w:rFonts w:hint="default" w:ascii="Times New Roman" w:hAnsi="Times New Roman" w:cs="Times New Roman"/>
                <w:color w:val="auto"/>
                <w:kern w:val="2"/>
                <w:sz w:val="21"/>
                <w:szCs w:val="21"/>
                <w:highlight w:val="none"/>
                <w:lang w:eastAsia="zh-CN"/>
              </w:rPr>
              <w:t>。</w:t>
            </w:r>
          </w:p>
        </w:tc>
        <w:tc>
          <w:tcPr>
            <w:tcW w:w="2879" w:type="dxa"/>
            <w:tcBorders>
              <w:top w:val="single" w:color="000000" w:sz="4" w:space="0"/>
              <w:left w:val="single" w:color="000000" w:sz="4" w:space="0"/>
              <w:bottom w:val="single" w:color="000000" w:sz="4" w:space="0"/>
              <w:right w:val="single" w:color="000000" w:sz="4" w:space="0"/>
            </w:tcBorders>
            <w:noWrap w:val="0"/>
            <w:vAlign w:val="top"/>
          </w:tcPr>
          <w:p w14:paraId="13466441">
            <w:pPr>
              <w:jc w:val="both"/>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eastAsia="zh-CN"/>
              </w:rPr>
              <w:t>本</w:t>
            </w:r>
            <w:r>
              <w:rPr>
                <w:rFonts w:hint="eastAsia" w:ascii="Times New Roman" w:hAnsi="Times New Roman" w:cs="Times New Roman"/>
                <w:color w:val="auto"/>
                <w:kern w:val="2"/>
                <w:sz w:val="21"/>
                <w:szCs w:val="21"/>
                <w:highlight w:val="none"/>
                <w:lang w:val="en-US" w:eastAsia="zh-CN"/>
              </w:rPr>
              <w:t>项目</w:t>
            </w:r>
            <w:r>
              <w:rPr>
                <w:rFonts w:hint="default" w:ascii="Times New Roman" w:hAnsi="Times New Roman" w:cs="Times New Roman"/>
                <w:color w:val="auto"/>
                <w:kern w:val="2"/>
                <w:sz w:val="21"/>
                <w:szCs w:val="21"/>
                <w:highlight w:val="none"/>
                <w:lang w:eastAsia="zh-CN"/>
              </w:rPr>
              <w:t>属于</w:t>
            </w:r>
            <w:r>
              <w:rPr>
                <w:rFonts w:hint="eastAsia" w:ascii="Times New Roman" w:hAnsi="Times New Roman" w:cs="Times New Roman"/>
                <w:color w:val="auto"/>
                <w:kern w:val="2"/>
                <w:sz w:val="21"/>
                <w:szCs w:val="21"/>
                <w:highlight w:val="none"/>
                <w:lang w:val="en-US" w:eastAsia="zh-CN"/>
              </w:rPr>
              <w:t>石油天然气</w:t>
            </w:r>
            <w:r>
              <w:rPr>
                <w:rFonts w:hint="default" w:ascii="Times New Roman" w:hAnsi="Times New Roman" w:cs="Times New Roman"/>
                <w:color w:val="auto"/>
                <w:kern w:val="2"/>
                <w:sz w:val="21"/>
                <w:szCs w:val="21"/>
                <w:highlight w:val="none"/>
                <w:lang w:eastAsia="zh-CN"/>
              </w:rPr>
              <w:t>开采项目，</w:t>
            </w:r>
            <w:r>
              <w:rPr>
                <w:rFonts w:hint="default" w:ascii="Times New Roman" w:hAnsi="Times New Roman" w:cs="Times New Roman"/>
                <w:color w:val="auto"/>
                <w:kern w:val="2"/>
                <w:sz w:val="21"/>
                <w:szCs w:val="21"/>
                <w:highlight w:val="none"/>
              </w:rPr>
              <w:t>集输</w:t>
            </w:r>
            <w:r>
              <w:rPr>
                <w:rFonts w:hint="eastAsia" w:ascii="Times New Roman" w:hAnsi="Times New Roman" w:cs="Times New Roman"/>
                <w:color w:val="auto"/>
                <w:kern w:val="2"/>
                <w:sz w:val="21"/>
                <w:szCs w:val="21"/>
                <w:highlight w:val="none"/>
                <w:lang w:val="en-US" w:eastAsia="zh-CN"/>
              </w:rPr>
              <w:t>环</w:t>
            </w:r>
            <w:r>
              <w:rPr>
                <w:rFonts w:hint="default" w:ascii="Times New Roman" w:hAnsi="Times New Roman" w:cs="Times New Roman"/>
                <w:color w:val="auto"/>
                <w:kern w:val="2"/>
                <w:sz w:val="21"/>
                <w:szCs w:val="21"/>
                <w:highlight w:val="none"/>
              </w:rPr>
              <w:t>节均为密闭流程</w:t>
            </w:r>
            <w:r>
              <w:rPr>
                <w:rFonts w:hint="default" w:ascii="Times New Roman" w:hAnsi="Times New Roman"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选用质量可靠的设备、仪表、阀门等；定期对井场的设备、阀门等检查、检修，以防止跑、冒、漏现象的发生；在日常生产过程中，加强非甲烷总烃无组织排放例行监测。本次评价提出切实可行的废气污染防治措施</w:t>
            </w:r>
            <w:r>
              <w:rPr>
                <w:rFonts w:hint="default" w:ascii="Times New Roman" w:hAnsi="Times New Roman" w:cs="Times New Roman"/>
                <w:color w:val="auto"/>
                <w:sz w:val="21"/>
                <w:szCs w:val="21"/>
                <w:highlight w:val="none"/>
              </w:rPr>
              <w:t>。</w:t>
            </w:r>
          </w:p>
        </w:tc>
        <w:tc>
          <w:tcPr>
            <w:tcW w:w="745" w:type="dxa"/>
            <w:tcBorders>
              <w:top w:val="single" w:color="000000" w:sz="4" w:space="0"/>
              <w:left w:val="single" w:color="000000" w:sz="4" w:space="0"/>
              <w:bottom w:val="single" w:color="000000" w:sz="4" w:space="0"/>
              <w:right w:val="single" w:color="000000" w:sz="4" w:space="0"/>
            </w:tcBorders>
            <w:noWrap w:val="0"/>
            <w:vAlign w:val="top"/>
          </w:tcPr>
          <w:p w14:paraId="79AE6E57">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符合</w:t>
            </w:r>
          </w:p>
        </w:tc>
      </w:tr>
      <w:tr w14:paraId="515114D4">
        <w:tblPrEx>
          <w:tblCellMar>
            <w:top w:w="0" w:type="dxa"/>
            <w:left w:w="0" w:type="dxa"/>
            <w:bottom w:w="0" w:type="dxa"/>
            <w:right w:w="0"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noWrap w:val="0"/>
            <w:vAlign w:val="top"/>
          </w:tcPr>
          <w:p w14:paraId="57F8F5C5">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14:paraId="6FC1482A">
            <w:pPr>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企业应按照标准要求，根据储存挥发性有机液体的真实蒸气压、储罐容积等进行储罐和浮盘边缘密封方式选型。充分考虑罐体变形或浮盘损坏、储罐附件破损等异常排放情况，鼓励对废气收集引气装置、处理装置设置冗余负荷；储罐排气回收处理后无法稳定达标排放的，应进一步优化治理设施或实施深度治理；鼓励企业对内浮顶罐排气进行收集处理。储罐罐体应保持完好，不应有孔洞、缝隙（除内浮顶罐边缘通气孔外）；除采样、计量、例行检查、维护和其他正常活动外，储罐附件的开口（孔）应保持密闭。</w:t>
            </w:r>
          </w:p>
        </w:tc>
        <w:tc>
          <w:tcPr>
            <w:tcW w:w="2879" w:type="dxa"/>
            <w:tcBorders>
              <w:top w:val="single" w:color="000000" w:sz="4" w:space="0"/>
              <w:left w:val="single" w:color="000000" w:sz="4" w:space="0"/>
              <w:bottom w:val="single" w:color="000000" w:sz="4" w:space="0"/>
              <w:right w:val="single" w:color="000000" w:sz="4" w:space="0"/>
            </w:tcBorders>
            <w:noWrap w:val="0"/>
            <w:vAlign w:val="top"/>
          </w:tcPr>
          <w:p w14:paraId="6341C968">
            <w:pPr>
              <w:jc w:val="both"/>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本</w:t>
            </w:r>
            <w:r>
              <w:rPr>
                <w:rFonts w:hint="eastAsia" w:ascii="Times New Roman" w:hAnsi="Times New Roman" w:cs="Times New Roman"/>
                <w:color w:val="auto"/>
                <w:kern w:val="2"/>
                <w:sz w:val="21"/>
                <w:szCs w:val="21"/>
                <w:highlight w:val="none"/>
                <w:lang w:val="en-US" w:eastAsia="zh-CN"/>
              </w:rPr>
              <w:t>项目油气集输</w:t>
            </w:r>
            <w:r>
              <w:rPr>
                <w:rFonts w:hint="default" w:ascii="Times New Roman" w:hAnsi="Times New Roman" w:cs="Times New Roman"/>
                <w:color w:val="auto"/>
                <w:kern w:val="2"/>
                <w:sz w:val="21"/>
                <w:szCs w:val="21"/>
                <w:highlight w:val="none"/>
                <w:lang w:eastAsia="zh-CN"/>
              </w:rPr>
              <w:t>采用密闭集输工艺，不涉及储罐等。</w:t>
            </w:r>
          </w:p>
        </w:tc>
        <w:tc>
          <w:tcPr>
            <w:tcW w:w="745" w:type="dxa"/>
            <w:tcBorders>
              <w:top w:val="single" w:color="000000" w:sz="4" w:space="0"/>
              <w:left w:val="single" w:color="000000" w:sz="4" w:space="0"/>
              <w:bottom w:val="single" w:color="000000" w:sz="4" w:space="0"/>
              <w:right w:val="single" w:color="000000" w:sz="4" w:space="0"/>
            </w:tcBorders>
            <w:noWrap w:val="0"/>
            <w:vAlign w:val="top"/>
          </w:tcPr>
          <w:p w14:paraId="344DF1C5">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符合</w:t>
            </w:r>
          </w:p>
        </w:tc>
      </w:tr>
    </w:tbl>
    <w:p w14:paraId="0891D2C6">
      <w:pPr>
        <w:keepNext/>
        <w:keepLines/>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color w:val="auto"/>
          <w:sz w:val="28"/>
          <w:szCs w:val="22"/>
          <w:highlight w:val="none"/>
        </w:rPr>
      </w:pPr>
      <w:r>
        <w:rPr>
          <w:rFonts w:hint="default" w:ascii="Times New Roman" w:hAnsi="Times New Roman" w:cs="Times New Roman"/>
          <w:b/>
          <w:color w:val="auto"/>
          <w:sz w:val="28"/>
          <w:szCs w:val="22"/>
          <w:highlight w:val="none"/>
        </w:rPr>
        <w:t>3.</w:t>
      </w:r>
      <w:r>
        <w:rPr>
          <w:rFonts w:hint="eastAsia" w:ascii="Times New Roman" w:hAnsi="Times New Roman" w:cs="Times New Roman"/>
          <w:b/>
          <w:color w:val="auto"/>
          <w:sz w:val="28"/>
          <w:szCs w:val="22"/>
          <w:highlight w:val="none"/>
          <w:lang w:val="en-US" w:eastAsia="zh-CN"/>
        </w:rPr>
        <w:t>7.14</w:t>
      </w:r>
      <w:r>
        <w:rPr>
          <w:rFonts w:hint="default" w:ascii="Times New Roman" w:hAnsi="Times New Roman" w:cs="Times New Roman"/>
          <w:b/>
          <w:color w:val="auto"/>
          <w:sz w:val="28"/>
          <w:szCs w:val="22"/>
          <w:highlight w:val="none"/>
        </w:rPr>
        <w:t>与《关于加强历史遗留废弃磺化泥浆规范化环境管理的通知》（新环固体函〔2022〕675号）符合性分析</w:t>
      </w:r>
    </w:p>
    <w:p w14:paraId="19291F78">
      <w:pPr>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highlight w:val="none"/>
        </w:rPr>
      </w:pPr>
      <w:r>
        <w:rPr>
          <w:rFonts w:hint="default" w:ascii="Times New Roman" w:hAnsi="Times New Roman" w:cs="Times New Roman"/>
          <w:color w:val="auto"/>
          <w:highlight w:val="none"/>
          <w:lang w:eastAsia="zh-CN" w:bidi="ar"/>
        </w:rPr>
        <w:t>本</w:t>
      </w:r>
      <w:r>
        <w:rPr>
          <w:rFonts w:hint="eastAsia" w:ascii="Times New Roman" w:hAnsi="Times New Roman" w:cs="Times New Roman"/>
          <w:color w:val="auto"/>
          <w:highlight w:val="none"/>
          <w:lang w:val="en-US" w:eastAsia="zh-CN" w:bidi="ar"/>
        </w:rPr>
        <w:t>项目</w:t>
      </w:r>
      <w:r>
        <w:rPr>
          <w:rFonts w:hint="default" w:ascii="Times New Roman" w:hAnsi="Times New Roman" w:cs="Times New Roman"/>
          <w:color w:val="auto"/>
          <w:highlight w:val="none"/>
          <w:lang w:bidi="ar"/>
        </w:rPr>
        <w:t>与《关于加强历史遗留废弃磺化泥浆规范化环境管理的通知》（新环固体函〔2022〕675号）符合性分析见表3.</w:t>
      </w:r>
      <w:r>
        <w:rPr>
          <w:rFonts w:hint="eastAsia" w:ascii="Times New Roman" w:hAnsi="Times New Roman" w:cs="Times New Roman"/>
          <w:color w:val="auto"/>
          <w:highlight w:val="none"/>
          <w:lang w:val="en-US" w:eastAsia="zh-CN" w:bidi="ar"/>
        </w:rPr>
        <w:t>7-8</w:t>
      </w:r>
      <w:r>
        <w:rPr>
          <w:rFonts w:hint="default" w:ascii="Times New Roman" w:hAnsi="Times New Roman" w:cs="Times New Roman"/>
          <w:color w:val="auto"/>
          <w:highlight w:val="none"/>
          <w:lang w:bidi="ar"/>
        </w:rPr>
        <w:t>。</w:t>
      </w:r>
    </w:p>
    <w:p w14:paraId="471FFB95">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黑体" w:hAnsi="黑体" w:eastAsia="黑体" w:cs="黑体"/>
          <w:color w:val="auto"/>
          <w:spacing w:val="7"/>
          <w:sz w:val="20"/>
          <w:szCs w:val="20"/>
          <w:highlight w:val="none"/>
        </w:rPr>
      </w:pPr>
    </w:p>
    <w:p w14:paraId="55AA3BB2">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黑体" w:hAnsi="黑体" w:eastAsia="黑体" w:cs="黑体"/>
          <w:color w:val="auto"/>
          <w:spacing w:val="7"/>
          <w:sz w:val="20"/>
          <w:szCs w:val="20"/>
          <w:highlight w:val="none"/>
        </w:rPr>
      </w:pPr>
      <w:r>
        <w:rPr>
          <w:rFonts w:hint="default" w:ascii="黑体" w:hAnsi="黑体" w:eastAsia="黑体" w:cs="黑体"/>
          <w:color w:val="auto"/>
          <w:spacing w:val="7"/>
          <w:sz w:val="20"/>
          <w:szCs w:val="20"/>
          <w:highlight w:val="none"/>
        </w:rPr>
        <w:t>表3.</w:t>
      </w:r>
      <w:r>
        <w:rPr>
          <w:rFonts w:hint="eastAsia" w:ascii="黑体" w:hAnsi="黑体" w:eastAsia="黑体" w:cs="黑体"/>
          <w:color w:val="auto"/>
          <w:spacing w:val="7"/>
          <w:sz w:val="20"/>
          <w:szCs w:val="20"/>
          <w:highlight w:val="none"/>
          <w:lang w:val="en-US" w:eastAsia="zh-CN"/>
        </w:rPr>
        <w:t>7-8</w:t>
      </w:r>
      <w:r>
        <w:rPr>
          <w:rFonts w:hint="default" w:ascii="黑体" w:hAnsi="黑体" w:eastAsia="黑体" w:cs="黑体"/>
          <w:color w:val="auto"/>
          <w:spacing w:val="7"/>
          <w:sz w:val="20"/>
          <w:szCs w:val="20"/>
          <w:highlight w:val="none"/>
        </w:rPr>
        <w:t>与《关于加强历史遗留废弃磺化泥浆规范化环境管理的通知》（新环固体函〔2022〕675号）符合性</w:t>
      </w:r>
    </w:p>
    <w:tbl>
      <w:tblPr>
        <w:tblStyle w:val="35"/>
        <w:tblW w:w="8506" w:type="dxa"/>
        <w:jc w:val="center"/>
        <w:tblLayout w:type="fixed"/>
        <w:tblCellMar>
          <w:top w:w="0" w:type="dxa"/>
          <w:left w:w="0" w:type="dxa"/>
          <w:bottom w:w="0" w:type="dxa"/>
          <w:right w:w="0" w:type="dxa"/>
        </w:tblCellMar>
      </w:tblPr>
      <w:tblGrid>
        <w:gridCol w:w="571"/>
        <w:gridCol w:w="4822"/>
        <w:gridCol w:w="2400"/>
        <w:gridCol w:w="713"/>
      </w:tblGrid>
      <w:tr w14:paraId="0CDB7311">
        <w:tblPrEx>
          <w:tblCellMar>
            <w:top w:w="0" w:type="dxa"/>
            <w:left w:w="0" w:type="dxa"/>
            <w:bottom w:w="0" w:type="dxa"/>
            <w:right w:w="0" w:type="dxa"/>
          </w:tblCellMar>
        </w:tblPrEx>
        <w:trPr>
          <w:trHeight w:val="23" w:hRule="atLeast"/>
          <w:jc w:val="center"/>
        </w:trPr>
        <w:tc>
          <w:tcPr>
            <w:tcW w:w="571" w:type="dxa"/>
            <w:tcBorders>
              <w:top w:val="single" w:color="000000" w:sz="4" w:space="0"/>
              <w:left w:val="single" w:color="000000" w:sz="4" w:space="0"/>
              <w:bottom w:val="single" w:color="000000" w:sz="4" w:space="0"/>
              <w:right w:val="single" w:color="000000" w:sz="4" w:space="0"/>
            </w:tcBorders>
            <w:noWrap w:val="0"/>
            <w:vAlign w:val="center"/>
          </w:tcPr>
          <w:p w14:paraId="562DAA0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4822" w:type="dxa"/>
            <w:tcBorders>
              <w:top w:val="single" w:color="000000" w:sz="4" w:space="0"/>
              <w:left w:val="single" w:color="000000" w:sz="4" w:space="0"/>
              <w:bottom w:val="single" w:color="000000" w:sz="4" w:space="0"/>
              <w:right w:val="single" w:color="000000" w:sz="4" w:space="0"/>
            </w:tcBorders>
            <w:noWrap w:val="0"/>
            <w:vAlign w:val="center"/>
          </w:tcPr>
          <w:p w14:paraId="1440F14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878C81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项目情况</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14:paraId="054A97C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1"/>
                <w:sz w:val="21"/>
                <w:szCs w:val="21"/>
                <w:highlight w:val="none"/>
              </w:rPr>
              <w:t>符合性</w:t>
            </w:r>
          </w:p>
        </w:tc>
      </w:tr>
      <w:tr w14:paraId="0067AB9F">
        <w:tblPrEx>
          <w:tblCellMar>
            <w:top w:w="0" w:type="dxa"/>
            <w:left w:w="0" w:type="dxa"/>
            <w:bottom w:w="0" w:type="dxa"/>
            <w:right w:w="0" w:type="dxa"/>
          </w:tblCellMar>
        </w:tblPrEx>
        <w:trPr>
          <w:trHeight w:val="23" w:hRule="atLeast"/>
          <w:jc w:val="center"/>
        </w:trPr>
        <w:tc>
          <w:tcPr>
            <w:tcW w:w="571" w:type="dxa"/>
            <w:tcBorders>
              <w:top w:val="single" w:color="000000" w:sz="4" w:space="0"/>
              <w:left w:val="single" w:color="000000" w:sz="4" w:space="0"/>
              <w:bottom w:val="single" w:color="000000" w:sz="4" w:space="0"/>
              <w:right w:val="single" w:color="000000" w:sz="4" w:space="0"/>
            </w:tcBorders>
            <w:noWrap w:val="0"/>
            <w:vAlign w:val="center"/>
          </w:tcPr>
          <w:p w14:paraId="0BC1F0C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22" w:type="dxa"/>
            <w:tcBorders>
              <w:top w:val="single" w:color="000000" w:sz="4" w:space="0"/>
              <w:left w:val="single" w:color="000000" w:sz="4" w:space="0"/>
              <w:bottom w:val="single" w:color="000000" w:sz="4" w:space="0"/>
              <w:right w:val="single" w:color="000000" w:sz="4" w:space="0"/>
            </w:tcBorders>
            <w:noWrap w:val="0"/>
            <w:vAlign w:val="center"/>
          </w:tcPr>
          <w:p w14:paraId="31C75FD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历史遗留废弃磺化泥浆可由具备相应能力的危险废物集中处置设施，或专业废弃磺化泥浆集中处置设施进行规范化处置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历史遗留磺化泥浆采取填埋方式进行处置的，需开展危险废物鉴别，根据鉴别结论按照《危险废物填埋污染控制标准》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GB18598-2019）或《一般工业固体废物贮存和填埋污染控制标准》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GB18599-2020）要求开展填埋处置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综合利用历史遗留废弃磺化泥浆的，应满足《固体废物再生利用污染防治技术导则》</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HJ1091-2020）等相关要求。</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5F17FF3">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本</w:t>
            </w:r>
            <w:r>
              <w:rPr>
                <w:rFonts w:hint="eastAsia"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kern w:val="2"/>
                <w:sz w:val="21"/>
                <w:szCs w:val="21"/>
                <w:highlight w:val="none"/>
                <w:lang w:val="en-US" w:eastAsia="zh-CN" w:bidi="ar-SA"/>
              </w:rPr>
              <w:t>不涉及历史遗留废弃磺化泥浆</w:t>
            </w:r>
            <w:r>
              <w:rPr>
                <w:rFonts w:hint="default" w:ascii="Times New Roman" w:hAnsi="Times New Roman" w:cs="Times New Roman"/>
                <w:color w:val="auto"/>
                <w:sz w:val="21"/>
                <w:szCs w:val="21"/>
                <w:highlight w:val="none"/>
                <w:lang w:val="en-US" w:eastAsia="zh-CN"/>
              </w:rPr>
              <w:t>。</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14:paraId="25E2D7B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符合</w:t>
            </w:r>
          </w:p>
        </w:tc>
      </w:tr>
      <w:tr w14:paraId="017A93E6">
        <w:tblPrEx>
          <w:tblCellMar>
            <w:top w:w="0" w:type="dxa"/>
            <w:left w:w="0" w:type="dxa"/>
            <w:bottom w:w="0" w:type="dxa"/>
            <w:right w:w="0" w:type="dxa"/>
          </w:tblCellMar>
        </w:tblPrEx>
        <w:trPr>
          <w:trHeight w:val="23" w:hRule="atLeast"/>
          <w:jc w:val="center"/>
        </w:trPr>
        <w:tc>
          <w:tcPr>
            <w:tcW w:w="571" w:type="dxa"/>
            <w:tcBorders>
              <w:top w:val="single" w:color="000000" w:sz="4" w:space="0"/>
              <w:left w:val="single" w:color="000000" w:sz="4" w:space="0"/>
              <w:bottom w:val="single" w:color="000000" w:sz="4" w:space="0"/>
              <w:right w:val="single" w:color="000000" w:sz="4" w:space="0"/>
            </w:tcBorders>
            <w:noWrap w:val="0"/>
            <w:vAlign w:val="center"/>
          </w:tcPr>
          <w:p w14:paraId="4AB5138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22" w:type="dxa"/>
            <w:tcBorders>
              <w:top w:val="single" w:color="000000" w:sz="4" w:space="0"/>
              <w:left w:val="single" w:color="000000" w:sz="4" w:space="0"/>
              <w:bottom w:val="single" w:color="000000" w:sz="4" w:space="0"/>
              <w:right w:val="single" w:color="000000" w:sz="4" w:space="0"/>
            </w:tcBorders>
            <w:noWrap w:val="0"/>
            <w:vAlign w:val="center"/>
          </w:tcPr>
          <w:p w14:paraId="0B6413F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历史遗留废弃磺化泥浆经鉴别属于危险废物的，应严格按照危险废物全过程管理。新产生的废弃磺化泥浆按照项目现有环评文件和批复要求进行管理，无相关要求的参照第一条执行。国家有新规定新要求时按照新规定新要求执行。</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C3AA571">
            <w:pPr>
              <w:keepNext w:val="0"/>
              <w:keepLines w:val="0"/>
              <w:widowControl/>
              <w:suppressLineNumbers w:val="0"/>
              <w:jc w:val="both"/>
              <w:rPr>
                <w:rFonts w:hint="default" w:ascii="Times New Roman" w:hAnsi="Times New Roman"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本</w:t>
            </w:r>
            <w:r>
              <w:rPr>
                <w:rFonts w:hint="eastAsia"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kern w:val="2"/>
                <w:sz w:val="21"/>
                <w:szCs w:val="21"/>
                <w:highlight w:val="none"/>
                <w:lang w:val="en-US" w:eastAsia="zh-CN" w:bidi="ar-SA"/>
              </w:rPr>
              <w:t>不涉及历史遗留废弃磺化泥浆；本</w:t>
            </w:r>
            <w:r>
              <w:rPr>
                <w:rFonts w:hint="eastAsia" w:ascii="Times New Roman" w:hAnsi="Times New Roman" w:eastAsia="宋体" w:cs="Times New Roman"/>
                <w:color w:val="auto"/>
                <w:kern w:val="2"/>
                <w:sz w:val="21"/>
                <w:szCs w:val="21"/>
                <w:highlight w:val="none"/>
                <w:lang w:val="en-US" w:eastAsia="zh-CN" w:bidi="ar-SA"/>
              </w:rPr>
              <w:t>项目侧</w:t>
            </w:r>
            <w:r>
              <w:rPr>
                <w:rFonts w:hint="default" w:ascii="Times New Roman" w:hAnsi="Times New Roman" w:eastAsia="宋体" w:cs="Times New Roman"/>
                <w:color w:val="auto"/>
                <w:kern w:val="2"/>
                <w:sz w:val="21"/>
                <w:szCs w:val="21"/>
                <w:highlight w:val="none"/>
                <w:lang w:val="en-US" w:eastAsia="zh-CN" w:bidi="ar-SA"/>
              </w:rPr>
              <w:t>钻井过程中的磺化泥浆</w:t>
            </w:r>
            <w:r>
              <w:rPr>
                <w:rFonts w:hint="eastAsia" w:ascii="Times New Roman" w:hAnsi="Times New Roman" w:eastAsia="宋体" w:cs="Times New Roman"/>
                <w:color w:val="auto"/>
                <w:kern w:val="2"/>
                <w:sz w:val="21"/>
                <w:szCs w:val="21"/>
                <w:highlight w:val="none"/>
                <w:lang w:val="en-US" w:eastAsia="zh-CN" w:bidi="ar-SA"/>
              </w:rPr>
              <w:t>在井场储罐中暂存交由第三方单位进行处置</w:t>
            </w:r>
            <w:r>
              <w:rPr>
                <w:rFonts w:hint="default" w:ascii="Times New Roman" w:hAnsi="Times New Roman" w:cs="Times New Roman"/>
                <w:color w:val="auto"/>
                <w:kern w:val="2"/>
                <w:sz w:val="21"/>
                <w:szCs w:val="21"/>
                <w:highlight w:val="none"/>
              </w:rPr>
              <w:t>。</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14:paraId="464C5B1E">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符合</w:t>
            </w:r>
          </w:p>
        </w:tc>
      </w:tr>
    </w:tbl>
    <w:p w14:paraId="5E258377">
      <w:pPr>
        <w:keepNext/>
        <w:keepLines/>
        <w:pageBreakBefore w:val="0"/>
        <w:widowControl/>
        <w:kinsoku/>
        <w:wordWrap/>
        <w:overflowPunct/>
        <w:topLinePunct w:val="0"/>
        <w:autoSpaceDE/>
        <w:autoSpaceDN/>
        <w:bidi w:val="0"/>
        <w:adjustRightInd/>
        <w:snapToGrid/>
        <w:spacing w:before="120"/>
        <w:textAlignment w:val="auto"/>
        <w:outlineLvl w:val="2"/>
        <w:rPr>
          <w:rFonts w:hint="default" w:ascii="Times New Roman" w:hAnsi="Times New Roman" w:eastAsia="宋体" w:cs="Times New Roman"/>
          <w:b/>
          <w:color w:val="auto"/>
          <w:sz w:val="28"/>
          <w:szCs w:val="22"/>
          <w:highlight w:val="none"/>
          <w:lang w:val="en-US" w:eastAsia="zh-CN"/>
        </w:rPr>
      </w:pPr>
      <w:r>
        <w:rPr>
          <w:rFonts w:hint="eastAsia" w:ascii="Times New Roman" w:hAnsi="Times New Roman" w:eastAsia="宋体" w:cs="Times New Roman"/>
          <w:b/>
          <w:color w:val="auto"/>
          <w:sz w:val="28"/>
          <w:szCs w:val="22"/>
          <w:highlight w:val="none"/>
          <w:lang w:val="en-US" w:eastAsia="zh-CN"/>
        </w:rPr>
        <w:t>3.7.1</w:t>
      </w:r>
      <w:r>
        <w:rPr>
          <w:rFonts w:hint="eastAsia" w:ascii="Times New Roman" w:hAnsi="Times New Roman" w:cs="Times New Roman"/>
          <w:b/>
          <w:color w:val="auto"/>
          <w:sz w:val="28"/>
          <w:szCs w:val="22"/>
          <w:highlight w:val="none"/>
          <w:lang w:val="en-US" w:eastAsia="zh-CN"/>
        </w:rPr>
        <w:t>5</w:t>
      </w:r>
      <w:r>
        <w:rPr>
          <w:rFonts w:hint="default" w:ascii="Times New Roman" w:hAnsi="Times New Roman" w:eastAsia="宋体" w:cs="Times New Roman"/>
          <w:b/>
          <w:color w:val="auto"/>
          <w:sz w:val="28"/>
          <w:szCs w:val="22"/>
          <w:highlight w:val="none"/>
          <w:lang w:val="en-US" w:eastAsia="zh-CN"/>
        </w:rPr>
        <w:t>与《新疆维吾尔自治区重点行业生态环境准入条件（2024年）</w:t>
      </w:r>
      <w:r>
        <w:rPr>
          <w:rFonts w:hint="eastAsia" w:ascii="Times New Roman" w:hAnsi="Times New Roman" w:eastAsia="宋体" w:cs="Times New Roman"/>
          <w:b/>
          <w:color w:val="auto"/>
          <w:sz w:val="28"/>
          <w:szCs w:val="22"/>
          <w:highlight w:val="none"/>
          <w:lang w:val="en-US" w:eastAsia="zh-CN"/>
        </w:rPr>
        <w:t>》</w:t>
      </w:r>
      <w:r>
        <w:rPr>
          <w:rFonts w:hint="default" w:ascii="Times New Roman" w:hAnsi="Times New Roman" w:eastAsia="宋体" w:cs="Times New Roman"/>
          <w:b/>
          <w:color w:val="auto"/>
          <w:sz w:val="28"/>
          <w:szCs w:val="22"/>
          <w:highlight w:val="none"/>
          <w:lang w:val="en-US" w:eastAsia="zh-CN"/>
        </w:rPr>
        <w:t>符合性分析</w:t>
      </w:r>
    </w:p>
    <w:p w14:paraId="1C4D4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w:t>
      </w:r>
      <w:r>
        <w:rPr>
          <w:rFonts w:hint="eastAsia" w:ascii="Times New Roman" w:hAnsi="Times New Roman" w:eastAsia="宋体"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lang w:val="en-US" w:eastAsia="zh-CN"/>
        </w:rPr>
        <w:t>与202</w:t>
      </w:r>
      <w:r>
        <w:rPr>
          <w:rFonts w:hint="eastAsia"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年</w:t>
      </w:r>
      <w:r>
        <w:rPr>
          <w:rFonts w:hint="eastAsia" w:ascii="Times New Roman" w:hAnsi="Times New Roman" w:eastAsia="宋体" w:cs="Times New Roman"/>
          <w:bCs/>
          <w:color w:val="auto"/>
          <w:sz w:val="24"/>
          <w:highlight w:val="none"/>
          <w:lang w:val="en-US" w:eastAsia="zh-CN"/>
        </w:rPr>
        <w:t>6</w:t>
      </w:r>
      <w:r>
        <w:rPr>
          <w:rFonts w:hint="default" w:ascii="Times New Roman" w:hAnsi="Times New Roman" w:eastAsia="宋体" w:cs="Times New Roman"/>
          <w:bCs/>
          <w:color w:val="auto"/>
          <w:sz w:val="24"/>
          <w:highlight w:val="none"/>
          <w:lang w:val="en-US" w:eastAsia="zh-CN"/>
        </w:rPr>
        <w:t>月</w:t>
      </w:r>
      <w:r>
        <w:rPr>
          <w:rFonts w:hint="eastAsia" w:ascii="Times New Roman" w:hAnsi="Times New Roman" w:eastAsia="宋体" w:cs="Times New Roman"/>
          <w:bCs/>
          <w:color w:val="auto"/>
          <w:sz w:val="24"/>
          <w:highlight w:val="none"/>
          <w:lang w:val="en-US" w:eastAsia="zh-CN"/>
        </w:rPr>
        <w:t>9日新疆维吾尔自治区生态环境厅关于</w:t>
      </w:r>
      <w:r>
        <w:rPr>
          <w:rFonts w:hint="default" w:ascii="Times New Roman" w:hAnsi="Times New Roman" w:eastAsia="宋体" w:cs="Times New Roman"/>
          <w:bCs/>
          <w:color w:val="auto"/>
          <w:sz w:val="24"/>
          <w:highlight w:val="none"/>
          <w:lang w:val="en-US" w:eastAsia="zh-CN"/>
        </w:rPr>
        <w:t>印发《新疆维吾尔自治区重点行业生态环境准入条件（2024年）》的通知（新环环评发〔2024〕93号）符合性分析见下表</w:t>
      </w:r>
      <w:r>
        <w:rPr>
          <w:rFonts w:hint="eastAsia" w:ascii="Times New Roman" w:hAnsi="Times New Roman" w:eastAsia="宋体" w:cs="Times New Roman"/>
          <w:bCs/>
          <w:color w:val="auto"/>
          <w:sz w:val="24"/>
          <w:highlight w:val="none"/>
          <w:lang w:val="en-US" w:eastAsia="zh-CN"/>
        </w:rPr>
        <w:t>3.7-9</w:t>
      </w:r>
      <w:r>
        <w:rPr>
          <w:rFonts w:hint="default" w:ascii="Times New Roman" w:hAnsi="Times New Roman" w:eastAsia="宋体" w:cs="Times New Roman"/>
          <w:bCs/>
          <w:color w:val="auto"/>
          <w:sz w:val="24"/>
          <w:highlight w:val="none"/>
          <w:lang w:val="en-US" w:eastAsia="zh-CN"/>
        </w:rPr>
        <w:t>。</w:t>
      </w:r>
    </w:p>
    <w:p w14:paraId="53CDF702">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黑体" w:hAnsi="黑体" w:eastAsia="黑体" w:cs="黑体"/>
          <w:color w:val="auto"/>
          <w:spacing w:val="7"/>
          <w:sz w:val="20"/>
          <w:szCs w:val="20"/>
          <w:highlight w:val="none"/>
          <w:lang w:val="en-US" w:eastAsia="zh-CN"/>
        </w:rPr>
      </w:pPr>
      <w:r>
        <w:rPr>
          <w:rFonts w:hint="default" w:ascii="黑体" w:hAnsi="黑体" w:eastAsia="黑体" w:cs="黑体"/>
          <w:color w:val="auto"/>
          <w:spacing w:val="7"/>
          <w:sz w:val="20"/>
          <w:szCs w:val="20"/>
          <w:highlight w:val="none"/>
          <w:lang w:val="en-US" w:eastAsia="zh-CN"/>
        </w:rPr>
        <w:t>表</w:t>
      </w:r>
      <w:r>
        <w:rPr>
          <w:rFonts w:hint="eastAsia" w:ascii="黑体" w:hAnsi="黑体" w:eastAsia="黑体" w:cs="黑体"/>
          <w:color w:val="auto"/>
          <w:spacing w:val="7"/>
          <w:sz w:val="20"/>
          <w:szCs w:val="20"/>
          <w:highlight w:val="none"/>
          <w:lang w:val="en-US" w:eastAsia="zh-CN"/>
        </w:rPr>
        <w:t>3.7-9</w:t>
      </w:r>
      <w:r>
        <w:rPr>
          <w:rFonts w:hint="default" w:ascii="黑体" w:hAnsi="黑体" w:eastAsia="黑体" w:cs="黑体"/>
          <w:color w:val="auto"/>
          <w:spacing w:val="7"/>
          <w:sz w:val="20"/>
          <w:szCs w:val="20"/>
          <w:highlight w:val="none"/>
          <w:lang w:val="en-US" w:eastAsia="zh-CN"/>
        </w:rPr>
        <w:t>与《新疆维吾尔自治区重点行业生态环境准入条件（2024年）》</w:t>
      </w:r>
      <w:r>
        <w:rPr>
          <w:rFonts w:hint="default" w:ascii="黑体" w:hAnsi="黑体" w:eastAsia="黑体" w:cs="黑体"/>
          <w:color w:val="auto"/>
          <w:spacing w:val="7"/>
          <w:sz w:val="20"/>
          <w:szCs w:val="20"/>
          <w:highlight w:val="none"/>
        </w:rPr>
        <w:t>的相符性分析</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4551"/>
        <w:gridCol w:w="2762"/>
        <w:gridCol w:w="689"/>
      </w:tblGrid>
      <w:tr w14:paraId="553C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25" w:type="pct"/>
            <w:gridSpan w:val="2"/>
            <w:tcBorders>
              <w:tl2br w:val="nil"/>
              <w:tr2bl w:val="nil"/>
            </w:tcBorders>
            <w:noWrap w:val="0"/>
            <w:vAlign w:val="center"/>
          </w:tcPr>
          <w:p w14:paraId="71B0F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规划中相关</w:t>
            </w:r>
            <w:r>
              <w:rPr>
                <w:rFonts w:hint="default" w:ascii="Times New Roman" w:hAnsi="Times New Roman" w:eastAsia="宋体" w:cs="Times New Roman"/>
                <w:b/>
                <w:bCs/>
                <w:color w:val="auto"/>
                <w:sz w:val="21"/>
                <w:szCs w:val="21"/>
                <w:highlight w:val="none"/>
              </w:rPr>
              <w:t>要求</w:t>
            </w:r>
          </w:p>
        </w:tc>
        <w:tc>
          <w:tcPr>
            <w:tcW w:w="1580" w:type="pct"/>
            <w:tcBorders>
              <w:tl2br w:val="nil"/>
              <w:tr2bl w:val="nil"/>
            </w:tcBorders>
            <w:noWrap w:val="0"/>
            <w:vAlign w:val="center"/>
          </w:tcPr>
          <w:p w14:paraId="20A8E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拟采取措施</w:t>
            </w:r>
          </w:p>
        </w:tc>
        <w:tc>
          <w:tcPr>
            <w:tcW w:w="394" w:type="pct"/>
            <w:tcBorders>
              <w:tl2br w:val="nil"/>
              <w:tr2bl w:val="nil"/>
            </w:tcBorders>
            <w:noWrap w:val="0"/>
            <w:vAlign w:val="center"/>
          </w:tcPr>
          <w:p w14:paraId="5EE04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符合性</w:t>
            </w:r>
          </w:p>
        </w:tc>
      </w:tr>
      <w:tr w14:paraId="0CBF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restart"/>
            <w:tcBorders>
              <w:tl2br w:val="nil"/>
              <w:tr2bl w:val="nil"/>
            </w:tcBorders>
            <w:noWrap w:val="0"/>
            <w:vAlign w:val="center"/>
          </w:tcPr>
          <w:p w14:paraId="294AED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生态环境准入总体要求</w:t>
            </w:r>
          </w:p>
        </w:tc>
        <w:tc>
          <w:tcPr>
            <w:tcW w:w="2603" w:type="pct"/>
            <w:tcBorders>
              <w:tl2br w:val="nil"/>
              <w:tr2bl w:val="nil"/>
            </w:tcBorders>
            <w:noWrap w:val="0"/>
            <w:vAlign w:val="center"/>
          </w:tcPr>
          <w:p w14:paraId="4ABE53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1.建设单位应依法依规组织编制环境影响评价文件，并报具有审批权限的生态环境部门审批。</w:t>
            </w:r>
          </w:p>
        </w:tc>
        <w:tc>
          <w:tcPr>
            <w:tcW w:w="1580" w:type="pct"/>
            <w:tcBorders>
              <w:tl2br w:val="nil"/>
              <w:tr2bl w:val="nil"/>
            </w:tcBorders>
            <w:noWrap w:val="0"/>
            <w:vAlign w:val="center"/>
          </w:tcPr>
          <w:p w14:paraId="3AAC3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本项目为“五、石油和天然气开采业，07</w:t>
            </w:r>
            <w:r>
              <w:rPr>
                <w:rFonts w:hint="eastAsia"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1陆地石油开采”中的涉及环境敏感区的（含内部集输管线建设），编制环境影响报告书。</w:t>
            </w:r>
          </w:p>
        </w:tc>
        <w:tc>
          <w:tcPr>
            <w:tcW w:w="394" w:type="pct"/>
            <w:tcBorders>
              <w:tl2br w:val="nil"/>
              <w:tr2bl w:val="nil"/>
            </w:tcBorders>
            <w:noWrap w:val="0"/>
            <w:vAlign w:val="center"/>
          </w:tcPr>
          <w:p w14:paraId="6E764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392F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2C2339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422523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2.建设项目应符合国家、自治区相关法律法规</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1580" w:type="pct"/>
            <w:tcBorders>
              <w:tl2br w:val="nil"/>
              <w:tr2bl w:val="nil"/>
            </w:tcBorders>
            <w:noWrap w:val="0"/>
            <w:vAlign w:val="center"/>
          </w:tcPr>
          <w:p w14:paraId="5B4D9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本项目属于国家鼓励类的产业政策。</w:t>
            </w:r>
          </w:p>
        </w:tc>
        <w:tc>
          <w:tcPr>
            <w:tcW w:w="394" w:type="pct"/>
            <w:tcBorders>
              <w:tl2br w:val="nil"/>
              <w:tr2bl w:val="nil"/>
            </w:tcBorders>
            <w:noWrap w:val="0"/>
            <w:vAlign w:val="center"/>
          </w:tcPr>
          <w:p w14:paraId="04E3B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02F4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7252E6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6CCF19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3.一切开发建设活动应符合国家、自治区主体功能区规划、自治区和各地颁布实施的国民经济发展规划、生态功能区划、国土空间规划、产业发展规划等相关规划及生态环境分区管控要求</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符合区域（流域）或产业规划环评及审查意见要求。</w:t>
            </w:r>
          </w:p>
        </w:tc>
        <w:tc>
          <w:tcPr>
            <w:tcW w:w="1580" w:type="pct"/>
            <w:tcBorders>
              <w:tl2br w:val="nil"/>
              <w:tr2bl w:val="nil"/>
            </w:tcBorders>
            <w:noWrap w:val="0"/>
            <w:vAlign w:val="center"/>
          </w:tcPr>
          <w:p w14:paraId="5E2FD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本项目符合主体功能区划、生态功能区划及生态环境分区管控规划</w:t>
            </w:r>
          </w:p>
        </w:tc>
        <w:tc>
          <w:tcPr>
            <w:tcW w:w="394" w:type="pct"/>
            <w:tcBorders>
              <w:tl2br w:val="nil"/>
              <w:tr2bl w:val="nil"/>
            </w:tcBorders>
            <w:noWrap w:val="0"/>
            <w:vAlign w:val="center"/>
          </w:tcPr>
          <w:p w14:paraId="52EFB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265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004F0E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78C6A8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4.禁止在自然保护区、世界自然遗产地、风景名胜区、自然公园（森林公园、地质公园、湿地公园、沙漠公园等）、重要湿地、饮用水水源保护区等依法划定禁止开发建设的环境敏感区</w:t>
            </w:r>
            <w:r>
              <w:rPr>
                <w:rFonts w:hint="eastAsia" w:ascii="Times New Roman" w:hAnsi="Times New Roman" w:eastAsia="宋体" w:cs="Times New Roman"/>
                <w:color w:val="auto"/>
                <w:kern w:val="2"/>
                <w:sz w:val="21"/>
                <w:szCs w:val="21"/>
                <w:highlight w:val="none"/>
                <w:lang w:val="en-US" w:eastAsia="zh-CN" w:bidi="ar-SA"/>
              </w:rPr>
              <w:t>及其他</w:t>
            </w:r>
            <w:r>
              <w:rPr>
                <w:rFonts w:hint="default" w:ascii="Times New Roman" w:hAnsi="Times New Roman" w:eastAsia="宋体" w:cs="Times New Roman"/>
                <w:color w:val="auto"/>
                <w:kern w:val="2"/>
                <w:sz w:val="21"/>
                <w:szCs w:val="21"/>
                <w:highlight w:val="none"/>
                <w:lang w:val="en-US" w:eastAsia="zh-CN" w:bidi="ar-SA"/>
              </w:rPr>
              <w:t>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生态环境部国家林业和草原局关于加强生态保护红线管理的通知（试行）》（自然资发〔2022〕142号）执行，生态保护红线管控要求调整、更新的，从其规定。</w:t>
            </w:r>
          </w:p>
        </w:tc>
        <w:tc>
          <w:tcPr>
            <w:tcW w:w="1580" w:type="pct"/>
            <w:tcBorders>
              <w:tl2br w:val="nil"/>
              <w:tr2bl w:val="nil"/>
            </w:tcBorders>
            <w:noWrap w:val="0"/>
            <w:vAlign w:val="center"/>
          </w:tcPr>
          <w:p w14:paraId="5BBDB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本项目不涉及生态保护红线，不涉及自然保护区、世界自然遗产地、风景名胜区、自然公园（森林公园、地质公园、湿地公园、沙漠公园等）、重要湿地、饮用水水源保护区。</w:t>
            </w:r>
          </w:p>
        </w:tc>
        <w:tc>
          <w:tcPr>
            <w:tcW w:w="394" w:type="pct"/>
            <w:tcBorders>
              <w:tl2br w:val="nil"/>
              <w:tr2bl w:val="nil"/>
            </w:tcBorders>
            <w:noWrap w:val="0"/>
            <w:vAlign w:val="center"/>
          </w:tcPr>
          <w:p w14:paraId="2A6B4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38EB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429E9A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6B6501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矿产资源开发按照国家及自治区绿色矿山建设规范进行建设，遵循“谁开发、谁保护，谁破坏、谁恢复，谁受益、谁补偿，谁污染、谁付费”的原则，制定矿山生态环境保护与恢复治理方案并严格组织实施。违反国家规定造成生态环境损害的，依法依规开展生态环境损害赔偿工作，依法追究生态环境损害赔偿责任。</w:t>
            </w:r>
          </w:p>
        </w:tc>
        <w:tc>
          <w:tcPr>
            <w:tcW w:w="1580" w:type="pct"/>
            <w:tcBorders>
              <w:tl2br w:val="nil"/>
              <w:tr2bl w:val="nil"/>
            </w:tcBorders>
            <w:noWrap w:val="0"/>
            <w:vAlign w:val="center"/>
          </w:tcPr>
          <w:p w14:paraId="04888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本环评已要求了施工期和封井期的生态环境恢复措施</w:t>
            </w:r>
          </w:p>
        </w:tc>
        <w:tc>
          <w:tcPr>
            <w:tcW w:w="394" w:type="pct"/>
            <w:tcBorders>
              <w:tl2br w:val="nil"/>
              <w:tr2bl w:val="nil"/>
            </w:tcBorders>
            <w:noWrap w:val="0"/>
            <w:vAlign w:val="center"/>
          </w:tcPr>
          <w:p w14:paraId="69D7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1DC6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0A2D4C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251933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6.建设项目用地原则上不得占用基本农田，确需占用的，应符合</w:t>
            </w:r>
            <w:bookmarkStart w:id="312" w:name="OLE_LINK139"/>
            <w:r>
              <w:rPr>
                <w:rFonts w:hint="default" w:ascii="Times New Roman" w:hAnsi="Times New Roman" w:eastAsia="宋体" w:cs="Times New Roman"/>
                <w:color w:val="auto"/>
                <w:kern w:val="2"/>
                <w:sz w:val="21"/>
                <w:szCs w:val="21"/>
                <w:highlight w:val="none"/>
                <w:lang w:val="en-US" w:eastAsia="zh-CN" w:bidi="ar-SA"/>
              </w:rPr>
              <w:t>《基本农田保护条例》</w:t>
            </w:r>
            <w:bookmarkEnd w:id="312"/>
            <w:r>
              <w:rPr>
                <w:rFonts w:hint="default" w:ascii="Times New Roman" w:hAnsi="Times New Roman" w:eastAsia="宋体" w:cs="Times New Roman"/>
                <w:color w:val="auto"/>
                <w:kern w:val="2"/>
                <w:sz w:val="21"/>
                <w:szCs w:val="21"/>
                <w:highlight w:val="none"/>
                <w:lang w:val="en-US" w:eastAsia="zh-CN" w:bidi="ar-SA"/>
              </w:rPr>
              <w:t>相关要求；占用耕地、林地或草地的建设项目应符合国家、自治区有关规定。</w:t>
            </w:r>
          </w:p>
        </w:tc>
        <w:tc>
          <w:tcPr>
            <w:tcW w:w="1580" w:type="pct"/>
            <w:tcBorders>
              <w:tl2br w:val="nil"/>
              <w:tr2bl w:val="nil"/>
            </w:tcBorders>
            <w:noWrap w:val="0"/>
            <w:vAlign w:val="center"/>
          </w:tcPr>
          <w:p w14:paraId="697C1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本项目不占用基本农田，部分管线临时占用林地、草地，按照相关规定办理征地补偿</w:t>
            </w:r>
            <w:r>
              <w:rPr>
                <w:rFonts w:hint="eastAsia" w:ascii="Times New Roman" w:hAnsi="Times New Roman" w:cs="Times New Roman"/>
                <w:color w:val="auto"/>
                <w:sz w:val="21"/>
                <w:szCs w:val="21"/>
                <w:highlight w:val="none"/>
                <w:u w:val="none"/>
                <w:lang w:val="en-US" w:eastAsia="zh-CN"/>
              </w:rPr>
              <w:t>。</w:t>
            </w:r>
          </w:p>
        </w:tc>
        <w:tc>
          <w:tcPr>
            <w:tcW w:w="394" w:type="pct"/>
            <w:tcBorders>
              <w:tl2br w:val="nil"/>
              <w:tr2bl w:val="nil"/>
            </w:tcBorders>
            <w:noWrap w:val="0"/>
            <w:vAlign w:val="center"/>
          </w:tcPr>
          <w:p w14:paraId="539CE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4396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7E808C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648C20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新建、扩建工业项目原则上应布置于依法合规设立、环境保护基础设施完善的产业园区、工业聚集区或规划矿区，并符合相关规划、规划环评及其审查意见要求；法律法规规章和政策另有规定的，从其规定。选址和厂区布置不合理的现有污染企业应根据相关要求，通过“搬迁、转产、停产”等方式限期整改，退城进园。</w:t>
            </w:r>
          </w:p>
        </w:tc>
        <w:tc>
          <w:tcPr>
            <w:tcW w:w="1580" w:type="pct"/>
            <w:tcBorders>
              <w:tl2br w:val="nil"/>
              <w:tr2bl w:val="nil"/>
            </w:tcBorders>
            <w:noWrap w:val="0"/>
            <w:vAlign w:val="center"/>
          </w:tcPr>
          <w:p w14:paraId="5E3B2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本项目符合《中国石油化工股份有限公司西北油田分公司</w:t>
            </w:r>
            <w:r>
              <w:rPr>
                <w:rFonts w:hint="default" w:ascii="Times New Roman" w:hAnsi="Times New Roman" w:eastAsia="宋体" w:cs="Times New Roman"/>
                <w:color w:val="auto"/>
                <w:sz w:val="21"/>
                <w:szCs w:val="21"/>
                <w:highlight w:val="none"/>
                <w:u w:val="none"/>
                <w:lang w:val="en-US" w:eastAsia="zh-CN"/>
              </w:rPr>
              <w:t>“十四五”规划</w:t>
            </w:r>
            <w:r>
              <w:rPr>
                <w:rFonts w:hint="eastAsia" w:cs="Times New Roman"/>
                <w:color w:val="auto"/>
                <w:sz w:val="21"/>
                <w:szCs w:val="21"/>
                <w:highlight w:val="none"/>
                <w:u w:val="none"/>
                <w:lang w:val="en-US" w:eastAsia="zh-CN"/>
              </w:rPr>
              <w:t>》</w:t>
            </w:r>
            <w:r>
              <w:rPr>
                <w:rFonts w:hint="eastAsia" w:ascii="Times New Roman" w:hAnsi="Times New Roman" w:eastAsia="宋体" w:cs="Times New Roman"/>
                <w:color w:val="auto"/>
                <w:sz w:val="21"/>
                <w:szCs w:val="21"/>
                <w:highlight w:val="none"/>
                <w:u w:val="none"/>
                <w:lang w:val="en-US" w:eastAsia="zh-CN"/>
              </w:rPr>
              <w:t>要求</w:t>
            </w:r>
            <w:r>
              <w:rPr>
                <w:rFonts w:hint="eastAsia" w:ascii="Times New Roman" w:hAnsi="Times New Roman" w:cs="Times New Roman"/>
                <w:color w:val="auto"/>
                <w:sz w:val="21"/>
                <w:szCs w:val="21"/>
                <w:highlight w:val="none"/>
                <w:u w:val="none"/>
                <w:lang w:val="en-US" w:eastAsia="zh-CN"/>
              </w:rPr>
              <w:t>。</w:t>
            </w:r>
          </w:p>
        </w:tc>
        <w:tc>
          <w:tcPr>
            <w:tcW w:w="394" w:type="pct"/>
            <w:tcBorders>
              <w:tl2br w:val="nil"/>
              <w:tr2bl w:val="nil"/>
            </w:tcBorders>
            <w:noWrap w:val="0"/>
            <w:vAlign w:val="center"/>
          </w:tcPr>
          <w:p w14:paraId="326E6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3118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6188F5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3E5E34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按照国家和自治区排污许可规定，按期持证排污、按证排污，不得无证排污。新增主要污染物排放总量的建设项目必须落实主要污染物排放总量指标来源和控制要求。石化、煤化工、燃煤发电（含热电）、钢铁、有色金属冶炼等新增主要污染物排放量的建设项目所在区域、流域控制单元环境质量未达到国家或者地方环境质量标准的，建设项目应提出有效的区域削减方案</w:t>
            </w:r>
            <w:r>
              <w:rPr>
                <w:rFonts w:hint="eastAsia" w:ascii="Times New Roman" w:hAnsi="Times New Roman" w:eastAsia="宋体" w:cs="Times New Roman"/>
                <w:color w:val="auto"/>
                <w:kern w:val="2"/>
                <w:sz w:val="21"/>
                <w:szCs w:val="21"/>
                <w:highlight w:val="none"/>
                <w:lang w:val="en-US" w:eastAsia="zh-CN" w:bidi="ar-SA"/>
              </w:rPr>
              <w:t>，对</w:t>
            </w:r>
            <w:r>
              <w:rPr>
                <w:rFonts w:hint="default" w:ascii="Times New Roman" w:hAnsi="Times New Roman" w:eastAsia="宋体" w:cs="Times New Roman"/>
                <w:color w:val="auto"/>
                <w:kern w:val="2"/>
                <w:sz w:val="21"/>
                <w:szCs w:val="21"/>
                <w:highlight w:val="none"/>
                <w:lang w:val="en-US" w:eastAsia="zh-CN" w:bidi="ar-SA"/>
              </w:rPr>
              <w:t>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方案应符合建设项目环境影响评价管理要求，同时符合国家和地方主要污染物排放总量控制要求。涉重金属的新建、改扩建项目其重金属污染物遵循“等量替代”或“减量替代”原则。</w:t>
            </w:r>
          </w:p>
        </w:tc>
        <w:tc>
          <w:tcPr>
            <w:tcW w:w="1580" w:type="pct"/>
            <w:tcBorders>
              <w:tl2br w:val="nil"/>
              <w:tr2bl w:val="nil"/>
            </w:tcBorders>
            <w:noWrap w:val="0"/>
            <w:vAlign w:val="center"/>
          </w:tcPr>
          <w:p w14:paraId="5D291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本项目大气主要污染物为</w:t>
            </w:r>
            <w:r>
              <w:rPr>
                <w:rFonts w:hint="eastAsia" w:ascii="Times New Roman" w:hAnsi="Times New Roman" w:cs="Times New Roman"/>
                <w:color w:val="auto"/>
                <w:sz w:val="21"/>
                <w:szCs w:val="21"/>
                <w:highlight w:val="none"/>
                <w:u w:val="none"/>
                <w:lang w:val="en-US" w:eastAsia="zh-CN"/>
              </w:rPr>
              <w:t>采气、油气集输和处理过程的无组织</w:t>
            </w:r>
            <w:r>
              <w:rPr>
                <w:rFonts w:hint="eastAsia" w:ascii="Times New Roman" w:hAnsi="Times New Roman" w:eastAsia="宋体" w:cs="Times New Roman"/>
                <w:color w:val="auto"/>
                <w:sz w:val="21"/>
                <w:szCs w:val="21"/>
                <w:highlight w:val="none"/>
                <w:u w:val="none"/>
                <w:lang w:val="en-US" w:eastAsia="zh-CN"/>
              </w:rPr>
              <w:t>挥发性有机物</w:t>
            </w:r>
            <w:r>
              <w:rPr>
                <w:rFonts w:hint="eastAsia" w:ascii="Times New Roman" w:hAnsi="Times New Roman" w:cs="Times New Roman"/>
                <w:color w:val="auto"/>
                <w:sz w:val="21"/>
                <w:szCs w:val="21"/>
                <w:highlight w:val="none"/>
                <w:u w:val="none"/>
                <w:lang w:val="en-US" w:eastAsia="zh-CN"/>
              </w:rPr>
              <w:t>，不涉及重金属。</w:t>
            </w:r>
          </w:p>
        </w:tc>
        <w:tc>
          <w:tcPr>
            <w:tcW w:w="394" w:type="pct"/>
            <w:tcBorders>
              <w:tl2br w:val="nil"/>
              <w:tr2bl w:val="nil"/>
            </w:tcBorders>
            <w:noWrap w:val="0"/>
            <w:vAlign w:val="center"/>
          </w:tcPr>
          <w:p w14:paraId="6F9E6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4E83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23C477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511C1F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煤电、石化、化工、钢铁、有色金属冶炼、建材等六个行业建设项目应将碳排放影响评价纳入环境影响评价体系，统筹开展污染物和碳排放的源项识别、源强核算、减污降碳措施可行性论证及方案比选，提出协同控制最优方案。</w:t>
            </w:r>
          </w:p>
        </w:tc>
        <w:tc>
          <w:tcPr>
            <w:tcW w:w="1580" w:type="pct"/>
            <w:tcBorders>
              <w:tl2br w:val="nil"/>
              <w:tr2bl w:val="nil"/>
            </w:tcBorders>
            <w:noWrap w:val="0"/>
            <w:vAlign w:val="center"/>
          </w:tcPr>
          <w:p w14:paraId="40FFD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本项目环评文件已将碳排放影响评价纳入报告。</w:t>
            </w:r>
          </w:p>
        </w:tc>
        <w:tc>
          <w:tcPr>
            <w:tcW w:w="394" w:type="pct"/>
            <w:tcBorders>
              <w:tl2br w:val="nil"/>
              <w:tr2bl w:val="nil"/>
            </w:tcBorders>
            <w:noWrap w:val="0"/>
            <w:vAlign w:val="center"/>
          </w:tcPr>
          <w:p w14:paraId="1218E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2AE2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0E93AD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73B351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存在地下水和土壤污染途径的建设项目应采取分区防渗措施，防止地下水和土壤污染。存在环境风险的建设项目，提出有效的环境风险防范措施及环境风险应急预案编制原则和要求，纳入区域环境风险应急联动机制。各类开发区、工业园区和工业聚集区应编制环境风险应急预案，并具备环境风险应急处置能力。未通过认定或不属于一般或较低安全风险的化工园区，不得新建、改扩建危险化学品生产项目（安全、环保、节能和智能化改造和</w:t>
            </w:r>
            <w:r>
              <w:rPr>
                <w:rFonts w:hint="eastAsia" w:cs="Times New Roman"/>
                <w:color w:val="auto"/>
                <w:kern w:val="2"/>
                <w:sz w:val="21"/>
                <w:szCs w:val="21"/>
                <w:highlight w:val="none"/>
                <w:lang w:val="en-US" w:eastAsia="zh-CN" w:bidi="ar-SA"/>
              </w:rPr>
              <w:t>与其他</w:t>
            </w:r>
            <w:r>
              <w:rPr>
                <w:rFonts w:hint="default" w:ascii="Times New Roman" w:hAnsi="Times New Roman" w:eastAsia="宋体" w:cs="Times New Roman"/>
                <w:color w:val="auto"/>
                <w:kern w:val="2"/>
                <w:sz w:val="21"/>
                <w:szCs w:val="21"/>
                <w:highlight w:val="none"/>
                <w:lang w:val="en-US" w:eastAsia="zh-CN" w:bidi="ar-SA"/>
              </w:rPr>
              <w:t>行业生产装置配套建设项目，太阳能、风能等可再生能源电解水制氢项目除外），引导其他石化化工项目在化工园区发展。地方政府要依法依规妥善做好未通过认定化工园区的整改或关闭，以及园区内企业的监管及处置工作。涉及《重点管控新污染物清单》《优先控制化学品名录》所列新污染物（化学物质）生产、加工使用、进出口的建设项目，应当按照国家有关规定采取禁止、限制、限排等环境风险管控措施，对于二噁英、六氯丁二烯、二氯甲烷、三氯甲烷、抗生素等已纳入排放标准的新污染物（化学物质）应进行充分论证和评价，并提出可靠的污染防治措施，确保排放满足相关标准要求，环境影响可接受。</w:t>
            </w:r>
          </w:p>
        </w:tc>
        <w:tc>
          <w:tcPr>
            <w:tcW w:w="1580" w:type="pct"/>
            <w:tcBorders>
              <w:tl2br w:val="nil"/>
              <w:tr2bl w:val="nil"/>
            </w:tcBorders>
            <w:noWrap w:val="0"/>
            <w:vAlign w:val="center"/>
          </w:tcPr>
          <w:p w14:paraId="18B9A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w:t>
            </w:r>
            <w:r>
              <w:rPr>
                <w:rFonts w:hint="eastAsia" w:ascii="Times New Roman" w:hAnsi="Times New Roman" w:eastAsia="宋体" w:cs="Times New Roman"/>
                <w:color w:val="auto"/>
                <w:sz w:val="21"/>
                <w:szCs w:val="21"/>
                <w:highlight w:val="none"/>
                <w:u w:val="none"/>
                <w:lang w:val="en-US" w:eastAsia="zh-CN"/>
              </w:rPr>
              <w:t>项目</w:t>
            </w:r>
            <w:r>
              <w:rPr>
                <w:rFonts w:hint="default" w:ascii="Times New Roman" w:hAnsi="Times New Roman" w:eastAsia="宋体" w:cs="Times New Roman"/>
                <w:color w:val="auto"/>
                <w:sz w:val="21"/>
                <w:szCs w:val="21"/>
                <w:highlight w:val="none"/>
                <w:u w:val="none"/>
                <w:lang w:val="en-US" w:eastAsia="zh-CN"/>
              </w:rPr>
              <w:t>评价了项目施工期</w:t>
            </w:r>
            <w:r>
              <w:rPr>
                <w:rFonts w:hint="eastAsia" w:ascii="Times New Roman" w:hAnsi="Times New Roman" w:eastAsia="宋体" w:cs="Times New Roman"/>
                <w:color w:val="auto"/>
                <w:sz w:val="21"/>
                <w:szCs w:val="21"/>
                <w:highlight w:val="none"/>
                <w:u w:val="none"/>
                <w:lang w:val="en-US" w:eastAsia="zh-CN"/>
              </w:rPr>
              <w:t>和运营期</w:t>
            </w:r>
            <w:r>
              <w:rPr>
                <w:rFonts w:hint="default" w:ascii="Times New Roman" w:hAnsi="Times New Roman" w:eastAsia="宋体" w:cs="Times New Roman"/>
                <w:color w:val="auto"/>
                <w:sz w:val="21"/>
                <w:szCs w:val="21"/>
                <w:highlight w:val="none"/>
                <w:u w:val="none"/>
                <w:lang w:val="en-US" w:eastAsia="zh-CN"/>
              </w:rPr>
              <w:t>带来的环境影响和环境风险，提出了有效的生态环境保护和环境风险防范措施；对依托的污水处理设施、固废处理设施等均论证了依托可行性和有效性，项目依托处置可行</w:t>
            </w:r>
            <w:r>
              <w:rPr>
                <w:rFonts w:hint="eastAsia" w:ascii="Times New Roman" w:hAnsi="Times New Roman" w:eastAsia="宋体" w:cs="Times New Roman"/>
                <w:color w:val="auto"/>
                <w:sz w:val="21"/>
                <w:szCs w:val="21"/>
                <w:highlight w:val="none"/>
                <w:u w:val="none"/>
                <w:lang w:val="en-US" w:eastAsia="zh-CN"/>
              </w:rPr>
              <w:t>。</w:t>
            </w:r>
          </w:p>
        </w:tc>
        <w:tc>
          <w:tcPr>
            <w:tcW w:w="394" w:type="pct"/>
            <w:tcBorders>
              <w:tl2br w:val="nil"/>
              <w:tr2bl w:val="nil"/>
            </w:tcBorders>
            <w:noWrap w:val="0"/>
            <w:vAlign w:val="center"/>
          </w:tcPr>
          <w:p w14:paraId="53A3A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6E15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499BAF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4F17A6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11.企业排污车间或工段与环境敏感区距离应满足国家、地方规定或环境影响评价文件提出的大气环境防护距离要求，环境防护距离范围内不应有居民区、学校、医院等环境敏感目标。</w:t>
            </w:r>
          </w:p>
        </w:tc>
        <w:tc>
          <w:tcPr>
            <w:tcW w:w="1580" w:type="pct"/>
            <w:tcBorders>
              <w:tl2br w:val="nil"/>
              <w:tr2bl w:val="nil"/>
            </w:tcBorders>
            <w:noWrap w:val="0"/>
            <w:vAlign w:val="center"/>
          </w:tcPr>
          <w:p w14:paraId="5F566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本项目评价范围内无居民区、学校、医院等敏感目标</w:t>
            </w:r>
          </w:p>
        </w:tc>
        <w:tc>
          <w:tcPr>
            <w:tcW w:w="394" w:type="pct"/>
            <w:tcBorders>
              <w:tl2br w:val="nil"/>
              <w:tr2bl w:val="nil"/>
            </w:tcBorders>
            <w:noWrap w:val="0"/>
            <w:vAlign w:val="center"/>
          </w:tcPr>
          <w:p w14:paraId="1F8AF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3A48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3FCD85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1457F8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根据《固体废物鉴别标准通则》（GB34330）《建设项目危险废物环境影响评价指南》，对建设项目产生的所有副产物，应依据产生来源、利用和处置过程鉴别该副产物是否属于固体废物，作为固体废物管理的副产物应按照《国家危险废物名录》《危险废物鉴别标准通则》（GB5085.7）等进行危险废物属性判定或鉴别。环评阶段不具备开展危险特性鉴别条件的可能含有危险特性的固体废物，应明确疑似危险废物的名称、种类、可能的有害成分，并明确暂按危险废物从严管理，并要求在该类固体废物产生后开展危险特性鉴别。建设单位应持续提高资源产出率，大宗工业固体废物综合利用率应达到国家及自治区有关要求。</w:t>
            </w:r>
          </w:p>
        </w:tc>
        <w:tc>
          <w:tcPr>
            <w:tcW w:w="1580" w:type="pct"/>
            <w:tcBorders>
              <w:tl2br w:val="nil"/>
              <w:tr2bl w:val="nil"/>
            </w:tcBorders>
            <w:noWrap w:val="0"/>
            <w:vAlign w:val="center"/>
          </w:tcPr>
          <w:p w14:paraId="75824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本项目危险废物委托</w:t>
            </w:r>
            <w:r>
              <w:rPr>
                <w:rFonts w:hint="default" w:ascii="Times New Roman" w:hAnsi="Times New Roman" w:eastAsia="宋体" w:cs="Times New Roman"/>
                <w:color w:val="auto"/>
                <w:sz w:val="21"/>
                <w:szCs w:val="21"/>
                <w:highlight w:val="none"/>
                <w:u w:val="none"/>
                <w:lang w:val="en-US" w:eastAsia="zh-CN"/>
              </w:rPr>
              <w:t>有</w:t>
            </w:r>
            <w:r>
              <w:rPr>
                <w:rFonts w:hint="eastAsia" w:ascii="Times New Roman" w:hAnsi="Times New Roman" w:eastAsia="宋体" w:cs="Times New Roman"/>
                <w:color w:val="auto"/>
                <w:sz w:val="21"/>
                <w:szCs w:val="21"/>
                <w:highlight w:val="none"/>
                <w:u w:val="none"/>
                <w:lang w:val="en-US" w:eastAsia="zh-CN"/>
              </w:rPr>
              <w:t>危废</w:t>
            </w:r>
            <w:r>
              <w:rPr>
                <w:rFonts w:hint="default" w:ascii="Times New Roman" w:hAnsi="Times New Roman" w:eastAsia="宋体" w:cs="Times New Roman"/>
                <w:color w:val="auto"/>
                <w:sz w:val="21"/>
                <w:szCs w:val="21"/>
                <w:highlight w:val="none"/>
                <w:u w:val="none"/>
                <w:lang w:val="en-US" w:eastAsia="zh-CN"/>
              </w:rPr>
              <w:t>处理资质的单位接收妥善处置</w:t>
            </w:r>
            <w:r>
              <w:rPr>
                <w:rFonts w:hint="eastAsia" w:ascii="Times New Roman" w:hAnsi="Times New Roman" w:eastAsia="宋体" w:cs="Times New Roman"/>
                <w:color w:val="auto"/>
                <w:sz w:val="21"/>
                <w:szCs w:val="21"/>
                <w:highlight w:val="none"/>
                <w:u w:val="none"/>
                <w:lang w:val="en-US" w:eastAsia="zh-CN"/>
              </w:rPr>
              <w:t>。</w:t>
            </w:r>
          </w:p>
        </w:tc>
        <w:tc>
          <w:tcPr>
            <w:tcW w:w="394" w:type="pct"/>
            <w:tcBorders>
              <w:tl2br w:val="nil"/>
              <w:tr2bl w:val="nil"/>
            </w:tcBorders>
            <w:noWrap w:val="0"/>
            <w:vAlign w:val="center"/>
          </w:tcPr>
          <w:p w14:paraId="09B3A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7234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22E4C2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24B7EE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13.磷酸盐采选和直接以磷酸盐矿为原料的加工项目，煤炭开采、选矿项目，锆及氧化锆、铌/钽、锡、铝、铅/锌、铜、钒、钼、镍、锗、钛、金等采、选、冶建设项目应符合《关于发布</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矿产资源开发利用辐射环境监督管理名录</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的公告》和《伴生放射性矿产资源开发利用企业环境辐射监测及信息公开管理办法</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试行</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》的</w:t>
            </w:r>
            <w:r>
              <w:rPr>
                <w:rFonts w:hint="default" w:ascii="Times New Roman" w:hAnsi="Times New Roman" w:eastAsia="宋体" w:cs="Times New Roman"/>
                <w:color w:val="auto"/>
                <w:kern w:val="2"/>
                <w:sz w:val="21"/>
                <w:szCs w:val="21"/>
                <w:highlight w:val="none"/>
                <w:lang w:val="en-US" w:eastAsia="zh-CN" w:bidi="ar-SA"/>
              </w:rPr>
              <w:t>要求。</w:t>
            </w:r>
          </w:p>
        </w:tc>
        <w:tc>
          <w:tcPr>
            <w:tcW w:w="1580" w:type="pct"/>
            <w:tcBorders>
              <w:tl2br w:val="nil"/>
              <w:tr2bl w:val="nil"/>
            </w:tcBorders>
            <w:noWrap w:val="0"/>
            <w:vAlign w:val="center"/>
          </w:tcPr>
          <w:p w14:paraId="19A86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本项目不涉及。</w:t>
            </w:r>
          </w:p>
        </w:tc>
        <w:tc>
          <w:tcPr>
            <w:tcW w:w="394" w:type="pct"/>
            <w:tcBorders>
              <w:tl2br w:val="nil"/>
              <w:tr2bl w:val="nil"/>
            </w:tcBorders>
            <w:noWrap w:val="0"/>
            <w:vAlign w:val="center"/>
          </w:tcPr>
          <w:p w14:paraId="4BF1D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6E2D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7358D0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4B8D00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建设项目清洁生产水平应达到国家清洁生产标准的国际先进、国内领先水平或满足清洁生产评价指标体系中的清洁生产企业要求。无国家清洁生产标准和清洁生产评价指标体系的建设项目，其生产工艺与装备要求、资源能源利用指标、污染物产生指标、废物回收利用指标、环境管理要求等各项指标水平应达到国内同行业现有企业先进水平。</w:t>
            </w:r>
          </w:p>
        </w:tc>
        <w:tc>
          <w:tcPr>
            <w:tcW w:w="1580" w:type="pct"/>
            <w:tcBorders>
              <w:tl2br w:val="nil"/>
              <w:tr2bl w:val="nil"/>
            </w:tcBorders>
            <w:noWrap w:val="0"/>
            <w:vAlign w:val="center"/>
          </w:tcPr>
          <w:p w14:paraId="3CBF7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报告已分析本项目清洁生产水平为国内先进。</w:t>
            </w:r>
          </w:p>
        </w:tc>
        <w:tc>
          <w:tcPr>
            <w:tcW w:w="394" w:type="pct"/>
            <w:tcBorders>
              <w:tl2br w:val="nil"/>
              <w:tr2bl w:val="nil"/>
            </w:tcBorders>
            <w:noWrap w:val="0"/>
            <w:vAlign w:val="center"/>
          </w:tcPr>
          <w:p w14:paraId="21765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2F42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31E18B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4F3B29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鼓励合理利用资源、能源。尽可能采用清洁能源，生产过程中产生的余热、余气、余压应合理利用。采用天然气作原料的应符合天然气利用政策，高污染燃料的使用应符合本通则及其他相关政策要求。按照“清污分流、一水多用、循环使用”的原则，加强节水和统筹用水的管理。鼓励矿井水、中水利用，严格限制使用地下水，最大限度提高水的复用率，减少外排量或实现零排放。</w:t>
            </w:r>
          </w:p>
        </w:tc>
        <w:tc>
          <w:tcPr>
            <w:tcW w:w="1580" w:type="pct"/>
            <w:tcBorders>
              <w:tl2br w:val="nil"/>
              <w:tr2bl w:val="nil"/>
            </w:tcBorders>
            <w:noWrap w:val="0"/>
            <w:vAlign w:val="center"/>
          </w:tcPr>
          <w:p w14:paraId="260B7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本工程运营期侧钻井场不新建加热炉，利旧加热炉采用天然气为燃料</w:t>
            </w:r>
            <w:r>
              <w:rPr>
                <w:rFonts w:hint="default" w:ascii="Times New Roman" w:hAnsi="Times New Roman" w:eastAsia="宋体" w:cs="Times New Roman"/>
                <w:color w:val="auto"/>
                <w:sz w:val="21"/>
                <w:szCs w:val="21"/>
                <w:highlight w:val="none"/>
                <w:u w:val="none"/>
                <w:lang w:val="en-US" w:eastAsia="zh-CN"/>
              </w:rPr>
              <w:t>。</w:t>
            </w:r>
          </w:p>
        </w:tc>
        <w:tc>
          <w:tcPr>
            <w:tcW w:w="394" w:type="pct"/>
            <w:tcBorders>
              <w:tl2br w:val="nil"/>
              <w:tr2bl w:val="nil"/>
            </w:tcBorders>
            <w:noWrap w:val="0"/>
            <w:vAlign w:val="center"/>
          </w:tcPr>
          <w:p w14:paraId="2A7F7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14:paraId="0F1B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0F88F4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770CDB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16.改建、扩建项目，应对现有工程的环境保护措施及效果进行全面梳理评估，针对项目原有环境污染和生态破坏提出有效防治措施并纳入竣工环保验收。</w:t>
            </w:r>
          </w:p>
        </w:tc>
        <w:tc>
          <w:tcPr>
            <w:tcW w:w="1580" w:type="pct"/>
            <w:tcBorders>
              <w:tl2br w:val="nil"/>
              <w:tr2bl w:val="nil"/>
            </w:tcBorders>
            <w:noWrap w:val="0"/>
            <w:vAlign w:val="center"/>
          </w:tcPr>
          <w:p w14:paraId="2B1BE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本项目为滚动开发项目，已对区块环境问题进行梳理，并提出“以新代老”措施</w:t>
            </w:r>
          </w:p>
        </w:tc>
        <w:tc>
          <w:tcPr>
            <w:tcW w:w="394" w:type="pct"/>
            <w:tcBorders>
              <w:tl2br w:val="nil"/>
              <w:tr2bl w:val="nil"/>
            </w:tcBorders>
            <w:noWrap w:val="0"/>
            <w:vAlign w:val="center"/>
          </w:tcPr>
          <w:p w14:paraId="522D3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0EEB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25F32E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7E200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17.落实国家及自治区深入打好污染防治攻坚战和各环境要素污染防治行动计划要求。</w:t>
            </w:r>
          </w:p>
        </w:tc>
        <w:tc>
          <w:tcPr>
            <w:tcW w:w="1580" w:type="pct"/>
            <w:tcBorders>
              <w:tl2br w:val="nil"/>
              <w:tr2bl w:val="nil"/>
            </w:tcBorders>
            <w:noWrap w:val="0"/>
            <w:vAlign w:val="center"/>
          </w:tcPr>
          <w:p w14:paraId="6BC45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本项目已落实国家及自治区污染防治要求</w:t>
            </w:r>
          </w:p>
        </w:tc>
        <w:tc>
          <w:tcPr>
            <w:tcW w:w="394" w:type="pct"/>
            <w:tcBorders>
              <w:tl2br w:val="nil"/>
              <w:tr2bl w:val="nil"/>
            </w:tcBorders>
            <w:noWrap w:val="0"/>
            <w:vAlign w:val="center"/>
          </w:tcPr>
          <w:p w14:paraId="21155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7B77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7C7038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0089B7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18.享有国家及自治区特殊差别化政策的地区及建设项目按照差别化政策执行。</w:t>
            </w:r>
          </w:p>
        </w:tc>
        <w:tc>
          <w:tcPr>
            <w:tcW w:w="1580" w:type="pct"/>
            <w:tcBorders>
              <w:tl2br w:val="nil"/>
              <w:tr2bl w:val="nil"/>
            </w:tcBorders>
            <w:noWrap w:val="0"/>
            <w:vAlign w:val="center"/>
          </w:tcPr>
          <w:p w14:paraId="57D74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本项目位于阿克苏地区库车市，属于大气环境差别化政策地区，按照政策执行。</w:t>
            </w:r>
          </w:p>
        </w:tc>
        <w:tc>
          <w:tcPr>
            <w:tcW w:w="394" w:type="pct"/>
            <w:tcBorders>
              <w:tl2br w:val="nil"/>
              <w:tr2bl w:val="nil"/>
            </w:tcBorders>
            <w:noWrap w:val="0"/>
            <w:vAlign w:val="center"/>
          </w:tcPr>
          <w:p w14:paraId="78CA1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2548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restart"/>
            <w:tcBorders>
              <w:tl2br w:val="nil"/>
              <w:tr2bl w:val="nil"/>
            </w:tcBorders>
            <w:noWrap w:val="0"/>
            <w:vAlign w:val="center"/>
          </w:tcPr>
          <w:p w14:paraId="29C432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陆地石油天然气开发行业</w:t>
            </w:r>
            <w:r>
              <w:rPr>
                <w:rFonts w:hint="eastAsia" w:ascii="Times New Roman" w:hAnsi="Times New Roman" w:eastAsia="宋体" w:cs="Times New Roman"/>
                <w:color w:val="auto"/>
                <w:sz w:val="21"/>
                <w:szCs w:val="21"/>
                <w:highlight w:val="none"/>
                <w:u w:val="none"/>
                <w:lang w:val="en-US" w:eastAsia="zh-CN"/>
              </w:rPr>
              <w:t>生态环境准入要求</w:t>
            </w:r>
          </w:p>
        </w:tc>
        <w:tc>
          <w:tcPr>
            <w:tcW w:w="2603" w:type="pct"/>
            <w:tcBorders>
              <w:tl2br w:val="nil"/>
              <w:tr2bl w:val="nil"/>
            </w:tcBorders>
            <w:noWrap w:val="0"/>
            <w:vAlign w:val="center"/>
          </w:tcPr>
          <w:p w14:paraId="3E48CE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bookmarkStart w:id="313" w:name="_Toc24969"/>
            <w:bookmarkStart w:id="314" w:name="_Toc44"/>
            <w:bookmarkStart w:id="315" w:name="_Toc27849"/>
            <w:bookmarkStart w:id="316" w:name="_Toc10952"/>
            <w:r>
              <w:rPr>
                <w:rFonts w:hint="default" w:ascii="Times New Roman" w:hAnsi="Times New Roman" w:eastAsia="宋体" w:cs="Times New Roman"/>
                <w:color w:val="auto"/>
                <w:kern w:val="2"/>
                <w:sz w:val="21"/>
                <w:szCs w:val="21"/>
                <w:highlight w:val="none"/>
                <w:lang w:val="en-US" w:eastAsia="zh-CN" w:bidi="ar-SA"/>
              </w:rPr>
              <w:t>（一）适用范围</w:t>
            </w:r>
            <w:bookmarkEnd w:id="313"/>
            <w:bookmarkEnd w:id="314"/>
            <w:bookmarkEnd w:id="315"/>
            <w:bookmarkEnd w:id="316"/>
          </w:p>
          <w:p w14:paraId="500EC9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适用于自治区行政区域内新、改、扩建陆地石油天然气开发项目相关环境管理活动。包括石油、天然气、页岩油、页岩气的勘探、开采、油气集输与处</w:t>
            </w:r>
            <w:bookmarkStart w:id="317" w:name="_Toc163555377"/>
            <w:r>
              <w:rPr>
                <w:rFonts w:hint="default" w:ascii="Times New Roman" w:hAnsi="Times New Roman" w:eastAsia="宋体" w:cs="Times New Roman"/>
                <w:color w:val="auto"/>
                <w:kern w:val="2"/>
                <w:sz w:val="21"/>
                <w:szCs w:val="21"/>
                <w:highlight w:val="none"/>
                <w:lang w:val="en-US" w:eastAsia="zh-CN" w:bidi="ar-SA"/>
              </w:rPr>
              <w:t>理等作业或过程。</w:t>
            </w:r>
            <w:bookmarkEnd w:id="317"/>
          </w:p>
        </w:tc>
        <w:tc>
          <w:tcPr>
            <w:tcW w:w="1580" w:type="pct"/>
            <w:tcBorders>
              <w:tl2br w:val="nil"/>
              <w:tr2bl w:val="nil"/>
            </w:tcBorders>
            <w:noWrap w:val="0"/>
            <w:vAlign w:val="center"/>
          </w:tcPr>
          <w:p w14:paraId="5B446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本项目为陆上石油天然气的开采、集输。</w:t>
            </w:r>
          </w:p>
        </w:tc>
        <w:tc>
          <w:tcPr>
            <w:tcW w:w="394" w:type="pct"/>
            <w:tcBorders>
              <w:tl2br w:val="nil"/>
              <w:tr2bl w:val="nil"/>
            </w:tcBorders>
            <w:noWrap w:val="0"/>
            <w:vAlign w:val="center"/>
          </w:tcPr>
          <w:p w14:paraId="55A4D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6357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62334E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3E9D1D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bookmarkStart w:id="318" w:name="_Toc21171"/>
            <w:bookmarkStart w:id="319" w:name="_Toc22329"/>
            <w:bookmarkStart w:id="320" w:name="_Toc16338"/>
            <w:bookmarkStart w:id="321" w:name="_Toc1966"/>
            <w:r>
              <w:rPr>
                <w:rFonts w:hint="default" w:ascii="Times New Roman" w:hAnsi="Times New Roman" w:eastAsia="宋体" w:cs="Times New Roman"/>
                <w:color w:val="auto"/>
                <w:kern w:val="2"/>
                <w:sz w:val="21"/>
                <w:szCs w:val="21"/>
                <w:highlight w:val="none"/>
                <w:lang w:val="en-US" w:eastAsia="zh-CN" w:bidi="ar-SA"/>
              </w:rPr>
              <w:t>（二）选址与空间布局</w:t>
            </w:r>
            <w:bookmarkEnd w:id="318"/>
            <w:bookmarkEnd w:id="319"/>
            <w:bookmarkEnd w:id="320"/>
            <w:bookmarkEnd w:id="321"/>
          </w:p>
          <w:p w14:paraId="0C73E1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1.石油、天然气开发项目的选址与布局应符合自治区或油气企业相关油气开发专项规划及规划环评要求，原则上应当以区块为单位开展环境影响评价工作。</w:t>
            </w:r>
          </w:p>
        </w:tc>
        <w:tc>
          <w:tcPr>
            <w:tcW w:w="1580" w:type="pct"/>
            <w:tcBorders>
              <w:tl2br w:val="nil"/>
              <w:tr2bl w:val="nil"/>
            </w:tcBorders>
            <w:noWrap w:val="0"/>
            <w:vAlign w:val="center"/>
          </w:tcPr>
          <w:p w14:paraId="0FFD0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w:t>
            </w:r>
            <w:r>
              <w:rPr>
                <w:rFonts w:hint="eastAsia" w:ascii="Times New Roman" w:hAnsi="Times New Roman" w:eastAsia="宋体" w:cs="Times New Roman"/>
                <w:color w:val="auto"/>
                <w:sz w:val="21"/>
                <w:szCs w:val="21"/>
                <w:highlight w:val="none"/>
                <w:u w:val="none"/>
                <w:lang w:val="en-US" w:eastAsia="zh-CN"/>
              </w:rPr>
              <w:t>项目以塔河油田8区、10区为单位开展环评工作</w:t>
            </w:r>
            <w:r>
              <w:rPr>
                <w:rFonts w:hint="default" w:ascii="Times New Roman" w:hAnsi="Times New Roman" w:eastAsia="宋体" w:cs="Times New Roman"/>
                <w:color w:val="auto"/>
                <w:sz w:val="21"/>
                <w:szCs w:val="21"/>
                <w:highlight w:val="none"/>
                <w:u w:val="none"/>
                <w:lang w:val="en-US" w:eastAsia="zh-CN"/>
              </w:rPr>
              <w:t>。</w:t>
            </w:r>
          </w:p>
        </w:tc>
        <w:tc>
          <w:tcPr>
            <w:tcW w:w="394" w:type="pct"/>
            <w:tcBorders>
              <w:tl2br w:val="nil"/>
              <w:tr2bl w:val="nil"/>
            </w:tcBorders>
            <w:noWrap w:val="0"/>
            <w:vAlign w:val="center"/>
          </w:tcPr>
          <w:p w14:paraId="04FA2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42A0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6E0666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2E76AC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2.在符合产业政策、满足区域生态环境空气质量改善和污染物总量控制要求的前提下，经环境影响比选论证后，适宜在矿区开展的页岩油、页岩气开采、加工一体化项目可在矿区内就地选址。</w:t>
            </w:r>
          </w:p>
        </w:tc>
        <w:tc>
          <w:tcPr>
            <w:tcW w:w="1580" w:type="pct"/>
            <w:tcBorders>
              <w:tl2br w:val="nil"/>
              <w:tr2bl w:val="nil"/>
            </w:tcBorders>
            <w:noWrap w:val="0"/>
            <w:vAlign w:val="center"/>
          </w:tcPr>
          <w:p w14:paraId="1F0C7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本项目属于陆上石油天然气开采，厂址位于西北油田分公司塔河油田探矿区范围内。</w:t>
            </w:r>
          </w:p>
        </w:tc>
        <w:tc>
          <w:tcPr>
            <w:tcW w:w="394" w:type="pct"/>
            <w:tcBorders>
              <w:tl2br w:val="nil"/>
              <w:tr2bl w:val="nil"/>
            </w:tcBorders>
            <w:noWrap w:val="0"/>
            <w:vAlign w:val="center"/>
          </w:tcPr>
          <w:p w14:paraId="47632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79B0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5A206B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1FBB9C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bookmarkStart w:id="322" w:name="_Toc163555378"/>
            <w:r>
              <w:rPr>
                <w:rFonts w:hint="default" w:ascii="Times New Roman" w:hAnsi="Times New Roman" w:eastAsia="宋体" w:cs="Times New Roman"/>
                <w:color w:val="auto"/>
                <w:kern w:val="2"/>
                <w:sz w:val="21"/>
                <w:szCs w:val="21"/>
                <w:highlight w:val="none"/>
                <w:lang w:val="en-US" w:eastAsia="zh-CN" w:bidi="ar-SA"/>
              </w:rPr>
              <w:t>3.涉及自然保护地的石油天然气勘探、开发项目按照国家和自治区有关油气安全保障政策要求执行。</w:t>
            </w:r>
            <w:bookmarkEnd w:id="322"/>
          </w:p>
        </w:tc>
        <w:tc>
          <w:tcPr>
            <w:tcW w:w="1580" w:type="pct"/>
            <w:tcBorders>
              <w:tl2br w:val="nil"/>
              <w:tr2bl w:val="nil"/>
            </w:tcBorders>
            <w:noWrap w:val="0"/>
            <w:vAlign w:val="center"/>
          </w:tcPr>
          <w:p w14:paraId="68372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本项目不涉及自然保护地。</w:t>
            </w:r>
          </w:p>
        </w:tc>
        <w:tc>
          <w:tcPr>
            <w:tcW w:w="394" w:type="pct"/>
            <w:tcBorders>
              <w:tl2br w:val="nil"/>
              <w:tr2bl w:val="nil"/>
            </w:tcBorders>
            <w:noWrap w:val="0"/>
            <w:vAlign w:val="center"/>
          </w:tcPr>
          <w:p w14:paraId="00797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261D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51CD2E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39FD20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bookmarkStart w:id="323" w:name="_Toc27218"/>
            <w:bookmarkStart w:id="324" w:name="_Toc4741"/>
            <w:bookmarkStart w:id="325" w:name="_Toc30214"/>
            <w:bookmarkStart w:id="326" w:name="_Toc5692"/>
            <w:r>
              <w:rPr>
                <w:rFonts w:hint="default" w:ascii="Times New Roman" w:hAnsi="Times New Roman" w:eastAsia="宋体" w:cs="Times New Roman"/>
                <w:color w:val="auto"/>
                <w:kern w:val="2"/>
                <w:sz w:val="21"/>
                <w:szCs w:val="21"/>
                <w:highlight w:val="none"/>
                <w:lang w:val="en-US" w:eastAsia="zh-CN" w:bidi="ar-SA"/>
              </w:rPr>
              <w:t>（三）污染防治与环境影响</w:t>
            </w:r>
            <w:bookmarkEnd w:id="323"/>
            <w:bookmarkEnd w:id="324"/>
            <w:bookmarkEnd w:id="325"/>
            <w:bookmarkEnd w:id="326"/>
          </w:p>
          <w:p w14:paraId="7C8B9F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1.施工期应当尽量减少施工占地、严格控制施工作业面积、缩短施工时间、选择合理施工方式、落实环境敏感区管控要求以及其他生态环境保护措施，有效降低生态环境影响。</w:t>
            </w:r>
          </w:p>
        </w:tc>
        <w:tc>
          <w:tcPr>
            <w:tcW w:w="1580" w:type="pct"/>
            <w:tcBorders>
              <w:tl2br w:val="nil"/>
              <w:tr2bl w:val="nil"/>
            </w:tcBorders>
            <w:noWrap w:val="0"/>
            <w:vAlign w:val="center"/>
          </w:tcPr>
          <w:p w14:paraId="2273A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施工期严格按照既定方案施工，合理制定施工方案，加强施工管理，严禁施工人员和机械在施工范围外作业</w:t>
            </w:r>
            <w:r>
              <w:rPr>
                <w:rFonts w:hint="eastAsia" w:ascii="Times New Roman" w:hAnsi="Times New Roman" w:eastAsia="宋体" w:cs="Times New Roman"/>
                <w:color w:val="auto"/>
                <w:sz w:val="21"/>
                <w:szCs w:val="21"/>
                <w:highlight w:val="none"/>
                <w:u w:val="none"/>
                <w:lang w:val="en-US" w:eastAsia="zh-CN"/>
              </w:rPr>
              <w:t>。</w:t>
            </w:r>
          </w:p>
        </w:tc>
        <w:tc>
          <w:tcPr>
            <w:tcW w:w="394" w:type="pct"/>
            <w:tcBorders>
              <w:tl2br w:val="nil"/>
              <w:tr2bl w:val="nil"/>
            </w:tcBorders>
            <w:noWrap w:val="0"/>
            <w:vAlign w:val="center"/>
          </w:tcPr>
          <w:p w14:paraId="0B938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6EE5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0B60F3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7294E4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w:t>
            </w:r>
            <w:bookmarkStart w:id="327" w:name="OLE_LINK143"/>
            <w:r>
              <w:rPr>
                <w:rFonts w:hint="default" w:ascii="Times New Roman" w:hAnsi="Times New Roman" w:eastAsia="宋体" w:cs="Times New Roman"/>
                <w:color w:val="auto"/>
                <w:kern w:val="2"/>
                <w:sz w:val="21"/>
                <w:szCs w:val="21"/>
                <w:highlight w:val="none"/>
                <w:lang w:val="en-US" w:eastAsia="zh-CN" w:bidi="ar-SA"/>
              </w:rPr>
              <w:t>非甲烷总烃排放浓度应满足《陆上石油天然气开采工业大气污染物排放标准》</w:t>
            </w:r>
            <w:bookmarkEnd w:id="327"/>
            <w:bookmarkStart w:id="328" w:name="OLE_LINK144"/>
            <w:r>
              <w:rPr>
                <w:rFonts w:hint="default" w:ascii="Times New Roman" w:hAnsi="Times New Roman" w:eastAsia="宋体" w:cs="Times New Roman"/>
                <w:color w:val="auto"/>
                <w:kern w:val="2"/>
                <w:sz w:val="21"/>
                <w:szCs w:val="21"/>
                <w:highlight w:val="none"/>
                <w:lang w:val="en-US" w:eastAsia="zh-CN" w:bidi="ar-SA"/>
              </w:rPr>
              <w:t>（GB39728）要求</w:t>
            </w:r>
            <w:bookmarkEnd w:id="328"/>
            <w:r>
              <w:rPr>
                <w:rFonts w:hint="default" w:ascii="Times New Roman" w:hAnsi="Times New Roman" w:eastAsia="宋体" w:cs="Times New Roman"/>
                <w:color w:val="auto"/>
                <w:kern w:val="2"/>
                <w:sz w:val="21"/>
                <w:szCs w:val="21"/>
                <w:highlight w:val="none"/>
                <w:lang w:val="en-US" w:eastAsia="zh-CN" w:bidi="ar-SA"/>
              </w:rPr>
              <w:t>。锅炉、加热炉、压缩机等装置应优先使用清洁燃料或能源，燃煤燃气锅炉、加热炉废气排放应达到《锅炉大气污染物排放标准》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GB13271）要求，有地方标准的按地方标准执行。涉及高含硫天然气开采的，应当强化钻井、输送、净化等环节环境风险防范措施。高含硫气田回注采出水，应当采取有效措施减少废水处理站和回注井场硫化氢的无组织排放。高含硫天然气净化厂应采用先进高效的硫磺回收工艺，减少二氧化硫排放。</w:t>
            </w:r>
          </w:p>
        </w:tc>
        <w:tc>
          <w:tcPr>
            <w:tcW w:w="1580" w:type="pct"/>
            <w:tcBorders>
              <w:tl2br w:val="nil"/>
              <w:tr2bl w:val="nil"/>
            </w:tcBorders>
            <w:noWrap w:val="0"/>
            <w:vAlign w:val="center"/>
          </w:tcPr>
          <w:p w14:paraId="64DBC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eastAsia="宋体"/>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本工程</w:t>
            </w:r>
            <w:r>
              <w:rPr>
                <w:rFonts w:hint="default" w:ascii="Times New Roman" w:hAnsi="Times New Roman" w:cs="Times New Roman"/>
                <w:color w:val="auto"/>
                <w:kern w:val="2"/>
                <w:sz w:val="21"/>
                <w:szCs w:val="21"/>
                <w:highlight w:val="none"/>
              </w:rPr>
              <w:t>集输环节均为密闭流程，</w:t>
            </w:r>
            <w:r>
              <w:rPr>
                <w:rFonts w:hint="eastAsia" w:ascii="Times New Roman" w:hAnsi="Times New Roman" w:cs="Times New Roman"/>
                <w:color w:val="auto"/>
                <w:kern w:val="2"/>
                <w:sz w:val="21"/>
                <w:szCs w:val="21"/>
                <w:highlight w:val="none"/>
                <w:lang w:val="en-US" w:eastAsia="zh-CN"/>
              </w:rPr>
              <w:t>厂界</w:t>
            </w:r>
            <w:r>
              <w:rPr>
                <w:rFonts w:hint="default" w:ascii="Times New Roman" w:hAnsi="Times New Roman" w:eastAsia="宋体" w:cs="Times New Roman"/>
                <w:color w:val="auto"/>
                <w:kern w:val="2"/>
                <w:sz w:val="21"/>
                <w:szCs w:val="21"/>
                <w:highlight w:val="none"/>
                <w:lang w:val="en-US" w:eastAsia="zh-CN" w:bidi="ar-SA"/>
              </w:rPr>
              <w:t>非甲烷总烃排放浓度应满足《陆上石油天然气开采工业大气污染物排放标准》（GB39728）要求</w:t>
            </w: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本项目侧钻经不新增加热炉等。根据设计资料，</w:t>
            </w:r>
            <w:r>
              <w:rPr>
                <w:rFonts w:hint="eastAsia"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rPr>
              <w:t>所在区块</w:t>
            </w:r>
            <w:r>
              <w:rPr>
                <w:rFonts w:hint="default" w:ascii="Times New Roman" w:hAnsi="Times New Roman" w:eastAsia="宋体" w:cs="Times New Roman"/>
                <w:color w:val="auto"/>
                <w:kern w:val="2"/>
                <w:sz w:val="21"/>
                <w:szCs w:val="21"/>
                <w:highlight w:val="none"/>
                <w:lang w:val="en-US" w:eastAsia="zh-CN" w:bidi="ar-SA"/>
              </w:rPr>
              <w:t>天然气中H</w:t>
            </w:r>
            <w:r>
              <w:rPr>
                <w:rFonts w:hint="default" w:ascii="Times New Roman" w:hAnsi="Times New Roman" w:eastAsia="宋体" w:cs="Times New Roman"/>
                <w:color w:val="auto"/>
                <w:kern w:val="2"/>
                <w:sz w:val="21"/>
                <w:szCs w:val="21"/>
                <w:highlight w:val="none"/>
                <w:vertAlign w:val="sub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S含量较高，</w:t>
            </w:r>
            <w:r>
              <w:rPr>
                <w:rFonts w:hint="default" w:ascii="Times New Roman" w:hAnsi="Times New Roman" w:eastAsia="宋体" w:cs="Times New Roman"/>
                <w:color w:val="auto"/>
                <w:spacing w:val="0"/>
                <w:sz w:val="21"/>
                <w:szCs w:val="21"/>
                <w:highlight w:val="none"/>
              </w:rPr>
              <w:t>本</w:t>
            </w:r>
            <w:r>
              <w:rPr>
                <w:rFonts w:hint="eastAsia" w:ascii="Times New Roman" w:hAnsi="Times New Roman" w:eastAsia="宋体" w:cs="Times New Roman"/>
                <w:color w:val="auto"/>
                <w:spacing w:val="0"/>
                <w:sz w:val="21"/>
                <w:szCs w:val="21"/>
                <w:highlight w:val="none"/>
                <w:lang w:val="en-US" w:eastAsia="zh-CN"/>
              </w:rPr>
              <w:t>项目</w:t>
            </w:r>
            <w:r>
              <w:rPr>
                <w:rFonts w:hint="default" w:ascii="Times New Roman" w:hAnsi="Times New Roman" w:eastAsia="宋体" w:cs="Times New Roman"/>
                <w:color w:val="auto"/>
                <w:spacing w:val="0"/>
                <w:sz w:val="21"/>
                <w:szCs w:val="21"/>
                <w:highlight w:val="none"/>
              </w:rPr>
              <w:t>油气混输至</w:t>
            </w:r>
            <w:r>
              <w:rPr>
                <w:rFonts w:hint="eastAsia" w:ascii="Times New Roman" w:hAnsi="Times New Roman" w:eastAsia="宋体" w:cs="Times New Roman"/>
                <w:color w:val="auto"/>
                <w:spacing w:val="0"/>
                <w:sz w:val="21"/>
                <w:szCs w:val="21"/>
                <w:highlight w:val="none"/>
                <w:lang w:val="en-US" w:eastAsia="zh-CN"/>
              </w:rPr>
              <w:t>塔河油田三</w:t>
            </w:r>
            <w:r>
              <w:rPr>
                <w:rFonts w:hint="default" w:ascii="Times New Roman" w:hAnsi="Times New Roman" w:eastAsia="宋体" w:cs="Times New Roman"/>
                <w:color w:val="auto"/>
                <w:spacing w:val="0"/>
                <w:sz w:val="21"/>
                <w:szCs w:val="21"/>
                <w:highlight w:val="none"/>
              </w:rPr>
              <w:t>号联合站进行处理，天然气脱硫采用胺法脱硫+自循环硫磺回收工艺</w:t>
            </w:r>
            <w:r>
              <w:rPr>
                <w:rFonts w:hint="eastAsia" w:ascii="Times New Roman" w:hAnsi="Times New Roman" w:eastAsia="宋体" w:cs="Times New Roman"/>
                <w:color w:val="auto"/>
                <w:spacing w:val="0"/>
                <w:sz w:val="21"/>
                <w:szCs w:val="21"/>
                <w:highlight w:val="none"/>
                <w:lang w:eastAsia="zh-CN"/>
              </w:rPr>
              <w:t>。</w:t>
            </w:r>
          </w:p>
        </w:tc>
        <w:tc>
          <w:tcPr>
            <w:tcW w:w="394" w:type="pct"/>
            <w:tcBorders>
              <w:tl2br w:val="nil"/>
              <w:tr2bl w:val="nil"/>
            </w:tcBorders>
            <w:noWrap w:val="0"/>
            <w:vAlign w:val="center"/>
          </w:tcPr>
          <w:p w14:paraId="16581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1B72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5F8D3C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045732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油气开发产生的伴生气应优先回收利用，减少温室气体排放，开发区块伴生气整体回收利用率应达到80%以上；边远井、零散井等产生的伴生气不能回收或难以回收的，应经燃烧后放空。鼓励油气企业将碳捕集、利用与封存（CCUS）技术用于油气开采，提高采收率、减少温室气体排放。</w:t>
            </w:r>
          </w:p>
        </w:tc>
        <w:tc>
          <w:tcPr>
            <w:tcW w:w="1580" w:type="pct"/>
            <w:tcBorders>
              <w:tl2br w:val="nil"/>
              <w:tr2bl w:val="nil"/>
            </w:tcBorders>
            <w:noWrap w:val="0"/>
            <w:vAlign w:val="center"/>
          </w:tcPr>
          <w:p w14:paraId="15D7A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highlight w:val="none"/>
                <w:lang w:bidi="ar"/>
              </w:rPr>
              <w:t>本</w:t>
            </w:r>
            <w:r>
              <w:rPr>
                <w:rFonts w:hint="eastAsia" w:ascii="Times New Roman" w:hAnsi="Times New Roman" w:cs="Times New Roman"/>
                <w:color w:val="auto"/>
                <w:sz w:val="21"/>
                <w:highlight w:val="none"/>
                <w:lang w:val="en-US" w:eastAsia="zh-CN" w:bidi="ar"/>
              </w:rPr>
              <w:t>项目</w:t>
            </w:r>
            <w:r>
              <w:rPr>
                <w:rFonts w:hint="default" w:ascii="Times New Roman" w:hAnsi="Times New Roman" w:cs="Times New Roman"/>
                <w:color w:val="auto"/>
                <w:sz w:val="21"/>
                <w:highlight w:val="none"/>
                <w:lang w:bidi="ar"/>
              </w:rPr>
              <w:t>天然气全部经过处理后</w:t>
            </w:r>
            <w:r>
              <w:rPr>
                <w:rFonts w:hint="eastAsia" w:ascii="Times New Roman" w:hAnsi="Times New Roman" w:cs="Times New Roman"/>
                <w:color w:val="auto"/>
                <w:sz w:val="21"/>
                <w:highlight w:val="none"/>
                <w:lang w:val="en-US" w:eastAsia="zh-CN" w:bidi="ar"/>
              </w:rPr>
              <w:t>回收利用</w:t>
            </w:r>
            <w:r>
              <w:rPr>
                <w:rFonts w:hint="default" w:ascii="Times New Roman" w:hAnsi="Times New Roman" w:cs="Times New Roman"/>
                <w:color w:val="auto"/>
                <w:sz w:val="21"/>
                <w:highlight w:val="none"/>
                <w:lang w:bidi="ar"/>
              </w:rPr>
              <w:t>，不放空</w:t>
            </w:r>
            <w:r>
              <w:rPr>
                <w:rFonts w:hint="eastAsia" w:ascii="Times New Roman" w:hAnsi="Times New Roman" w:cs="Times New Roman"/>
                <w:color w:val="auto"/>
                <w:sz w:val="21"/>
                <w:highlight w:val="none"/>
                <w:lang w:eastAsia="zh-CN" w:bidi="ar"/>
              </w:rPr>
              <w:t>。</w:t>
            </w:r>
          </w:p>
        </w:tc>
        <w:tc>
          <w:tcPr>
            <w:tcW w:w="394" w:type="pct"/>
            <w:tcBorders>
              <w:tl2br w:val="nil"/>
              <w:tr2bl w:val="nil"/>
            </w:tcBorders>
            <w:noWrap w:val="0"/>
            <w:vAlign w:val="center"/>
          </w:tcPr>
          <w:p w14:paraId="7F5BE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5771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2C4010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2A087A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钻井液循环率应达到95%以上，压裂废液、酸化废液等井下作业废水应100%返排入罐。</w:t>
            </w:r>
          </w:p>
        </w:tc>
        <w:tc>
          <w:tcPr>
            <w:tcW w:w="1580" w:type="pct"/>
            <w:tcBorders>
              <w:tl2br w:val="nil"/>
              <w:tr2bl w:val="nil"/>
            </w:tcBorders>
            <w:noWrap w:val="0"/>
            <w:vAlign w:val="center"/>
          </w:tcPr>
          <w:p w14:paraId="55E4E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kern w:val="2"/>
                <w:sz w:val="21"/>
                <w:szCs w:val="21"/>
                <w:highlight w:val="none"/>
                <w:lang w:val="en-US" w:eastAsia="zh-CN" w:bidi="ar-SA"/>
              </w:rPr>
              <w:t>本项目</w:t>
            </w:r>
            <w:r>
              <w:rPr>
                <w:rFonts w:hint="default" w:ascii="Times New Roman" w:hAnsi="Times New Roman" w:eastAsia="宋体" w:cs="Times New Roman"/>
                <w:color w:val="auto"/>
                <w:kern w:val="2"/>
                <w:sz w:val="21"/>
                <w:szCs w:val="21"/>
                <w:highlight w:val="none"/>
                <w:lang w:val="en-US" w:eastAsia="zh-CN" w:bidi="ar-SA"/>
              </w:rPr>
              <w:t>钻井及储层改造</w:t>
            </w:r>
            <w:r>
              <w:rPr>
                <w:rFonts w:hint="eastAsia" w:ascii="Times New Roman" w:hAnsi="Times New Roman" w:eastAsia="宋体" w:cs="Times New Roman"/>
                <w:color w:val="auto"/>
                <w:kern w:val="2"/>
                <w:sz w:val="21"/>
                <w:szCs w:val="21"/>
                <w:highlight w:val="none"/>
                <w:lang w:val="en-US" w:eastAsia="zh-CN" w:bidi="ar-SA"/>
              </w:rPr>
              <w:t>使用环保的</w:t>
            </w:r>
            <w:r>
              <w:rPr>
                <w:rFonts w:hint="default" w:ascii="Times New Roman" w:hAnsi="Times New Roman" w:eastAsia="宋体" w:cs="Times New Roman"/>
                <w:color w:val="auto"/>
                <w:kern w:val="2"/>
                <w:sz w:val="21"/>
                <w:szCs w:val="21"/>
                <w:highlight w:val="none"/>
                <w:lang w:val="en-US" w:eastAsia="zh-CN" w:bidi="ar-SA"/>
              </w:rPr>
              <w:t>化学助剂、压裂液、钻井液，配备完善的固控设备，钻井液</w:t>
            </w:r>
            <w:r>
              <w:rPr>
                <w:rFonts w:hint="eastAsia" w:ascii="Times New Roman" w:hAnsi="Times New Roman" w:eastAsia="宋体" w:cs="Times New Roman"/>
                <w:color w:val="auto"/>
                <w:kern w:val="2"/>
                <w:sz w:val="21"/>
                <w:szCs w:val="21"/>
                <w:highlight w:val="none"/>
                <w:lang w:val="en-US" w:eastAsia="zh-CN" w:bidi="ar-SA"/>
              </w:rPr>
              <w:t>全部回用</w:t>
            </w:r>
            <w:r>
              <w:rPr>
                <w:rFonts w:hint="default" w:ascii="Times New Roman" w:hAnsi="Times New Roman" w:eastAsia="宋体" w:cs="Times New Roman"/>
                <w:color w:val="auto"/>
                <w:kern w:val="2"/>
                <w:sz w:val="21"/>
                <w:szCs w:val="21"/>
                <w:highlight w:val="none"/>
                <w:lang w:val="en-US" w:eastAsia="zh-CN" w:bidi="ar-SA"/>
              </w:rPr>
              <w:t>，压裂废液等井下作业废水返排入罐</w:t>
            </w:r>
            <w:r>
              <w:rPr>
                <w:rFonts w:hint="eastAsia" w:ascii="Times New Roman" w:hAnsi="Times New Roman" w:eastAsia="宋体" w:cs="Times New Roman"/>
                <w:color w:val="auto"/>
                <w:kern w:val="2"/>
                <w:sz w:val="21"/>
                <w:szCs w:val="21"/>
                <w:highlight w:val="none"/>
                <w:lang w:val="en-US" w:eastAsia="zh-CN" w:bidi="ar-SA"/>
              </w:rPr>
              <w:t>拉运至处理站处理</w:t>
            </w:r>
            <w:r>
              <w:rPr>
                <w:rFonts w:hint="default" w:ascii="Times New Roman" w:hAnsi="Times New Roman" w:eastAsia="宋体" w:cs="Times New Roman"/>
                <w:color w:val="auto"/>
                <w:kern w:val="2"/>
                <w:sz w:val="21"/>
                <w:szCs w:val="21"/>
                <w:highlight w:val="none"/>
                <w:lang w:val="en-US" w:eastAsia="zh-CN" w:bidi="ar-SA"/>
              </w:rPr>
              <w:t>。</w:t>
            </w:r>
          </w:p>
        </w:tc>
        <w:tc>
          <w:tcPr>
            <w:tcW w:w="394" w:type="pct"/>
            <w:tcBorders>
              <w:tl2br w:val="nil"/>
              <w:tr2bl w:val="nil"/>
            </w:tcBorders>
            <w:noWrap w:val="0"/>
            <w:vAlign w:val="center"/>
          </w:tcPr>
          <w:p w14:paraId="139AA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40A3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306AFE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231510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1580" w:type="pct"/>
            <w:tcBorders>
              <w:tl2br w:val="nil"/>
              <w:tr2bl w:val="nil"/>
            </w:tcBorders>
            <w:noWrap w:val="0"/>
            <w:vAlign w:val="center"/>
          </w:tcPr>
          <w:p w14:paraId="1AA97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kern w:val="2"/>
                <w:sz w:val="21"/>
                <w:szCs w:val="21"/>
                <w:highlight w:val="none"/>
                <w:lang w:val="en-US" w:eastAsia="zh-CN" w:bidi="ar-SA"/>
              </w:rPr>
              <w:t>本项目</w:t>
            </w:r>
            <w:r>
              <w:rPr>
                <w:rFonts w:hint="default" w:ascii="Times New Roman" w:hAnsi="Times New Roman" w:eastAsia="宋体" w:cs="Times New Roman"/>
                <w:color w:val="auto"/>
                <w:kern w:val="2"/>
                <w:sz w:val="21"/>
                <w:szCs w:val="21"/>
                <w:highlight w:val="none"/>
                <w:lang w:val="en-US" w:eastAsia="zh-CN" w:bidi="ar-SA"/>
              </w:rPr>
              <w:t>采出水</w:t>
            </w:r>
            <w:r>
              <w:rPr>
                <w:rFonts w:hint="eastAsia" w:ascii="Times New Roman" w:hAnsi="Times New Roman" w:eastAsia="宋体" w:cs="Times New Roman"/>
                <w:color w:val="auto"/>
                <w:kern w:val="2"/>
                <w:sz w:val="21"/>
                <w:szCs w:val="21"/>
                <w:highlight w:val="none"/>
                <w:lang w:val="en-US" w:eastAsia="zh-CN" w:bidi="ar-SA"/>
              </w:rPr>
              <w:t>依托三号</w:t>
            </w:r>
            <w:r>
              <w:rPr>
                <w:rFonts w:hint="default" w:ascii="Times New Roman" w:hAnsi="Times New Roman" w:eastAsia="宋体" w:cs="Times New Roman"/>
                <w:color w:val="auto"/>
                <w:kern w:val="2"/>
                <w:sz w:val="21"/>
                <w:szCs w:val="21"/>
                <w:highlight w:val="none"/>
                <w:lang w:val="en-US" w:eastAsia="zh-CN" w:bidi="ar-SA"/>
              </w:rPr>
              <w:t>联合处理站</w:t>
            </w:r>
            <w:r>
              <w:rPr>
                <w:rFonts w:hint="eastAsia" w:ascii="Times New Roman" w:hAnsi="Times New Roman" w:eastAsia="宋体" w:cs="Times New Roman"/>
                <w:color w:val="auto"/>
                <w:kern w:val="2"/>
                <w:sz w:val="21"/>
                <w:szCs w:val="21"/>
                <w:highlight w:val="none"/>
                <w:lang w:val="en-US" w:eastAsia="zh-CN" w:bidi="ar-SA"/>
              </w:rPr>
              <w:t>处理</w:t>
            </w:r>
            <w:r>
              <w:rPr>
                <w:rFonts w:hint="default" w:ascii="Times New Roman" w:hAnsi="Times New Roman" w:eastAsia="宋体" w:cs="Times New Roman"/>
                <w:color w:val="auto"/>
                <w:kern w:val="2"/>
                <w:sz w:val="21"/>
                <w:szCs w:val="21"/>
                <w:highlight w:val="none"/>
                <w:lang w:val="en-US" w:eastAsia="zh-CN" w:bidi="ar-SA"/>
              </w:rPr>
              <w:t>，达到《碎屑岩油藏注水水质推荐指标及分析方法》（SY/T5329-20</w:t>
            </w:r>
            <w:r>
              <w:rPr>
                <w:rFonts w:hint="eastAsia" w:ascii="Times New Roman" w:hAnsi="Times New Roman" w:cs="Times New Roman"/>
                <w:color w:val="auto"/>
                <w:kern w:val="2"/>
                <w:sz w:val="21"/>
                <w:szCs w:val="21"/>
                <w:highlight w:val="none"/>
                <w:lang w:val="en-US" w:eastAsia="zh-CN" w:bidi="ar-SA"/>
              </w:rPr>
              <w:t>22</w:t>
            </w:r>
            <w:r>
              <w:rPr>
                <w:rFonts w:hint="default" w:ascii="Times New Roman" w:hAnsi="Times New Roman" w:eastAsia="宋体" w:cs="Times New Roman"/>
                <w:color w:val="auto"/>
                <w:kern w:val="2"/>
                <w:sz w:val="21"/>
                <w:szCs w:val="21"/>
                <w:highlight w:val="none"/>
                <w:lang w:val="en-US" w:eastAsia="zh-CN" w:bidi="ar-SA"/>
              </w:rPr>
              <w:t>）中相关标准后回注，不外排</w:t>
            </w:r>
            <w:r>
              <w:rPr>
                <w:rFonts w:hint="eastAsia" w:ascii="Times New Roman" w:hAnsi="Times New Roman" w:eastAsia="宋体" w:cs="Times New Roman"/>
                <w:color w:val="auto"/>
                <w:kern w:val="2"/>
                <w:sz w:val="21"/>
                <w:szCs w:val="21"/>
                <w:highlight w:val="none"/>
                <w:lang w:val="en-US" w:eastAsia="zh-CN" w:bidi="ar-SA"/>
              </w:rPr>
              <w:t>。</w:t>
            </w:r>
          </w:p>
        </w:tc>
        <w:tc>
          <w:tcPr>
            <w:tcW w:w="394" w:type="pct"/>
            <w:tcBorders>
              <w:tl2br w:val="nil"/>
              <w:tr2bl w:val="nil"/>
            </w:tcBorders>
            <w:noWrap w:val="0"/>
            <w:vAlign w:val="center"/>
          </w:tcPr>
          <w:p w14:paraId="07A85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0254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7B0653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4F91DA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w:t>
            </w:r>
            <w:bookmarkStart w:id="329" w:name="OLE_LINK149"/>
            <w:r>
              <w:rPr>
                <w:rFonts w:hint="default" w:ascii="Times New Roman" w:hAnsi="Times New Roman" w:eastAsia="宋体" w:cs="Times New Roman"/>
                <w:color w:val="auto"/>
                <w:kern w:val="2"/>
                <w:sz w:val="21"/>
                <w:szCs w:val="21"/>
                <w:highlight w:val="none"/>
                <w:lang w:val="en-US" w:eastAsia="zh-CN" w:bidi="ar-SA"/>
              </w:rPr>
              <w:t>含油污泥、含油清管废渣、油气处理厂过滤吸附介质、废脱汞剂等危险废物</w:t>
            </w:r>
            <w:bookmarkEnd w:id="329"/>
            <w:r>
              <w:rPr>
                <w:rFonts w:hint="default" w:ascii="Times New Roman" w:hAnsi="Times New Roman" w:eastAsia="宋体" w:cs="Times New Roman"/>
                <w:color w:val="auto"/>
                <w:kern w:val="2"/>
                <w:sz w:val="21"/>
                <w:szCs w:val="21"/>
                <w:highlight w:val="none"/>
                <w:lang w:val="en-US" w:eastAsia="zh-CN" w:bidi="ar-SA"/>
              </w:rPr>
              <w:t>，应按照国家有关规定制定危险废物管理计划，建立危险废物管理台账，依法依规自行处置或委托有相应资质的单位无害化处置。固体废物无害化处置率应达到</w:t>
            </w:r>
            <w:r>
              <w:rPr>
                <w:rFonts w:hint="eastAsia"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00%。</w:t>
            </w:r>
          </w:p>
        </w:tc>
        <w:tc>
          <w:tcPr>
            <w:tcW w:w="1580" w:type="pct"/>
            <w:tcBorders>
              <w:tl2br w:val="nil"/>
              <w:tr2bl w:val="nil"/>
            </w:tcBorders>
            <w:noWrap w:val="0"/>
            <w:vAlign w:val="center"/>
          </w:tcPr>
          <w:p w14:paraId="217AC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kern w:val="2"/>
                <w:sz w:val="21"/>
                <w:szCs w:val="21"/>
                <w:highlight w:val="none"/>
                <w:lang w:val="en-US" w:eastAsia="zh-CN" w:bidi="ar-SA"/>
              </w:rPr>
              <w:t>钻井采用泥浆不落地系统，钻井期钻井岩屑随泥浆一同进入泥浆不落地系统，采用泥浆不落地技术在井场进行固液分离，分离后的液体回用于钻井液配备，分离后的固相经检测满足《油气田钻井固体废物综合利用污染控制要求》（DB65/T3997-2017）中综合利用污染物限值要求后，用于铺垫油区内的井场、道路等。清管废渣、</w:t>
            </w:r>
            <w:r>
              <w:rPr>
                <w:rFonts w:hint="eastAsia" w:ascii="Times New Roman" w:hAnsi="Times New Roman" w:eastAsia="宋体" w:cs="Times New Roman"/>
                <w:color w:val="auto"/>
                <w:kern w:val="2"/>
                <w:sz w:val="21"/>
                <w:szCs w:val="21"/>
                <w:highlight w:val="none"/>
                <w:lang w:val="en-US" w:eastAsia="zh-CN" w:bidi="ar-SA"/>
              </w:rPr>
              <w:t>废防渗膜、废润滑油</w:t>
            </w:r>
            <w:r>
              <w:rPr>
                <w:rFonts w:hint="default" w:ascii="Times New Roman" w:hAnsi="Times New Roman" w:eastAsia="宋体" w:cs="Times New Roman"/>
                <w:color w:val="auto"/>
                <w:kern w:val="2"/>
                <w:sz w:val="21"/>
                <w:szCs w:val="21"/>
                <w:highlight w:val="none"/>
                <w:lang w:val="en-US" w:eastAsia="zh-CN" w:bidi="ar-SA"/>
              </w:rPr>
              <w:t>等危险废物</w:t>
            </w:r>
            <w:r>
              <w:rPr>
                <w:rFonts w:hint="default" w:ascii="Times New Roman" w:hAnsi="Times New Roman" w:eastAsia="宋体" w:cs="Times New Roman"/>
                <w:color w:val="auto"/>
                <w:sz w:val="21"/>
                <w:szCs w:val="21"/>
                <w:highlight w:val="none"/>
                <w:u w:val="none"/>
                <w:lang w:val="en-US" w:eastAsia="zh-CN"/>
              </w:rPr>
              <w:t>集中收集后最终交由有相应危险废物处理资质的单位进行回收处置。</w:t>
            </w:r>
          </w:p>
        </w:tc>
        <w:tc>
          <w:tcPr>
            <w:tcW w:w="394" w:type="pct"/>
            <w:tcBorders>
              <w:tl2br w:val="nil"/>
              <w:tr2bl w:val="nil"/>
            </w:tcBorders>
            <w:noWrap w:val="0"/>
            <w:vAlign w:val="center"/>
          </w:tcPr>
          <w:p w14:paraId="7F9FD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5BFB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0ED0BF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1BE035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7.噪声排放应达到《工业企业厂界环境噪声排放标准》（GB12348）要求。</w:t>
            </w:r>
          </w:p>
        </w:tc>
        <w:tc>
          <w:tcPr>
            <w:tcW w:w="1580" w:type="pct"/>
            <w:tcBorders>
              <w:tl2br w:val="nil"/>
              <w:tr2bl w:val="nil"/>
            </w:tcBorders>
            <w:noWrap w:val="0"/>
            <w:vAlign w:val="center"/>
          </w:tcPr>
          <w:p w14:paraId="40342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项目选用低噪声设备</w:t>
            </w:r>
            <w:r>
              <w:rPr>
                <w:rFonts w:hint="eastAsia" w:ascii="Times New Roman" w:hAnsi="Times New Roman" w:eastAsia="宋体" w:cs="Times New Roman"/>
                <w:color w:val="auto"/>
                <w:sz w:val="21"/>
                <w:szCs w:val="21"/>
                <w:highlight w:val="none"/>
                <w:u w:val="none"/>
                <w:lang w:val="en-US" w:eastAsia="zh-CN"/>
              </w:rPr>
              <w:t>，并进行隔声减震等</w:t>
            </w:r>
            <w:r>
              <w:rPr>
                <w:rFonts w:hint="default" w:ascii="Times New Roman" w:hAnsi="Times New Roman" w:eastAsia="宋体" w:cs="Times New Roman"/>
                <w:color w:val="auto"/>
                <w:sz w:val="21"/>
                <w:szCs w:val="21"/>
                <w:highlight w:val="none"/>
                <w:u w:val="none"/>
                <w:lang w:val="en-US" w:eastAsia="zh-CN"/>
              </w:rPr>
              <w:t>，</w:t>
            </w:r>
            <w:r>
              <w:rPr>
                <w:rFonts w:hint="eastAsia" w:ascii="Times New Roman" w:hAnsi="Times New Roman" w:eastAsia="宋体" w:cs="Times New Roman"/>
                <w:color w:val="auto"/>
                <w:sz w:val="21"/>
                <w:szCs w:val="21"/>
                <w:highlight w:val="none"/>
                <w:u w:val="none"/>
                <w:lang w:val="en-US" w:eastAsia="zh-CN"/>
              </w:rPr>
              <w:t>项目无居民区，</w:t>
            </w:r>
            <w:r>
              <w:rPr>
                <w:rFonts w:hint="default" w:ascii="Times New Roman" w:hAnsi="Times New Roman" w:eastAsia="宋体" w:cs="Times New Roman"/>
                <w:color w:val="auto"/>
                <w:sz w:val="21"/>
                <w:szCs w:val="21"/>
                <w:highlight w:val="none"/>
                <w:u w:val="none"/>
                <w:lang w:val="en-US" w:eastAsia="zh-CN"/>
              </w:rPr>
              <w:t>通过合理布局、加强管理，项目噪声</w:t>
            </w:r>
            <w:r>
              <w:rPr>
                <w:rFonts w:hint="eastAsia" w:ascii="Times New Roman" w:hAnsi="Times New Roman" w:eastAsia="宋体" w:cs="Times New Roman"/>
                <w:color w:val="auto"/>
                <w:sz w:val="21"/>
                <w:szCs w:val="21"/>
                <w:highlight w:val="none"/>
                <w:u w:val="none"/>
                <w:lang w:val="en-US" w:eastAsia="zh-CN"/>
              </w:rPr>
              <w:t>满足要求。</w:t>
            </w:r>
          </w:p>
        </w:tc>
        <w:tc>
          <w:tcPr>
            <w:tcW w:w="394" w:type="pct"/>
            <w:tcBorders>
              <w:tl2br w:val="nil"/>
              <w:tr2bl w:val="nil"/>
            </w:tcBorders>
            <w:noWrap w:val="0"/>
            <w:vAlign w:val="center"/>
          </w:tcPr>
          <w:p w14:paraId="4F814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3E28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2" w:type="pct"/>
            <w:vMerge w:val="continue"/>
            <w:tcBorders>
              <w:tl2br w:val="nil"/>
              <w:tr2bl w:val="nil"/>
            </w:tcBorders>
            <w:noWrap w:val="0"/>
            <w:vAlign w:val="center"/>
          </w:tcPr>
          <w:p w14:paraId="40DCFA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2603" w:type="pct"/>
            <w:tcBorders>
              <w:tl2br w:val="nil"/>
              <w:tr2bl w:val="nil"/>
            </w:tcBorders>
            <w:noWrap w:val="0"/>
            <w:vAlign w:val="center"/>
          </w:tcPr>
          <w:p w14:paraId="3EAC13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对拟退役的废弃井（站）场、管道、道路等工程设施应进行生态修复，生态修复前应对废弃油（气）井、管道进行封堵或设施拆除，确保无土壤及地下水环境污染遗留问题、废弃物得到妥善处置。生态修复应满足《矿山生态环境保护与恢复治理技术规范（试行）》（HJ651）、《废弃井封井回填技术指南（试行）</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废弃井及长停井处置指南》（SY/T6646）、《陆上石油天然气开采业绿色矿山建设规范》（DZ/T0317）等相关</w:t>
            </w:r>
            <w:bookmarkStart w:id="330" w:name="_Toc163555379"/>
            <w:r>
              <w:rPr>
                <w:rFonts w:hint="default" w:ascii="Times New Roman" w:hAnsi="Times New Roman" w:eastAsia="宋体" w:cs="Times New Roman"/>
                <w:color w:val="auto"/>
                <w:kern w:val="2"/>
                <w:sz w:val="21"/>
                <w:szCs w:val="21"/>
                <w:highlight w:val="none"/>
                <w:lang w:val="en-US" w:eastAsia="zh-CN" w:bidi="ar-SA"/>
              </w:rPr>
              <w:t>要</w:t>
            </w:r>
            <w:bookmarkEnd w:id="330"/>
            <w:r>
              <w:rPr>
                <w:rFonts w:hint="default" w:ascii="Times New Roman" w:hAnsi="Times New Roman" w:eastAsia="宋体" w:cs="Times New Roman"/>
                <w:color w:val="auto"/>
                <w:kern w:val="2"/>
                <w:sz w:val="21"/>
                <w:szCs w:val="21"/>
                <w:highlight w:val="none"/>
                <w:lang w:val="en-US" w:eastAsia="zh-CN" w:bidi="ar-SA"/>
              </w:rPr>
              <w:t>求。</w:t>
            </w:r>
          </w:p>
        </w:tc>
        <w:tc>
          <w:tcPr>
            <w:tcW w:w="1580" w:type="pct"/>
            <w:tcBorders>
              <w:tl2br w:val="nil"/>
              <w:tr2bl w:val="nil"/>
            </w:tcBorders>
            <w:noWrap w:val="0"/>
            <w:vAlign w:val="center"/>
          </w:tcPr>
          <w:p w14:paraId="1E20C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报告中已提出退役期需</w:t>
            </w:r>
            <w:r>
              <w:rPr>
                <w:rFonts w:hint="default" w:ascii="Times New Roman" w:hAnsi="Times New Roman" w:eastAsia="宋体" w:cs="Times New Roman"/>
                <w:color w:val="auto"/>
                <w:sz w:val="21"/>
                <w:szCs w:val="21"/>
                <w:highlight w:val="none"/>
                <w:u w:val="none"/>
                <w:lang w:val="zh-CN" w:eastAsia="zh-CN"/>
              </w:rPr>
              <w:t>严格按照《废弃井封井回填技术指南（试行）》相关要求，拆除地面设施、清理井场等，保证采取的固井、封井措施有效可行，</w:t>
            </w:r>
            <w:r>
              <w:rPr>
                <w:rFonts w:hint="default" w:ascii="Times New Roman" w:hAnsi="Times New Roman" w:eastAsia="宋体" w:cs="Times New Roman"/>
                <w:color w:val="auto"/>
                <w:sz w:val="21"/>
                <w:szCs w:val="21"/>
                <w:highlight w:val="none"/>
                <w:u w:val="none"/>
                <w:lang w:val="en-US" w:eastAsia="zh-CN"/>
              </w:rPr>
              <w:t>清理井场，使其自然恢复。落实报告中提出的生态保护措施，避免对区域生态环境造成</w:t>
            </w:r>
            <w:r>
              <w:rPr>
                <w:rFonts w:hint="default" w:ascii="Times New Roman" w:hAnsi="Times New Roman" w:eastAsia="宋体" w:cs="Times New Roman"/>
                <w:color w:val="auto"/>
                <w:sz w:val="21"/>
                <w:szCs w:val="21"/>
                <w:highlight w:val="none"/>
                <w:u w:val="none"/>
                <w:lang w:val="zh-CN" w:eastAsia="zh-CN"/>
              </w:rPr>
              <w:t>二次污染</w:t>
            </w:r>
            <w:r>
              <w:rPr>
                <w:rFonts w:hint="default" w:ascii="Times New Roman" w:hAnsi="Times New Roman" w:eastAsia="宋体" w:cs="Times New Roman"/>
                <w:color w:val="auto"/>
                <w:sz w:val="21"/>
                <w:szCs w:val="21"/>
                <w:highlight w:val="none"/>
                <w:u w:val="none"/>
                <w:lang w:val="en-US" w:eastAsia="zh-CN"/>
              </w:rPr>
              <w:t>。</w:t>
            </w:r>
          </w:p>
        </w:tc>
        <w:tc>
          <w:tcPr>
            <w:tcW w:w="394" w:type="pct"/>
            <w:tcBorders>
              <w:tl2br w:val="nil"/>
              <w:tr2bl w:val="nil"/>
            </w:tcBorders>
            <w:noWrap w:val="0"/>
            <w:vAlign w:val="center"/>
          </w:tcPr>
          <w:p w14:paraId="78962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bl>
    <w:p w14:paraId="1D1B6E38">
      <w:pPr>
        <w:keepNext w:val="0"/>
        <w:keepLines w:val="0"/>
        <w:pageBreakBefore w:val="0"/>
        <w:widowControl/>
        <w:kinsoku/>
        <w:wordWrap/>
        <w:overflowPunct/>
        <w:topLinePunct w:val="0"/>
        <w:autoSpaceDE/>
        <w:autoSpaceDN/>
        <w:bidi w:val="0"/>
        <w:adjustRightInd/>
        <w:snapToGrid/>
        <w:spacing w:line="240" w:lineRule="auto"/>
        <w:ind w:left="121"/>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3"/>
          <w:sz w:val="28"/>
          <w:szCs w:val="28"/>
          <w:highlight w:val="none"/>
        </w:rPr>
        <w:t>3.7.1</w:t>
      </w:r>
      <w:r>
        <w:rPr>
          <w:rFonts w:hint="eastAsia" w:ascii="Times New Roman" w:hAnsi="Times New Roman" w:eastAsia="宋体" w:cs="Times New Roman"/>
          <w:b/>
          <w:bCs/>
          <w:color w:val="auto"/>
          <w:spacing w:val="-3"/>
          <w:sz w:val="28"/>
          <w:szCs w:val="28"/>
          <w:highlight w:val="none"/>
          <w:lang w:val="en-US" w:eastAsia="zh-CN"/>
        </w:rPr>
        <w:t>6</w:t>
      </w:r>
      <w:r>
        <w:rPr>
          <w:rFonts w:ascii="宋体" w:hAnsi="宋体" w:eastAsia="宋体" w:cs="宋体"/>
          <w:b/>
          <w:bCs/>
          <w:color w:val="auto"/>
          <w:spacing w:val="-3"/>
          <w:sz w:val="28"/>
          <w:szCs w:val="28"/>
          <w:highlight w:val="none"/>
        </w:rPr>
        <w:t>与《关于做好沙区开发建设项目环评中防</w:t>
      </w:r>
      <w:r>
        <w:rPr>
          <w:rFonts w:ascii="宋体" w:hAnsi="宋体" w:eastAsia="宋体" w:cs="宋体"/>
          <w:b/>
          <w:bCs/>
          <w:color w:val="auto"/>
          <w:spacing w:val="-4"/>
          <w:sz w:val="28"/>
          <w:szCs w:val="28"/>
          <w:highlight w:val="none"/>
        </w:rPr>
        <w:t>沙治沙内容评价工作</w:t>
      </w:r>
    </w:p>
    <w:p w14:paraId="5095F896">
      <w:pPr>
        <w:keepNext w:val="0"/>
        <w:keepLines w:val="0"/>
        <w:pageBreakBefore w:val="0"/>
        <w:widowControl/>
        <w:kinsoku/>
        <w:wordWrap/>
        <w:overflowPunct/>
        <w:topLinePunct w:val="0"/>
        <w:autoSpaceDE/>
        <w:autoSpaceDN/>
        <w:bidi w:val="0"/>
        <w:adjustRightInd/>
        <w:snapToGrid/>
        <w:spacing w:line="240" w:lineRule="auto"/>
        <w:ind w:left="150"/>
        <w:textAlignment w:val="auto"/>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的意见》（林沙发〔</w:t>
      </w:r>
      <w:r>
        <w:rPr>
          <w:rFonts w:ascii="Times New Roman" w:hAnsi="Times New Roman" w:eastAsia="Times New Roman" w:cs="Times New Roman"/>
          <w:b/>
          <w:bCs/>
          <w:color w:val="auto"/>
          <w:spacing w:val="-3"/>
          <w:sz w:val="28"/>
          <w:szCs w:val="28"/>
          <w:highlight w:val="none"/>
        </w:rPr>
        <w:t>2013</w:t>
      </w:r>
      <w:r>
        <w:rPr>
          <w:rFonts w:ascii="宋体" w:hAnsi="宋体" w:eastAsia="宋体" w:cs="宋体"/>
          <w:b/>
          <w:bCs/>
          <w:color w:val="auto"/>
          <w:spacing w:val="-3"/>
          <w:sz w:val="28"/>
          <w:szCs w:val="28"/>
          <w:highlight w:val="none"/>
        </w:rPr>
        <w:t>〕</w:t>
      </w:r>
      <w:r>
        <w:rPr>
          <w:rFonts w:ascii="Times New Roman" w:hAnsi="Times New Roman" w:eastAsia="Times New Roman" w:cs="Times New Roman"/>
          <w:b/>
          <w:bCs/>
          <w:color w:val="auto"/>
          <w:spacing w:val="-3"/>
          <w:sz w:val="28"/>
          <w:szCs w:val="28"/>
          <w:highlight w:val="none"/>
        </w:rPr>
        <w:t>136</w:t>
      </w:r>
      <w:r>
        <w:rPr>
          <w:rFonts w:ascii="宋体" w:hAnsi="宋体" w:eastAsia="宋体" w:cs="宋体"/>
          <w:b/>
          <w:bCs/>
          <w:color w:val="auto"/>
          <w:spacing w:val="-3"/>
          <w:sz w:val="28"/>
          <w:szCs w:val="28"/>
          <w:highlight w:val="none"/>
        </w:rPr>
        <w:t>号）符合性分析</w:t>
      </w:r>
    </w:p>
    <w:p w14:paraId="17249501">
      <w:pPr>
        <w:keepNext w:val="0"/>
        <w:keepLines w:val="0"/>
        <w:pageBreakBefore w:val="0"/>
        <w:widowControl/>
        <w:kinsoku/>
        <w:wordWrap/>
        <w:overflowPunct/>
        <w:topLinePunct w:val="0"/>
        <w:autoSpaceDE/>
        <w:autoSpaceDN/>
        <w:bidi w:val="0"/>
        <w:adjustRightInd/>
        <w:snapToGrid/>
        <w:spacing w:before="258" w:line="360" w:lineRule="auto"/>
        <w:ind w:left="125" w:right="21" w:firstLine="480"/>
        <w:jc w:val="both"/>
        <w:textAlignment w:val="auto"/>
        <w:rPr>
          <w:rFonts w:ascii="宋体" w:hAnsi="宋体" w:eastAsia="宋体" w:cs="宋体"/>
          <w:color w:val="auto"/>
          <w:spacing w:val="0"/>
          <w:sz w:val="24"/>
          <w:szCs w:val="24"/>
          <w:highlight w:val="none"/>
        </w:rPr>
      </w:pPr>
      <w:r>
        <w:rPr>
          <w:rFonts w:ascii="宋体" w:hAnsi="宋体" w:eastAsia="宋体" w:cs="宋体"/>
          <w:color w:val="auto"/>
          <w:spacing w:val="0"/>
          <w:sz w:val="24"/>
          <w:szCs w:val="24"/>
          <w:highlight w:val="none"/>
        </w:rPr>
        <w:t>根据《关于做好沙区开发建设项目环评中防沙治沙内容评价工作的意见》（林沙发〔</w:t>
      </w:r>
      <w:r>
        <w:rPr>
          <w:rFonts w:ascii="Times New Roman" w:hAnsi="Times New Roman" w:eastAsia="Times New Roman" w:cs="Times New Roman"/>
          <w:color w:val="auto"/>
          <w:spacing w:val="0"/>
          <w:sz w:val="24"/>
          <w:szCs w:val="24"/>
          <w:highlight w:val="none"/>
        </w:rPr>
        <w:t>2013</w:t>
      </w:r>
      <w:r>
        <w:rPr>
          <w:rFonts w:ascii="宋体" w:hAnsi="宋体" w:eastAsia="宋体" w:cs="宋体"/>
          <w:color w:val="auto"/>
          <w:spacing w:val="0"/>
          <w:sz w:val="24"/>
          <w:szCs w:val="24"/>
          <w:highlight w:val="none"/>
        </w:rPr>
        <w:t>〕</w:t>
      </w:r>
      <w:r>
        <w:rPr>
          <w:rFonts w:ascii="Times New Roman" w:hAnsi="Times New Roman" w:eastAsia="Times New Roman" w:cs="Times New Roman"/>
          <w:color w:val="auto"/>
          <w:spacing w:val="0"/>
          <w:sz w:val="24"/>
          <w:szCs w:val="24"/>
          <w:highlight w:val="none"/>
        </w:rPr>
        <w:t>136</w:t>
      </w:r>
      <w:r>
        <w:rPr>
          <w:rFonts w:ascii="宋体" w:hAnsi="宋体" w:eastAsia="宋体" w:cs="宋体"/>
          <w:color w:val="auto"/>
          <w:spacing w:val="0"/>
          <w:sz w:val="24"/>
          <w:szCs w:val="24"/>
          <w:highlight w:val="none"/>
        </w:rPr>
        <w:t>号）文件要求，沙区开发建设项目都应当包括具有防沙治沙内容的环境影响评价。本评价在生态环境现状调查、生态环境影响分析、生态保护措施等章节均包含有对防沙治沙内容的分析，因此本评价报告符合《关于做好沙区开发建设项目环评中防沙治沙内容评价工作的意见》（林沙发〔</w:t>
      </w:r>
      <w:r>
        <w:rPr>
          <w:rFonts w:ascii="Times New Roman" w:hAnsi="Times New Roman" w:eastAsia="Times New Roman" w:cs="Times New Roman"/>
          <w:color w:val="auto"/>
          <w:spacing w:val="0"/>
          <w:sz w:val="24"/>
          <w:szCs w:val="24"/>
          <w:highlight w:val="none"/>
        </w:rPr>
        <w:t>2013</w:t>
      </w:r>
      <w:r>
        <w:rPr>
          <w:rFonts w:ascii="宋体" w:hAnsi="宋体" w:eastAsia="宋体" w:cs="宋体"/>
          <w:color w:val="auto"/>
          <w:spacing w:val="0"/>
          <w:sz w:val="24"/>
          <w:szCs w:val="24"/>
          <w:highlight w:val="none"/>
        </w:rPr>
        <w:t>〕</w:t>
      </w:r>
      <w:r>
        <w:rPr>
          <w:rFonts w:ascii="Times New Roman" w:hAnsi="Times New Roman" w:eastAsia="Times New Roman" w:cs="Times New Roman"/>
          <w:color w:val="auto"/>
          <w:spacing w:val="0"/>
          <w:sz w:val="24"/>
          <w:szCs w:val="24"/>
          <w:highlight w:val="none"/>
        </w:rPr>
        <w:t>136</w:t>
      </w:r>
      <w:r>
        <w:rPr>
          <w:rFonts w:ascii="宋体" w:hAnsi="宋体" w:eastAsia="宋体" w:cs="宋体"/>
          <w:color w:val="auto"/>
          <w:spacing w:val="0"/>
          <w:sz w:val="24"/>
          <w:szCs w:val="24"/>
          <w:highlight w:val="none"/>
        </w:rPr>
        <w:t>号）中的相关要求。</w:t>
      </w:r>
    </w:p>
    <w:p w14:paraId="27421E29">
      <w:pPr>
        <w:keepNext w:val="0"/>
        <w:keepLines w:val="0"/>
        <w:pageBreakBefore w:val="0"/>
        <w:widowControl/>
        <w:kinsoku/>
        <w:wordWrap/>
        <w:overflowPunct/>
        <w:topLinePunct w:val="0"/>
        <w:autoSpaceDE/>
        <w:autoSpaceDN/>
        <w:bidi w:val="0"/>
        <w:adjustRightInd/>
        <w:snapToGrid/>
        <w:spacing w:line="360" w:lineRule="auto"/>
        <w:ind w:left="121"/>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3.7.</w:t>
      </w:r>
      <w:r>
        <w:rPr>
          <w:rFonts w:hint="eastAsia" w:ascii="Times New Roman" w:hAnsi="Times New Roman" w:eastAsia="宋体" w:cs="Times New Roman"/>
          <w:b/>
          <w:bCs/>
          <w:color w:val="auto"/>
          <w:spacing w:val="-2"/>
          <w:sz w:val="28"/>
          <w:szCs w:val="28"/>
          <w:highlight w:val="none"/>
          <w:lang w:val="en-US" w:eastAsia="zh-CN"/>
        </w:rPr>
        <w:t>17</w:t>
      </w:r>
      <w:r>
        <w:rPr>
          <w:rFonts w:ascii="宋体" w:hAnsi="宋体" w:eastAsia="宋体" w:cs="宋体"/>
          <w:b/>
          <w:bCs/>
          <w:color w:val="auto"/>
          <w:spacing w:val="-2"/>
          <w:sz w:val="28"/>
          <w:szCs w:val="28"/>
          <w:highlight w:val="none"/>
        </w:rPr>
        <w:t>《关于加强沙区建设项目环境影响评价工作的通知》</w:t>
      </w:r>
    </w:p>
    <w:p w14:paraId="7F5D539A">
      <w:pPr>
        <w:keepNext w:val="0"/>
        <w:keepLines w:val="0"/>
        <w:pageBreakBefore w:val="0"/>
        <w:widowControl/>
        <w:kinsoku/>
        <w:wordWrap/>
        <w:overflowPunct/>
        <w:topLinePunct w:val="0"/>
        <w:autoSpaceDE/>
        <w:autoSpaceDN/>
        <w:bidi w:val="0"/>
        <w:adjustRightInd/>
        <w:snapToGrid/>
        <w:spacing w:line="360" w:lineRule="auto"/>
        <w:ind w:left="125" w:right="56" w:firstLine="481"/>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本项目按照《关于加强沙区建设项目环境影响评价工作的通知</w:t>
      </w:r>
      <w:r>
        <w:rPr>
          <w:rFonts w:ascii="宋体" w:hAnsi="宋体" w:eastAsia="宋体" w:cs="宋体"/>
          <w:color w:val="auto"/>
          <w:spacing w:val="-4"/>
          <w:sz w:val="24"/>
          <w:szCs w:val="24"/>
          <w:highlight w:val="none"/>
        </w:rPr>
        <w:t>》单独分析了</w:t>
      </w:r>
      <w:r>
        <w:rPr>
          <w:rFonts w:ascii="宋体" w:hAnsi="宋体" w:eastAsia="宋体" w:cs="宋体"/>
          <w:color w:val="auto"/>
          <w:spacing w:val="-1"/>
          <w:sz w:val="24"/>
          <w:szCs w:val="24"/>
          <w:highlight w:val="none"/>
        </w:rPr>
        <w:t>防沙治沙影响，并严格按照《环境影响评价技术导则生态影响》（</w:t>
      </w:r>
      <w:r>
        <w:rPr>
          <w:rFonts w:ascii="Times New Roman" w:hAnsi="Times New Roman" w:eastAsia="Times New Roman" w:cs="Times New Roman"/>
          <w:color w:val="auto"/>
          <w:spacing w:val="-1"/>
          <w:sz w:val="24"/>
          <w:szCs w:val="24"/>
          <w:highlight w:val="none"/>
        </w:rPr>
        <w:t>HJ19-2022</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的要求，强化了项目的环境可行性、环境影响分析预测评估的可靠性和防沙治沙生态环境保护措施的可行性、有效性评估。建设单位施工期间应按照《中华人民共和国防沙治沙法》以及本次环评提出的防沙治沙要求，落实防沙治沙生态环境保护措施。符合《关于加强沙区建设项目环境影响评价工作的通知》（新环环评</w:t>
      </w:r>
      <w:r>
        <w:rPr>
          <w:rFonts w:ascii="宋体" w:hAnsi="宋体" w:eastAsia="宋体" w:cs="宋体"/>
          <w:color w:val="auto"/>
          <w:spacing w:val="-2"/>
          <w:sz w:val="24"/>
          <w:szCs w:val="24"/>
          <w:highlight w:val="none"/>
        </w:rPr>
        <w:t>发〔</w:t>
      </w:r>
      <w:r>
        <w:rPr>
          <w:rFonts w:ascii="Times New Roman" w:hAnsi="Times New Roman" w:eastAsia="Times New Roman" w:cs="Times New Roman"/>
          <w:color w:val="auto"/>
          <w:spacing w:val="-2"/>
          <w:sz w:val="24"/>
          <w:szCs w:val="24"/>
          <w:highlight w:val="none"/>
        </w:rPr>
        <w:t>2020</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138</w:t>
      </w:r>
      <w:r>
        <w:rPr>
          <w:rFonts w:ascii="宋体" w:hAnsi="宋体" w:eastAsia="宋体" w:cs="宋体"/>
          <w:color w:val="auto"/>
          <w:spacing w:val="-2"/>
          <w:sz w:val="24"/>
          <w:szCs w:val="24"/>
          <w:highlight w:val="none"/>
        </w:rPr>
        <w:t>号）中相关要求。</w:t>
      </w:r>
    </w:p>
    <w:p w14:paraId="620140DF">
      <w:pPr>
        <w:keepNext w:val="0"/>
        <w:keepLines w:val="0"/>
        <w:pageBreakBefore w:val="0"/>
        <w:widowControl/>
        <w:kinsoku/>
        <w:wordWrap/>
        <w:overflowPunct/>
        <w:topLinePunct w:val="0"/>
        <w:autoSpaceDE/>
        <w:autoSpaceDN/>
        <w:bidi w:val="0"/>
        <w:adjustRightInd/>
        <w:snapToGrid/>
        <w:spacing w:line="360" w:lineRule="auto"/>
        <w:ind w:left="0" w:right="0"/>
        <w:textAlignment w:val="auto"/>
        <w:outlineLvl w:val="1"/>
        <w:rPr>
          <w:rFonts w:ascii="宋体" w:hAnsi="宋体" w:eastAsia="宋体" w:cs="宋体"/>
          <w:color w:val="auto"/>
          <w:sz w:val="30"/>
          <w:szCs w:val="30"/>
          <w:highlight w:val="none"/>
        </w:rPr>
      </w:pPr>
      <w:bookmarkStart w:id="331" w:name="bookmark50"/>
      <w:bookmarkEnd w:id="331"/>
      <w:bookmarkStart w:id="332" w:name="_Toc17259"/>
      <w:bookmarkStart w:id="333" w:name="_Toc18762"/>
      <w:r>
        <w:rPr>
          <w:rFonts w:ascii="Times New Roman" w:hAnsi="Times New Roman" w:eastAsia="Times New Roman" w:cs="Times New Roman"/>
          <w:b/>
          <w:bCs/>
          <w:color w:val="auto"/>
          <w:spacing w:val="-2"/>
          <w:sz w:val="30"/>
          <w:szCs w:val="30"/>
          <w:highlight w:val="none"/>
        </w:rPr>
        <w:t>3.8</w:t>
      </w:r>
      <w:r>
        <w:rPr>
          <w:rFonts w:ascii="宋体" w:hAnsi="宋体" w:eastAsia="宋体" w:cs="宋体"/>
          <w:b/>
          <w:bCs/>
          <w:color w:val="auto"/>
          <w:spacing w:val="-2"/>
          <w:sz w:val="30"/>
          <w:szCs w:val="30"/>
          <w:highlight w:val="none"/>
        </w:rPr>
        <w:t>相关规划符合性分析</w:t>
      </w:r>
      <w:bookmarkEnd w:id="332"/>
      <w:bookmarkEnd w:id="333"/>
    </w:p>
    <w:p w14:paraId="433D40FD">
      <w:pPr>
        <w:keepNext w:val="0"/>
        <w:keepLines w:val="0"/>
        <w:pageBreakBefore w:val="0"/>
        <w:widowControl/>
        <w:kinsoku/>
        <w:wordWrap/>
        <w:overflowPunct/>
        <w:topLinePunct w:val="0"/>
        <w:autoSpaceDE/>
        <w:autoSpaceDN/>
        <w:bidi w:val="0"/>
        <w:adjustRightInd/>
        <w:snapToGrid/>
        <w:spacing w:line="360" w:lineRule="auto"/>
        <w:ind w:left="0" w:right="0"/>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3.8.1</w:t>
      </w:r>
      <w:r>
        <w:rPr>
          <w:rFonts w:ascii="宋体" w:hAnsi="宋体" w:eastAsia="宋体" w:cs="宋体"/>
          <w:b/>
          <w:bCs/>
          <w:color w:val="auto"/>
          <w:spacing w:val="-2"/>
          <w:sz w:val="28"/>
          <w:szCs w:val="28"/>
          <w:highlight w:val="none"/>
        </w:rPr>
        <w:t>与《全国矿产资源规划》符合性分析</w:t>
      </w:r>
    </w:p>
    <w:p w14:paraId="6F807F85">
      <w:pPr>
        <w:keepNext w:val="0"/>
        <w:keepLines w:val="0"/>
        <w:pageBreakBefore w:val="0"/>
        <w:widowControl/>
        <w:kinsoku/>
        <w:wordWrap/>
        <w:overflowPunct/>
        <w:topLinePunct w:val="0"/>
        <w:autoSpaceDE/>
        <w:autoSpaceDN/>
        <w:bidi w:val="0"/>
        <w:adjustRightInd/>
        <w:snapToGrid/>
        <w:spacing w:line="360" w:lineRule="auto"/>
        <w:ind w:left="0" w:right="0" w:firstLine="485"/>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《全国矿产资源规划》第四章第二节指出，“强化</w:t>
      </w:r>
      <w:r>
        <w:rPr>
          <w:rFonts w:ascii="宋体" w:hAnsi="宋体" w:eastAsia="宋体" w:cs="宋体"/>
          <w:color w:val="auto"/>
          <w:spacing w:val="-4"/>
          <w:sz w:val="24"/>
          <w:szCs w:val="24"/>
          <w:highlight w:val="none"/>
        </w:rPr>
        <w:t>东部老油区挖潜，加大中</w:t>
      </w:r>
      <w:r>
        <w:rPr>
          <w:rFonts w:ascii="宋体" w:hAnsi="宋体" w:eastAsia="宋体" w:cs="宋体"/>
          <w:color w:val="auto"/>
          <w:spacing w:val="-7"/>
          <w:sz w:val="24"/>
          <w:szCs w:val="24"/>
          <w:highlight w:val="none"/>
        </w:rPr>
        <w:t>西部油气开发力度，加快海域石油增储上产，力争石油年产</w:t>
      </w:r>
      <w:r>
        <w:rPr>
          <w:rFonts w:ascii="宋体" w:hAnsi="宋体" w:eastAsia="宋体" w:cs="宋体"/>
          <w:color w:val="auto"/>
          <w:spacing w:val="-8"/>
          <w:sz w:val="24"/>
          <w:szCs w:val="24"/>
          <w:highlight w:val="none"/>
        </w:rPr>
        <w:t>量保持在</w:t>
      </w:r>
      <w:r>
        <w:rPr>
          <w:rFonts w:ascii="Times New Roman" w:hAnsi="Times New Roman" w:eastAsia="Times New Roman" w:cs="Times New Roman"/>
          <w:color w:val="auto"/>
          <w:spacing w:val="-8"/>
          <w:sz w:val="24"/>
          <w:szCs w:val="24"/>
          <w:highlight w:val="none"/>
        </w:rPr>
        <w:t>2</w:t>
      </w:r>
      <w:r>
        <w:rPr>
          <w:rFonts w:ascii="宋体" w:hAnsi="宋体" w:eastAsia="宋体" w:cs="宋体"/>
          <w:color w:val="auto"/>
          <w:spacing w:val="-8"/>
          <w:sz w:val="24"/>
          <w:szCs w:val="24"/>
          <w:highlight w:val="none"/>
        </w:rPr>
        <w:t>亿吨左右。</w:t>
      </w:r>
      <w:r>
        <w:rPr>
          <w:rFonts w:ascii="宋体" w:hAnsi="宋体" w:eastAsia="宋体" w:cs="宋体"/>
          <w:color w:val="auto"/>
          <w:spacing w:val="-3"/>
          <w:sz w:val="24"/>
          <w:szCs w:val="24"/>
          <w:highlight w:val="none"/>
        </w:rPr>
        <w:t>东部地区以松辽盆地、渤海湾盆地为重点，加强精细勘探开发，积极发展先进采油技术，增储挖潜，努力减缓老油田产量递减。西部以塔里木、鄂尔多斯、准噶尔等盆地为重点，探明优质资源储量，实现增储稳产、力争上产。做强渤海、拓展南海、加快东海、探索黄海及其他海域，加快海洋石油勘探开发，保持老油田持续稳产，加快新区产能建设，大力提升海域石油产量。”本项目属于塔里木</w:t>
      </w:r>
      <w:r>
        <w:rPr>
          <w:rFonts w:hint="eastAsia" w:ascii="宋体" w:hAnsi="宋体" w:cs="宋体"/>
          <w:color w:val="auto"/>
          <w:spacing w:val="-3"/>
          <w:sz w:val="24"/>
          <w:szCs w:val="24"/>
          <w:highlight w:val="none"/>
          <w:lang w:val="en-US" w:eastAsia="zh-CN"/>
        </w:rPr>
        <w:t>盆地</w:t>
      </w:r>
      <w:r>
        <w:rPr>
          <w:rFonts w:ascii="宋体" w:hAnsi="宋体" w:eastAsia="宋体" w:cs="宋体"/>
          <w:color w:val="auto"/>
          <w:spacing w:val="-3"/>
          <w:sz w:val="24"/>
          <w:szCs w:val="24"/>
          <w:highlight w:val="none"/>
        </w:rPr>
        <w:t>区</w:t>
      </w:r>
      <w:r>
        <w:rPr>
          <w:rFonts w:ascii="宋体" w:hAnsi="宋体" w:eastAsia="宋体" w:cs="宋体"/>
          <w:color w:val="auto"/>
          <w:spacing w:val="-1"/>
          <w:sz w:val="24"/>
          <w:szCs w:val="24"/>
          <w:highlight w:val="none"/>
        </w:rPr>
        <w:t>域的原油开采项目，符合《全国矿产资源规划》要求。</w:t>
      </w:r>
    </w:p>
    <w:p w14:paraId="1C051518">
      <w:pPr>
        <w:keepNext w:val="0"/>
        <w:keepLines w:val="0"/>
        <w:pageBreakBefore w:val="0"/>
        <w:widowControl/>
        <w:kinsoku/>
        <w:wordWrap/>
        <w:overflowPunct/>
        <w:topLinePunct w:val="0"/>
        <w:autoSpaceDE/>
        <w:autoSpaceDN/>
        <w:bidi w:val="0"/>
        <w:adjustRightInd/>
        <w:snapToGrid/>
        <w:spacing w:line="360" w:lineRule="auto"/>
        <w:ind w:left="0" w:right="0"/>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z w:val="28"/>
          <w:szCs w:val="28"/>
          <w:highlight w:val="none"/>
        </w:rPr>
        <w:t>3.8.2</w:t>
      </w:r>
      <w:r>
        <w:rPr>
          <w:rFonts w:ascii="宋体" w:hAnsi="宋体" w:eastAsia="宋体" w:cs="宋体"/>
          <w:b/>
          <w:bCs/>
          <w:color w:val="auto"/>
          <w:sz w:val="28"/>
          <w:szCs w:val="28"/>
          <w:highlight w:val="none"/>
        </w:rPr>
        <w:t>与《新疆维吾尔自治区国民经济和社会发展第十四个五年规划</w:t>
      </w:r>
    </w:p>
    <w:p w14:paraId="5E43C181">
      <w:pPr>
        <w:keepNext w:val="0"/>
        <w:keepLines w:val="0"/>
        <w:pageBreakBefore w:val="0"/>
        <w:widowControl/>
        <w:kinsoku/>
        <w:wordWrap/>
        <w:overflowPunct/>
        <w:topLinePunct w:val="0"/>
        <w:autoSpaceDE/>
        <w:autoSpaceDN/>
        <w:bidi w:val="0"/>
        <w:adjustRightInd/>
        <w:snapToGrid/>
        <w:spacing w:line="360" w:lineRule="auto"/>
        <w:ind w:left="0" w:right="0"/>
        <w:textAlignment w:val="auto"/>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和</w:t>
      </w:r>
      <w:r>
        <w:rPr>
          <w:rFonts w:ascii="Times New Roman" w:hAnsi="Times New Roman" w:eastAsia="Times New Roman" w:cs="Times New Roman"/>
          <w:b/>
          <w:bCs/>
          <w:color w:val="auto"/>
          <w:spacing w:val="-3"/>
          <w:sz w:val="28"/>
          <w:szCs w:val="28"/>
          <w:highlight w:val="none"/>
        </w:rPr>
        <w:t>2035</w:t>
      </w:r>
      <w:r>
        <w:rPr>
          <w:rFonts w:ascii="宋体" w:hAnsi="宋体" w:eastAsia="宋体" w:cs="宋体"/>
          <w:b/>
          <w:bCs/>
          <w:color w:val="auto"/>
          <w:spacing w:val="-3"/>
          <w:sz w:val="28"/>
          <w:szCs w:val="28"/>
          <w:highlight w:val="none"/>
        </w:rPr>
        <w:t>年远景目标纲要》符合性分析</w:t>
      </w:r>
    </w:p>
    <w:p w14:paraId="49C80458">
      <w:pPr>
        <w:keepNext w:val="0"/>
        <w:keepLines w:val="0"/>
        <w:pageBreakBefore w:val="0"/>
        <w:widowControl/>
        <w:kinsoku/>
        <w:wordWrap/>
        <w:overflowPunct/>
        <w:topLinePunct w:val="0"/>
        <w:autoSpaceDE/>
        <w:autoSpaceDN/>
        <w:bidi w:val="0"/>
        <w:adjustRightInd/>
        <w:snapToGrid/>
        <w:spacing w:line="360" w:lineRule="auto"/>
        <w:ind w:left="0" w:right="0" w:firstLine="485"/>
        <w:jc w:val="both"/>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《新疆维吾尔自治区国民经济和社会发展第十四个五年规划和</w:t>
      </w:r>
      <w:r>
        <w:rPr>
          <w:rFonts w:ascii="Times New Roman" w:hAnsi="Times New Roman" w:eastAsia="Times New Roman" w:cs="Times New Roman"/>
          <w:color w:val="auto"/>
          <w:sz w:val="24"/>
          <w:szCs w:val="24"/>
          <w:highlight w:val="none"/>
        </w:rPr>
        <w:t>2035</w:t>
      </w:r>
      <w:r>
        <w:rPr>
          <w:rFonts w:ascii="宋体" w:hAnsi="宋体" w:eastAsia="宋体" w:cs="宋体"/>
          <w:color w:val="auto"/>
          <w:sz w:val="24"/>
          <w:szCs w:val="24"/>
          <w:highlight w:val="none"/>
        </w:rPr>
        <w:t>年远景目标纲要》第五篇第一章加快建设国家“</w:t>
      </w:r>
      <w:r>
        <w:rPr>
          <w:rFonts w:ascii="宋体" w:hAnsi="宋体" w:eastAsia="宋体" w:cs="宋体"/>
          <w:color w:val="auto"/>
          <w:spacing w:val="-1"/>
          <w:sz w:val="24"/>
          <w:szCs w:val="24"/>
          <w:highlight w:val="none"/>
        </w:rPr>
        <w:t>三基地一通道”中提出，“建设国家</w:t>
      </w:r>
      <w:r>
        <w:rPr>
          <w:rFonts w:ascii="宋体" w:hAnsi="宋体" w:eastAsia="宋体" w:cs="宋体"/>
          <w:color w:val="auto"/>
          <w:spacing w:val="-3"/>
          <w:sz w:val="24"/>
          <w:szCs w:val="24"/>
          <w:highlight w:val="none"/>
        </w:rPr>
        <w:t>大型油气生产加工和储备基地。加大准噶尔、吐哈、塔里木三大盆地油气勘</w:t>
      </w:r>
      <w:r>
        <w:rPr>
          <w:rFonts w:ascii="宋体" w:hAnsi="宋体" w:eastAsia="宋体" w:cs="宋体"/>
          <w:color w:val="auto"/>
          <w:spacing w:val="-4"/>
          <w:sz w:val="24"/>
          <w:szCs w:val="24"/>
          <w:highlight w:val="none"/>
        </w:rPr>
        <w:t>探开</w:t>
      </w:r>
      <w:r>
        <w:rPr>
          <w:rFonts w:ascii="宋体" w:hAnsi="宋体" w:eastAsia="宋体" w:cs="宋体"/>
          <w:color w:val="auto"/>
          <w:spacing w:val="-1"/>
          <w:sz w:val="24"/>
          <w:szCs w:val="24"/>
          <w:highlight w:val="none"/>
        </w:rPr>
        <w:t>发力度，提高新疆在油气资源开发利用转化</w:t>
      </w:r>
      <w:r>
        <w:rPr>
          <w:rFonts w:ascii="宋体" w:hAnsi="宋体" w:eastAsia="宋体" w:cs="宋体"/>
          <w:color w:val="auto"/>
          <w:spacing w:val="-2"/>
          <w:sz w:val="24"/>
          <w:szCs w:val="24"/>
          <w:highlight w:val="none"/>
        </w:rPr>
        <w:t>过程中的参与度。加快中石油玛湖、</w:t>
      </w:r>
      <w:r>
        <w:rPr>
          <w:rFonts w:ascii="宋体" w:hAnsi="宋体" w:eastAsia="宋体" w:cs="宋体"/>
          <w:color w:val="auto"/>
          <w:spacing w:val="-3"/>
          <w:sz w:val="24"/>
          <w:szCs w:val="24"/>
          <w:highlight w:val="none"/>
        </w:rPr>
        <w:t>吉木萨尔、准噶尔盆地南缘以及中石化顺北等大型油气田建设，促进油气增储上</w:t>
      </w:r>
      <w:r>
        <w:rPr>
          <w:rFonts w:ascii="宋体" w:hAnsi="宋体" w:eastAsia="宋体" w:cs="宋体"/>
          <w:color w:val="auto"/>
          <w:spacing w:val="-1"/>
          <w:sz w:val="24"/>
          <w:szCs w:val="24"/>
          <w:highlight w:val="none"/>
        </w:rPr>
        <w:t>产。加强成品油储备，提升油气供应保障能力”。</w:t>
      </w:r>
    </w:p>
    <w:p w14:paraId="56145C37">
      <w:pPr>
        <w:keepNext w:val="0"/>
        <w:keepLines w:val="0"/>
        <w:pageBreakBefore w:val="0"/>
        <w:widowControl/>
        <w:kinsoku/>
        <w:wordWrap/>
        <w:overflowPunct/>
        <w:topLinePunct w:val="0"/>
        <w:autoSpaceDE/>
        <w:autoSpaceDN/>
        <w:bidi w:val="0"/>
        <w:adjustRightInd/>
        <w:snapToGrid/>
        <w:spacing w:line="360" w:lineRule="auto"/>
        <w:ind w:left="0" w:right="0" w:firstLine="477"/>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本项目属于塔里木盆地油气基地，符合《新疆维吾尔自治区国</w:t>
      </w:r>
      <w:r>
        <w:rPr>
          <w:rFonts w:ascii="宋体" w:hAnsi="宋体" w:eastAsia="宋体" w:cs="宋体"/>
          <w:color w:val="auto"/>
          <w:spacing w:val="-4"/>
          <w:sz w:val="24"/>
          <w:szCs w:val="24"/>
          <w:highlight w:val="none"/>
        </w:rPr>
        <w:t>民经济和社会</w:t>
      </w:r>
      <w:r>
        <w:rPr>
          <w:rFonts w:ascii="宋体" w:hAnsi="宋体" w:eastAsia="宋体" w:cs="宋体"/>
          <w:color w:val="auto"/>
          <w:spacing w:val="-1"/>
          <w:sz w:val="24"/>
          <w:szCs w:val="24"/>
          <w:highlight w:val="none"/>
        </w:rPr>
        <w:t>发展第十四个五年规划和</w:t>
      </w:r>
      <w:r>
        <w:rPr>
          <w:rFonts w:ascii="Times New Roman" w:hAnsi="Times New Roman" w:eastAsia="Times New Roman" w:cs="Times New Roman"/>
          <w:color w:val="auto"/>
          <w:spacing w:val="-1"/>
          <w:sz w:val="24"/>
          <w:szCs w:val="24"/>
          <w:highlight w:val="none"/>
        </w:rPr>
        <w:t>2035</w:t>
      </w:r>
      <w:r>
        <w:rPr>
          <w:rFonts w:ascii="宋体" w:hAnsi="宋体" w:eastAsia="宋体" w:cs="宋体"/>
          <w:color w:val="auto"/>
          <w:spacing w:val="-1"/>
          <w:sz w:val="24"/>
          <w:szCs w:val="24"/>
          <w:highlight w:val="none"/>
        </w:rPr>
        <w:t>年远景目标纲要》的要求。</w:t>
      </w:r>
    </w:p>
    <w:p w14:paraId="4BE53776">
      <w:pPr>
        <w:keepNext w:val="0"/>
        <w:keepLines w:val="0"/>
        <w:pageBreakBefore w:val="0"/>
        <w:widowControl/>
        <w:kinsoku/>
        <w:wordWrap/>
        <w:overflowPunct/>
        <w:topLinePunct w:val="0"/>
        <w:autoSpaceDE/>
        <w:autoSpaceDN/>
        <w:bidi w:val="0"/>
        <w:adjustRightInd/>
        <w:snapToGrid/>
        <w:spacing w:line="360" w:lineRule="auto"/>
        <w:ind w:left="0" w:right="0"/>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2"/>
          <w:sz w:val="28"/>
          <w:szCs w:val="28"/>
          <w:highlight w:val="none"/>
        </w:rPr>
        <w:t>3.8.3</w:t>
      </w:r>
      <w:r>
        <w:rPr>
          <w:rFonts w:ascii="宋体" w:hAnsi="宋体" w:eastAsia="宋体" w:cs="宋体"/>
          <w:b/>
          <w:bCs/>
          <w:color w:val="auto"/>
          <w:spacing w:val="-2"/>
          <w:sz w:val="28"/>
          <w:szCs w:val="28"/>
          <w:highlight w:val="none"/>
        </w:rPr>
        <w:t>与国土空间规划的符合性分析</w:t>
      </w:r>
    </w:p>
    <w:p w14:paraId="78880FCE">
      <w:pPr>
        <w:keepNext w:val="0"/>
        <w:keepLines w:val="0"/>
        <w:pageBreakBefore w:val="0"/>
        <w:widowControl/>
        <w:kinsoku/>
        <w:wordWrap/>
        <w:overflowPunct/>
        <w:topLinePunct w:val="0"/>
        <w:autoSpaceDE/>
        <w:autoSpaceDN/>
        <w:bidi w:val="0"/>
        <w:adjustRightInd/>
        <w:snapToGrid/>
        <w:spacing w:line="360" w:lineRule="auto"/>
        <w:ind w:left="0" w:right="0" w:firstLine="509"/>
        <w:jc w:val="both"/>
        <w:textAlignment w:val="auto"/>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与《新疆维吾尔自治区国土空间规划（2021-2035年）》（国函〔2024〕</w:t>
      </w:r>
    </w:p>
    <w:p w14:paraId="18C09C7B">
      <w:pPr>
        <w:keepNext w:val="0"/>
        <w:keepLines w:val="0"/>
        <w:pageBreakBefore w:val="0"/>
        <w:widowControl/>
        <w:kinsoku/>
        <w:wordWrap/>
        <w:overflowPunct/>
        <w:topLinePunct w:val="0"/>
        <w:autoSpaceDE/>
        <w:autoSpaceDN/>
        <w:bidi w:val="0"/>
        <w:adjustRightInd/>
        <w:snapToGrid/>
        <w:spacing w:line="360" w:lineRule="auto"/>
        <w:ind w:left="0" w:right="0" w:firstLine="509"/>
        <w:jc w:val="both"/>
        <w:textAlignment w:val="auto"/>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70号）符合性分析</w:t>
      </w:r>
    </w:p>
    <w:p w14:paraId="0D4EBD05">
      <w:pPr>
        <w:keepNext w:val="0"/>
        <w:keepLines w:val="0"/>
        <w:pageBreakBefore w:val="0"/>
        <w:widowControl/>
        <w:kinsoku/>
        <w:wordWrap/>
        <w:overflowPunct/>
        <w:topLinePunct w:val="0"/>
        <w:autoSpaceDE/>
        <w:autoSpaceDN/>
        <w:bidi w:val="0"/>
        <w:adjustRightInd/>
        <w:snapToGrid/>
        <w:spacing w:line="360" w:lineRule="auto"/>
        <w:ind w:left="0" w:right="0" w:firstLine="509"/>
        <w:jc w:val="both"/>
        <w:textAlignment w:val="auto"/>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国务院于</w:t>
      </w:r>
      <w:r>
        <w:rPr>
          <w:rFonts w:ascii="Times New Roman" w:hAnsi="Times New Roman" w:eastAsia="Times New Roman" w:cs="Times New Roman"/>
          <w:color w:val="auto"/>
          <w:spacing w:val="-8"/>
          <w:sz w:val="24"/>
          <w:szCs w:val="24"/>
          <w:highlight w:val="none"/>
        </w:rPr>
        <w:t>2024</w:t>
      </w:r>
      <w:r>
        <w:rPr>
          <w:rFonts w:ascii="宋体" w:hAnsi="宋体" w:eastAsia="宋体" w:cs="宋体"/>
          <w:color w:val="auto"/>
          <w:spacing w:val="-8"/>
          <w:sz w:val="24"/>
          <w:szCs w:val="24"/>
          <w:highlight w:val="none"/>
        </w:rPr>
        <w:t>年</w:t>
      </w:r>
      <w:r>
        <w:rPr>
          <w:rFonts w:ascii="Times New Roman" w:hAnsi="Times New Roman" w:eastAsia="Times New Roman" w:cs="Times New Roman"/>
          <w:color w:val="auto"/>
          <w:spacing w:val="-8"/>
          <w:sz w:val="24"/>
          <w:szCs w:val="24"/>
          <w:highlight w:val="none"/>
        </w:rPr>
        <w:t>5</w:t>
      </w:r>
      <w:r>
        <w:rPr>
          <w:rFonts w:ascii="宋体" w:hAnsi="宋体" w:eastAsia="宋体" w:cs="宋体"/>
          <w:color w:val="auto"/>
          <w:spacing w:val="-8"/>
          <w:sz w:val="24"/>
          <w:szCs w:val="24"/>
          <w:highlight w:val="none"/>
        </w:rPr>
        <w:t>月</w:t>
      </w:r>
      <w:r>
        <w:rPr>
          <w:rFonts w:ascii="Times New Roman" w:hAnsi="Times New Roman" w:eastAsia="Times New Roman" w:cs="Times New Roman"/>
          <w:color w:val="auto"/>
          <w:spacing w:val="-8"/>
          <w:sz w:val="24"/>
          <w:szCs w:val="24"/>
          <w:highlight w:val="none"/>
        </w:rPr>
        <w:t>17</w:t>
      </w:r>
      <w:r>
        <w:rPr>
          <w:rFonts w:ascii="宋体" w:hAnsi="宋体" w:eastAsia="宋体" w:cs="宋体"/>
          <w:color w:val="auto"/>
          <w:spacing w:val="-8"/>
          <w:sz w:val="24"/>
          <w:szCs w:val="24"/>
          <w:highlight w:val="none"/>
        </w:rPr>
        <w:t>日对《新疆维吾尔自治区国土空间规划（</w:t>
      </w:r>
      <w:r>
        <w:rPr>
          <w:rFonts w:ascii="Times New Roman" w:hAnsi="Times New Roman" w:eastAsia="Times New Roman" w:cs="Times New Roman"/>
          <w:color w:val="auto"/>
          <w:spacing w:val="-8"/>
          <w:sz w:val="24"/>
          <w:szCs w:val="24"/>
          <w:highlight w:val="none"/>
        </w:rPr>
        <w:t>2021-2035</w:t>
      </w:r>
      <w:r>
        <w:rPr>
          <w:rFonts w:ascii="宋体" w:hAnsi="宋体" w:eastAsia="宋体" w:cs="宋体"/>
          <w:color w:val="auto"/>
          <w:spacing w:val="-2"/>
          <w:sz w:val="24"/>
          <w:szCs w:val="24"/>
          <w:highlight w:val="none"/>
        </w:rPr>
        <w:t>年）》进行了批复。规划指出，到</w:t>
      </w:r>
      <w:r>
        <w:rPr>
          <w:rFonts w:ascii="Times New Roman" w:hAnsi="Times New Roman" w:eastAsia="Times New Roman" w:cs="Times New Roman"/>
          <w:color w:val="auto"/>
          <w:spacing w:val="-2"/>
          <w:sz w:val="24"/>
          <w:szCs w:val="24"/>
          <w:highlight w:val="none"/>
        </w:rPr>
        <w:t>2035</w:t>
      </w:r>
      <w:r>
        <w:rPr>
          <w:rFonts w:ascii="宋体" w:hAnsi="宋体" w:eastAsia="宋体" w:cs="宋体"/>
          <w:color w:val="auto"/>
          <w:spacing w:val="-2"/>
          <w:sz w:val="24"/>
          <w:szCs w:val="24"/>
          <w:highlight w:val="none"/>
        </w:rPr>
        <w:t>年，新疆耕地保有量不低于</w:t>
      </w:r>
      <w:r>
        <w:rPr>
          <w:rFonts w:ascii="Times New Roman" w:hAnsi="Times New Roman" w:eastAsia="Times New Roman" w:cs="Times New Roman"/>
          <w:color w:val="auto"/>
          <w:spacing w:val="-2"/>
          <w:sz w:val="24"/>
          <w:szCs w:val="24"/>
          <w:highlight w:val="none"/>
        </w:rPr>
        <w:t>1012</w:t>
      </w:r>
      <w:r>
        <w:rPr>
          <w:rFonts w:ascii="Times New Roman" w:hAnsi="Times New Roman" w:eastAsia="Times New Roman" w:cs="Times New Roman"/>
          <w:color w:val="auto"/>
          <w:spacing w:val="-3"/>
          <w:sz w:val="24"/>
          <w:szCs w:val="24"/>
          <w:highlight w:val="none"/>
        </w:rPr>
        <w:t>1.00</w:t>
      </w:r>
      <w:r>
        <w:rPr>
          <w:rFonts w:ascii="宋体" w:hAnsi="宋体" w:eastAsia="宋体" w:cs="宋体"/>
          <w:color w:val="auto"/>
          <w:spacing w:val="-3"/>
          <w:sz w:val="24"/>
          <w:szCs w:val="24"/>
          <w:highlight w:val="none"/>
        </w:rPr>
        <w:t>万</w:t>
      </w:r>
      <w:r>
        <w:rPr>
          <w:rFonts w:ascii="宋体" w:hAnsi="宋体" w:eastAsia="宋体" w:cs="宋体"/>
          <w:color w:val="auto"/>
          <w:spacing w:val="-2"/>
          <w:sz w:val="24"/>
          <w:szCs w:val="24"/>
          <w:highlight w:val="none"/>
        </w:rPr>
        <w:t>亩，其中永久基本农田保护面积不低于</w:t>
      </w:r>
      <w:r>
        <w:rPr>
          <w:rFonts w:ascii="Times New Roman" w:hAnsi="Times New Roman" w:eastAsia="Times New Roman" w:cs="Times New Roman"/>
          <w:color w:val="auto"/>
          <w:spacing w:val="-2"/>
          <w:sz w:val="24"/>
          <w:szCs w:val="24"/>
          <w:highlight w:val="none"/>
        </w:rPr>
        <w:t>8223.83</w:t>
      </w:r>
      <w:r>
        <w:rPr>
          <w:rFonts w:ascii="宋体" w:hAnsi="宋体" w:eastAsia="宋体" w:cs="宋体"/>
          <w:color w:val="auto"/>
          <w:spacing w:val="-2"/>
          <w:sz w:val="24"/>
          <w:szCs w:val="24"/>
          <w:highlight w:val="none"/>
        </w:rPr>
        <w:t>万亩；生态保护红线面积不低于</w:t>
      </w:r>
      <w:r>
        <w:rPr>
          <w:rFonts w:ascii="Times New Roman" w:hAnsi="Times New Roman" w:eastAsia="Times New Roman" w:cs="Times New Roman"/>
          <w:color w:val="auto"/>
          <w:spacing w:val="-3"/>
          <w:sz w:val="24"/>
          <w:szCs w:val="24"/>
          <w:highlight w:val="none"/>
        </w:rPr>
        <w:t>42.33</w:t>
      </w:r>
      <w:r>
        <w:rPr>
          <w:rFonts w:ascii="宋体" w:hAnsi="宋体" w:eastAsia="宋体" w:cs="宋体"/>
          <w:color w:val="auto"/>
          <w:spacing w:val="-3"/>
          <w:sz w:val="24"/>
          <w:szCs w:val="24"/>
          <w:highlight w:val="none"/>
        </w:rPr>
        <w:t>万平方千米；城镇开发边界扩展倍数控制在基于</w:t>
      </w:r>
      <w:r>
        <w:rPr>
          <w:rFonts w:ascii="Times New Roman" w:hAnsi="Times New Roman" w:eastAsia="Times New Roman" w:cs="Times New Roman"/>
          <w:color w:val="auto"/>
          <w:spacing w:val="-3"/>
          <w:sz w:val="24"/>
          <w:szCs w:val="24"/>
          <w:highlight w:val="none"/>
        </w:rPr>
        <w:t>2020</w:t>
      </w:r>
      <w:r>
        <w:rPr>
          <w:rFonts w:ascii="宋体" w:hAnsi="宋体" w:eastAsia="宋体" w:cs="宋体"/>
          <w:color w:val="auto"/>
          <w:spacing w:val="-3"/>
          <w:sz w:val="24"/>
          <w:szCs w:val="24"/>
          <w:highlight w:val="none"/>
        </w:rPr>
        <w:t>年城镇建设用地规模</w:t>
      </w:r>
      <w:r>
        <w:rPr>
          <w:rFonts w:ascii="宋体" w:hAnsi="宋体" w:eastAsia="宋体" w:cs="宋体"/>
          <w:color w:val="auto"/>
          <w:spacing w:val="1"/>
          <w:sz w:val="24"/>
          <w:szCs w:val="24"/>
          <w:highlight w:val="none"/>
        </w:rPr>
        <w:t>的</w:t>
      </w:r>
      <w:r>
        <w:rPr>
          <w:rFonts w:ascii="Times New Roman" w:hAnsi="Times New Roman" w:eastAsia="Times New Roman" w:cs="Times New Roman"/>
          <w:color w:val="auto"/>
          <w:spacing w:val="1"/>
          <w:sz w:val="24"/>
          <w:szCs w:val="24"/>
          <w:highlight w:val="none"/>
        </w:rPr>
        <w:t>1.35</w:t>
      </w:r>
      <w:r>
        <w:rPr>
          <w:rFonts w:ascii="宋体" w:hAnsi="宋体" w:eastAsia="宋体" w:cs="宋体"/>
          <w:color w:val="auto"/>
          <w:spacing w:val="1"/>
          <w:sz w:val="24"/>
          <w:szCs w:val="24"/>
          <w:highlight w:val="none"/>
        </w:rPr>
        <w:t>倍以内；落实战略性矿产资源等安全保障空间，全面锚固高质量发展的</w:t>
      </w:r>
      <w:r>
        <w:rPr>
          <w:rFonts w:ascii="宋体" w:hAnsi="宋体" w:eastAsia="宋体" w:cs="宋体"/>
          <w:color w:val="auto"/>
          <w:spacing w:val="-3"/>
          <w:sz w:val="24"/>
          <w:szCs w:val="24"/>
          <w:highlight w:val="none"/>
        </w:rPr>
        <w:t>空间底线。发挥区域比较优势，优化主体功能定位，细化主体功能区划分。筑牢塔里木河等生态安全屏障，构建生物多样性保护网络，加强天然林和草原保护修复，扎实推进山水林田湖草沙一体化保护和系统治理。建设好国家大型油气生产加工和储备基地、大型煤炭煤电煤化工基地、大型风光电基地和国家能源资源陆</w:t>
      </w:r>
      <w:r>
        <w:rPr>
          <w:rFonts w:ascii="宋体" w:hAnsi="宋体" w:eastAsia="宋体" w:cs="宋体"/>
          <w:color w:val="auto"/>
          <w:spacing w:val="-1"/>
          <w:sz w:val="24"/>
          <w:szCs w:val="24"/>
          <w:highlight w:val="none"/>
        </w:rPr>
        <w:t>上大通道，保障战略性矿产资源安全。</w:t>
      </w:r>
    </w:p>
    <w:p w14:paraId="6FA35F77">
      <w:pPr>
        <w:keepNext w:val="0"/>
        <w:keepLines w:val="0"/>
        <w:pageBreakBefore w:val="0"/>
        <w:widowControl/>
        <w:kinsoku/>
        <w:wordWrap/>
        <w:overflowPunct/>
        <w:topLinePunct w:val="0"/>
        <w:autoSpaceDE/>
        <w:autoSpaceDN/>
        <w:bidi w:val="0"/>
        <w:adjustRightInd/>
        <w:snapToGrid/>
        <w:spacing w:line="360" w:lineRule="auto"/>
        <w:ind w:left="0" w:right="0" w:firstLine="48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本项目属于石油开采项目，所在区域不压占耕地、基本农田、</w:t>
      </w:r>
      <w:r>
        <w:rPr>
          <w:rFonts w:ascii="宋体" w:hAnsi="宋体" w:eastAsia="宋体" w:cs="宋体"/>
          <w:color w:val="auto"/>
          <w:spacing w:val="-4"/>
          <w:sz w:val="24"/>
          <w:szCs w:val="24"/>
          <w:highlight w:val="none"/>
        </w:rPr>
        <w:t>生态保护红线</w:t>
      </w:r>
      <w:r>
        <w:rPr>
          <w:rFonts w:ascii="宋体" w:hAnsi="宋体" w:eastAsia="宋体" w:cs="宋体"/>
          <w:color w:val="auto"/>
          <w:spacing w:val="-3"/>
          <w:sz w:val="24"/>
          <w:szCs w:val="24"/>
          <w:highlight w:val="none"/>
        </w:rPr>
        <w:t>以及城镇开发边界，项目建设符合区域主体功能定位，对生态环境影响较小，符</w:t>
      </w:r>
      <w:r>
        <w:rPr>
          <w:rFonts w:ascii="宋体" w:hAnsi="宋体" w:eastAsia="宋体" w:cs="宋体"/>
          <w:color w:val="auto"/>
          <w:sz w:val="24"/>
          <w:szCs w:val="24"/>
          <w:highlight w:val="none"/>
        </w:rPr>
        <w:t>合《新疆维吾尔自治区国土空间规划（</w:t>
      </w:r>
      <w:r>
        <w:rPr>
          <w:rFonts w:ascii="Times New Roman" w:hAnsi="Times New Roman" w:eastAsia="Times New Roman" w:cs="Times New Roman"/>
          <w:color w:val="auto"/>
          <w:sz w:val="24"/>
          <w:szCs w:val="24"/>
          <w:highlight w:val="none"/>
        </w:rPr>
        <w:t>2021-</w:t>
      </w:r>
      <w:r>
        <w:rPr>
          <w:rFonts w:ascii="Times New Roman" w:hAnsi="Times New Roman" w:eastAsia="Times New Roman" w:cs="Times New Roman"/>
          <w:color w:val="auto"/>
          <w:spacing w:val="-1"/>
          <w:sz w:val="24"/>
          <w:szCs w:val="24"/>
          <w:highlight w:val="none"/>
        </w:rPr>
        <w:t>2035</w:t>
      </w:r>
      <w:r>
        <w:rPr>
          <w:rFonts w:ascii="宋体" w:hAnsi="宋体" w:eastAsia="宋体" w:cs="宋体"/>
          <w:color w:val="auto"/>
          <w:spacing w:val="-1"/>
          <w:sz w:val="24"/>
          <w:szCs w:val="24"/>
          <w:highlight w:val="none"/>
        </w:rPr>
        <w:t>年）》相关要求。</w:t>
      </w:r>
    </w:p>
    <w:p w14:paraId="7656AC5D">
      <w:pPr>
        <w:keepNext w:val="0"/>
        <w:keepLines w:val="0"/>
        <w:pageBreakBefore w:val="0"/>
        <w:widowControl/>
        <w:kinsoku/>
        <w:wordWrap/>
        <w:overflowPunct/>
        <w:topLinePunct w:val="0"/>
        <w:autoSpaceDE/>
        <w:autoSpaceDN/>
        <w:bidi w:val="0"/>
        <w:adjustRightInd/>
        <w:snapToGrid/>
        <w:spacing w:line="360" w:lineRule="auto"/>
        <w:ind w:left="0" w:right="0" w:firstLine="509"/>
        <w:jc w:val="both"/>
        <w:textAlignment w:val="auto"/>
        <w:rPr>
          <w:rFonts w:hint="default" w:ascii="Times New Roman" w:hAnsi="Times New Roman" w:eastAsia="宋体" w:cs="Times New Roman"/>
          <w:b/>
          <w:bCs/>
          <w:color w:val="auto"/>
          <w:spacing w:val="-2"/>
          <w:sz w:val="24"/>
          <w:szCs w:val="24"/>
          <w:highlight w:val="none"/>
          <w:lang w:val="en-US" w:eastAsia="zh-CN"/>
        </w:rPr>
      </w:pPr>
      <w:r>
        <w:rPr>
          <w:rFonts w:hint="eastAsia" w:ascii="Times New Roman" w:hAnsi="Times New Roman" w:eastAsia="宋体"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lang w:val="en-US" w:eastAsia="zh-CN"/>
        </w:rPr>
        <w:t>与《阿克苏地区国土空间总体规划（2021年-2035年）》符合性分析</w:t>
      </w:r>
    </w:p>
    <w:p w14:paraId="7363222E">
      <w:pPr>
        <w:keepNext w:val="0"/>
        <w:keepLines w:val="0"/>
        <w:pageBreakBefore w:val="0"/>
        <w:widowControl/>
        <w:kinsoku/>
        <w:wordWrap/>
        <w:overflowPunct/>
        <w:topLinePunct w:val="0"/>
        <w:autoSpaceDE/>
        <w:autoSpaceDN/>
        <w:bidi w:val="0"/>
        <w:adjustRightInd/>
        <w:snapToGrid/>
        <w:spacing w:line="360" w:lineRule="auto"/>
        <w:ind w:left="0" w:right="0" w:firstLine="478"/>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规划聚焦社会稳定和长治久安总目标，以贯彻新发展理念、推</w:t>
      </w:r>
      <w:r>
        <w:rPr>
          <w:rFonts w:ascii="宋体" w:hAnsi="宋体" w:eastAsia="宋体" w:cs="宋体"/>
          <w:color w:val="auto"/>
          <w:spacing w:val="-4"/>
          <w:sz w:val="24"/>
          <w:szCs w:val="24"/>
          <w:highlight w:val="none"/>
        </w:rPr>
        <w:t>动高质量发展</w:t>
      </w:r>
      <w:r>
        <w:rPr>
          <w:rFonts w:ascii="宋体" w:hAnsi="宋体" w:eastAsia="宋体" w:cs="宋体"/>
          <w:color w:val="auto"/>
          <w:spacing w:val="-3"/>
          <w:sz w:val="24"/>
          <w:szCs w:val="24"/>
          <w:highlight w:val="none"/>
        </w:rPr>
        <w:t>为主题，强化粮食安全、生态安全和边境安全保障作用，加强生态修复以及</w:t>
      </w:r>
      <w:r>
        <w:rPr>
          <w:rFonts w:ascii="宋体" w:hAnsi="宋体" w:eastAsia="宋体" w:cs="宋体"/>
          <w:color w:val="auto"/>
          <w:spacing w:val="-4"/>
          <w:sz w:val="24"/>
          <w:szCs w:val="24"/>
          <w:highlight w:val="none"/>
        </w:rPr>
        <w:t>生态</w:t>
      </w:r>
      <w:r>
        <w:rPr>
          <w:rFonts w:ascii="宋体" w:hAnsi="宋体" w:eastAsia="宋体" w:cs="宋体"/>
          <w:color w:val="auto"/>
          <w:spacing w:val="-3"/>
          <w:sz w:val="24"/>
          <w:szCs w:val="24"/>
          <w:highlight w:val="none"/>
        </w:rPr>
        <w:t>治理力度，加快推进生态修复工程，恢</w:t>
      </w:r>
      <w:r>
        <w:rPr>
          <w:rFonts w:hint="eastAsia" w:ascii="宋体" w:hAnsi="宋体" w:cs="宋体"/>
          <w:color w:val="auto"/>
          <w:spacing w:val="-3"/>
          <w:sz w:val="24"/>
          <w:szCs w:val="24"/>
          <w:highlight w:val="none"/>
          <w:lang w:eastAsia="zh-CN"/>
        </w:rPr>
        <w:t>复和</w:t>
      </w:r>
      <w:r>
        <w:rPr>
          <w:rFonts w:ascii="宋体" w:hAnsi="宋体" w:eastAsia="宋体" w:cs="宋体"/>
          <w:color w:val="auto"/>
          <w:spacing w:val="-3"/>
          <w:sz w:val="24"/>
          <w:szCs w:val="24"/>
          <w:highlight w:val="none"/>
        </w:rPr>
        <w:t>保持地区生态环境，成为国</w:t>
      </w:r>
      <w:r>
        <w:rPr>
          <w:rFonts w:ascii="宋体" w:hAnsi="宋体" w:eastAsia="宋体" w:cs="宋体"/>
          <w:color w:val="auto"/>
          <w:spacing w:val="-4"/>
          <w:sz w:val="24"/>
          <w:szCs w:val="24"/>
          <w:highlight w:val="none"/>
        </w:rPr>
        <w:t>家西部地区</w:t>
      </w:r>
      <w:r>
        <w:rPr>
          <w:rFonts w:ascii="宋体" w:hAnsi="宋体" w:eastAsia="宋体" w:cs="宋体"/>
          <w:color w:val="auto"/>
          <w:spacing w:val="-3"/>
          <w:sz w:val="24"/>
          <w:szCs w:val="24"/>
          <w:highlight w:val="none"/>
        </w:rPr>
        <w:t>重要的生态屏障。统筹划定三条控制线，坚决落实最严格的耕地保护制度，严守耕地保护红线，将达到质量要求的优质耕地依法划入永久基本农田，实施特殊保护</w:t>
      </w:r>
      <w:r>
        <w:rPr>
          <w:rFonts w:hint="eastAsia" w:ascii="宋体" w:hAnsi="宋体" w:cs="宋体"/>
          <w:color w:val="auto"/>
          <w:spacing w:val="-3"/>
          <w:sz w:val="24"/>
          <w:szCs w:val="24"/>
          <w:highlight w:val="none"/>
          <w:lang w:eastAsia="zh-CN"/>
        </w:rPr>
        <w:t>；对</w:t>
      </w:r>
      <w:r>
        <w:rPr>
          <w:rFonts w:ascii="宋体" w:hAnsi="宋体" w:eastAsia="宋体" w:cs="宋体"/>
          <w:color w:val="auto"/>
          <w:spacing w:val="-3"/>
          <w:sz w:val="24"/>
          <w:szCs w:val="24"/>
          <w:highlight w:val="none"/>
        </w:rPr>
        <w:t>已经划定的永久基本农田全面梳理整改，有序推进永久基本农田划定成果核实确保永久基本农田数量不减少、质量不降低、生态有改善；以资源环境承</w:t>
      </w:r>
      <w:r>
        <w:rPr>
          <w:rFonts w:ascii="宋体" w:hAnsi="宋体" w:eastAsia="宋体" w:cs="宋体"/>
          <w:color w:val="auto"/>
          <w:spacing w:val="-4"/>
          <w:sz w:val="24"/>
          <w:szCs w:val="24"/>
          <w:highlight w:val="none"/>
        </w:rPr>
        <w:t>载力为硬约束，结合“双评价”中生态保护极重要区评价，强调生态涵养，落实</w:t>
      </w:r>
      <w:r>
        <w:rPr>
          <w:rFonts w:hint="eastAsia" w:ascii="宋体" w:hAnsi="宋体" w:cs="宋体"/>
          <w:color w:val="auto"/>
          <w:spacing w:val="-4"/>
          <w:sz w:val="24"/>
          <w:szCs w:val="24"/>
          <w:highlight w:val="none"/>
          <w:lang w:eastAsia="zh-CN"/>
        </w:rPr>
        <w:t>生态保护红线</w:t>
      </w:r>
      <w:r>
        <w:rPr>
          <w:rFonts w:ascii="宋体" w:hAnsi="宋体" w:eastAsia="宋体" w:cs="宋体"/>
          <w:color w:val="auto"/>
          <w:spacing w:val="-3"/>
          <w:sz w:val="24"/>
          <w:szCs w:val="24"/>
          <w:highlight w:val="none"/>
        </w:rPr>
        <w:t>要求，切实做到应划尽划，应保尽保，实现一条生态保护红线管控重要生态空间；坚持节约优先、保护优先，严控增量、盘活存量，优化结构、提升效率，提高城镇建设用地集约化程度；在综合考虑城镇定位、发展方向和综合承载</w:t>
      </w:r>
      <w:r>
        <w:rPr>
          <w:rFonts w:ascii="宋体" w:hAnsi="宋体" w:eastAsia="宋体" w:cs="宋体"/>
          <w:color w:val="auto"/>
          <w:spacing w:val="-1"/>
          <w:sz w:val="24"/>
          <w:szCs w:val="24"/>
          <w:highlight w:val="none"/>
        </w:rPr>
        <w:t>能力的基础上，科学研判城镇发展需求，优化城镇形态和布局</w:t>
      </w:r>
      <w:r>
        <w:rPr>
          <w:rFonts w:ascii="宋体" w:hAnsi="宋体" w:eastAsia="宋体" w:cs="宋体"/>
          <w:color w:val="auto"/>
          <w:spacing w:val="-2"/>
          <w:sz w:val="24"/>
          <w:szCs w:val="24"/>
          <w:highlight w:val="none"/>
        </w:rPr>
        <w:t>，促进城镇有序、</w:t>
      </w:r>
      <w:r>
        <w:rPr>
          <w:rFonts w:ascii="宋体" w:hAnsi="宋体" w:eastAsia="宋体" w:cs="宋体"/>
          <w:color w:val="auto"/>
          <w:spacing w:val="-1"/>
          <w:sz w:val="24"/>
          <w:szCs w:val="24"/>
          <w:highlight w:val="none"/>
        </w:rPr>
        <w:t>适度、紧凑发展，实现多中心、网络化、组团式、集约型的城</w:t>
      </w:r>
      <w:r>
        <w:rPr>
          <w:rFonts w:ascii="宋体" w:hAnsi="宋体" w:eastAsia="宋体" w:cs="宋体"/>
          <w:color w:val="auto"/>
          <w:spacing w:val="-2"/>
          <w:sz w:val="24"/>
          <w:szCs w:val="24"/>
          <w:highlight w:val="none"/>
        </w:rPr>
        <w:t>乡国土空间格局。</w:t>
      </w:r>
      <w:r>
        <w:rPr>
          <w:rFonts w:ascii="宋体" w:hAnsi="宋体" w:eastAsia="宋体" w:cs="宋体"/>
          <w:color w:val="auto"/>
          <w:spacing w:val="-16"/>
          <w:sz w:val="24"/>
          <w:szCs w:val="24"/>
          <w:highlight w:val="none"/>
        </w:rPr>
        <w:t>构建“两廊·八带·四区·多点”的区域生态保</w:t>
      </w:r>
      <w:r>
        <w:rPr>
          <w:rFonts w:ascii="宋体" w:hAnsi="宋体" w:eastAsia="宋体" w:cs="宋体"/>
          <w:color w:val="auto"/>
          <w:spacing w:val="-17"/>
          <w:sz w:val="24"/>
          <w:szCs w:val="24"/>
          <w:highlight w:val="none"/>
        </w:rPr>
        <w:t>护格局；统筹构建生态安全格局，</w:t>
      </w:r>
      <w:r>
        <w:rPr>
          <w:rFonts w:ascii="宋体" w:hAnsi="宋体" w:eastAsia="宋体" w:cs="宋体"/>
          <w:color w:val="auto"/>
          <w:spacing w:val="-3"/>
          <w:sz w:val="24"/>
          <w:szCs w:val="24"/>
          <w:highlight w:val="none"/>
        </w:rPr>
        <w:t>巩固生态治理成果，注重全域生态环境，逐步形成以自然保护区、自然公园为主</w:t>
      </w:r>
      <w:r>
        <w:rPr>
          <w:rFonts w:ascii="宋体" w:hAnsi="宋体" w:eastAsia="宋体" w:cs="宋体"/>
          <w:color w:val="auto"/>
          <w:sz w:val="24"/>
          <w:szCs w:val="24"/>
          <w:highlight w:val="none"/>
        </w:rPr>
        <w:t>的自然保护地体系；规划到</w:t>
      </w:r>
      <w:r>
        <w:rPr>
          <w:rFonts w:ascii="Times New Roman" w:hAnsi="Times New Roman" w:eastAsia="Times New Roman" w:cs="Times New Roman"/>
          <w:color w:val="auto"/>
          <w:sz w:val="24"/>
          <w:szCs w:val="24"/>
          <w:highlight w:val="none"/>
        </w:rPr>
        <w:t>2035</w:t>
      </w:r>
      <w:r>
        <w:rPr>
          <w:rFonts w:ascii="宋体" w:hAnsi="宋体" w:eastAsia="宋体" w:cs="宋体"/>
          <w:color w:val="auto"/>
          <w:sz w:val="24"/>
          <w:szCs w:val="24"/>
          <w:highlight w:val="none"/>
        </w:rPr>
        <w:t>年，实现地区生态环境质量总体改善，生态系</w:t>
      </w:r>
      <w:r>
        <w:rPr>
          <w:rFonts w:ascii="宋体" w:hAnsi="宋体" w:eastAsia="宋体" w:cs="宋体"/>
          <w:color w:val="auto"/>
          <w:spacing w:val="-1"/>
          <w:sz w:val="24"/>
          <w:szCs w:val="24"/>
          <w:highlight w:val="none"/>
        </w:rPr>
        <w:t>统服务功能稳定提高，生态屏障安全格局巩固、深化。</w:t>
      </w:r>
    </w:p>
    <w:p w14:paraId="211897C0">
      <w:pPr>
        <w:spacing w:before="34" w:line="367" w:lineRule="auto"/>
        <w:ind w:left="23" w:right="61"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本项目属于</w:t>
      </w:r>
      <w:r>
        <w:rPr>
          <w:rFonts w:hint="eastAsia" w:ascii="宋体" w:hAnsi="宋体" w:cs="宋体"/>
          <w:color w:val="auto"/>
          <w:spacing w:val="-3"/>
          <w:sz w:val="24"/>
          <w:szCs w:val="24"/>
          <w:highlight w:val="none"/>
          <w:lang w:val="en-US" w:eastAsia="zh-CN"/>
        </w:rPr>
        <w:t>陆上</w:t>
      </w:r>
      <w:r>
        <w:rPr>
          <w:rFonts w:ascii="宋体" w:hAnsi="宋体" w:eastAsia="宋体" w:cs="宋体"/>
          <w:color w:val="auto"/>
          <w:spacing w:val="-3"/>
          <w:sz w:val="24"/>
          <w:szCs w:val="24"/>
          <w:highlight w:val="none"/>
        </w:rPr>
        <w:t>石油开采项目，所在区域不压占基本农田、生态保</w:t>
      </w:r>
      <w:r>
        <w:rPr>
          <w:rFonts w:ascii="宋体" w:hAnsi="宋体" w:eastAsia="宋体" w:cs="宋体"/>
          <w:color w:val="auto"/>
          <w:spacing w:val="-4"/>
          <w:sz w:val="24"/>
          <w:szCs w:val="24"/>
          <w:highlight w:val="none"/>
        </w:rPr>
        <w:t>护红线以及城</w:t>
      </w:r>
      <w:r>
        <w:rPr>
          <w:rFonts w:ascii="宋体" w:hAnsi="宋体" w:eastAsia="宋体" w:cs="宋体"/>
          <w:color w:val="auto"/>
          <w:spacing w:val="-3"/>
          <w:sz w:val="24"/>
          <w:szCs w:val="24"/>
          <w:highlight w:val="none"/>
        </w:rPr>
        <w:t>镇开发边界，项目建设符合区域主体功能定位，对生态环境影响较小，符合《阿</w:t>
      </w:r>
      <w:r>
        <w:rPr>
          <w:rFonts w:ascii="宋体" w:hAnsi="宋体" w:eastAsia="宋体" w:cs="宋体"/>
          <w:color w:val="auto"/>
          <w:sz w:val="24"/>
          <w:szCs w:val="24"/>
          <w:highlight w:val="none"/>
        </w:rPr>
        <w:t>克苏地区国土空间总体规划（</w:t>
      </w:r>
      <w:r>
        <w:rPr>
          <w:rFonts w:ascii="Times New Roman" w:hAnsi="Times New Roman" w:eastAsia="Times New Roman" w:cs="Times New Roman"/>
          <w:color w:val="auto"/>
          <w:sz w:val="24"/>
          <w:szCs w:val="24"/>
          <w:highlight w:val="none"/>
        </w:rPr>
        <w:t>2021</w:t>
      </w:r>
      <w:r>
        <w:rPr>
          <w:rFonts w:ascii="宋体" w:hAnsi="宋体" w:eastAsia="宋体" w:cs="宋体"/>
          <w:color w:val="auto"/>
          <w:sz w:val="24"/>
          <w:szCs w:val="24"/>
          <w:highlight w:val="none"/>
        </w:rPr>
        <w:t>年</w:t>
      </w:r>
      <w:r>
        <w:rPr>
          <w:rFonts w:ascii="Times New Roman" w:hAnsi="Times New Roman" w:eastAsia="Times New Roman" w:cs="Times New Roman"/>
          <w:color w:val="auto"/>
          <w:sz w:val="24"/>
          <w:szCs w:val="24"/>
          <w:highlight w:val="none"/>
        </w:rPr>
        <w:t>-2</w:t>
      </w:r>
      <w:r>
        <w:rPr>
          <w:rFonts w:ascii="Times New Roman" w:hAnsi="Times New Roman" w:eastAsia="Times New Roman" w:cs="Times New Roman"/>
          <w:color w:val="auto"/>
          <w:spacing w:val="-1"/>
          <w:sz w:val="24"/>
          <w:szCs w:val="24"/>
          <w:highlight w:val="none"/>
        </w:rPr>
        <w:t>035</w:t>
      </w:r>
      <w:r>
        <w:rPr>
          <w:rFonts w:ascii="宋体" w:hAnsi="宋体" w:eastAsia="宋体" w:cs="宋体"/>
          <w:color w:val="auto"/>
          <w:spacing w:val="-1"/>
          <w:sz w:val="24"/>
          <w:szCs w:val="24"/>
          <w:highlight w:val="none"/>
        </w:rPr>
        <w:t>年）》相关要求。</w:t>
      </w:r>
    </w:p>
    <w:p w14:paraId="1E0BFAFE">
      <w:pPr>
        <w:spacing w:before="96" w:line="220" w:lineRule="auto"/>
        <w:ind w:left="18"/>
        <w:outlineLvl w:val="2"/>
        <w:rPr>
          <w:rFonts w:ascii="宋体" w:hAnsi="宋体" w:eastAsia="宋体" w:cs="宋体"/>
          <w:b/>
          <w:bCs/>
          <w:color w:val="auto"/>
          <w:spacing w:val="-3"/>
          <w:sz w:val="28"/>
          <w:szCs w:val="28"/>
          <w:highlight w:val="none"/>
        </w:rPr>
      </w:pPr>
      <w:r>
        <w:rPr>
          <w:rFonts w:ascii="Times New Roman" w:hAnsi="Times New Roman" w:eastAsia="Times New Roman" w:cs="Times New Roman"/>
          <w:b/>
          <w:bCs/>
          <w:color w:val="auto"/>
          <w:spacing w:val="-3"/>
          <w:sz w:val="28"/>
          <w:szCs w:val="28"/>
          <w:highlight w:val="none"/>
        </w:rPr>
        <w:t>3.8.4</w:t>
      </w:r>
      <w:r>
        <w:rPr>
          <w:rFonts w:ascii="宋体" w:hAnsi="宋体" w:eastAsia="宋体" w:cs="宋体"/>
          <w:b/>
          <w:bCs/>
          <w:color w:val="auto"/>
          <w:spacing w:val="-3"/>
          <w:sz w:val="28"/>
          <w:szCs w:val="28"/>
          <w:highlight w:val="none"/>
        </w:rPr>
        <w:t>与《新疆生态环境保护“十四五”规划》符合性分析</w:t>
      </w:r>
    </w:p>
    <w:p w14:paraId="4EA36965">
      <w:pPr>
        <w:spacing w:before="34" w:line="367" w:lineRule="auto"/>
        <w:ind w:left="23" w:right="61" w:firstLine="480"/>
        <w:jc w:val="both"/>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规划提出“坚决遏制“两高”项目盲目发展，严格执行能源、矿产资源开发自治区人民政府“一支笔”审批制度、环境保护“一票否决”制度，落实生态环</w:t>
      </w:r>
      <w:r>
        <w:rPr>
          <w:rFonts w:ascii="宋体" w:hAnsi="宋体" w:eastAsia="宋体" w:cs="宋体"/>
          <w:color w:val="auto"/>
          <w:spacing w:val="-3"/>
          <w:sz w:val="24"/>
          <w:szCs w:val="24"/>
          <w:highlight w:val="none"/>
        </w:rPr>
        <w:t>境分</w:t>
      </w:r>
    </w:p>
    <w:p w14:paraId="50B8D82E">
      <w:pPr>
        <w:spacing w:before="260" w:line="369" w:lineRule="auto"/>
        <w:ind w:right="61"/>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区管控要求，守住生态保护红线、环境质量底线和资源利用上线，实施生态</w:t>
      </w:r>
      <w:r>
        <w:rPr>
          <w:rFonts w:ascii="宋体" w:hAnsi="宋体" w:eastAsia="宋体" w:cs="宋体"/>
          <w:color w:val="auto"/>
          <w:spacing w:val="7"/>
          <w:sz w:val="24"/>
          <w:szCs w:val="24"/>
          <w:highlight w:val="none"/>
        </w:rPr>
        <w:t>环境准入清单管控。”</w:t>
      </w:r>
    </w:p>
    <w:p w14:paraId="264BA047">
      <w:pPr>
        <w:spacing w:before="33" w:line="367" w:lineRule="auto"/>
        <w:ind w:left="23" w:firstLine="480"/>
        <w:jc w:val="both"/>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本项目位于新疆维吾尔自治区阿克苏地区库车市，不属于“两高</w:t>
      </w:r>
      <w:r>
        <w:rPr>
          <w:rFonts w:ascii="宋体" w:hAnsi="宋体" w:eastAsia="宋体" w:cs="宋体"/>
          <w:color w:val="auto"/>
          <w:spacing w:val="-5"/>
          <w:sz w:val="24"/>
          <w:szCs w:val="24"/>
          <w:highlight w:val="none"/>
        </w:rPr>
        <w:t>”项目以及</w:t>
      </w:r>
      <w:r>
        <w:rPr>
          <w:rFonts w:ascii="宋体" w:hAnsi="宋体" w:eastAsia="宋体" w:cs="宋体"/>
          <w:color w:val="auto"/>
          <w:spacing w:val="-8"/>
          <w:sz w:val="24"/>
          <w:szCs w:val="24"/>
          <w:highlight w:val="none"/>
        </w:rPr>
        <w:t>产业准入标准和政策的落后项目，符合阿克苏地区生态环境分区管控要求。因此，</w:t>
      </w:r>
      <w:r>
        <w:rPr>
          <w:rFonts w:ascii="宋体" w:hAnsi="宋体" w:eastAsia="宋体" w:cs="宋体"/>
          <w:color w:val="auto"/>
          <w:spacing w:val="-2"/>
          <w:sz w:val="24"/>
          <w:szCs w:val="24"/>
          <w:highlight w:val="none"/>
        </w:rPr>
        <w:t>本项目符合《新疆生态环境保护“十四五”规划》要求。</w:t>
      </w:r>
    </w:p>
    <w:p w14:paraId="5C89513D">
      <w:pPr>
        <w:keepNext w:val="0"/>
        <w:keepLines w:val="0"/>
        <w:pageBreakBefore w:val="0"/>
        <w:widowControl/>
        <w:kinsoku/>
        <w:wordWrap/>
        <w:overflowPunct/>
        <w:topLinePunct w:val="0"/>
        <w:autoSpaceDE/>
        <w:autoSpaceDN/>
        <w:bidi w:val="0"/>
        <w:adjustRightInd/>
        <w:snapToGrid/>
        <w:spacing w:line="360" w:lineRule="auto"/>
        <w:ind w:left="122"/>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3"/>
          <w:sz w:val="28"/>
          <w:szCs w:val="28"/>
          <w:highlight w:val="none"/>
        </w:rPr>
        <w:t>3.8.5</w:t>
      </w:r>
      <w:r>
        <w:rPr>
          <w:rFonts w:ascii="宋体" w:hAnsi="宋体" w:eastAsia="宋体" w:cs="宋体"/>
          <w:b/>
          <w:bCs/>
          <w:color w:val="auto"/>
          <w:spacing w:val="-3"/>
          <w:sz w:val="28"/>
          <w:szCs w:val="28"/>
          <w:highlight w:val="none"/>
        </w:rPr>
        <w:t>与《新疆维吾尔自治区水土保持规划（</w:t>
      </w:r>
      <w:r>
        <w:rPr>
          <w:rFonts w:ascii="Times New Roman" w:hAnsi="Times New Roman" w:eastAsia="Times New Roman" w:cs="Times New Roman"/>
          <w:b/>
          <w:bCs/>
          <w:color w:val="auto"/>
          <w:spacing w:val="-3"/>
          <w:sz w:val="28"/>
          <w:szCs w:val="28"/>
          <w:highlight w:val="none"/>
        </w:rPr>
        <w:t>2018-2030</w:t>
      </w:r>
      <w:r>
        <w:rPr>
          <w:rFonts w:ascii="宋体" w:hAnsi="宋体" w:eastAsia="宋体" w:cs="宋体"/>
          <w:b/>
          <w:bCs/>
          <w:color w:val="auto"/>
          <w:spacing w:val="-4"/>
          <w:sz w:val="28"/>
          <w:szCs w:val="28"/>
          <w:highlight w:val="none"/>
        </w:rPr>
        <w:t>年）》符合性</w:t>
      </w:r>
    </w:p>
    <w:p w14:paraId="7C6B53F8">
      <w:pPr>
        <w:keepNext w:val="0"/>
        <w:keepLines w:val="0"/>
        <w:pageBreakBefore w:val="0"/>
        <w:widowControl/>
        <w:kinsoku/>
        <w:wordWrap/>
        <w:overflowPunct/>
        <w:topLinePunct w:val="0"/>
        <w:autoSpaceDE/>
        <w:autoSpaceDN/>
        <w:bidi w:val="0"/>
        <w:adjustRightInd/>
        <w:snapToGrid/>
        <w:spacing w:line="360" w:lineRule="auto"/>
        <w:ind w:left="131"/>
        <w:textAlignment w:val="auto"/>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分析</w:t>
      </w:r>
    </w:p>
    <w:p w14:paraId="348CD18C">
      <w:pPr>
        <w:keepNext w:val="0"/>
        <w:keepLines w:val="0"/>
        <w:pageBreakBefore w:val="0"/>
        <w:widowControl/>
        <w:kinsoku/>
        <w:wordWrap/>
        <w:overflowPunct/>
        <w:topLinePunct w:val="0"/>
        <w:autoSpaceDE/>
        <w:autoSpaceDN/>
        <w:bidi w:val="0"/>
        <w:adjustRightInd/>
        <w:snapToGrid/>
        <w:spacing w:line="360" w:lineRule="auto"/>
        <w:ind w:left="126" w:right="55" w:firstLine="480"/>
        <w:textAlignment w:val="auto"/>
        <w:rPr>
          <w:rFonts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1）</w:t>
      </w:r>
      <w:r>
        <w:rPr>
          <w:rFonts w:ascii="宋体" w:hAnsi="宋体" w:eastAsia="宋体" w:cs="宋体"/>
          <w:b/>
          <w:bCs/>
          <w:color w:val="auto"/>
          <w:spacing w:val="2"/>
          <w:sz w:val="24"/>
          <w:szCs w:val="24"/>
          <w:highlight w:val="none"/>
        </w:rPr>
        <w:t>水土保持分区</w:t>
      </w:r>
    </w:p>
    <w:p w14:paraId="5FC351D9">
      <w:pPr>
        <w:keepNext w:val="0"/>
        <w:keepLines w:val="0"/>
        <w:pageBreakBefore w:val="0"/>
        <w:widowControl/>
        <w:kinsoku/>
        <w:wordWrap/>
        <w:overflowPunct/>
        <w:topLinePunct w:val="0"/>
        <w:autoSpaceDE/>
        <w:autoSpaceDN/>
        <w:bidi w:val="0"/>
        <w:adjustRightInd/>
        <w:snapToGrid/>
        <w:spacing w:line="360" w:lineRule="auto"/>
        <w:ind w:left="126" w:right="55" w:firstLine="480"/>
        <w:textAlignment w:val="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根据《全国水土保持规划（</w:t>
      </w:r>
      <w:r>
        <w:rPr>
          <w:rFonts w:ascii="Times New Roman" w:hAnsi="Times New Roman" w:eastAsia="Times New Roman" w:cs="Times New Roman"/>
          <w:color w:val="auto"/>
          <w:spacing w:val="1"/>
          <w:sz w:val="24"/>
          <w:szCs w:val="24"/>
          <w:highlight w:val="none"/>
        </w:rPr>
        <w:t>2015-20</w:t>
      </w:r>
      <w:r>
        <w:rPr>
          <w:rFonts w:ascii="Times New Roman" w:hAnsi="Times New Roman" w:eastAsia="Times New Roman" w:cs="Times New Roman"/>
          <w:color w:val="auto"/>
          <w:sz w:val="24"/>
          <w:szCs w:val="24"/>
          <w:highlight w:val="none"/>
        </w:rPr>
        <w:t>30</w:t>
      </w:r>
      <w:r>
        <w:rPr>
          <w:rFonts w:ascii="宋体" w:hAnsi="宋体" w:eastAsia="宋体" w:cs="宋体"/>
          <w:color w:val="auto"/>
          <w:sz w:val="24"/>
          <w:szCs w:val="24"/>
          <w:highlight w:val="none"/>
        </w:rPr>
        <w:t>年）》（国函〔</w:t>
      </w:r>
      <w:r>
        <w:rPr>
          <w:rFonts w:ascii="Times New Roman" w:hAnsi="Times New Roman" w:eastAsia="Times New Roman" w:cs="Times New Roman"/>
          <w:color w:val="auto"/>
          <w:sz w:val="24"/>
          <w:szCs w:val="24"/>
          <w:highlight w:val="none"/>
        </w:rPr>
        <w:t>2015</w:t>
      </w: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160</w:t>
      </w:r>
      <w:r>
        <w:rPr>
          <w:rFonts w:ascii="宋体" w:hAnsi="宋体" w:eastAsia="宋体" w:cs="宋体"/>
          <w:color w:val="auto"/>
          <w:sz w:val="24"/>
          <w:szCs w:val="24"/>
          <w:highlight w:val="none"/>
        </w:rPr>
        <w:t>号</w:t>
      </w:r>
      <w:r>
        <w:rPr>
          <w:rFonts w:ascii="宋体" w:hAnsi="宋体" w:eastAsia="宋体" w:cs="宋体"/>
          <w:color w:val="auto"/>
          <w:spacing w:val="8"/>
          <w:sz w:val="24"/>
          <w:szCs w:val="24"/>
          <w:highlight w:val="none"/>
        </w:rPr>
        <w:t>），</w:t>
      </w:r>
      <w:r>
        <w:rPr>
          <w:rFonts w:ascii="宋体" w:hAnsi="宋体" w:eastAsia="宋体" w:cs="宋体"/>
          <w:color w:val="auto"/>
          <w:sz w:val="24"/>
          <w:szCs w:val="24"/>
          <w:highlight w:val="none"/>
        </w:rPr>
        <w:t>全</w:t>
      </w:r>
      <w:r>
        <w:rPr>
          <w:rFonts w:ascii="宋体" w:hAnsi="宋体" w:eastAsia="宋体" w:cs="宋体"/>
          <w:color w:val="auto"/>
          <w:spacing w:val="-8"/>
          <w:sz w:val="24"/>
          <w:szCs w:val="24"/>
          <w:highlight w:val="none"/>
        </w:rPr>
        <w:t>国水土保持区划采用三级分区体系，一级区为总体格局区，二级区为区域协调区，</w:t>
      </w:r>
      <w:r>
        <w:rPr>
          <w:rFonts w:ascii="宋体" w:hAnsi="宋体" w:eastAsia="宋体" w:cs="宋体"/>
          <w:color w:val="auto"/>
          <w:spacing w:val="2"/>
          <w:sz w:val="24"/>
          <w:szCs w:val="24"/>
          <w:highlight w:val="none"/>
        </w:rPr>
        <w:t>三级区为基本功能区。全国水土保持区划共划分为</w:t>
      </w:r>
      <w:r>
        <w:rPr>
          <w:rFonts w:ascii="Times New Roman" w:hAnsi="Times New Roman" w:eastAsia="Times New Roman" w:cs="Times New Roman"/>
          <w:color w:val="auto"/>
          <w:spacing w:val="2"/>
          <w:sz w:val="24"/>
          <w:szCs w:val="24"/>
          <w:highlight w:val="none"/>
        </w:rPr>
        <w:t>8</w:t>
      </w:r>
      <w:r>
        <w:rPr>
          <w:rFonts w:ascii="宋体" w:hAnsi="宋体" w:eastAsia="宋体" w:cs="宋体"/>
          <w:color w:val="auto"/>
          <w:spacing w:val="2"/>
          <w:sz w:val="24"/>
          <w:szCs w:val="24"/>
          <w:highlight w:val="none"/>
        </w:rPr>
        <w:t>个一级区、</w:t>
      </w:r>
      <w:r>
        <w:rPr>
          <w:rFonts w:ascii="Times New Roman" w:hAnsi="Times New Roman" w:eastAsia="Times New Roman" w:cs="Times New Roman"/>
          <w:color w:val="auto"/>
          <w:spacing w:val="2"/>
          <w:sz w:val="24"/>
          <w:szCs w:val="24"/>
          <w:highlight w:val="none"/>
        </w:rPr>
        <w:t>40</w:t>
      </w:r>
      <w:r>
        <w:rPr>
          <w:rFonts w:ascii="宋体" w:hAnsi="宋体" w:eastAsia="宋体" w:cs="宋体"/>
          <w:color w:val="auto"/>
          <w:spacing w:val="2"/>
          <w:sz w:val="24"/>
          <w:szCs w:val="24"/>
          <w:highlight w:val="none"/>
        </w:rPr>
        <w:t>个二级区、</w:t>
      </w:r>
      <w:r>
        <w:rPr>
          <w:rFonts w:ascii="Times New Roman" w:hAnsi="Times New Roman" w:eastAsia="Times New Roman" w:cs="Times New Roman"/>
          <w:color w:val="auto"/>
          <w:spacing w:val="-2"/>
          <w:sz w:val="24"/>
          <w:szCs w:val="24"/>
          <w:highlight w:val="none"/>
        </w:rPr>
        <w:t>115</w:t>
      </w:r>
      <w:r>
        <w:rPr>
          <w:rFonts w:ascii="宋体" w:hAnsi="宋体" w:eastAsia="宋体" w:cs="宋体"/>
          <w:color w:val="auto"/>
          <w:spacing w:val="-2"/>
          <w:sz w:val="24"/>
          <w:szCs w:val="24"/>
          <w:highlight w:val="none"/>
        </w:rPr>
        <w:t>个三级区。</w:t>
      </w:r>
    </w:p>
    <w:p w14:paraId="699E3748">
      <w:pPr>
        <w:keepNext w:val="0"/>
        <w:keepLines w:val="0"/>
        <w:pageBreakBefore w:val="0"/>
        <w:widowControl/>
        <w:kinsoku/>
        <w:wordWrap/>
        <w:overflowPunct/>
        <w:topLinePunct w:val="0"/>
        <w:autoSpaceDE/>
        <w:autoSpaceDN/>
        <w:bidi w:val="0"/>
        <w:adjustRightInd/>
        <w:snapToGrid/>
        <w:spacing w:line="360" w:lineRule="auto"/>
        <w:ind w:left="126" w:right="55" w:firstLine="480"/>
        <w:jc w:val="both"/>
        <w:textAlignment w:val="auto"/>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新疆在全国水土保持区划中位于北方风沙区（新甘</w:t>
      </w:r>
      <w:r>
        <w:rPr>
          <w:rFonts w:ascii="宋体" w:hAnsi="宋体" w:eastAsia="宋体" w:cs="宋体"/>
          <w:color w:val="auto"/>
          <w:spacing w:val="-9"/>
          <w:sz w:val="24"/>
          <w:szCs w:val="24"/>
          <w:highlight w:val="none"/>
        </w:rPr>
        <w:t>蒙高原盆地区）一级分区，</w:t>
      </w:r>
      <w:r>
        <w:rPr>
          <w:rFonts w:ascii="宋体" w:hAnsi="宋体" w:eastAsia="宋体" w:cs="宋体"/>
          <w:color w:val="auto"/>
          <w:spacing w:val="-3"/>
          <w:sz w:val="24"/>
          <w:szCs w:val="24"/>
          <w:highlight w:val="none"/>
        </w:rPr>
        <w:t>包含北疆山地盆地区和南疆山地盆地区两个二级分区，准噶尔盆地北部水源涵养生态维护区、天山北坡人居环境农田防护区、伊犁河谷减灾蓄水区、吐哈盆地生态维护防沙区、塔里木盆地北部农田防护水源涵养区、塔里木盆地南部农田防护</w:t>
      </w:r>
      <w:r>
        <w:rPr>
          <w:rFonts w:ascii="宋体" w:hAnsi="宋体" w:eastAsia="宋体" w:cs="宋体"/>
          <w:color w:val="auto"/>
          <w:spacing w:val="-1"/>
          <w:sz w:val="24"/>
          <w:szCs w:val="24"/>
          <w:highlight w:val="none"/>
        </w:rPr>
        <w:t>防沙区、塔里木盆地西部农田防护减灾区七个三级区。</w:t>
      </w:r>
    </w:p>
    <w:p w14:paraId="447877AD">
      <w:pPr>
        <w:keepNext w:val="0"/>
        <w:keepLines w:val="0"/>
        <w:pageBreakBefore w:val="0"/>
        <w:widowControl/>
        <w:kinsoku/>
        <w:wordWrap/>
        <w:overflowPunct/>
        <w:topLinePunct w:val="0"/>
        <w:autoSpaceDE/>
        <w:autoSpaceDN/>
        <w:bidi w:val="0"/>
        <w:adjustRightInd/>
        <w:snapToGrid/>
        <w:spacing w:line="360" w:lineRule="auto"/>
        <w:ind w:left="607"/>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库车市属于新疆七个三级区中的塔里木盆地</w:t>
      </w:r>
      <w:r>
        <w:rPr>
          <w:rFonts w:ascii="宋体" w:hAnsi="宋体" w:eastAsia="宋体" w:cs="宋体"/>
          <w:color w:val="auto"/>
          <w:spacing w:val="-1"/>
          <w:sz w:val="24"/>
          <w:szCs w:val="24"/>
          <w:highlight w:val="none"/>
        </w:rPr>
        <w:t>北部农田防护水源涵养区。</w:t>
      </w:r>
    </w:p>
    <w:p w14:paraId="681560AD">
      <w:pPr>
        <w:keepNext w:val="0"/>
        <w:keepLines w:val="0"/>
        <w:pageBreakBefore w:val="0"/>
        <w:widowControl/>
        <w:kinsoku/>
        <w:wordWrap/>
        <w:overflowPunct/>
        <w:topLinePunct w:val="0"/>
        <w:autoSpaceDE/>
        <w:autoSpaceDN/>
        <w:bidi w:val="0"/>
        <w:adjustRightInd/>
        <w:snapToGrid/>
        <w:spacing w:line="360" w:lineRule="auto"/>
        <w:ind w:left="126" w:right="55" w:firstLine="480"/>
        <w:textAlignment w:val="auto"/>
        <w:rPr>
          <w:rFonts w:hint="default" w:ascii="Times New Roman" w:hAnsi="Times New Roman" w:eastAsia="宋体" w:cs="Times New Roman"/>
          <w:b/>
          <w:bCs/>
          <w:color w:val="auto"/>
          <w:spacing w:val="2"/>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lang w:eastAsia="zh-CN"/>
        </w:rPr>
        <w:t>水土流失治理分区</w:t>
      </w:r>
    </w:p>
    <w:p w14:paraId="725529F8">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水土流失重点预防区的定量指标主要包括地形坡度、集中</w:t>
      </w:r>
      <w:r>
        <w:rPr>
          <w:rFonts w:ascii="宋体" w:hAnsi="宋体" w:eastAsia="宋体" w:cs="宋体"/>
          <w:color w:val="auto"/>
          <w:spacing w:val="-4"/>
          <w:sz w:val="24"/>
          <w:szCs w:val="24"/>
          <w:highlight w:val="none"/>
        </w:rPr>
        <w:t>连片面积、林草覆</w:t>
      </w:r>
      <w:r>
        <w:rPr>
          <w:rFonts w:ascii="宋体" w:hAnsi="宋体" w:eastAsia="宋体" w:cs="宋体"/>
          <w:color w:val="auto"/>
          <w:spacing w:val="-3"/>
          <w:sz w:val="24"/>
          <w:szCs w:val="24"/>
          <w:highlight w:val="none"/>
        </w:rPr>
        <w:t>盖率、轻度以下水土流失面积占总土地面积的比例。定性因素主要考虑水土保持功能的重要性，水土流失潜在危险危害程度，是否处于江河源头区、饮用水源保护区、自然保护区、风景名胜区、重要湿地、水功能区中的自然保护区和重要源</w:t>
      </w:r>
      <w:r>
        <w:rPr>
          <w:rFonts w:ascii="宋体" w:hAnsi="宋体" w:eastAsia="宋体" w:cs="宋体"/>
          <w:color w:val="auto"/>
          <w:spacing w:val="-2"/>
          <w:sz w:val="24"/>
          <w:szCs w:val="24"/>
          <w:highlight w:val="none"/>
        </w:rPr>
        <w:t>头水保护区。</w:t>
      </w:r>
    </w:p>
    <w:p w14:paraId="1F4C65F1">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水土流失重点治理区的定量指标包括水土流失面积占总土</w:t>
      </w:r>
      <w:r>
        <w:rPr>
          <w:rFonts w:ascii="宋体" w:hAnsi="宋体" w:eastAsia="宋体" w:cs="宋体"/>
          <w:color w:val="auto"/>
          <w:spacing w:val="-4"/>
          <w:sz w:val="24"/>
          <w:szCs w:val="24"/>
          <w:highlight w:val="none"/>
        </w:rPr>
        <w:t>地面积的比例，中</w:t>
      </w:r>
      <w:r>
        <w:rPr>
          <w:rFonts w:ascii="宋体" w:hAnsi="宋体" w:eastAsia="宋体" w:cs="宋体"/>
          <w:color w:val="auto"/>
          <w:spacing w:val="-3"/>
          <w:sz w:val="24"/>
          <w:szCs w:val="24"/>
          <w:highlight w:val="none"/>
        </w:rPr>
        <w:t>度以上水土流失面积占水土流失面积的比例。定性因素主要考虑水土流失危害程</w:t>
      </w:r>
      <w:r>
        <w:rPr>
          <w:rFonts w:ascii="宋体" w:hAnsi="宋体" w:eastAsia="宋体" w:cs="宋体"/>
          <w:color w:val="auto"/>
          <w:spacing w:val="-1"/>
          <w:sz w:val="24"/>
          <w:szCs w:val="24"/>
          <w:highlight w:val="none"/>
        </w:rPr>
        <w:t>度、水土流失治理的紧迫性、民生要求的迫切性。</w:t>
      </w:r>
    </w:p>
    <w:p w14:paraId="6BCBBE87">
      <w:pPr>
        <w:spacing w:before="37" w:line="219" w:lineRule="auto"/>
        <w:ind w:left="6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根据新水〔</w:t>
      </w:r>
      <w:r>
        <w:rPr>
          <w:rFonts w:ascii="Times New Roman" w:hAnsi="Times New Roman" w:eastAsia="Times New Roman" w:cs="Times New Roman"/>
          <w:color w:val="auto"/>
          <w:spacing w:val="-1"/>
          <w:sz w:val="24"/>
          <w:szCs w:val="24"/>
          <w:highlight w:val="none"/>
        </w:rPr>
        <w:t>2019</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号文件，项目所在区域属于塔里木河流域重点治理区。</w:t>
      </w:r>
    </w:p>
    <w:p w14:paraId="1F3E9447">
      <w:pPr>
        <w:spacing w:before="137" w:line="228" w:lineRule="auto"/>
        <w:ind w:left="1608"/>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pacing w:val="6"/>
          <w:sz w:val="21"/>
          <w:szCs w:val="21"/>
          <w:highlight w:val="none"/>
        </w:rPr>
        <w:t>表3.8-1自治区级水土流失重点预防区和重点治理区划分表</w:t>
      </w:r>
    </w:p>
    <w:p w14:paraId="53135A89">
      <w:pPr>
        <w:spacing w:line="22" w:lineRule="exact"/>
        <w:rPr>
          <w:color w:val="auto"/>
          <w:highlight w:val="none"/>
        </w:rPr>
      </w:pPr>
    </w:p>
    <w:tbl>
      <w:tblPr>
        <w:tblStyle w:val="60"/>
        <w:tblW w:w="852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52"/>
        <w:gridCol w:w="1395"/>
        <w:gridCol w:w="4179"/>
      </w:tblGrid>
      <w:tr w14:paraId="697CB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8526" w:type="dxa"/>
            <w:gridSpan w:val="3"/>
            <w:tcBorders>
              <w:bottom w:val="single" w:color="000000" w:sz="2" w:space="0"/>
            </w:tcBorders>
            <w:vAlign w:val="top"/>
          </w:tcPr>
          <w:p w14:paraId="523C3B17">
            <w:pPr>
              <w:pStyle w:val="42"/>
              <w:spacing w:before="62" w:line="232" w:lineRule="auto"/>
              <w:ind w:left="3667"/>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8"/>
                <w:sz w:val="21"/>
                <w:szCs w:val="21"/>
                <w:highlight w:val="none"/>
              </w:rPr>
              <w:t>Ⅱ</w:t>
            </w:r>
            <w:r>
              <w:rPr>
                <w:rFonts w:hint="default" w:ascii="Times New Roman" w:hAnsi="Times New Roman" w:eastAsia="宋体" w:cs="Times New Roman"/>
                <w:color w:val="auto"/>
                <w:spacing w:val="8"/>
                <w:sz w:val="21"/>
                <w:szCs w:val="21"/>
                <w:highlight w:val="none"/>
              </w:rPr>
              <w:t>重点治理区</w:t>
            </w:r>
          </w:p>
        </w:tc>
      </w:tr>
      <w:tr w14:paraId="62F59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2952" w:type="dxa"/>
            <w:tcBorders>
              <w:top w:val="single" w:color="000000" w:sz="2" w:space="0"/>
              <w:right w:val="single" w:color="000000" w:sz="2" w:space="0"/>
            </w:tcBorders>
            <w:vAlign w:val="top"/>
          </w:tcPr>
          <w:p w14:paraId="1FE8733D">
            <w:pPr>
              <w:pStyle w:val="42"/>
              <w:spacing w:before="225" w:line="228" w:lineRule="auto"/>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8"/>
                <w:sz w:val="21"/>
                <w:szCs w:val="21"/>
                <w:highlight w:val="none"/>
              </w:rPr>
              <w:t>Ⅱ</w:t>
            </w:r>
            <w:r>
              <w:rPr>
                <w:rFonts w:hint="default" w:ascii="Times New Roman" w:hAnsi="Times New Roman" w:cs="Times New Roman"/>
                <w:color w:val="auto"/>
                <w:spacing w:val="8"/>
                <w:position w:val="-1"/>
                <w:sz w:val="21"/>
                <w:szCs w:val="21"/>
                <w:highlight w:val="none"/>
              </w:rPr>
              <w:t>3</w:t>
            </w:r>
            <w:r>
              <w:rPr>
                <w:rFonts w:hint="default" w:ascii="Times New Roman" w:hAnsi="Times New Roman" w:eastAsia="宋体" w:cs="Times New Roman"/>
                <w:color w:val="auto"/>
                <w:spacing w:val="8"/>
                <w:sz w:val="21"/>
                <w:szCs w:val="21"/>
                <w:highlight w:val="none"/>
              </w:rPr>
              <w:t>塔里木河流域重点治理区</w:t>
            </w:r>
          </w:p>
        </w:tc>
        <w:tc>
          <w:tcPr>
            <w:tcW w:w="1395" w:type="dxa"/>
            <w:tcBorders>
              <w:top w:val="single" w:color="000000" w:sz="2" w:space="0"/>
              <w:left w:val="single" w:color="000000" w:sz="2" w:space="0"/>
              <w:right w:val="single" w:color="000000" w:sz="2" w:space="0"/>
            </w:tcBorders>
            <w:vAlign w:val="top"/>
          </w:tcPr>
          <w:p w14:paraId="557098A8">
            <w:pPr>
              <w:spacing w:before="224" w:line="228" w:lineRule="auto"/>
              <w:ind w:left="19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阿克苏地区</w:t>
            </w:r>
          </w:p>
        </w:tc>
        <w:tc>
          <w:tcPr>
            <w:tcW w:w="4179" w:type="dxa"/>
            <w:tcBorders>
              <w:top w:val="single" w:color="000000" w:sz="2" w:space="0"/>
              <w:left w:val="single" w:color="000000" w:sz="2" w:space="0"/>
            </w:tcBorders>
            <w:vAlign w:val="top"/>
          </w:tcPr>
          <w:p w14:paraId="5DEB2DFD">
            <w:pPr>
              <w:spacing w:before="61" w:line="272" w:lineRule="auto"/>
              <w:ind w:left="371" w:right="33" w:hanging="2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阿克苏市、乌什县、温宿县、阿瓦提县、</w:t>
            </w:r>
            <w:r>
              <w:rPr>
                <w:rFonts w:hint="default" w:ascii="Times New Roman" w:hAnsi="Times New Roman" w:eastAsia="宋体" w:cs="Times New Roman"/>
                <w:color w:val="auto"/>
                <w:spacing w:val="9"/>
                <w:sz w:val="21"/>
                <w:szCs w:val="21"/>
                <w:highlight w:val="none"/>
              </w:rPr>
              <w:t>拜城县、新和县、沙雅县、库车市</w:t>
            </w:r>
          </w:p>
        </w:tc>
      </w:tr>
    </w:tbl>
    <w:p w14:paraId="6BE2FC46">
      <w:pPr>
        <w:keepNext w:val="0"/>
        <w:keepLines w:val="0"/>
        <w:pageBreakBefore w:val="0"/>
        <w:widowControl/>
        <w:kinsoku/>
        <w:wordWrap/>
        <w:overflowPunct/>
        <w:topLinePunct w:val="0"/>
        <w:autoSpaceDE/>
        <w:autoSpaceDN/>
        <w:bidi w:val="0"/>
        <w:adjustRightInd/>
        <w:snapToGrid/>
        <w:spacing w:line="360" w:lineRule="auto"/>
        <w:ind w:left="126" w:right="55" w:firstLine="480"/>
        <w:textAlignment w:val="auto"/>
        <w:rPr>
          <w:rFonts w:hint="default" w:ascii="Times New Roman" w:hAnsi="Times New Roman" w:eastAsia="宋体" w:cs="Times New Roman"/>
          <w:b/>
          <w:bCs/>
          <w:color w:val="auto"/>
          <w:spacing w:val="2"/>
          <w:sz w:val="24"/>
          <w:szCs w:val="24"/>
          <w:highlight w:val="none"/>
          <w:lang w:eastAsia="zh-CN"/>
        </w:rPr>
      </w:pPr>
      <w:r>
        <w:rPr>
          <w:rFonts w:hint="eastAsia" w:ascii="Times New Roman" w:hAnsi="Times New Roman" w:eastAsia="宋体" w:cs="Times New Roman"/>
          <w:b/>
          <w:bCs/>
          <w:color w:val="auto"/>
          <w:spacing w:val="2"/>
          <w:sz w:val="24"/>
          <w:szCs w:val="24"/>
          <w:highlight w:val="none"/>
          <w:lang w:eastAsia="zh-CN"/>
        </w:rPr>
        <w:t>（</w:t>
      </w:r>
      <w:r>
        <w:rPr>
          <w:rFonts w:hint="eastAsia" w:ascii="Times New Roman" w:hAnsi="Times New Roman" w:eastAsia="宋体" w:cs="Times New Roman"/>
          <w:b/>
          <w:bCs/>
          <w:color w:val="auto"/>
          <w:spacing w:val="2"/>
          <w:sz w:val="24"/>
          <w:szCs w:val="24"/>
          <w:highlight w:val="none"/>
          <w:lang w:val="en-US" w:eastAsia="zh-CN"/>
        </w:rPr>
        <w:t>3）</w:t>
      </w:r>
      <w:r>
        <w:rPr>
          <w:rFonts w:hint="default" w:ascii="Times New Roman" w:hAnsi="Times New Roman" w:eastAsia="宋体" w:cs="Times New Roman"/>
          <w:b/>
          <w:bCs/>
          <w:color w:val="auto"/>
          <w:spacing w:val="2"/>
          <w:sz w:val="24"/>
          <w:szCs w:val="24"/>
          <w:highlight w:val="none"/>
          <w:lang w:eastAsia="zh-CN"/>
        </w:rPr>
        <w:t>本项目与《新疆维吾尔自治区水土保持规划（2018-2030年）》的符合性分析</w:t>
      </w:r>
    </w:p>
    <w:p w14:paraId="6C2C45C4">
      <w:pPr>
        <w:keepNext w:val="0"/>
        <w:keepLines w:val="0"/>
        <w:pageBreakBefore w:val="0"/>
        <w:widowControl/>
        <w:kinsoku/>
        <w:wordWrap/>
        <w:overflowPunct/>
        <w:topLinePunct w:val="0"/>
        <w:autoSpaceDE/>
        <w:autoSpaceDN/>
        <w:bidi w:val="0"/>
        <w:adjustRightInd/>
        <w:snapToGrid/>
        <w:spacing w:line="360" w:lineRule="auto"/>
        <w:ind w:left="0" w:right="0" w:firstLine="464"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管理要求包括“本区域水土保持主要任务是</w:t>
      </w:r>
      <w:r>
        <w:rPr>
          <w:rFonts w:ascii="宋体" w:hAnsi="宋体" w:eastAsia="宋体" w:cs="宋体"/>
          <w:color w:val="auto"/>
          <w:spacing w:val="-5"/>
          <w:sz w:val="24"/>
          <w:szCs w:val="24"/>
          <w:highlight w:val="none"/>
        </w:rPr>
        <w:t>.........防灾减灾和防风固沙，</w:t>
      </w:r>
    </w:p>
    <w:p w14:paraId="02AF3D5D">
      <w:pPr>
        <w:keepNext w:val="0"/>
        <w:keepLines w:val="0"/>
        <w:pageBreakBefore w:val="0"/>
        <w:widowControl/>
        <w:kinsoku/>
        <w:wordWrap/>
        <w:overflowPunct/>
        <w:topLinePunct w:val="0"/>
        <w:autoSpaceDE/>
        <w:autoSpaceDN/>
        <w:bidi w:val="0"/>
        <w:adjustRightInd/>
        <w:snapToGrid/>
        <w:spacing w:line="360" w:lineRule="auto"/>
        <w:ind w:left="0" w:right="0" w:firstLine="0" w:firstLineChars="0"/>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治理规划中包括荒漠化治理”。</w:t>
      </w:r>
    </w:p>
    <w:p w14:paraId="5F812B89">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本项目按照水土保持方案的要求，严格执行各项水土保持措施</w:t>
      </w:r>
      <w:r>
        <w:rPr>
          <w:rFonts w:ascii="宋体" w:hAnsi="宋体" w:eastAsia="宋体" w:cs="宋体"/>
          <w:color w:val="auto"/>
          <w:spacing w:val="-4"/>
          <w:sz w:val="24"/>
          <w:szCs w:val="24"/>
          <w:highlight w:val="none"/>
        </w:rPr>
        <w:t>，项目选线和</w:t>
      </w:r>
      <w:r>
        <w:rPr>
          <w:rFonts w:ascii="宋体" w:hAnsi="宋体" w:eastAsia="宋体" w:cs="宋体"/>
          <w:color w:val="auto"/>
          <w:spacing w:val="-3"/>
          <w:sz w:val="24"/>
          <w:szCs w:val="24"/>
          <w:highlight w:val="none"/>
        </w:rPr>
        <w:t>拟采用的技术标准，充分考虑水土流失因素，尽量避开植被茂盛地段，施工期间严格划定施工活动范围，严格控制和管理运输车辆及重型机械的运行范围，不另辟施工便道，不得离开运输道路及随意驾驶。由专人监督负责，以防破坏土壤和</w:t>
      </w:r>
      <w:r>
        <w:rPr>
          <w:rFonts w:ascii="宋体" w:hAnsi="宋体" w:eastAsia="宋体" w:cs="宋体"/>
          <w:color w:val="auto"/>
          <w:spacing w:val="14"/>
          <w:sz w:val="24"/>
          <w:szCs w:val="24"/>
          <w:highlight w:val="none"/>
        </w:rPr>
        <w:t>植被，因此本项目的各项水保措施符合《新疆维吾尔自治</w:t>
      </w:r>
      <w:r>
        <w:rPr>
          <w:rFonts w:ascii="宋体" w:hAnsi="宋体" w:eastAsia="宋体" w:cs="宋体"/>
          <w:color w:val="auto"/>
          <w:spacing w:val="13"/>
          <w:sz w:val="24"/>
          <w:szCs w:val="24"/>
          <w:highlight w:val="none"/>
        </w:rPr>
        <w:t>区水土保持规划</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2018-2030</w:t>
      </w:r>
      <w:r>
        <w:rPr>
          <w:rFonts w:ascii="宋体" w:hAnsi="宋体" w:eastAsia="宋体" w:cs="宋体"/>
          <w:color w:val="auto"/>
          <w:spacing w:val="-1"/>
          <w:sz w:val="24"/>
          <w:szCs w:val="24"/>
          <w:highlight w:val="none"/>
        </w:rPr>
        <w:t>年）》的管理要求。</w:t>
      </w:r>
    </w:p>
    <w:p w14:paraId="5FB9608A">
      <w:pPr>
        <w:keepNext w:val="0"/>
        <w:keepLines w:val="0"/>
        <w:pageBreakBefore w:val="0"/>
        <w:widowControl/>
        <w:kinsoku/>
        <w:wordWrap/>
        <w:overflowPunct/>
        <w:topLinePunct w:val="0"/>
        <w:autoSpaceDE/>
        <w:autoSpaceDN/>
        <w:bidi w:val="0"/>
        <w:adjustRightInd/>
        <w:snapToGrid/>
        <w:spacing w:line="360" w:lineRule="auto"/>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1"/>
          <w:sz w:val="28"/>
          <w:szCs w:val="28"/>
          <w:highlight w:val="none"/>
        </w:rPr>
        <w:t>3.8.6</w:t>
      </w:r>
      <w:r>
        <w:rPr>
          <w:rFonts w:ascii="宋体" w:hAnsi="宋体" w:eastAsia="宋体" w:cs="宋体"/>
          <w:b/>
          <w:bCs/>
          <w:color w:val="auto"/>
          <w:spacing w:val="-1"/>
          <w:sz w:val="28"/>
          <w:szCs w:val="28"/>
          <w:highlight w:val="none"/>
        </w:rPr>
        <w:t>与《中国石油化工股份有限公司西北油田分公司“十四五”规</w:t>
      </w:r>
    </w:p>
    <w:p w14:paraId="418C5FF0">
      <w:pPr>
        <w:keepNext w:val="0"/>
        <w:keepLines w:val="0"/>
        <w:pageBreakBefore w:val="0"/>
        <w:widowControl/>
        <w:kinsoku/>
        <w:wordWrap/>
        <w:overflowPunct/>
        <w:topLinePunct w:val="0"/>
        <w:autoSpaceDE/>
        <w:autoSpaceDN/>
        <w:bidi w:val="0"/>
        <w:adjustRightInd/>
        <w:snapToGrid/>
        <w:spacing w:line="360" w:lineRule="auto"/>
        <w:ind w:left="122"/>
        <w:textAlignment w:val="auto"/>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划》符合性分析</w:t>
      </w:r>
    </w:p>
    <w:p w14:paraId="472E08EA">
      <w:pPr>
        <w:spacing w:before="78" w:line="348" w:lineRule="auto"/>
        <w:ind w:left="134" w:right="112" w:firstLine="46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本工程与《中国石油化工股份有限公司西北油田分公司</w:t>
      </w:r>
      <w:r>
        <w:rPr>
          <w:rFonts w:ascii="Times New Roman" w:hAnsi="Times New Roman" w:eastAsia="Times New Roman" w:cs="Times New Roman"/>
          <w:color w:val="auto"/>
          <w:spacing w:val="-3"/>
          <w:sz w:val="24"/>
          <w:szCs w:val="24"/>
          <w:highlight w:val="none"/>
        </w:rPr>
        <w:t>“</w:t>
      </w:r>
      <w:r>
        <w:rPr>
          <w:rFonts w:ascii="宋体" w:hAnsi="宋体" w:eastAsia="宋体" w:cs="宋体"/>
          <w:color w:val="auto"/>
          <w:spacing w:val="-3"/>
          <w:sz w:val="24"/>
          <w:szCs w:val="24"/>
          <w:highlight w:val="none"/>
        </w:rPr>
        <w:t>十四五</w:t>
      </w:r>
      <w:r>
        <w:rPr>
          <w:rFonts w:ascii="Times New Roman" w:hAnsi="Times New Roman" w:eastAsia="Times New Roman" w:cs="Times New Roman"/>
          <w:color w:val="auto"/>
          <w:spacing w:val="-3"/>
          <w:sz w:val="24"/>
          <w:szCs w:val="24"/>
          <w:highlight w:val="none"/>
        </w:rPr>
        <w:t>”</w:t>
      </w:r>
      <w:r>
        <w:rPr>
          <w:rFonts w:ascii="宋体" w:hAnsi="宋体" w:eastAsia="宋体" w:cs="宋体"/>
          <w:color w:val="auto"/>
          <w:spacing w:val="-3"/>
          <w:sz w:val="24"/>
          <w:szCs w:val="24"/>
          <w:highlight w:val="none"/>
        </w:rPr>
        <w:t>规划环境影</w:t>
      </w:r>
      <w:r>
        <w:rPr>
          <w:rFonts w:ascii="宋体" w:hAnsi="宋体" w:eastAsia="宋体" w:cs="宋体"/>
          <w:color w:val="auto"/>
          <w:spacing w:val="-2"/>
          <w:sz w:val="24"/>
          <w:szCs w:val="24"/>
          <w:highlight w:val="none"/>
        </w:rPr>
        <w:t>响报告书》相关内容符合性分析见表</w:t>
      </w:r>
      <w:r>
        <w:rPr>
          <w:rFonts w:ascii="Times New Roman" w:hAnsi="Times New Roman" w:eastAsia="Times New Roman" w:cs="Times New Roman"/>
          <w:color w:val="auto"/>
          <w:spacing w:val="-2"/>
          <w:sz w:val="24"/>
          <w:szCs w:val="24"/>
          <w:highlight w:val="none"/>
        </w:rPr>
        <w:t>3.8-2</w:t>
      </w:r>
      <w:r>
        <w:rPr>
          <w:rFonts w:ascii="宋体" w:hAnsi="宋体" w:eastAsia="宋体" w:cs="宋体"/>
          <w:color w:val="auto"/>
          <w:spacing w:val="-2"/>
          <w:sz w:val="24"/>
          <w:szCs w:val="24"/>
          <w:highlight w:val="none"/>
        </w:rPr>
        <w:t>。</w:t>
      </w:r>
    </w:p>
    <w:p w14:paraId="62DF1CDF">
      <w:pPr>
        <w:spacing w:before="1" w:line="221" w:lineRule="auto"/>
        <w:ind w:left="170"/>
        <w:rPr>
          <w:rFonts w:ascii="黑体" w:hAnsi="黑体" w:eastAsia="黑体" w:cs="黑体"/>
          <w:color w:val="auto"/>
          <w:sz w:val="22"/>
          <w:szCs w:val="22"/>
          <w:highlight w:val="none"/>
        </w:rPr>
      </w:pPr>
      <w:r>
        <w:rPr>
          <w:rFonts w:ascii="黑体" w:hAnsi="黑体" w:eastAsia="黑体" w:cs="黑体"/>
          <w:color w:val="auto"/>
          <w:sz w:val="22"/>
          <w:szCs w:val="22"/>
          <w:highlight w:val="none"/>
        </w:rPr>
        <w:t>表</w:t>
      </w:r>
      <w:r>
        <w:rPr>
          <w:rFonts w:ascii="Times New Roman" w:hAnsi="Times New Roman" w:eastAsia="Times New Roman" w:cs="Times New Roman"/>
          <w:color w:val="auto"/>
          <w:sz w:val="22"/>
          <w:szCs w:val="22"/>
          <w:highlight w:val="none"/>
        </w:rPr>
        <w:t>3.8-2</w:t>
      </w:r>
      <w:r>
        <w:rPr>
          <w:rFonts w:ascii="黑体" w:hAnsi="黑体" w:eastAsia="黑体" w:cs="黑体"/>
          <w:color w:val="auto"/>
          <w:sz w:val="22"/>
          <w:szCs w:val="22"/>
          <w:highlight w:val="none"/>
        </w:rPr>
        <w:t>与中国石油化工股份有限</w:t>
      </w:r>
      <w:r>
        <w:rPr>
          <w:rFonts w:ascii="黑体" w:hAnsi="黑体" w:eastAsia="黑体" w:cs="黑体"/>
          <w:color w:val="auto"/>
          <w:spacing w:val="-1"/>
          <w:sz w:val="22"/>
          <w:szCs w:val="22"/>
          <w:highlight w:val="none"/>
        </w:rPr>
        <w:t>公司西北油田分公司“十四五”规划符合性分析</w:t>
      </w:r>
    </w:p>
    <w:p w14:paraId="213B2B4F">
      <w:pPr>
        <w:spacing w:line="119" w:lineRule="auto"/>
        <w:rPr>
          <w:rFonts w:ascii="Arial"/>
          <w:color w:val="auto"/>
          <w:sz w:val="2"/>
          <w:highlight w:val="none"/>
        </w:rPr>
      </w:pPr>
    </w:p>
    <w:tbl>
      <w:tblPr>
        <w:tblStyle w:val="6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3"/>
        <w:gridCol w:w="3470"/>
        <w:gridCol w:w="2734"/>
        <w:gridCol w:w="949"/>
      </w:tblGrid>
      <w:tr w14:paraId="56737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73" w:type="dxa"/>
            <w:vAlign w:val="top"/>
          </w:tcPr>
          <w:p w14:paraId="35F8E99B">
            <w:pPr>
              <w:keepNext w:val="0"/>
              <w:keepLines w:val="0"/>
              <w:pageBreakBefore w:val="0"/>
              <w:widowControl/>
              <w:kinsoku/>
              <w:wordWrap/>
              <w:overflowPunct/>
              <w:topLinePunct w:val="0"/>
              <w:autoSpaceDE/>
              <w:autoSpaceDN/>
              <w:bidi w:val="0"/>
              <w:adjustRightInd/>
              <w:snapToGrid/>
              <w:spacing w:line="260" w:lineRule="exact"/>
              <w:ind w:left="272"/>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7"/>
                <w:sz w:val="21"/>
                <w:szCs w:val="21"/>
                <w:highlight w:val="none"/>
              </w:rPr>
              <w:t>规划名称</w:t>
            </w:r>
          </w:p>
        </w:tc>
        <w:tc>
          <w:tcPr>
            <w:tcW w:w="3470" w:type="dxa"/>
            <w:vAlign w:val="top"/>
          </w:tcPr>
          <w:p w14:paraId="31FED5CA">
            <w:pPr>
              <w:keepNext w:val="0"/>
              <w:keepLines w:val="0"/>
              <w:pageBreakBefore w:val="0"/>
              <w:widowControl/>
              <w:kinsoku/>
              <w:wordWrap/>
              <w:overflowPunct/>
              <w:topLinePunct w:val="0"/>
              <w:autoSpaceDE/>
              <w:autoSpaceDN/>
              <w:bidi w:val="0"/>
              <w:adjustRightInd/>
              <w:snapToGrid/>
              <w:spacing w:line="260" w:lineRule="exact"/>
              <w:ind w:left="1246"/>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7"/>
                <w:sz w:val="21"/>
                <w:szCs w:val="21"/>
                <w:highlight w:val="none"/>
              </w:rPr>
              <w:t>规划要求</w:t>
            </w:r>
          </w:p>
        </w:tc>
        <w:tc>
          <w:tcPr>
            <w:tcW w:w="2734" w:type="dxa"/>
            <w:vAlign w:val="top"/>
          </w:tcPr>
          <w:p w14:paraId="5515BE6C">
            <w:pPr>
              <w:keepNext w:val="0"/>
              <w:keepLines w:val="0"/>
              <w:pageBreakBefore w:val="0"/>
              <w:widowControl/>
              <w:kinsoku/>
              <w:wordWrap/>
              <w:overflowPunct/>
              <w:topLinePunct w:val="0"/>
              <w:autoSpaceDE/>
              <w:autoSpaceDN/>
              <w:bidi w:val="0"/>
              <w:adjustRightInd/>
              <w:snapToGrid/>
              <w:spacing w:line="260" w:lineRule="exact"/>
              <w:ind w:left="922"/>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7"/>
                <w:sz w:val="21"/>
                <w:szCs w:val="21"/>
                <w:highlight w:val="none"/>
              </w:rPr>
              <w:t>本工程情况</w:t>
            </w:r>
          </w:p>
        </w:tc>
        <w:tc>
          <w:tcPr>
            <w:tcW w:w="949" w:type="dxa"/>
            <w:vAlign w:val="top"/>
          </w:tcPr>
          <w:p w14:paraId="78F5AA91">
            <w:pPr>
              <w:keepNext w:val="0"/>
              <w:keepLines w:val="0"/>
              <w:pageBreakBefore w:val="0"/>
              <w:widowControl/>
              <w:kinsoku/>
              <w:wordWrap/>
              <w:overflowPunct/>
              <w:topLinePunct w:val="0"/>
              <w:autoSpaceDE/>
              <w:autoSpaceDN/>
              <w:bidi w:val="0"/>
              <w:adjustRightInd/>
              <w:snapToGrid/>
              <w:spacing w:line="260" w:lineRule="exact"/>
              <w:ind w:left="165"/>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6"/>
                <w:sz w:val="21"/>
                <w:szCs w:val="21"/>
                <w:highlight w:val="none"/>
              </w:rPr>
              <w:t>符合性</w:t>
            </w:r>
          </w:p>
        </w:tc>
      </w:tr>
      <w:tr w14:paraId="35B5F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373" w:type="dxa"/>
            <w:vMerge w:val="restart"/>
            <w:tcBorders>
              <w:bottom w:val="nil"/>
            </w:tcBorders>
            <w:vAlign w:val="top"/>
          </w:tcPr>
          <w:p w14:paraId="415D6325">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F08B98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50C3F87E">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1BD94B9">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296692D4">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D6C2D93">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737525D4">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651810D8">
            <w:pPr>
              <w:keepNext w:val="0"/>
              <w:keepLines w:val="0"/>
              <w:pageBreakBefore w:val="0"/>
              <w:widowControl/>
              <w:kinsoku/>
              <w:wordWrap/>
              <w:overflowPunct/>
              <w:topLinePunct w:val="0"/>
              <w:autoSpaceDE/>
              <w:autoSpaceDN/>
              <w:bidi w:val="0"/>
              <w:adjustRightInd/>
              <w:snapToGrid/>
              <w:spacing w:line="260" w:lineRule="exact"/>
              <w:ind w:left="185"/>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sz w:val="21"/>
                <w:szCs w:val="21"/>
                <w:highlight w:val="none"/>
              </w:rPr>
              <w:t>中国石油化</w:t>
            </w:r>
          </w:p>
          <w:p w14:paraId="7918E0BA">
            <w:pPr>
              <w:keepNext w:val="0"/>
              <w:keepLines w:val="0"/>
              <w:pageBreakBefore w:val="0"/>
              <w:widowControl/>
              <w:kinsoku/>
              <w:wordWrap/>
              <w:overflowPunct/>
              <w:topLinePunct w:val="0"/>
              <w:autoSpaceDE/>
              <w:autoSpaceDN/>
              <w:bidi w:val="0"/>
              <w:adjustRightInd/>
              <w:snapToGrid/>
              <w:spacing w:line="260" w:lineRule="exact"/>
              <w:ind w:left="168"/>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7"/>
                <w:sz w:val="21"/>
                <w:szCs w:val="21"/>
                <w:highlight w:val="none"/>
              </w:rPr>
              <w:t>工股份有限</w:t>
            </w:r>
          </w:p>
          <w:p w14:paraId="26282481">
            <w:pPr>
              <w:keepNext w:val="0"/>
              <w:keepLines w:val="0"/>
              <w:pageBreakBefore w:val="0"/>
              <w:widowControl/>
              <w:kinsoku/>
              <w:wordWrap/>
              <w:overflowPunct/>
              <w:topLinePunct w:val="0"/>
              <w:autoSpaceDE/>
              <w:autoSpaceDN/>
              <w:bidi w:val="0"/>
              <w:adjustRightInd/>
              <w:snapToGrid/>
              <w:spacing w:line="260" w:lineRule="exact"/>
              <w:ind w:left="172"/>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6"/>
                <w:sz w:val="21"/>
                <w:szCs w:val="21"/>
                <w:highlight w:val="none"/>
              </w:rPr>
              <w:t>公司西北油</w:t>
            </w:r>
          </w:p>
          <w:p w14:paraId="61BE682F">
            <w:pPr>
              <w:keepNext w:val="0"/>
              <w:keepLines w:val="0"/>
              <w:pageBreakBefore w:val="0"/>
              <w:widowControl/>
              <w:kinsoku/>
              <w:wordWrap/>
              <w:overflowPunct/>
              <w:topLinePunct w:val="0"/>
              <w:autoSpaceDE/>
              <w:autoSpaceDN/>
              <w:bidi w:val="0"/>
              <w:adjustRightInd/>
              <w:snapToGrid/>
              <w:spacing w:line="260" w:lineRule="exact"/>
              <w:ind w:left="297"/>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1"/>
                <w:sz w:val="21"/>
                <w:szCs w:val="21"/>
                <w:highlight w:val="none"/>
              </w:rPr>
              <w:t>田分公司</w:t>
            </w:r>
          </w:p>
          <w:p w14:paraId="0C8B70E7">
            <w:pPr>
              <w:keepNext w:val="0"/>
              <w:keepLines w:val="0"/>
              <w:pageBreakBefore w:val="0"/>
              <w:widowControl/>
              <w:kinsoku/>
              <w:wordWrap/>
              <w:overflowPunct/>
              <w:topLinePunct w:val="0"/>
              <w:autoSpaceDE/>
              <w:autoSpaceDN/>
              <w:bidi w:val="0"/>
              <w:adjustRightInd/>
              <w:snapToGrid/>
              <w:spacing w:line="260" w:lineRule="exact"/>
              <w:ind w:left="156"/>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24"/>
                <w:sz w:val="21"/>
                <w:szCs w:val="21"/>
                <w:highlight w:val="none"/>
              </w:rPr>
              <w:t>“十四五”</w:t>
            </w:r>
          </w:p>
          <w:p w14:paraId="122E5E7B">
            <w:pPr>
              <w:keepNext w:val="0"/>
              <w:keepLines w:val="0"/>
              <w:pageBreakBefore w:val="0"/>
              <w:widowControl/>
              <w:kinsoku/>
              <w:wordWrap/>
              <w:overflowPunct/>
              <w:topLinePunct w:val="0"/>
              <w:autoSpaceDE/>
              <w:autoSpaceDN/>
              <w:bidi w:val="0"/>
              <w:adjustRightInd/>
              <w:snapToGrid/>
              <w:spacing w:line="260" w:lineRule="exact"/>
              <w:ind w:left="167"/>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7"/>
                <w:sz w:val="21"/>
                <w:szCs w:val="21"/>
                <w:highlight w:val="none"/>
              </w:rPr>
              <w:t>规划环境影</w:t>
            </w:r>
          </w:p>
          <w:p w14:paraId="721EF060">
            <w:pPr>
              <w:keepNext w:val="0"/>
              <w:keepLines w:val="0"/>
              <w:pageBreakBefore w:val="0"/>
              <w:widowControl/>
              <w:kinsoku/>
              <w:wordWrap/>
              <w:overflowPunct/>
              <w:topLinePunct w:val="0"/>
              <w:autoSpaceDE/>
              <w:autoSpaceDN/>
              <w:bidi w:val="0"/>
              <w:adjustRightInd/>
              <w:snapToGrid/>
              <w:spacing w:line="260" w:lineRule="exact"/>
              <w:ind w:left="282"/>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sz w:val="21"/>
                <w:szCs w:val="21"/>
                <w:highlight w:val="none"/>
              </w:rPr>
              <w:t>响报告书</w:t>
            </w:r>
          </w:p>
        </w:tc>
        <w:tc>
          <w:tcPr>
            <w:tcW w:w="3470" w:type="dxa"/>
            <w:vAlign w:val="top"/>
          </w:tcPr>
          <w:p w14:paraId="027B193F">
            <w:pPr>
              <w:pStyle w:val="42"/>
              <w:keepNext w:val="0"/>
              <w:keepLines w:val="0"/>
              <w:pageBreakBefore w:val="0"/>
              <w:widowControl/>
              <w:kinsoku/>
              <w:wordWrap/>
              <w:overflowPunct/>
              <w:topLinePunct w:val="0"/>
              <w:autoSpaceDE/>
              <w:autoSpaceDN/>
              <w:bidi w:val="0"/>
              <w:adjustRightInd/>
              <w:snapToGrid/>
              <w:spacing w:line="260" w:lineRule="exact"/>
              <w:ind w:left="111" w:right="100" w:firstLine="4"/>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sz w:val="21"/>
                <w:szCs w:val="21"/>
                <w:highlight w:val="none"/>
              </w:rPr>
              <w:t>西北油田分公司“十四五”规划的</w:t>
            </w:r>
            <w:r>
              <w:rPr>
                <w:rFonts w:hint="default" w:ascii="Times New Roman" w:hAnsi="Times New Roman" w:cs="Times New Roman" w:eastAsiaTheme="minorEastAsia"/>
                <w:color w:val="auto"/>
                <w:spacing w:val="21"/>
                <w:sz w:val="21"/>
                <w:szCs w:val="21"/>
                <w:highlight w:val="none"/>
              </w:rPr>
              <w:t>重点油气开发区域为塔河地区和</w:t>
            </w:r>
            <w:r>
              <w:rPr>
                <w:rFonts w:hint="default" w:ascii="Times New Roman" w:hAnsi="Times New Roman" w:cs="Times New Roman" w:eastAsiaTheme="minorEastAsia"/>
                <w:color w:val="auto"/>
                <w:spacing w:val="7"/>
                <w:sz w:val="21"/>
                <w:szCs w:val="21"/>
                <w:highlight w:val="none"/>
              </w:rPr>
              <w:t>顺北地区。坚持高质量、高标准、</w:t>
            </w:r>
            <w:r>
              <w:rPr>
                <w:rFonts w:hint="default" w:ascii="Times New Roman" w:hAnsi="Times New Roman" w:cs="Times New Roman" w:eastAsiaTheme="minorEastAsia"/>
                <w:color w:val="auto"/>
                <w:spacing w:val="2"/>
                <w:sz w:val="21"/>
                <w:szCs w:val="21"/>
                <w:highlight w:val="none"/>
              </w:rPr>
              <w:t>高产能，整体分三步走，2022年建成千万吨级油气田，2025年实现油</w:t>
            </w:r>
            <w:r>
              <w:rPr>
                <w:rFonts w:hint="default" w:ascii="Times New Roman" w:hAnsi="Times New Roman" w:cs="Times New Roman" w:eastAsiaTheme="minorEastAsia"/>
                <w:color w:val="auto"/>
                <w:spacing w:val="4"/>
                <w:sz w:val="21"/>
                <w:szCs w:val="21"/>
                <w:highlight w:val="none"/>
              </w:rPr>
              <w:t>气当量1500万吨，远期朝着3000</w:t>
            </w:r>
            <w:r>
              <w:rPr>
                <w:rFonts w:hint="default" w:ascii="Times New Roman" w:hAnsi="Times New Roman" w:cs="Times New Roman" w:eastAsiaTheme="minorEastAsia"/>
                <w:color w:val="auto"/>
                <w:spacing w:val="6"/>
                <w:sz w:val="21"/>
                <w:szCs w:val="21"/>
                <w:highlight w:val="none"/>
              </w:rPr>
              <w:t>万吨目标迈进。</w:t>
            </w:r>
          </w:p>
        </w:tc>
        <w:tc>
          <w:tcPr>
            <w:tcW w:w="2734" w:type="dxa"/>
            <w:vAlign w:val="top"/>
          </w:tcPr>
          <w:p w14:paraId="2345230B">
            <w:pPr>
              <w:pStyle w:val="42"/>
              <w:keepNext w:val="0"/>
              <w:keepLines w:val="0"/>
              <w:pageBreakBefore w:val="0"/>
              <w:widowControl/>
              <w:kinsoku/>
              <w:wordWrap/>
              <w:overflowPunct/>
              <w:topLinePunct w:val="0"/>
              <w:autoSpaceDE/>
              <w:autoSpaceDN/>
              <w:bidi w:val="0"/>
              <w:adjustRightInd/>
              <w:snapToGrid/>
              <w:spacing w:line="260" w:lineRule="exact"/>
              <w:ind w:left="112" w:right="103"/>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21"/>
                <w:sz w:val="21"/>
                <w:szCs w:val="21"/>
                <w:highlight w:val="none"/>
              </w:rPr>
              <w:t>本项目属于规划中塔河地区</w:t>
            </w:r>
            <w:r>
              <w:rPr>
                <w:rFonts w:hint="default" w:ascii="Times New Roman" w:hAnsi="Times New Roman" w:cs="Times New Roman" w:eastAsiaTheme="minorEastAsia"/>
                <w:color w:val="auto"/>
                <w:spacing w:val="9"/>
                <w:sz w:val="21"/>
                <w:szCs w:val="21"/>
                <w:highlight w:val="none"/>
              </w:rPr>
              <w:t>塔河油田</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pacing w:val="9"/>
                <w:sz w:val="21"/>
                <w:szCs w:val="21"/>
                <w:highlight w:val="none"/>
              </w:rPr>
              <w:t>涉及</w:t>
            </w:r>
            <w:r>
              <w:rPr>
                <w:rFonts w:hint="default" w:ascii="Times New Roman" w:hAnsi="Times New Roman" w:cs="Times New Roman" w:eastAsiaTheme="minorEastAsia"/>
                <w:color w:val="auto"/>
                <w:spacing w:val="7"/>
                <w:sz w:val="21"/>
                <w:szCs w:val="21"/>
                <w:highlight w:val="none"/>
              </w:rPr>
              <w:t>10区、</w:t>
            </w:r>
            <w:r>
              <w:rPr>
                <w:rFonts w:hint="default" w:ascii="Times New Roman" w:hAnsi="Times New Roman" w:cs="Times New Roman" w:eastAsiaTheme="minorEastAsia"/>
                <w:color w:val="auto"/>
                <w:spacing w:val="7"/>
                <w:sz w:val="21"/>
                <w:szCs w:val="21"/>
                <w:highlight w:val="none"/>
                <w:lang w:val="en-US" w:eastAsia="zh-CN"/>
              </w:rPr>
              <w:t>8</w:t>
            </w:r>
            <w:r>
              <w:rPr>
                <w:rFonts w:hint="default" w:ascii="Times New Roman" w:hAnsi="Times New Roman" w:cs="Times New Roman" w:eastAsiaTheme="minorEastAsia"/>
                <w:color w:val="auto"/>
                <w:spacing w:val="7"/>
                <w:sz w:val="21"/>
                <w:szCs w:val="21"/>
                <w:highlight w:val="none"/>
              </w:rPr>
              <w:t>区，为塔河油田已</w:t>
            </w:r>
            <w:r>
              <w:rPr>
                <w:rFonts w:hint="default" w:ascii="Times New Roman" w:hAnsi="Times New Roman" w:cs="Times New Roman" w:eastAsiaTheme="minorEastAsia"/>
                <w:color w:val="auto"/>
                <w:spacing w:val="4"/>
                <w:sz w:val="21"/>
                <w:szCs w:val="21"/>
                <w:highlight w:val="none"/>
              </w:rPr>
              <w:t>开发油区范围，属于老区块改扩建项目，符合西北油田分公</w:t>
            </w:r>
            <w:r>
              <w:rPr>
                <w:rFonts w:hint="default" w:ascii="Times New Roman" w:hAnsi="Times New Roman" w:cs="Times New Roman" w:eastAsiaTheme="minorEastAsia"/>
                <w:color w:val="auto"/>
                <w:spacing w:val="5"/>
                <w:sz w:val="21"/>
                <w:szCs w:val="21"/>
                <w:highlight w:val="none"/>
              </w:rPr>
              <w:t>司“十四五”规划要求。</w:t>
            </w:r>
          </w:p>
        </w:tc>
        <w:tc>
          <w:tcPr>
            <w:tcW w:w="949" w:type="dxa"/>
            <w:vAlign w:val="top"/>
          </w:tcPr>
          <w:p w14:paraId="07A323B0">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7EFB95B3">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616BAD44">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147F8836">
            <w:pPr>
              <w:keepNext w:val="0"/>
              <w:keepLines w:val="0"/>
              <w:pageBreakBefore w:val="0"/>
              <w:widowControl/>
              <w:kinsoku/>
              <w:wordWrap/>
              <w:overflowPunct/>
              <w:topLinePunct w:val="0"/>
              <w:autoSpaceDE/>
              <w:autoSpaceDN/>
              <w:bidi w:val="0"/>
              <w:adjustRightInd/>
              <w:snapToGrid/>
              <w:spacing w:line="260" w:lineRule="exact"/>
              <w:ind w:left="271"/>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3"/>
                <w:sz w:val="21"/>
                <w:szCs w:val="21"/>
                <w:highlight w:val="none"/>
              </w:rPr>
              <w:t>符合</w:t>
            </w:r>
          </w:p>
        </w:tc>
      </w:tr>
      <w:tr w14:paraId="0D69B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3" w:hRule="atLeast"/>
        </w:trPr>
        <w:tc>
          <w:tcPr>
            <w:tcW w:w="1373" w:type="dxa"/>
            <w:vMerge w:val="continue"/>
            <w:tcBorders>
              <w:top w:val="nil"/>
              <w:bottom w:val="nil"/>
            </w:tcBorders>
            <w:vAlign w:val="top"/>
          </w:tcPr>
          <w:p w14:paraId="31D00FFF">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tc>
        <w:tc>
          <w:tcPr>
            <w:tcW w:w="3470" w:type="dxa"/>
            <w:vAlign w:val="top"/>
          </w:tcPr>
          <w:p w14:paraId="5E451CD5">
            <w:pPr>
              <w:pStyle w:val="42"/>
              <w:keepNext w:val="0"/>
              <w:keepLines w:val="0"/>
              <w:pageBreakBefore w:val="0"/>
              <w:widowControl/>
              <w:kinsoku/>
              <w:wordWrap/>
              <w:overflowPunct/>
              <w:topLinePunct w:val="0"/>
              <w:autoSpaceDE/>
              <w:autoSpaceDN/>
              <w:bidi w:val="0"/>
              <w:adjustRightInd/>
              <w:snapToGrid/>
              <w:spacing w:line="260" w:lineRule="exact"/>
              <w:ind w:left="110" w:right="106" w:firstLine="2"/>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6"/>
                <w:sz w:val="21"/>
                <w:szCs w:val="21"/>
                <w:highlight w:val="none"/>
              </w:rPr>
              <w:t>参照《石油炼制工业污染物排放标</w:t>
            </w:r>
            <w:r>
              <w:rPr>
                <w:rFonts w:hint="default" w:ascii="Times New Roman" w:hAnsi="Times New Roman" w:cs="Times New Roman" w:eastAsiaTheme="minorEastAsia"/>
                <w:color w:val="auto"/>
                <w:spacing w:val="2"/>
                <w:sz w:val="21"/>
                <w:szCs w:val="21"/>
                <w:highlight w:val="none"/>
              </w:rPr>
              <w:t>准》（</w:t>
            </w:r>
            <w:r>
              <w:rPr>
                <w:rFonts w:hint="default" w:ascii="Times New Roman" w:hAnsi="Times New Roman" w:cs="Times New Roman" w:eastAsiaTheme="minorEastAsia"/>
                <w:color w:val="auto"/>
                <w:sz w:val="21"/>
                <w:szCs w:val="21"/>
                <w:highlight w:val="none"/>
              </w:rPr>
              <w:t>GB</w:t>
            </w:r>
            <w:r>
              <w:rPr>
                <w:rFonts w:hint="default" w:ascii="Times New Roman" w:hAnsi="Times New Roman" w:cs="Times New Roman" w:eastAsiaTheme="minorEastAsia"/>
                <w:color w:val="auto"/>
                <w:spacing w:val="2"/>
                <w:sz w:val="21"/>
                <w:szCs w:val="21"/>
                <w:highlight w:val="none"/>
              </w:rPr>
              <w:t>31570-2015）中挥发性有</w:t>
            </w:r>
            <w:r>
              <w:rPr>
                <w:rFonts w:hint="default" w:ascii="Times New Roman" w:hAnsi="Times New Roman" w:cs="Times New Roman" w:eastAsiaTheme="minorEastAsia"/>
                <w:color w:val="auto"/>
                <w:spacing w:val="6"/>
                <w:sz w:val="21"/>
                <w:szCs w:val="21"/>
                <w:highlight w:val="none"/>
              </w:rPr>
              <w:t>机物控制有关要求，定期对泵、阀门、开口阀或开口管线、法兰及其他连接件、泄压设备、取样连接系</w:t>
            </w:r>
            <w:r>
              <w:rPr>
                <w:rFonts w:hint="default" w:ascii="Times New Roman" w:hAnsi="Times New Roman" w:cs="Times New Roman" w:eastAsiaTheme="minorEastAsia"/>
                <w:color w:val="auto"/>
                <w:spacing w:val="21"/>
                <w:sz w:val="21"/>
                <w:szCs w:val="21"/>
                <w:highlight w:val="none"/>
              </w:rPr>
              <w:t>统、其他密闭设备等进行泄漏检</w:t>
            </w:r>
            <w:r>
              <w:rPr>
                <w:rFonts w:hint="default" w:ascii="Times New Roman" w:hAnsi="Times New Roman" w:cs="Times New Roman" w:eastAsiaTheme="minorEastAsia"/>
                <w:color w:val="auto"/>
                <w:spacing w:val="6"/>
                <w:sz w:val="21"/>
                <w:szCs w:val="21"/>
                <w:highlight w:val="none"/>
              </w:rPr>
              <w:t>测，若发生泄漏情况及时修复并保留台账记录。</w:t>
            </w:r>
          </w:p>
        </w:tc>
        <w:tc>
          <w:tcPr>
            <w:tcW w:w="2734" w:type="dxa"/>
            <w:vAlign w:val="top"/>
          </w:tcPr>
          <w:p w14:paraId="62B8B267">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E9F623D">
            <w:pPr>
              <w:keepNext w:val="0"/>
              <w:keepLines w:val="0"/>
              <w:pageBreakBefore w:val="0"/>
              <w:widowControl/>
              <w:kinsoku/>
              <w:wordWrap/>
              <w:overflowPunct/>
              <w:topLinePunct w:val="0"/>
              <w:autoSpaceDE/>
              <w:autoSpaceDN/>
              <w:bidi w:val="0"/>
              <w:adjustRightInd/>
              <w:snapToGrid/>
              <w:spacing w:line="260" w:lineRule="exact"/>
              <w:ind w:left="112" w:right="103"/>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21"/>
                <w:sz w:val="21"/>
                <w:szCs w:val="21"/>
                <w:highlight w:val="none"/>
              </w:rPr>
              <w:t>本工程为石油天然气开采项</w:t>
            </w:r>
            <w:r>
              <w:rPr>
                <w:rFonts w:hint="default" w:ascii="Times New Roman" w:hAnsi="Times New Roman" w:cs="Times New Roman" w:eastAsiaTheme="minorEastAsia"/>
                <w:color w:val="auto"/>
                <w:spacing w:val="4"/>
                <w:sz w:val="21"/>
                <w:szCs w:val="21"/>
                <w:highlight w:val="none"/>
              </w:rPr>
              <w:t>目，油气输送过程全密闭，运</w:t>
            </w:r>
            <w:r>
              <w:rPr>
                <w:rFonts w:hint="default" w:ascii="Times New Roman" w:hAnsi="Times New Roman" w:cs="Times New Roman" w:eastAsiaTheme="minorEastAsia"/>
                <w:color w:val="auto"/>
                <w:spacing w:val="21"/>
                <w:sz w:val="21"/>
                <w:szCs w:val="21"/>
                <w:highlight w:val="none"/>
              </w:rPr>
              <w:t>营期采用技术质量可靠的设</w:t>
            </w:r>
            <w:r>
              <w:rPr>
                <w:rFonts w:hint="default" w:ascii="Times New Roman" w:hAnsi="Times New Roman" w:cs="Times New Roman" w:eastAsiaTheme="minorEastAsia"/>
                <w:color w:val="auto"/>
                <w:spacing w:val="4"/>
                <w:sz w:val="21"/>
                <w:szCs w:val="21"/>
                <w:highlight w:val="none"/>
              </w:rPr>
              <w:t>备、仪表控制、阀门等定期的</w:t>
            </w:r>
            <w:r>
              <w:rPr>
                <w:rFonts w:hint="default" w:ascii="Times New Roman" w:hAnsi="Times New Roman" w:cs="Times New Roman" w:eastAsiaTheme="minorEastAsia"/>
                <w:color w:val="auto"/>
                <w:spacing w:val="6"/>
                <w:sz w:val="21"/>
                <w:szCs w:val="21"/>
                <w:highlight w:val="none"/>
              </w:rPr>
              <w:t>检查、检修。</w:t>
            </w:r>
          </w:p>
        </w:tc>
        <w:tc>
          <w:tcPr>
            <w:tcW w:w="949" w:type="dxa"/>
            <w:vAlign w:val="top"/>
          </w:tcPr>
          <w:p w14:paraId="1E7197F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EB1D46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6D658008">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53B03E6">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5C239707">
            <w:pPr>
              <w:keepNext w:val="0"/>
              <w:keepLines w:val="0"/>
              <w:pageBreakBefore w:val="0"/>
              <w:widowControl/>
              <w:kinsoku/>
              <w:wordWrap/>
              <w:overflowPunct/>
              <w:topLinePunct w:val="0"/>
              <w:autoSpaceDE/>
              <w:autoSpaceDN/>
              <w:bidi w:val="0"/>
              <w:adjustRightInd/>
              <w:snapToGrid/>
              <w:spacing w:line="260" w:lineRule="exact"/>
              <w:ind w:left="271"/>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3"/>
                <w:sz w:val="21"/>
                <w:szCs w:val="21"/>
                <w:highlight w:val="none"/>
              </w:rPr>
              <w:t>符合</w:t>
            </w:r>
          </w:p>
        </w:tc>
      </w:tr>
      <w:tr w14:paraId="54178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1373" w:type="dxa"/>
            <w:vMerge w:val="continue"/>
            <w:tcBorders>
              <w:top w:val="nil"/>
            </w:tcBorders>
            <w:vAlign w:val="top"/>
          </w:tcPr>
          <w:p w14:paraId="4BF27C13">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tc>
        <w:tc>
          <w:tcPr>
            <w:tcW w:w="3470" w:type="dxa"/>
            <w:vAlign w:val="top"/>
          </w:tcPr>
          <w:p w14:paraId="1F8F4185">
            <w:pPr>
              <w:keepNext w:val="0"/>
              <w:keepLines w:val="0"/>
              <w:pageBreakBefore w:val="0"/>
              <w:widowControl/>
              <w:kinsoku/>
              <w:wordWrap/>
              <w:overflowPunct/>
              <w:topLinePunct w:val="0"/>
              <w:autoSpaceDE/>
              <w:autoSpaceDN/>
              <w:bidi w:val="0"/>
              <w:adjustRightInd/>
              <w:snapToGrid/>
              <w:spacing w:line="260" w:lineRule="exact"/>
              <w:ind w:left="110" w:right="106"/>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6"/>
                <w:sz w:val="21"/>
                <w:szCs w:val="21"/>
                <w:highlight w:val="none"/>
              </w:rPr>
              <w:t>施工期间施工现场设置围挡，车辆低速行驶、燃烧合格油品，场地大风天气适当洒水抑尘，减少扬尘产</w:t>
            </w:r>
            <w:r>
              <w:rPr>
                <w:rFonts w:hint="default" w:ascii="Times New Roman" w:hAnsi="Times New Roman" w:cs="Times New Roman" w:eastAsiaTheme="minorEastAsia"/>
                <w:color w:val="auto"/>
                <w:sz w:val="21"/>
                <w:szCs w:val="21"/>
                <w:highlight w:val="none"/>
              </w:rPr>
              <w:t>生。</w:t>
            </w:r>
          </w:p>
        </w:tc>
        <w:tc>
          <w:tcPr>
            <w:tcW w:w="2734" w:type="dxa"/>
            <w:vAlign w:val="top"/>
          </w:tcPr>
          <w:p w14:paraId="0DD52F7E">
            <w:pPr>
              <w:keepNext w:val="0"/>
              <w:keepLines w:val="0"/>
              <w:pageBreakBefore w:val="0"/>
              <w:widowControl/>
              <w:kinsoku/>
              <w:wordWrap/>
              <w:overflowPunct/>
              <w:topLinePunct w:val="0"/>
              <w:autoSpaceDE/>
              <w:autoSpaceDN/>
              <w:bidi w:val="0"/>
              <w:adjustRightInd/>
              <w:snapToGrid/>
              <w:spacing w:line="260" w:lineRule="exact"/>
              <w:ind w:left="114" w:right="94" w:hanging="2"/>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5"/>
                <w:sz w:val="21"/>
                <w:szCs w:val="21"/>
                <w:highlight w:val="none"/>
              </w:rPr>
              <w:t>施工期间施工现场设置围挡，</w:t>
            </w:r>
            <w:r>
              <w:rPr>
                <w:rFonts w:hint="default" w:ascii="Times New Roman" w:hAnsi="Times New Roman" w:cs="Times New Roman" w:eastAsiaTheme="minorEastAsia"/>
                <w:color w:val="auto"/>
                <w:spacing w:val="21"/>
                <w:sz w:val="21"/>
                <w:szCs w:val="21"/>
                <w:highlight w:val="none"/>
              </w:rPr>
              <w:t>车辆低速行驶、燃烧合格油</w:t>
            </w:r>
            <w:r>
              <w:rPr>
                <w:rFonts w:hint="default" w:ascii="Times New Roman" w:hAnsi="Times New Roman" w:cs="Times New Roman" w:eastAsiaTheme="minorEastAsia"/>
                <w:color w:val="auto"/>
                <w:spacing w:val="4"/>
                <w:sz w:val="21"/>
                <w:szCs w:val="21"/>
                <w:highlight w:val="none"/>
              </w:rPr>
              <w:t>品，场地大风天气适当洒水抑</w:t>
            </w:r>
            <w:r>
              <w:rPr>
                <w:rFonts w:hint="default" w:ascii="Times New Roman" w:hAnsi="Times New Roman" w:cs="Times New Roman" w:eastAsiaTheme="minorEastAsia"/>
                <w:color w:val="auto"/>
                <w:spacing w:val="7"/>
                <w:sz w:val="21"/>
                <w:szCs w:val="21"/>
                <w:highlight w:val="none"/>
              </w:rPr>
              <w:t>尘，减少扬尘产生。</w:t>
            </w:r>
          </w:p>
        </w:tc>
        <w:tc>
          <w:tcPr>
            <w:tcW w:w="949" w:type="dxa"/>
            <w:vAlign w:val="top"/>
          </w:tcPr>
          <w:p w14:paraId="1B85364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5FEE082A">
            <w:pPr>
              <w:keepNext w:val="0"/>
              <w:keepLines w:val="0"/>
              <w:pageBreakBefore w:val="0"/>
              <w:widowControl/>
              <w:kinsoku/>
              <w:wordWrap/>
              <w:overflowPunct/>
              <w:topLinePunct w:val="0"/>
              <w:autoSpaceDE/>
              <w:autoSpaceDN/>
              <w:bidi w:val="0"/>
              <w:adjustRightInd/>
              <w:snapToGrid/>
              <w:spacing w:line="260" w:lineRule="exact"/>
              <w:ind w:left="271"/>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3"/>
                <w:sz w:val="21"/>
                <w:szCs w:val="21"/>
                <w:highlight w:val="none"/>
              </w:rPr>
              <w:t>符合</w:t>
            </w:r>
          </w:p>
        </w:tc>
      </w:tr>
      <w:tr w14:paraId="427DE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373" w:type="dxa"/>
            <w:vMerge w:val="restart"/>
            <w:tcBorders>
              <w:bottom w:val="nil"/>
            </w:tcBorders>
            <w:vAlign w:val="top"/>
          </w:tcPr>
          <w:p w14:paraId="07B52611">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tc>
        <w:tc>
          <w:tcPr>
            <w:tcW w:w="3470" w:type="dxa"/>
            <w:vAlign w:val="top"/>
          </w:tcPr>
          <w:p w14:paraId="2CBC8053">
            <w:pPr>
              <w:pStyle w:val="42"/>
              <w:keepNext w:val="0"/>
              <w:keepLines w:val="0"/>
              <w:pageBreakBefore w:val="0"/>
              <w:widowControl/>
              <w:kinsoku/>
              <w:wordWrap/>
              <w:overflowPunct/>
              <w:topLinePunct w:val="0"/>
              <w:autoSpaceDE/>
              <w:autoSpaceDN/>
              <w:bidi w:val="0"/>
              <w:adjustRightInd/>
              <w:snapToGrid/>
              <w:spacing w:line="260" w:lineRule="exact"/>
              <w:ind w:left="112" w:right="106" w:hanging="2"/>
              <w:textAlignment w:val="auto"/>
              <w:rPr>
                <w:rFonts w:hint="eastAsia"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pacing w:val="10"/>
                <w:sz w:val="21"/>
                <w:szCs w:val="21"/>
                <w:highlight w:val="none"/>
              </w:rPr>
              <w:t>采油(气)场站和油气处理场站均采</w:t>
            </w:r>
            <w:r>
              <w:rPr>
                <w:rFonts w:hint="default" w:ascii="Times New Roman" w:hAnsi="Times New Roman" w:cs="Times New Roman" w:eastAsiaTheme="minorEastAsia"/>
                <w:color w:val="auto"/>
                <w:spacing w:val="9"/>
                <w:sz w:val="21"/>
                <w:szCs w:val="21"/>
                <w:highlight w:val="none"/>
              </w:rPr>
              <w:t>用密闭集输管道输送油气</w:t>
            </w:r>
            <w:r>
              <w:rPr>
                <w:rFonts w:hint="eastAsia" w:ascii="Times New Roman" w:hAnsi="Times New Roman" w:cs="Times New Roman" w:eastAsiaTheme="minorEastAsia"/>
                <w:color w:val="auto"/>
                <w:spacing w:val="9"/>
                <w:sz w:val="21"/>
                <w:szCs w:val="21"/>
                <w:highlight w:val="none"/>
                <w:lang w:eastAsia="zh-CN"/>
              </w:rPr>
              <w:t>。</w:t>
            </w:r>
          </w:p>
        </w:tc>
        <w:tc>
          <w:tcPr>
            <w:tcW w:w="2734" w:type="dxa"/>
            <w:vAlign w:val="top"/>
          </w:tcPr>
          <w:p w14:paraId="49BDC956">
            <w:pPr>
              <w:keepNext w:val="0"/>
              <w:keepLines w:val="0"/>
              <w:pageBreakBefore w:val="0"/>
              <w:widowControl/>
              <w:kinsoku/>
              <w:wordWrap/>
              <w:overflowPunct/>
              <w:topLinePunct w:val="0"/>
              <w:autoSpaceDE/>
              <w:autoSpaceDN/>
              <w:bidi w:val="0"/>
              <w:adjustRightInd/>
              <w:snapToGrid/>
              <w:spacing w:line="260" w:lineRule="exact"/>
              <w:ind w:left="114" w:right="34" w:hanging="1"/>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6"/>
                <w:sz w:val="21"/>
                <w:szCs w:val="21"/>
                <w:highlight w:val="none"/>
              </w:rPr>
              <w:t>本工程油气开采、集输、计量、</w:t>
            </w:r>
            <w:r>
              <w:rPr>
                <w:rFonts w:hint="default" w:ascii="Times New Roman" w:hAnsi="Times New Roman" w:cs="Times New Roman" w:eastAsiaTheme="minorEastAsia"/>
                <w:color w:val="auto"/>
                <w:spacing w:val="4"/>
                <w:sz w:val="21"/>
                <w:szCs w:val="21"/>
                <w:highlight w:val="none"/>
              </w:rPr>
              <w:t>分离等环节均为密闭流程，有</w:t>
            </w:r>
            <w:r>
              <w:rPr>
                <w:rFonts w:hint="default" w:ascii="Times New Roman" w:hAnsi="Times New Roman" w:cs="Times New Roman" w:eastAsiaTheme="minorEastAsia"/>
                <w:color w:val="auto"/>
                <w:spacing w:val="7"/>
                <w:sz w:val="21"/>
                <w:szCs w:val="21"/>
                <w:highlight w:val="none"/>
              </w:rPr>
              <w:t>效减少废气排放。</w:t>
            </w:r>
          </w:p>
        </w:tc>
        <w:tc>
          <w:tcPr>
            <w:tcW w:w="949" w:type="dxa"/>
            <w:vAlign w:val="top"/>
          </w:tcPr>
          <w:p w14:paraId="3A27A757">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B8E4FD5">
            <w:pPr>
              <w:keepNext w:val="0"/>
              <w:keepLines w:val="0"/>
              <w:pageBreakBefore w:val="0"/>
              <w:widowControl/>
              <w:kinsoku/>
              <w:wordWrap/>
              <w:overflowPunct/>
              <w:topLinePunct w:val="0"/>
              <w:autoSpaceDE/>
              <w:autoSpaceDN/>
              <w:bidi w:val="0"/>
              <w:adjustRightInd/>
              <w:snapToGrid/>
              <w:spacing w:line="260" w:lineRule="exact"/>
              <w:ind w:left="271"/>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3"/>
                <w:sz w:val="21"/>
                <w:szCs w:val="21"/>
                <w:highlight w:val="none"/>
              </w:rPr>
              <w:t>符合</w:t>
            </w:r>
          </w:p>
        </w:tc>
      </w:tr>
      <w:tr w14:paraId="6B113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73" w:type="dxa"/>
            <w:vMerge w:val="continue"/>
            <w:tcBorders>
              <w:top w:val="nil"/>
              <w:bottom w:val="nil"/>
            </w:tcBorders>
            <w:vAlign w:val="top"/>
          </w:tcPr>
          <w:p w14:paraId="097B9BB9">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tc>
        <w:tc>
          <w:tcPr>
            <w:tcW w:w="3470" w:type="dxa"/>
            <w:vAlign w:val="top"/>
          </w:tcPr>
          <w:p w14:paraId="2D14BC79">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59ABAFFE">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4AAC3A8">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6DD1BC5">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36D2DE02">
            <w:pPr>
              <w:keepNext w:val="0"/>
              <w:keepLines w:val="0"/>
              <w:pageBreakBefore w:val="0"/>
              <w:widowControl/>
              <w:kinsoku/>
              <w:wordWrap/>
              <w:overflowPunct/>
              <w:topLinePunct w:val="0"/>
              <w:autoSpaceDE/>
              <w:autoSpaceDN/>
              <w:bidi w:val="0"/>
              <w:adjustRightInd/>
              <w:snapToGrid/>
              <w:spacing w:line="260" w:lineRule="exact"/>
              <w:ind w:left="110" w:right="106" w:hanging="1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5"/>
                <w:sz w:val="21"/>
                <w:szCs w:val="21"/>
                <w:highlight w:val="none"/>
              </w:rPr>
              <w:t>“十四五”规划实施过程产生的含</w:t>
            </w:r>
            <w:r>
              <w:rPr>
                <w:rFonts w:hint="default" w:ascii="Times New Roman" w:hAnsi="Times New Roman" w:cs="Times New Roman" w:eastAsiaTheme="minorEastAsia"/>
                <w:color w:val="auto"/>
                <w:spacing w:val="6"/>
                <w:sz w:val="21"/>
                <w:szCs w:val="21"/>
                <w:highlight w:val="none"/>
              </w:rPr>
              <w:t>油废水处理达标后回注于地层，生活污水处理达标后用于区域绿化，</w:t>
            </w:r>
            <w:r>
              <w:rPr>
                <w:rFonts w:hint="default" w:ascii="Times New Roman" w:hAnsi="Times New Roman" w:cs="Times New Roman" w:eastAsiaTheme="minorEastAsia"/>
                <w:color w:val="auto"/>
                <w:spacing w:val="5"/>
                <w:sz w:val="21"/>
                <w:szCs w:val="21"/>
                <w:highlight w:val="none"/>
              </w:rPr>
              <w:t>均不外排。</w:t>
            </w:r>
          </w:p>
        </w:tc>
        <w:tc>
          <w:tcPr>
            <w:tcW w:w="2734" w:type="dxa"/>
            <w:vAlign w:val="top"/>
          </w:tcPr>
          <w:p w14:paraId="06331D0A">
            <w:pPr>
              <w:pStyle w:val="42"/>
              <w:keepNext w:val="0"/>
              <w:keepLines w:val="0"/>
              <w:pageBreakBefore w:val="0"/>
              <w:widowControl/>
              <w:kinsoku/>
              <w:wordWrap/>
              <w:overflowPunct/>
              <w:topLinePunct w:val="0"/>
              <w:autoSpaceDE/>
              <w:autoSpaceDN/>
              <w:bidi w:val="0"/>
              <w:adjustRightInd/>
              <w:snapToGrid/>
              <w:spacing w:line="260" w:lineRule="exact"/>
              <w:ind w:left="112" w:right="103"/>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21"/>
                <w:sz w:val="21"/>
                <w:szCs w:val="21"/>
                <w:highlight w:val="none"/>
              </w:rPr>
              <w:t>本工程运营期产生的采出水</w:t>
            </w:r>
            <w:r>
              <w:rPr>
                <w:rFonts w:hint="default" w:ascii="Times New Roman" w:hAnsi="Times New Roman" w:cs="Times New Roman" w:eastAsiaTheme="minorEastAsia"/>
                <w:color w:val="auto"/>
                <w:spacing w:val="4"/>
                <w:sz w:val="21"/>
                <w:szCs w:val="21"/>
                <w:highlight w:val="none"/>
              </w:rPr>
              <w:t>和井下作业废水处理达到《碎</w:t>
            </w:r>
            <w:r>
              <w:rPr>
                <w:rFonts w:hint="default" w:ascii="Times New Roman" w:hAnsi="Times New Roman" w:cs="Times New Roman" w:eastAsiaTheme="minorEastAsia"/>
                <w:color w:val="auto"/>
                <w:spacing w:val="21"/>
                <w:sz w:val="21"/>
                <w:szCs w:val="21"/>
                <w:highlight w:val="none"/>
              </w:rPr>
              <w:t>屑岩油藏注水水质指标技术</w:t>
            </w:r>
            <w:r>
              <w:rPr>
                <w:rFonts w:hint="default" w:ascii="Times New Roman" w:hAnsi="Times New Roman" w:cs="Times New Roman" w:eastAsiaTheme="minorEastAsia"/>
                <w:color w:val="auto"/>
                <w:spacing w:val="-2"/>
                <w:sz w:val="21"/>
                <w:szCs w:val="21"/>
                <w:highlight w:val="none"/>
              </w:rPr>
              <w:t>要求及分析方法》</w:t>
            </w:r>
            <w:r>
              <w:rPr>
                <w:rFonts w:hint="default" w:ascii="Times New Roman" w:hAnsi="Times New Roman" w:cs="Times New Roman" w:eastAsiaTheme="minorEastAsia"/>
                <w:color w:val="auto"/>
                <w:spacing w:val="9"/>
                <w:sz w:val="21"/>
                <w:szCs w:val="21"/>
                <w:highlight w:val="none"/>
              </w:rPr>
              <w:t>（</w:t>
            </w:r>
            <w:r>
              <w:rPr>
                <w:rFonts w:hint="default" w:ascii="Times New Roman" w:hAnsi="Times New Roman" w:cs="Times New Roman" w:eastAsiaTheme="minorEastAsia"/>
                <w:color w:val="auto"/>
                <w:sz w:val="21"/>
                <w:szCs w:val="21"/>
                <w:highlight w:val="none"/>
              </w:rPr>
              <w:t>SY</w:t>
            </w:r>
            <w:r>
              <w:rPr>
                <w:rFonts w:hint="default" w:ascii="Times New Roman" w:hAnsi="Times New Roman" w:cs="Times New Roman" w:eastAsiaTheme="minorEastAsia"/>
                <w:color w:val="auto"/>
                <w:spacing w:val="9"/>
                <w:sz w:val="21"/>
                <w:szCs w:val="21"/>
                <w:highlight w:val="none"/>
              </w:rPr>
              <w:t>/T5329-2022）标准中指</w:t>
            </w:r>
            <w:r>
              <w:rPr>
                <w:rFonts w:hint="default" w:ascii="Times New Roman" w:hAnsi="Times New Roman" w:cs="Times New Roman" w:eastAsiaTheme="minorEastAsia"/>
                <w:color w:val="auto"/>
                <w:spacing w:val="4"/>
                <w:sz w:val="21"/>
                <w:szCs w:val="21"/>
                <w:highlight w:val="none"/>
              </w:rPr>
              <w:t>标后回注油层。施工期不设临时生活营地，施工期生活污水</w:t>
            </w:r>
            <w:r>
              <w:rPr>
                <w:rFonts w:hint="default" w:ascii="Times New Roman" w:hAnsi="Times New Roman" w:cs="Times New Roman" w:eastAsiaTheme="minorEastAsia"/>
                <w:color w:val="auto"/>
                <w:spacing w:val="21"/>
                <w:sz w:val="21"/>
                <w:szCs w:val="21"/>
                <w:highlight w:val="none"/>
              </w:rPr>
              <w:t>经井场撬装式污水处理站处</w:t>
            </w:r>
            <w:r>
              <w:rPr>
                <w:rFonts w:hint="default" w:ascii="Times New Roman" w:hAnsi="Times New Roman" w:cs="Times New Roman" w:eastAsiaTheme="minorEastAsia"/>
                <w:color w:val="auto"/>
                <w:spacing w:val="4"/>
                <w:sz w:val="21"/>
                <w:szCs w:val="21"/>
                <w:highlight w:val="none"/>
              </w:rPr>
              <w:t>理后，用于生活区、井场及通</w:t>
            </w:r>
            <w:r>
              <w:rPr>
                <w:rFonts w:hint="default" w:ascii="Times New Roman" w:hAnsi="Times New Roman" w:cs="Times New Roman" w:eastAsiaTheme="minorEastAsia"/>
                <w:color w:val="auto"/>
                <w:spacing w:val="21"/>
                <w:sz w:val="21"/>
                <w:szCs w:val="21"/>
                <w:highlight w:val="none"/>
              </w:rPr>
              <w:t>井路降尘，不外排地表水环</w:t>
            </w:r>
            <w:r>
              <w:rPr>
                <w:rFonts w:hint="default" w:ascii="Times New Roman" w:hAnsi="Times New Roman" w:cs="Times New Roman" w:eastAsiaTheme="minorEastAsia"/>
                <w:color w:val="auto"/>
                <w:sz w:val="21"/>
                <w:szCs w:val="21"/>
                <w:highlight w:val="none"/>
              </w:rPr>
              <w:t>境。</w:t>
            </w:r>
          </w:p>
        </w:tc>
        <w:tc>
          <w:tcPr>
            <w:tcW w:w="949" w:type="dxa"/>
            <w:vAlign w:val="top"/>
          </w:tcPr>
          <w:p w14:paraId="0503B0EA">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422D1B4">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68CD12D1">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1C82D033">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7EDC1591">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B3503A9">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15C3B13E">
            <w:pPr>
              <w:keepNext w:val="0"/>
              <w:keepLines w:val="0"/>
              <w:pageBreakBefore w:val="0"/>
              <w:widowControl/>
              <w:kinsoku/>
              <w:wordWrap/>
              <w:overflowPunct/>
              <w:topLinePunct w:val="0"/>
              <w:autoSpaceDE/>
              <w:autoSpaceDN/>
              <w:bidi w:val="0"/>
              <w:adjustRightInd/>
              <w:snapToGrid/>
              <w:spacing w:line="260" w:lineRule="exact"/>
              <w:ind w:left="271"/>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3"/>
                <w:sz w:val="21"/>
                <w:szCs w:val="21"/>
                <w:highlight w:val="none"/>
              </w:rPr>
              <w:t>符合</w:t>
            </w:r>
          </w:p>
        </w:tc>
      </w:tr>
      <w:tr w14:paraId="6692B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373" w:type="dxa"/>
            <w:vMerge w:val="continue"/>
            <w:tcBorders>
              <w:top w:val="nil"/>
              <w:bottom w:val="nil"/>
            </w:tcBorders>
            <w:vAlign w:val="top"/>
          </w:tcPr>
          <w:p w14:paraId="1B6C902F">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tc>
        <w:tc>
          <w:tcPr>
            <w:tcW w:w="3470" w:type="dxa"/>
            <w:vAlign w:val="top"/>
          </w:tcPr>
          <w:p w14:paraId="2A91E36B">
            <w:pPr>
              <w:pStyle w:val="42"/>
              <w:keepNext w:val="0"/>
              <w:keepLines w:val="0"/>
              <w:pageBreakBefore w:val="0"/>
              <w:widowControl/>
              <w:kinsoku/>
              <w:wordWrap/>
              <w:overflowPunct/>
              <w:topLinePunct w:val="0"/>
              <w:autoSpaceDE/>
              <w:autoSpaceDN/>
              <w:bidi w:val="0"/>
              <w:adjustRightInd/>
              <w:snapToGrid/>
              <w:spacing w:line="260" w:lineRule="exact"/>
              <w:ind w:left="109" w:right="106" w:hanging="9"/>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5"/>
                <w:sz w:val="21"/>
                <w:szCs w:val="21"/>
                <w:highlight w:val="none"/>
              </w:rPr>
              <w:t>“十四五”规划实施过程产生的一</w:t>
            </w:r>
            <w:r>
              <w:rPr>
                <w:rFonts w:hint="default" w:ascii="Times New Roman" w:hAnsi="Times New Roman" w:cs="Times New Roman" w:eastAsiaTheme="minorEastAsia"/>
                <w:color w:val="auto"/>
                <w:spacing w:val="21"/>
                <w:sz w:val="21"/>
                <w:szCs w:val="21"/>
                <w:highlight w:val="none"/>
              </w:rPr>
              <w:t>般工业固废收集后运至区域填埋</w:t>
            </w:r>
            <w:r>
              <w:rPr>
                <w:rFonts w:hint="default" w:ascii="Times New Roman" w:hAnsi="Times New Roman" w:cs="Times New Roman" w:eastAsiaTheme="minorEastAsia"/>
                <w:color w:val="auto"/>
                <w:spacing w:val="6"/>
                <w:sz w:val="21"/>
                <w:szCs w:val="21"/>
                <w:highlight w:val="none"/>
              </w:rPr>
              <w:t>场处理，生活垃圾收集后定期由库</w:t>
            </w:r>
            <w:r>
              <w:rPr>
                <w:rFonts w:hint="default" w:ascii="Times New Roman" w:hAnsi="Times New Roman" w:cs="Times New Roman" w:eastAsiaTheme="minorEastAsia"/>
                <w:color w:val="auto"/>
                <w:spacing w:val="10"/>
                <w:sz w:val="21"/>
                <w:szCs w:val="21"/>
                <w:highlight w:val="none"/>
              </w:rPr>
              <w:t>车城乡建设投资(集团)有限公司负</w:t>
            </w:r>
            <w:r>
              <w:rPr>
                <w:rFonts w:hint="default" w:ascii="Times New Roman" w:hAnsi="Times New Roman" w:cs="Times New Roman" w:eastAsiaTheme="minorEastAsia"/>
                <w:color w:val="auto"/>
                <w:spacing w:val="21"/>
                <w:sz w:val="21"/>
                <w:szCs w:val="21"/>
                <w:highlight w:val="none"/>
              </w:rPr>
              <w:t>责拉运至库车景胜新能源环保有</w:t>
            </w:r>
            <w:r>
              <w:rPr>
                <w:rFonts w:hint="default" w:ascii="Times New Roman" w:hAnsi="Times New Roman" w:cs="Times New Roman" w:eastAsiaTheme="minorEastAsia"/>
                <w:color w:val="auto"/>
                <w:spacing w:val="15"/>
                <w:sz w:val="21"/>
                <w:szCs w:val="21"/>
                <w:highlight w:val="none"/>
              </w:rPr>
              <w:t>限公司阿克苏地区静脉产业园(东区)生活垃圾焚烧发电厂处置或拉</w:t>
            </w:r>
            <w:r>
              <w:rPr>
                <w:rFonts w:hint="default" w:ascii="Times New Roman" w:hAnsi="Times New Roman" w:cs="Times New Roman" w:eastAsiaTheme="minorEastAsia"/>
                <w:color w:val="auto"/>
                <w:spacing w:val="6"/>
                <w:sz w:val="21"/>
                <w:szCs w:val="21"/>
                <w:highlight w:val="none"/>
              </w:rPr>
              <w:t>运至周边生活垃圾填埋场处理，危险废物委托有资质单位进行处理，</w:t>
            </w:r>
            <w:r>
              <w:rPr>
                <w:rFonts w:hint="default" w:ascii="Times New Roman" w:hAnsi="Times New Roman" w:cs="Times New Roman" w:eastAsiaTheme="minorEastAsia"/>
                <w:color w:val="auto"/>
                <w:spacing w:val="8"/>
                <w:sz w:val="21"/>
                <w:szCs w:val="21"/>
                <w:highlight w:val="none"/>
              </w:rPr>
              <w:t>均不随意排放、倾倒。</w:t>
            </w:r>
          </w:p>
        </w:tc>
        <w:tc>
          <w:tcPr>
            <w:tcW w:w="2734" w:type="dxa"/>
            <w:vAlign w:val="top"/>
          </w:tcPr>
          <w:p w14:paraId="2EFE6CCD">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7AE2F72D">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607D24C1">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5CD3ABF1">
            <w:pPr>
              <w:keepNext w:val="0"/>
              <w:keepLines w:val="0"/>
              <w:pageBreakBefore w:val="0"/>
              <w:widowControl/>
              <w:kinsoku/>
              <w:wordWrap/>
              <w:overflowPunct/>
              <w:topLinePunct w:val="0"/>
              <w:autoSpaceDE/>
              <w:autoSpaceDN/>
              <w:bidi w:val="0"/>
              <w:adjustRightInd/>
              <w:snapToGrid/>
              <w:spacing w:line="260" w:lineRule="exact"/>
              <w:ind w:left="112" w:right="103" w:firstLine="1"/>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21"/>
                <w:sz w:val="21"/>
                <w:szCs w:val="21"/>
                <w:highlight w:val="none"/>
              </w:rPr>
              <w:t>本工程产生的生活垃圾集中</w:t>
            </w:r>
            <w:r>
              <w:rPr>
                <w:rFonts w:hint="default" w:ascii="Times New Roman" w:hAnsi="Times New Roman" w:cs="Times New Roman" w:eastAsiaTheme="minorEastAsia"/>
                <w:color w:val="auto"/>
                <w:spacing w:val="4"/>
                <w:sz w:val="21"/>
                <w:szCs w:val="21"/>
                <w:highlight w:val="none"/>
              </w:rPr>
              <w:t>收集后，拉运至当地垃圾填埋场处置。运营期产生的危险废</w:t>
            </w:r>
            <w:r>
              <w:rPr>
                <w:rFonts w:hint="default" w:ascii="Times New Roman" w:hAnsi="Times New Roman" w:cs="Times New Roman" w:eastAsiaTheme="minorEastAsia"/>
                <w:color w:val="auto"/>
                <w:spacing w:val="8"/>
                <w:sz w:val="21"/>
                <w:szCs w:val="21"/>
                <w:highlight w:val="none"/>
              </w:rPr>
              <w:t>物交由有资质的单位处置。</w:t>
            </w:r>
          </w:p>
        </w:tc>
        <w:tc>
          <w:tcPr>
            <w:tcW w:w="949" w:type="dxa"/>
            <w:vAlign w:val="top"/>
          </w:tcPr>
          <w:p w14:paraId="0ECEDE87">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66486F7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1EB13C75">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2F13E39D">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61F443EA">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517152F">
            <w:pPr>
              <w:keepNext w:val="0"/>
              <w:keepLines w:val="0"/>
              <w:pageBreakBefore w:val="0"/>
              <w:widowControl/>
              <w:kinsoku/>
              <w:wordWrap/>
              <w:overflowPunct/>
              <w:topLinePunct w:val="0"/>
              <w:autoSpaceDE/>
              <w:autoSpaceDN/>
              <w:bidi w:val="0"/>
              <w:adjustRightInd/>
              <w:snapToGrid/>
              <w:spacing w:line="260" w:lineRule="exact"/>
              <w:ind w:left="271"/>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3"/>
                <w:sz w:val="21"/>
                <w:szCs w:val="21"/>
                <w:highlight w:val="none"/>
              </w:rPr>
              <w:t>符合</w:t>
            </w:r>
          </w:p>
        </w:tc>
      </w:tr>
      <w:tr w14:paraId="47D9B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8" w:hRule="atLeast"/>
        </w:trPr>
        <w:tc>
          <w:tcPr>
            <w:tcW w:w="1373" w:type="dxa"/>
            <w:vMerge w:val="continue"/>
            <w:tcBorders>
              <w:top w:val="nil"/>
            </w:tcBorders>
            <w:vAlign w:val="top"/>
          </w:tcPr>
          <w:p w14:paraId="39C27F16">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tc>
        <w:tc>
          <w:tcPr>
            <w:tcW w:w="3470" w:type="dxa"/>
            <w:vAlign w:val="top"/>
          </w:tcPr>
          <w:p w14:paraId="206DD253">
            <w:pPr>
              <w:keepNext w:val="0"/>
              <w:keepLines w:val="0"/>
              <w:pageBreakBefore w:val="0"/>
              <w:widowControl/>
              <w:kinsoku/>
              <w:wordWrap/>
              <w:overflowPunct/>
              <w:topLinePunct w:val="0"/>
              <w:autoSpaceDE/>
              <w:autoSpaceDN/>
              <w:bidi w:val="0"/>
              <w:adjustRightInd/>
              <w:snapToGrid/>
              <w:spacing w:line="260" w:lineRule="exact"/>
              <w:ind w:left="109" w:right="106" w:firstLine="5"/>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20"/>
                <w:sz w:val="21"/>
                <w:szCs w:val="21"/>
                <w:highlight w:val="none"/>
              </w:rPr>
              <w:t>具体项目设计选址时优先避开塔</w:t>
            </w:r>
            <w:r>
              <w:rPr>
                <w:rFonts w:hint="default" w:ascii="Times New Roman" w:hAnsi="Times New Roman" w:cs="Times New Roman" w:eastAsiaTheme="minorEastAsia"/>
                <w:color w:val="auto"/>
                <w:spacing w:val="6"/>
                <w:sz w:val="21"/>
                <w:szCs w:val="21"/>
                <w:highlight w:val="none"/>
              </w:rPr>
              <w:t>里木胡杨林森林公园，若确实无法</w:t>
            </w:r>
            <w:r>
              <w:rPr>
                <w:rFonts w:hint="default" w:ascii="Times New Roman" w:hAnsi="Times New Roman" w:cs="Times New Roman" w:eastAsiaTheme="minorEastAsia"/>
                <w:color w:val="auto"/>
                <w:spacing w:val="21"/>
                <w:sz w:val="21"/>
                <w:szCs w:val="21"/>
                <w:highlight w:val="none"/>
              </w:rPr>
              <w:t>避开则根据要求征得森林公园经</w:t>
            </w:r>
            <w:r>
              <w:rPr>
                <w:rFonts w:hint="default" w:ascii="Times New Roman" w:hAnsi="Times New Roman" w:cs="Times New Roman" w:eastAsiaTheme="minorEastAsia"/>
                <w:color w:val="auto"/>
                <w:spacing w:val="6"/>
                <w:sz w:val="21"/>
                <w:szCs w:val="21"/>
                <w:highlight w:val="none"/>
              </w:rPr>
              <w:t>营管理机构同意，并按《中华人民共和国森林法》及其实施细则等有关规定，办理占用、征收、征用或者转让手续，按法定审批权限报人民政府批准，交纳有关费用。依前款规定占用、征收、征用或者转让国有林地的，必须经省级林业主管</w:t>
            </w:r>
            <w:r>
              <w:rPr>
                <w:rFonts w:hint="default" w:ascii="Times New Roman" w:hAnsi="Times New Roman" w:cs="Times New Roman" w:eastAsiaTheme="minorEastAsia"/>
                <w:color w:val="auto"/>
                <w:spacing w:val="7"/>
                <w:sz w:val="21"/>
                <w:szCs w:val="21"/>
                <w:highlight w:val="none"/>
              </w:rPr>
              <w:t>部门审核同意。</w:t>
            </w:r>
          </w:p>
        </w:tc>
        <w:tc>
          <w:tcPr>
            <w:tcW w:w="2734" w:type="dxa"/>
            <w:vAlign w:val="top"/>
          </w:tcPr>
          <w:p w14:paraId="221931F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1695EE36">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C53C22E">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45315B6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2B58F9E3">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5860D986">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C79B467">
            <w:pPr>
              <w:keepNext w:val="0"/>
              <w:keepLines w:val="0"/>
              <w:pageBreakBefore w:val="0"/>
              <w:widowControl/>
              <w:kinsoku/>
              <w:wordWrap/>
              <w:overflowPunct/>
              <w:topLinePunct w:val="0"/>
              <w:autoSpaceDE/>
              <w:autoSpaceDN/>
              <w:bidi w:val="0"/>
              <w:adjustRightInd/>
              <w:snapToGrid/>
              <w:spacing w:line="260" w:lineRule="exact"/>
              <w:ind w:left="819"/>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rPr>
              <w:t>本工程不涉及</w:t>
            </w:r>
          </w:p>
        </w:tc>
        <w:tc>
          <w:tcPr>
            <w:tcW w:w="949" w:type="dxa"/>
            <w:vAlign w:val="top"/>
          </w:tcPr>
          <w:p w14:paraId="0E8CFA52">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30ED0DF7">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36817E86">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71A4969">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5F49E3E5">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0A779A9F">
            <w:pPr>
              <w:keepNext w:val="0"/>
              <w:keepLines w:val="0"/>
              <w:pageBreakBefore w:val="0"/>
              <w:widowControl/>
              <w:kinsoku/>
              <w:wordWrap/>
              <w:overflowPunct/>
              <w:topLinePunct w:val="0"/>
              <w:autoSpaceDE/>
              <w:autoSpaceDN/>
              <w:bidi w:val="0"/>
              <w:adjustRightInd/>
              <w:snapToGrid/>
              <w:spacing w:line="260" w:lineRule="exact"/>
              <w:textAlignment w:val="auto"/>
              <w:rPr>
                <w:rFonts w:hint="default" w:ascii="Times New Roman" w:hAnsi="Times New Roman" w:cs="Times New Roman" w:eastAsiaTheme="minorEastAsia"/>
                <w:color w:val="auto"/>
                <w:sz w:val="21"/>
                <w:szCs w:val="21"/>
                <w:highlight w:val="none"/>
              </w:rPr>
            </w:pPr>
          </w:p>
          <w:p w14:paraId="22155B1F">
            <w:pPr>
              <w:keepNext w:val="0"/>
              <w:keepLines w:val="0"/>
              <w:pageBreakBefore w:val="0"/>
              <w:widowControl/>
              <w:kinsoku/>
              <w:wordWrap/>
              <w:overflowPunct/>
              <w:topLinePunct w:val="0"/>
              <w:autoSpaceDE/>
              <w:autoSpaceDN/>
              <w:bidi w:val="0"/>
              <w:adjustRightInd/>
              <w:snapToGrid/>
              <w:spacing w:line="260" w:lineRule="exact"/>
              <w:ind w:left="271"/>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3"/>
                <w:sz w:val="21"/>
                <w:szCs w:val="21"/>
                <w:highlight w:val="none"/>
              </w:rPr>
              <w:t>符合</w:t>
            </w:r>
          </w:p>
        </w:tc>
      </w:tr>
    </w:tbl>
    <w:p w14:paraId="71065A8C">
      <w:pPr>
        <w:keepNext w:val="0"/>
        <w:keepLines w:val="0"/>
        <w:pageBreakBefore w:val="0"/>
        <w:widowControl/>
        <w:kinsoku/>
        <w:wordWrap/>
        <w:overflowPunct/>
        <w:topLinePunct w:val="0"/>
        <w:autoSpaceDE/>
        <w:autoSpaceDN/>
        <w:bidi w:val="0"/>
        <w:adjustRightInd/>
        <w:snapToGrid/>
        <w:spacing w:line="240" w:lineRule="auto"/>
        <w:ind w:left="119"/>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3"/>
          <w:sz w:val="28"/>
          <w:szCs w:val="28"/>
          <w:highlight w:val="none"/>
        </w:rPr>
        <w:t>3.8.8</w:t>
      </w:r>
      <w:r>
        <w:rPr>
          <w:rFonts w:ascii="宋体" w:hAnsi="宋体" w:eastAsia="宋体" w:cs="宋体"/>
          <w:b/>
          <w:bCs/>
          <w:color w:val="auto"/>
          <w:spacing w:val="-3"/>
          <w:sz w:val="28"/>
          <w:szCs w:val="28"/>
          <w:highlight w:val="none"/>
        </w:rPr>
        <w:t>与《中国石油化工股份有限公司西北油田分公司“十四五”规</w:t>
      </w:r>
    </w:p>
    <w:p w14:paraId="0D22A129">
      <w:pPr>
        <w:keepNext w:val="0"/>
        <w:keepLines w:val="0"/>
        <w:pageBreakBefore w:val="0"/>
        <w:widowControl/>
        <w:kinsoku/>
        <w:wordWrap/>
        <w:overflowPunct/>
        <w:topLinePunct w:val="0"/>
        <w:autoSpaceDE/>
        <w:autoSpaceDN/>
        <w:bidi w:val="0"/>
        <w:adjustRightInd/>
        <w:snapToGrid/>
        <w:spacing w:line="240" w:lineRule="auto"/>
        <w:ind w:left="122"/>
        <w:textAlignment w:val="auto"/>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划环境影响报告书》的审查意见符合性分析</w:t>
      </w:r>
    </w:p>
    <w:p w14:paraId="09007AB9">
      <w:pPr>
        <w:keepNext w:val="0"/>
        <w:keepLines w:val="0"/>
        <w:pageBreakBefore w:val="0"/>
        <w:widowControl/>
        <w:kinsoku/>
        <w:wordWrap/>
        <w:overflowPunct/>
        <w:topLinePunct w:val="0"/>
        <w:autoSpaceDE/>
        <w:autoSpaceDN/>
        <w:bidi w:val="0"/>
        <w:adjustRightInd/>
        <w:snapToGrid/>
        <w:spacing w:before="78" w:line="360" w:lineRule="auto"/>
        <w:ind w:left="122" w:right="112" w:firstLine="480"/>
        <w:textAlignment w:val="auto"/>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本工程与《中国石油化工股份有限公司西北油田分公司“十四五</w:t>
      </w:r>
      <w:r>
        <w:rPr>
          <w:rFonts w:ascii="宋体" w:hAnsi="宋体" w:eastAsia="宋体" w:cs="宋体"/>
          <w:color w:val="auto"/>
          <w:spacing w:val="-5"/>
          <w:sz w:val="24"/>
          <w:szCs w:val="24"/>
          <w:highlight w:val="none"/>
        </w:rPr>
        <w:t>”规划环境</w:t>
      </w:r>
      <w:r>
        <w:rPr>
          <w:rFonts w:ascii="宋体" w:hAnsi="宋体" w:eastAsia="宋体" w:cs="宋体"/>
          <w:color w:val="auto"/>
          <w:spacing w:val="-1"/>
          <w:sz w:val="24"/>
          <w:szCs w:val="24"/>
          <w:highlight w:val="none"/>
        </w:rPr>
        <w:t>影响报告书》的审查意见符合性分析见表</w:t>
      </w:r>
      <w:r>
        <w:rPr>
          <w:rFonts w:ascii="Times New Roman" w:hAnsi="Times New Roman" w:eastAsia="Times New Roman" w:cs="Times New Roman"/>
          <w:color w:val="auto"/>
          <w:spacing w:val="-1"/>
          <w:sz w:val="24"/>
          <w:szCs w:val="24"/>
          <w:highlight w:val="none"/>
        </w:rPr>
        <w:t>3.</w:t>
      </w:r>
      <w:r>
        <w:rPr>
          <w:rFonts w:hint="eastAsia" w:eastAsia="宋体" w:cs="Times New Roman"/>
          <w:color w:val="auto"/>
          <w:spacing w:val="-1"/>
          <w:sz w:val="24"/>
          <w:szCs w:val="24"/>
          <w:highlight w:val="none"/>
          <w:lang w:val="en-US" w:eastAsia="zh-CN"/>
        </w:rPr>
        <w:t>8-3</w:t>
      </w:r>
      <w:r>
        <w:rPr>
          <w:rFonts w:ascii="宋体" w:hAnsi="宋体" w:eastAsia="宋体" w:cs="宋体"/>
          <w:color w:val="auto"/>
          <w:spacing w:val="-1"/>
          <w:sz w:val="24"/>
          <w:szCs w:val="24"/>
          <w:highlight w:val="none"/>
        </w:rPr>
        <w:t>。</w:t>
      </w:r>
    </w:p>
    <w:p w14:paraId="5E53A2AE">
      <w:pPr>
        <w:spacing w:before="1" w:line="273" w:lineRule="auto"/>
        <w:ind w:left="3235" w:right="14" w:hanging="2691"/>
        <w:rPr>
          <w:rFonts w:ascii="黑体" w:hAnsi="黑体" w:eastAsia="黑体" w:cs="黑体"/>
          <w:color w:val="auto"/>
          <w:sz w:val="21"/>
          <w:szCs w:val="21"/>
          <w:highlight w:val="none"/>
        </w:rPr>
      </w:pPr>
      <w:r>
        <w:rPr>
          <w:rFonts w:ascii="黑体" w:hAnsi="黑体" w:eastAsia="黑体" w:cs="黑体"/>
          <w:color w:val="auto"/>
          <w:spacing w:val="5"/>
          <w:sz w:val="21"/>
          <w:szCs w:val="21"/>
          <w:highlight w:val="none"/>
        </w:rPr>
        <w:t>表3.8-3《中国石油化工股份有限公司西北油田分公司“十四五”规划环境影响报告书》</w:t>
      </w:r>
      <w:r>
        <w:rPr>
          <w:rFonts w:ascii="黑体" w:hAnsi="黑体" w:eastAsia="黑体" w:cs="黑体"/>
          <w:color w:val="auto"/>
          <w:spacing w:val="7"/>
          <w:sz w:val="21"/>
          <w:szCs w:val="21"/>
          <w:highlight w:val="none"/>
        </w:rPr>
        <w:t>的审查意见符合性分析</w:t>
      </w:r>
    </w:p>
    <w:tbl>
      <w:tblPr>
        <w:tblStyle w:val="6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6"/>
        <w:gridCol w:w="3073"/>
        <w:gridCol w:w="3049"/>
        <w:gridCol w:w="958"/>
      </w:tblGrid>
      <w:tr w14:paraId="11F02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446" w:type="dxa"/>
            <w:vAlign w:val="top"/>
          </w:tcPr>
          <w:p w14:paraId="4ECF594E">
            <w:pPr>
              <w:keepNext w:val="0"/>
              <w:keepLines w:val="0"/>
              <w:pageBreakBefore w:val="0"/>
              <w:widowControl/>
              <w:kinsoku/>
              <w:wordWrap/>
              <w:overflowPunct/>
              <w:topLinePunct w:val="0"/>
              <w:autoSpaceDE/>
              <w:autoSpaceDN/>
              <w:bidi w:val="0"/>
              <w:adjustRightInd/>
              <w:snapToGrid/>
              <w:spacing w:before="86" w:line="280" w:lineRule="exact"/>
              <w:ind w:left="308"/>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7"/>
                <w:sz w:val="21"/>
                <w:szCs w:val="21"/>
                <w:highlight w:val="none"/>
              </w:rPr>
              <w:t>规划名称</w:t>
            </w:r>
          </w:p>
        </w:tc>
        <w:tc>
          <w:tcPr>
            <w:tcW w:w="3073" w:type="dxa"/>
            <w:vAlign w:val="top"/>
          </w:tcPr>
          <w:p w14:paraId="6B587B46">
            <w:pPr>
              <w:keepNext w:val="0"/>
              <w:keepLines w:val="0"/>
              <w:pageBreakBefore w:val="0"/>
              <w:widowControl/>
              <w:kinsoku/>
              <w:wordWrap/>
              <w:overflowPunct/>
              <w:topLinePunct w:val="0"/>
              <w:autoSpaceDE/>
              <w:autoSpaceDN/>
              <w:bidi w:val="0"/>
              <w:adjustRightInd/>
              <w:snapToGrid/>
              <w:spacing w:before="86" w:line="280" w:lineRule="exact"/>
              <w:ind w:left="1121"/>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7"/>
                <w:sz w:val="21"/>
                <w:szCs w:val="21"/>
                <w:highlight w:val="none"/>
              </w:rPr>
              <w:t>规划要求</w:t>
            </w:r>
          </w:p>
        </w:tc>
        <w:tc>
          <w:tcPr>
            <w:tcW w:w="3049" w:type="dxa"/>
            <w:vAlign w:val="top"/>
          </w:tcPr>
          <w:p w14:paraId="34E6ABAC">
            <w:pPr>
              <w:keepNext w:val="0"/>
              <w:keepLines w:val="0"/>
              <w:pageBreakBefore w:val="0"/>
              <w:widowControl/>
              <w:kinsoku/>
              <w:wordWrap/>
              <w:overflowPunct/>
              <w:topLinePunct w:val="0"/>
              <w:autoSpaceDE/>
              <w:autoSpaceDN/>
              <w:bidi w:val="0"/>
              <w:adjustRightInd/>
              <w:snapToGrid/>
              <w:spacing w:before="86" w:line="280" w:lineRule="exact"/>
              <w:ind w:left="1007"/>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7"/>
                <w:sz w:val="21"/>
                <w:szCs w:val="21"/>
                <w:highlight w:val="none"/>
              </w:rPr>
              <w:t>本工程情况</w:t>
            </w:r>
          </w:p>
        </w:tc>
        <w:tc>
          <w:tcPr>
            <w:tcW w:w="958" w:type="dxa"/>
            <w:vAlign w:val="top"/>
          </w:tcPr>
          <w:p w14:paraId="082D6F4C">
            <w:pPr>
              <w:keepNext w:val="0"/>
              <w:keepLines w:val="0"/>
              <w:pageBreakBefore w:val="0"/>
              <w:widowControl/>
              <w:kinsoku/>
              <w:wordWrap/>
              <w:overflowPunct/>
              <w:topLinePunct w:val="0"/>
              <w:autoSpaceDE/>
              <w:autoSpaceDN/>
              <w:bidi w:val="0"/>
              <w:adjustRightInd/>
              <w:snapToGrid/>
              <w:spacing w:before="86" w:line="280" w:lineRule="exact"/>
              <w:ind w:left="172"/>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6"/>
                <w:sz w:val="21"/>
                <w:szCs w:val="21"/>
                <w:highlight w:val="none"/>
              </w:rPr>
              <w:t>符合性</w:t>
            </w:r>
          </w:p>
        </w:tc>
      </w:tr>
      <w:tr w14:paraId="2394D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446" w:type="dxa"/>
            <w:vMerge w:val="restart"/>
            <w:vAlign w:val="top"/>
          </w:tcPr>
          <w:p w14:paraId="52AD50A8">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1610B6E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6E63F168">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1DE772EB">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01210A2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765E7D0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3464D8D0">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604D0FA3">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4F60D391">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7D41A8C8">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589ED221">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7847040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551FB57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6C4EA85F">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05F4C388">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21A8FEC6">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2932E83B">
            <w:pPr>
              <w:keepNext w:val="0"/>
              <w:keepLines w:val="0"/>
              <w:pageBreakBefore w:val="0"/>
              <w:widowControl/>
              <w:kinsoku/>
              <w:wordWrap/>
              <w:overflowPunct/>
              <w:topLinePunct w:val="0"/>
              <w:autoSpaceDE/>
              <w:autoSpaceDN/>
              <w:bidi w:val="0"/>
              <w:adjustRightInd/>
              <w:snapToGrid/>
              <w:spacing w:before="65" w:line="280" w:lineRule="exact"/>
              <w:ind w:left="105" w:right="109" w:firstLine="15"/>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23"/>
                <w:sz w:val="21"/>
                <w:szCs w:val="21"/>
                <w:highlight w:val="none"/>
              </w:rPr>
              <w:t>《中国石油</w:t>
            </w:r>
            <w:r>
              <w:rPr>
                <w:rFonts w:hint="default" w:ascii="Times New Roman" w:hAnsi="Times New Roman" w:cs="Times New Roman" w:eastAsiaTheme="majorEastAsia"/>
                <w:color w:val="auto"/>
                <w:spacing w:val="2"/>
                <w:sz w:val="21"/>
                <w:szCs w:val="21"/>
                <w:highlight w:val="none"/>
              </w:rPr>
              <w:t>化工股份有</w:t>
            </w:r>
            <w:r>
              <w:rPr>
                <w:rFonts w:hint="default" w:ascii="Times New Roman" w:hAnsi="Times New Roman" w:cs="Times New Roman" w:eastAsiaTheme="majorEastAsia"/>
                <w:color w:val="auto"/>
                <w:spacing w:val="10"/>
                <w:sz w:val="21"/>
                <w:szCs w:val="21"/>
                <w:highlight w:val="none"/>
              </w:rPr>
              <w:t>限公司西北</w:t>
            </w:r>
            <w:r>
              <w:rPr>
                <w:rFonts w:hint="default" w:ascii="Times New Roman" w:hAnsi="Times New Roman" w:cs="Times New Roman" w:eastAsiaTheme="majorEastAsia"/>
                <w:color w:val="auto"/>
                <w:spacing w:val="6"/>
                <w:sz w:val="21"/>
                <w:szCs w:val="21"/>
                <w:highlight w:val="none"/>
              </w:rPr>
              <w:t>油田分公司</w:t>
            </w:r>
            <w:r>
              <w:rPr>
                <w:rFonts w:hint="default" w:ascii="Times New Roman" w:hAnsi="Times New Roman" w:cs="Times New Roman" w:eastAsiaTheme="majorEastAsia"/>
                <w:color w:val="auto"/>
                <w:spacing w:val="-1"/>
                <w:sz w:val="21"/>
                <w:szCs w:val="21"/>
                <w:highlight w:val="none"/>
              </w:rPr>
              <w:t>“十四五”规</w:t>
            </w:r>
            <w:r>
              <w:rPr>
                <w:rFonts w:hint="default" w:ascii="Times New Roman" w:hAnsi="Times New Roman" w:cs="Times New Roman" w:eastAsiaTheme="majorEastAsia"/>
                <w:color w:val="auto"/>
                <w:sz w:val="21"/>
                <w:szCs w:val="21"/>
                <w:highlight w:val="none"/>
              </w:rPr>
              <w:t>划环境影响</w:t>
            </w:r>
            <w:r>
              <w:rPr>
                <w:rFonts w:hint="default" w:ascii="Times New Roman" w:hAnsi="Times New Roman" w:cs="Times New Roman" w:eastAsiaTheme="majorEastAsia"/>
                <w:color w:val="auto"/>
                <w:spacing w:val="4"/>
                <w:sz w:val="21"/>
                <w:szCs w:val="21"/>
                <w:highlight w:val="none"/>
              </w:rPr>
              <w:t>报告书》的审</w:t>
            </w:r>
            <w:r>
              <w:rPr>
                <w:rFonts w:hint="default" w:ascii="Times New Roman" w:hAnsi="Times New Roman" w:cs="Times New Roman" w:eastAsiaTheme="majorEastAsia"/>
                <w:color w:val="auto"/>
                <w:spacing w:val="10"/>
                <w:sz w:val="21"/>
                <w:szCs w:val="21"/>
                <w:highlight w:val="none"/>
              </w:rPr>
              <w:t>查意见</w:t>
            </w:r>
          </w:p>
        </w:tc>
        <w:tc>
          <w:tcPr>
            <w:tcW w:w="3073" w:type="dxa"/>
            <w:vAlign w:val="top"/>
          </w:tcPr>
          <w:p w14:paraId="49B1F2C8">
            <w:pPr>
              <w:keepNext w:val="0"/>
              <w:keepLines w:val="0"/>
              <w:pageBreakBefore w:val="0"/>
              <w:widowControl/>
              <w:kinsoku/>
              <w:wordWrap/>
              <w:overflowPunct/>
              <w:topLinePunct w:val="0"/>
              <w:autoSpaceDE/>
              <w:autoSpaceDN/>
              <w:bidi w:val="0"/>
              <w:adjustRightInd/>
              <w:snapToGrid/>
              <w:spacing w:before="58" w:line="280" w:lineRule="exact"/>
              <w:ind w:left="113" w:right="60" w:firstLine="2"/>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3"/>
                <w:sz w:val="21"/>
                <w:szCs w:val="21"/>
                <w:highlight w:val="none"/>
              </w:rPr>
              <w:t>油气开采、输送、储存、净化等</w:t>
            </w:r>
            <w:r>
              <w:rPr>
                <w:rFonts w:hint="default" w:ascii="Times New Roman" w:hAnsi="Times New Roman" w:cs="Times New Roman" w:eastAsiaTheme="majorEastAsia"/>
                <w:color w:val="auto"/>
                <w:spacing w:val="19"/>
                <w:sz w:val="21"/>
                <w:szCs w:val="21"/>
                <w:highlight w:val="none"/>
              </w:rPr>
              <w:t>过程及非正常工况应加强挥发</w:t>
            </w:r>
            <w:r>
              <w:rPr>
                <w:rFonts w:hint="default" w:ascii="Times New Roman" w:hAnsi="Times New Roman" w:cs="Times New Roman" w:eastAsiaTheme="majorEastAsia"/>
                <w:color w:val="auto"/>
                <w:spacing w:val="3"/>
                <w:sz w:val="21"/>
                <w:szCs w:val="21"/>
                <w:highlight w:val="none"/>
              </w:rPr>
              <w:t>性有机物等污染物排放控制，确</w:t>
            </w:r>
            <w:r>
              <w:rPr>
                <w:rFonts w:hint="default" w:ascii="Times New Roman" w:hAnsi="Times New Roman" w:cs="Times New Roman" w:eastAsiaTheme="majorEastAsia"/>
                <w:color w:val="auto"/>
                <w:spacing w:val="6"/>
                <w:sz w:val="21"/>
                <w:szCs w:val="21"/>
                <w:highlight w:val="none"/>
              </w:rPr>
              <w:t>保满足区域环境空气质量要求。</w:t>
            </w:r>
          </w:p>
        </w:tc>
        <w:tc>
          <w:tcPr>
            <w:tcW w:w="3049" w:type="dxa"/>
            <w:vAlign w:val="top"/>
          </w:tcPr>
          <w:p w14:paraId="12ABC634">
            <w:pPr>
              <w:keepNext w:val="0"/>
              <w:keepLines w:val="0"/>
              <w:pageBreakBefore w:val="0"/>
              <w:widowControl/>
              <w:kinsoku/>
              <w:wordWrap/>
              <w:overflowPunct/>
              <w:topLinePunct w:val="0"/>
              <w:autoSpaceDE/>
              <w:autoSpaceDN/>
              <w:bidi w:val="0"/>
              <w:adjustRightInd/>
              <w:snapToGrid/>
              <w:spacing w:before="212" w:line="280" w:lineRule="exact"/>
              <w:ind w:left="115" w:right="33" w:hanging="1"/>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6"/>
                <w:sz w:val="21"/>
                <w:szCs w:val="21"/>
                <w:highlight w:val="none"/>
              </w:rPr>
              <w:t>本工程油气开采、集输、计量、</w:t>
            </w:r>
            <w:r>
              <w:rPr>
                <w:rFonts w:hint="default" w:ascii="Times New Roman" w:hAnsi="Times New Roman" w:cs="Times New Roman" w:eastAsiaTheme="majorEastAsia"/>
                <w:color w:val="auto"/>
                <w:spacing w:val="1"/>
                <w:sz w:val="21"/>
                <w:szCs w:val="21"/>
                <w:highlight w:val="none"/>
              </w:rPr>
              <w:t>分离等环节均为密闭流程，能有</w:t>
            </w:r>
            <w:r>
              <w:rPr>
                <w:rFonts w:hint="default" w:ascii="Times New Roman" w:hAnsi="Times New Roman" w:cs="Times New Roman" w:eastAsiaTheme="majorEastAsia"/>
                <w:color w:val="auto"/>
                <w:spacing w:val="7"/>
                <w:sz w:val="21"/>
                <w:szCs w:val="21"/>
                <w:highlight w:val="none"/>
              </w:rPr>
              <w:t>效减少废气排放。</w:t>
            </w:r>
          </w:p>
        </w:tc>
        <w:tc>
          <w:tcPr>
            <w:tcW w:w="958" w:type="dxa"/>
            <w:vAlign w:val="top"/>
          </w:tcPr>
          <w:p w14:paraId="0170D2AB">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55BD435C">
            <w:pPr>
              <w:keepNext w:val="0"/>
              <w:keepLines w:val="0"/>
              <w:pageBreakBefore w:val="0"/>
              <w:widowControl/>
              <w:kinsoku/>
              <w:wordWrap/>
              <w:overflowPunct/>
              <w:topLinePunct w:val="0"/>
              <w:autoSpaceDE/>
              <w:autoSpaceDN/>
              <w:bidi w:val="0"/>
              <w:adjustRightInd/>
              <w:snapToGrid/>
              <w:spacing w:before="65" w:line="280" w:lineRule="exact"/>
              <w:ind w:left="277"/>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3"/>
                <w:sz w:val="21"/>
                <w:szCs w:val="21"/>
                <w:highlight w:val="none"/>
              </w:rPr>
              <w:t>符合</w:t>
            </w:r>
          </w:p>
        </w:tc>
      </w:tr>
      <w:tr w14:paraId="20DAA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1446" w:type="dxa"/>
            <w:vMerge w:val="continue"/>
            <w:vAlign w:val="top"/>
          </w:tcPr>
          <w:p w14:paraId="2A8869CD">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tc>
        <w:tc>
          <w:tcPr>
            <w:tcW w:w="3073" w:type="dxa"/>
            <w:vAlign w:val="top"/>
          </w:tcPr>
          <w:p w14:paraId="680EAE93">
            <w:pPr>
              <w:pStyle w:val="42"/>
              <w:keepNext w:val="0"/>
              <w:keepLines w:val="0"/>
              <w:pageBreakBefore w:val="0"/>
              <w:widowControl/>
              <w:kinsoku/>
              <w:wordWrap/>
              <w:overflowPunct/>
              <w:topLinePunct w:val="0"/>
              <w:autoSpaceDE/>
              <w:autoSpaceDN/>
              <w:bidi w:val="0"/>
              <w:adjustRightInd/>
              <w:snapToGrid/>
              <w:spacing w:before="61" w:line="280" w:lineRule="exact"/>
              <w:ind w:left="111" w:right="38"/>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3"/>
                <w:sz w:val="21"/>
                <w:szCs w:val="21"/>
                <w:highlight w:val="none"/>
              </w:rPr>
              <w:t>加强开采废水污染控制，涉及回注的应经处理满足《碎屑岩油藏</w:t>
            </w:r>
            <w:r>
              <w:rPr>
                <w:rFonts w:hint="default" w:ascii="Times New Roman" w:hAnsi="Times New Roman" w:cs="Times New Roman" w:eastAsiaTheme="majorEastAsia"/>
                <w:color w:val="auto"/>
                <w:spacing w:val="8"/>
                <w:sz w:val="21"/>
                <w:szCs w:val="21"/>
                <w:highlight w:val="none"/>
              </w:rPr>
              <w:t>注水水质推荐指标及分析方法》</w:t>
            </w:r>
            <w:r>
              <w:rPr>
                <w:rFonts w:hint="default" w:ascii="Times New Roman" w:hAnsi="Times New Roman" w:cs="Times New Roman" w:eastAsiaTheme="majorEastAsia"/>
                <w:color w:val="auto"/>
                <w:spacing w:val="5"/>
                <w:sz w:val="21"/>
                <w:szCs w:val="21"/>
                <w:highlight w:val="none"/>
              </w:rPr>
              <w:t>（</w:t>
            </w:r>
            <w:r>
              <w:rPr>
                <w:rFonts w:hint="default" w:ascii="Times New Roman" w:hAnsi="Times New Roman" w:cs="Times New Roman" w:eastAsiaTheme="majorEastAsia"/>
                <w:color w:val="auto"/>
                <w:sz w:val="21"/>
                <w:szCs w:val="21"/>
                <w:highlight w:val="none"/>
              </w:rPr>
              <w:t>SY</w:t>
            </w:r>
            <w:r>
              <w:rPr>
                <w:rFonts w:hint="default" w:ascii="Times New Roman" w:hAnsi="Times New Roman" w:cs="Times New Roman" w:eastAsiaTheme="majorEastAsia"/>
                <w:color w:val="auto"/>
                <w:spacing w:val="5"/>
                <w:sz w:val="21"/>
                <w:szCs w:val="21"/>
                <w:highlight w:val="none"/>
              </w:rPr>
              <w:t>/T5329）等相关标准要求，</w:t>
            </w:r>
            <w:r>
              <w:rPr>
                <w:rFonts w:hint="default" w:ascii="Times New Roman" w:hAnsi="Times New Roman" w:cs="Times New Roman" w:eastAsiaTheme="majorEastAsia"/>
                <w:color w:val="auto"/>
                <w:spacing w:val="19"/>
                <w:sz w:val="21"/>
                <w:szCs w:val="21"/>
                <w:highlight w:val="none"/>
              </w:rPr>
              <w:t>采取切实可行的地下水污染防</w:t>
            </w:r>
            <w:r>
              <w:rPr>
                <w:rFonts w:hint="default" w:ascii="Times New Roman" w:hAnsi="Times New Roman" w:cs="Times New Roman" w:eastAsiaTheme="majorEastAsia"/>
                <w:color w:val="auto"/>
                <w:spacing w:val="3"/>
                <w:sz w:val="21"/>
                <w:szCs w:val="21"/>
                <w:highlight w:val="none"/>
              </w:rPr>
              <w:t>治和监控措施，防止造成地下水污染。</w:t>
            </w:r>
          </w:p>
        </w:tc>
        <w:tc>
          <w:tcPr>
            <w:tcW w:w="3049" w:type="dxa"/>
            <w:vAlign w:val="top"/>
          </w:tcPr>
          <w:p w14:paraId="256610A3">
            <w:pPr>
              <w:pStyle w:val="42"/>
              <w:keepNext w:val="0"/>
              <w:keepLines w:val="0"/>
              <w:pageBreakBefore w:val="0"/>
              <w:widowControl/>
              <w:kinsoku/>
              <w:wordWrap/>
              <w:overflowPunct/>
              <w:topLinePunct w:val="0"/>
              <w:autoSpaceDE/>
              <w:autoSpaceDN/>
              <w:bidi w:val="0"/>
              <w:adjustRightInd/>
              <w:snapToGrid/>
              <w:spacing w:before="65" w:line="280" w:lineRule="exact"/>
              <w:ind w:left="113" w:right="103"/>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17"/>
                <w:sz w:val="21"/>
                <w:szCs w:val="21"/>
                <w:highlight w:val="none"/>
              </w:rPr>
              <w:t>本工程运营期产生的采出水和</w:t>
            </w:r>
            <w:r>
              <w:rPr>
                <w:rFonts w:hint="default" w:ascii="Times New Roman" w:hAnsi="Times New Roman" w:cs="Times New Roman" w:eastAsiaTheme="majorEastAsia"/>
                <w:color w:val="auto"/>
                <w:spacing w:val="1"/>
                <w:sz w:val="21"/>
                <w:szCs w:val="21"/>
                <w:highlight w:val="none"/>
              </w:rPr>
              <w:t>井下作业废水处理达到《碎屑岩</w:t>
            </w:r>
            <w:r>
              <w:rPr>
                <w:rFonts w:hint="default" w:ascii="Times New Roman" w:hAnsi="Times New Roman" w:cs="Times New Roman" w:eastAsiaTheme="majorEastAsia"/>
                <w:color w:val="auto"/>
                <w:spacing w:val="17"/>
                <w:sz w:val="21"/>
                <w:szCs w:val="21"/>
                <w:highlight w:val="none"/>
              </w:rPr>
              <w:t>油藏注水水质指标技术要求及</w:t>
            </w:r>
            <w:r>
              <w:rPr>
                <w:rFonts w:hint="default" w:ascii="Times New Roman" w:hAnsi="Times New Roman" w:cs="Times New Roman" w:eastAsiaTheme="majorEastAsia"/>
                <w:color w:val="auto"/>
                <w:spacing w:val="6"/>
                <w:sz w:val="21"/>
                <w:szCs w:val="21"/>
                <w:highlight w:val="none"/>
              </w:rPr>
              <w:t>分析方法》（</w:t>
            </w:r>
            <w:r>
              <w:rPr>
                <w:rFonts w:hint="default" w:ascii="Times New Roman" w:hAnsi="Times New Roman" w:cs="Times New Roman" w:eastAsiaTheme="majorEastAsia"/>
                <w:color w:val="auto"/>
                <w:sz w:val="21"/>
                <w:szCs w:val="21"/>
                <w:highlight w:val="none"/>
              </w:rPr>
              <w:t>SY</w:t>
            </w:r>
            <w:r>
              <w:rPr>
                <w:rFonts w:hint="default" w:ascii="Times New Roman" w:hAnsi="Times New Roman" w:cs="Times New Roman" w:eastAsiaTheme="majorEastAsia"/>
                <w:color w:val="auto"/>
                <w:spacing w:val="6"/>
                <w:sz w:val="21"/>
                <w:szCs w:val="21"/>
                <w:highlight w:val="none"/>
              </w:rPr>
              <w:t>/T5329-2022）</w:t>
            </w:r>
            <w:r>
              <w:rPr>
                <w:rFonts w:hint="default" w:ascii="Times New Roman" w:hAnsi="Times New Roman" w:cs="Times New Roman" w:eastAsiaTheme="majorEastAsia"/>
                <w:color w:val="auto"/>
                <w:spacing w:val="8"/>
                <w:sz w:val="21"/>
                <w:szCs w:val="21"/>
                <w:highlight w:val="none"/>
              </w:rPr>
              <w:t>标准中指标后回注油层。</w:t>
            </w:r>
          </w:p>
        </w:tc>
        <w:tc>
          <w:tcPr>
            <w:tcW w:w="958" w:type="dxa"/>
            <w:vAlign w:val="top"/>
          </w:tcPr>
          <w:p w14:paraId="34B52E9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tc>
      </w:tr>
      <w:tr w14:paraId="61C42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1446" w:type="dxa"/>
            <w:vMerge w:val="continue"/>
            <w:vAlign w:val="top"/>
          </w:tcPr>
          <w:p w14:paraId="70B0E4D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tc>
        <w:tc>
          <w:tcPr>
            <w:tcW w:w="3073" w:type="dxa"/>
            <w:vAlign w:val="top"/>
          </w:tcPr>
          <w:p w14:paraId="1F577E4C">
            <w:pPr>
              <w:keepNext w:val="0"/>
              <w:keepLines w:val="0"/>
              <w:pageBreakBefore w:val="0"/>
              <w:widowControl/>
              <w:kinsoku/>
              <w:wordWrap/>
              <w:overflowPunct/>
              <w:topLinePunct w:val="0"/>
              <w:autoSpaceDE/>
              <w:autoSpaceDN/>
              <w:bidi w:val="0"/>
              <w:adjustRightInd/>
              <w:snapToGrid/>
              <w:spacing w:before="64" w:line="280" w:lineRule="exact"/>
              <w:ind w:left="112" w:right="53" w:firstLine="3"/>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19"/>
                <w:sz w:val="21"/>
                <w:szCs w:val="21"/>
                <w:highlight w:val="none"/>
              </w:rPr>
              <w:t>油气开采过程中产生的固体废</w:t>
            </w:r>
            <w:r>
              <w:rPr>
                <w:rFonts w:hint="default" w:ascii="Times New Roman" w:hAnsi="Times New Roman" w:cs="Times New Roman" w:eastAsiaTheme="majorEastAsia"/>
                <w:color w:val="auto"/>
                <w:spacing w:val="7"/>
                <w:sz w:val="21"/>
                <w:szCs w:val="21"/>
                <w:highlight w:val="none"/>
              </w:rPr>
              <w:t>物，应当遵循减量化、资源化、</w:t>
            </w:r>
            <w:r>
              <w:rPr>
                <w:rFonts w:hint="default" w:ascii="Times New Roman" w:hAnsi="Times New Roman" w:cs="Times New Roman" w:eastAsiaTheme="majorEastAsia"/>
                <w:color w:val="auto"/>
                <w:spacing w:val="3"/>
                <w:sz w:val="21"/>
                <w:szCs w:val="21"/>
                <w:highlight w:val="none"/>
              </w:rPr>
              <w:t>无害化原则，合规处置加强伴生</w:t>
            </w:r>
            <w:r>
              <w:rPr>
                <w:rFonts w:hint="default" w:ascii="Times New Roman" w:hAnsi="Times New Roman" w:cs="Times New Roman" w:eastAsiaTheme="majorEastAsia"/>
                <w:color w:val="auto"/>
                <w:spacing w:val="-7"/>
                <w:sz w:val="21"/>
                <w:szCs w:val="21"/>
                <w:highlight w:val="none"/>
              </w:rPr>
              <w:t>气、落地油、采出水等回收利用，</w:t>
            </w:r>
            <w:r>
              <w:rPr>
                <w:rFonts w:hint="default" w:ascii="Times New Roman" w:hAnsi="Times New Roman" w:cs="Times New Roman" w:eastAsiaTheme="majorEastAsia"/>
                <w:color w:val="auto"/>
                <w:spacing w:val="7"/>
                <w:sz w:val="21"/>
                <w:szCs w:val="21"/>
                <w:highlight w:val="none"/>
              </w:rPr>
              <w:t>提高综合利用水平。</w:t>
            </w:r>
          </w:p>
        </w:tc>
        <w:tc>
          <w:tcPr>
            <w:tcW w:w="3049" w:type="dxa"/>
            <w:vAlign w:val="top"/>
          </w:tcPr>
          <w:p w14:paraId="11083472">
            <w:pPr>
              <w:pStyle w:val="42"/>
              <w:keepNext w:val="0"/>
              <w:keepLines w:val="0"/>
              <w:pageBreakBefore w:val="0"/>
              <w:widowControl/>
              <w:kinsoku/>
              <w:wordWrap/>
              <w:overflowPunct/>
              <w:topLinePunct w:val="0"/>
              <w:autoSpaceDE/>
              <w:autoSpaceDN/>
              <w:bidi w:val="0"/>
              <w:adjustRightInd/>
              <w:snapToGrid/>
              <w:spacing w:before="64" w:line="280" w:lineRule="exact"/>
              <w:ind w:left="112" w:right="103" w:firstLine="2"/>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35"/>
                <w:sz w:val="21"/>
                <w:szCs w:val="21"/>
                <w:highlight w:val="none"/>
              </w:rPr>
              <w:t>本工程运营期产生的落地油</w:t>
            </w:r>
            <w:r>
              <w:rPr>
                <w:rFonts w:hint="default" w:ascii="Times New Roman" w:hAnsi="Times New Roman" w:cs="Times New Roman" w:eastAsiaTheme="majorEastAsia"/>
                <w:color w:val="auto"/>
                <w:spacing w:val="7"/>
                <w:sz w:val="21"/>
                <w:szCs w:val="21"/>
                <w:highlight w:val="none"/>
              </w:rPr>
              <w:t>100%回收，油泥（砂）、废润</w:t>
            </w:r>
            <w:r>
              <w:rPr>
                <w:rFonts w:hint="default" w:ascii="Times New Roman" w:hAnsi="Times New Roman" w:cs="Times New Roman" w:eastAsiaTheme="majorEastAsia"/>
                <w:color w:val="auto"/>
                <w:spacing w:val="2"/>
                <w:sz w:val="21"/>
                <w:szCs w:val="21"/>
                <w:highlight w:val="none"/>
              </w:rPr>
              <w:t>滑油、废防渗材料，收集后交由</w:t>
            </w:r>
            <w:r>
              <w:rPr>
                <w:rFonts w:hint="default" w:ascii="Times New Roman" w:hAnsi="Times New Roman" w:cs="Times New Roman" w:eastAsiaTheme="majorEastAsia"/>
                <w:color w:val="auto"/>
                <w:spacing w:val="17"/>
                <w:sz w:val="21"/>
                <w:szCs w:val="21"/>
                <w:highlight w:val="none"/>
              </w:rPr>
              <w:t>有危险废物处置资质的单位处</w:t>
            </w:r>
            <w:r>
              <w:rPr>
                <w:rFonts w:hint="default" w:ascii="Times New Roman" w:hAnsi="Times New Roman" w:cs="Times New Roman" w:eastAsiaTheme="majorEastAsia"/>
                <w:color w:val="auto"/>
                <w:spacing w:val="1"/>
                <w:sz w:val="21"/>
                <w:szCs w:val="21"/>
                <w:highlight w:val="none"/>
              </w:rPr>
              <w:t>置。</w:t>
            </w:r>
          </w:p>
        </w:tc>
        <w:tc>
          <w:tcPr>
            <w:tcW w:w="958" w:type="dxa"/>
            <w:vAlign w:val="top"/>
          </w:tcPr>
          <w:p w14:paraId="6A3A7289">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tc>
      </w:tr>
      <w:tr w14:paraId="335D4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3" w:hRule="atLeast"/>
        </w:trPr>
        <w:tc>
          <w:tcPr>
            <w:tcW w:w="1446" w:type="dxa"/>
            <w:vMerge w:val="continue"/>
            <w:vAlign w:val="top"/>
          </w:tcPr>
          <w:p w14:paraId="41078F0D">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tc>
        <w:tc>
          <w:tcPr>
            <w:tcW w:w="3073" w:type="dxa"/>
            <w:vAlign w:val="top"/>
          </w:tcPr>
          <w:p w14:paraId="4152603B">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1AFA8155">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60187F63">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71B5A946">
            <w:pPr>
              <w:keepNext w:val="0"/>
              <w:keepLines w:val="0"/>
              <w:pageBreakBefore w:val="0"/>
              <w:widowControl/>
              <w:kinsoku/>
              <w:wordWrap/>
              <w:overflowPunct/>
              <w:topLinePunct w:val="0"/>
              <w:autoSpaceDE/>
              <w:autoSpaceDN/>
              <w:bidi w:val="0"/>
              <w:adjustRightInd/>
              <w:snapToGrid/>
              <w:spacing w:before="65" w:line="280" w:lineRule="exact"/>
              <w:ind w:left="111" w:right="77" w:firstLine="1"/>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5"/>
                <w:sz w:val="21"/>
                <w:szCs w:val="21"/>
                <w:highlight w:val="none"/>
              </w:rPr>
              <w:t>严格控制油气田开发扰动范围，</w:t>
            </w:r>
            <w:r>
              <w:rPr>
                <w:rFonts w:hint="default" w:ascii="Times New Roman" w:hAnsi="Times New Roman" w:cs="Times New Roman" w:eastAsiaTheme="majorEastAsia"/>
                <w:color w:val="auto"/>
                <w:spacing w:val="3"/>
                <w:sz w:val="21"/>
                <w:szCs w:val="21"/>
                <w:highlight w:val="none"/>
              </w:rPr>
              <w:t>加大生态治理力度，结合油气开采绿色矿山建设等相关要求，落实各项生态环境保护措施，保障区域生态功能不退化。油气开发</w:t>
            </w:r>
            <w:r>
              <w:rPr>
                <w:rFonts w:hint="default" w:ascii="Times New Roman" w:hAnsi="Times New Roman" w:cs="Times New Roman" w:eastAsiaTheme="majorEastAsia"/>
                <w:color w:val="auto"/>
                <w:spacing w:val="19"/>
                <w:sz w:val="21"/>
                <w:szCs w:val="21"/>
                <w:highlight w:val="none"/>
              </w:rPr>
              <w:t>应同步制定并落实生态保护和</w:t>
            </w:r>
            <w:r>
              <w:rPr>
                <w:rFonts w:hint="default" w:ascii="Times New Roman" w:hAnsi="Times New Roman" w:cs="Times New Roman" w:eastAsiaTheme="majorEastAsia"/>
                <w:color w:val="auto"/>
                <w:spacing w:val="3"/>
                <w:sz w:val="21"/>
                <w:szCs w:val="21"/>
                <w:highlight w:val="none"/>
              </w:rPr>
              <w:t>修复方案，综合考虑防沙治沙等相关要求，因地制宜开展生态恢</w:t>
            </w:r>
            <w:r>
              <w:rPr>
                <w:rFonts w:hint="default" w:ascii="Times New Roman" w:hAnsi="Times New Roman" w:cs="Times New Roman" w:eastAsiaTheme="majorEastAsia"/>
                <w:color w:val="auto"/>
                <w:spacing w:val="6"/>
                <w:sz w:val="21"/>
                <w:szCs w:val="21"/>
                <w:highlight w:val="none"/>
              </w:rPr>
              <w:t>复治理工作。</w:t>
            </w:r>
          </w:p>
        </w:tc>
        <w:tc>
          <w:tcPr>
            <w:tcW w:w="3049" w:type="dxa"/>
            <w:vAlign w:val="top"/>
          </w:tcPr>
          <w:p w14:paraId="0F22193F">
            <w:pPr>
              <w:keepNext w:val="0"/>
              <w:keepLines w:val="0"/>
              <w:pageBreakBefore w:val="0"/>
              <w:widowControl/>
              <w:kinsoku/>
              <w:wordWrap/>
              <w:overflowPunct/>
              <w:topLinePunct w:val="0"/>
              <w:autoSpaceDE/>
              <w:autoSpaceDN/>
              <w:bidi w:val="0"/>
              <w:adjustRightInd/>
              <w:snapToGrid/>
              <w:spacing w:before="56" w:line="280" w:lineRule="exact"/>
              <w:ind w:left="112" w:right="49" w:firstLine="1"/>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17"/>
                <w:sz w:val="21"/>
                <w:szCs w:val="21"/>
                <w:highlight w:val="none"/>
              </w:rPr>
              <w:t>本工程施工期及运营期拟采取</w:t>
            </w:r>
            <w:r>
              <w:rPr>
                <w:rFonts w:hint="default" w:ascii="Times New Roman" w:hAnsi="Times New Roman" w:cs="Times New Roman" w:eastAsiaTheme="majorEastAsia"/>
                <w:color w:val="auto"/>
                <w:spacing w:val="1"/>
                <w:sz w:val="21"/>
                <w:szCs w:val="21"/>
                <w:highlight w:val="none"/>
              </w:rPr>
              <w:t>以下生态恢复治理工作：严格控制施工期临时占地面积，按设计</w:t>
            </w:r>
            <w:r>
              <w:rPr>
                <w:rFonts w:hint="default" w:ascii="Times New Roman" w:hAnsi="Times New Roman" w:cs="Times New Roman" w:eastAsiaTheme="majorEastAsia"/>
                <w:color w:val="auto"/>
                <w:spacing w:val="17"/>
                <w:sz w:val="21"/>
                <w:szCs w:val="21"/>
                <w:highlight w:val="none"/>
              </w:rPr>
              <w:t>及规划的施工范围进行施工作</w:t>
            </w:r>
            <w:r>
              <w:rPr>
                <w:rFonts w:hint="default" w:ascii="Times New Roman" w:hAnsi="Times New Roman" w:cs="Times New Roman" w:eastAsiaTheme="majorEastAsia"/>
                <w:color w:val="auto"/>
                <w:spacing w:val="1"/>
                <w:sz w:val="21"/>
                <w:szCs w:val="21"/>
                <w:highlight w:val="none"/>
              </w:rPr>
              <w:t>业，减少土壤扰动。施工机械及</w:t>
            </w:r>
            <w:r>
              <w:rPr>
                <w:rFonts w:hint="default" w:ascii="Times New Roman" w:hAnsi="Times New Roman" w:cs="Times New Roman" w:eastAsiaTheme="majorEastAsia"/>
                <w:color w:val="auto"/>
                <w:spacing w:val="5"/>
                <w:sz w:val="21"/>
                <w:szCs w:val="21"/>
                <w:highlight w:val="none"/>
              </w:rPr>
              <w:t>运输车辆应按规定的道路行驶，</w:t>
            </w:r>
            <w:r>
              <w:rPr>
                <w:rFonts w:hint="default" w:ascii="Times New Roman" w:hAnsi="Times New Roman" w:cs="Times New Roman" w:eastAsiaTheme="majorEastAsia"/>
                <w:color w:val="auto"/>
                <w:spacing w:val="1"/>
                <w:sz w:val="21"/>
                <w:szCs w:val="21"/>
                <w:highlight w:val="none"/>
              </w:rPr>
              <w:t>减少对土壤的碾压，减少碾压造</w:t>
            </w:r>
            <w:r>
              <w:rPr>
                <w:rFonts w:hint="default" w:ascii="Times New Roman" w:hAnsi="Times New Roman" w:cs="Times New Roman" w:eastAsiaTheme="majorEastAsia"/>
                <w:color w:val="auto"/>
                <w:spacing w:val="17"/>
                <w:sz w:val="21"/>
                <w:szCs w:val="21"/>
                <w:highlight w:val="none"/>
              </w:rPr>
              <w:t>成的土壤紧实度增加及养分流</w:t>
            </w:r>
            <w:r>
              <w:rPr>
                <w:rFonts w:hint="default" w:ascii="Times New Roman" w:hAnsi="Times New Roman" w:cs="Times New Roman" w:eastAsiaTheme="majorEastAsia"/>
                <w:color w:val="auto"/>
                <w:spacing w:val="1"/>
                <w:sz w:val="21"/>
                <w:szCs w:val="21"/>
                <w:highlight w:val="none"/>
              </w:rPr>
              <w:t>失。施工产生的建筑垃圾不得随</w:t>
            </w:r>
            <w:r>
              <w:rPr>
                <w:rFonts w:hint="default" w:ascii="Times New Roman" w:hAnsi="Times New Roman" w:cs="Times New Roman" w:eastAsiaTheme="majorEastAsia"/>
                <w:color w:val="auto"/>
                <w:spacing w:val="17"/>
                <w:sz w:val="21"/>
                <w:szCs w:val="21"/>
                <w:highlight w:val="none"/>
              </w:rPr>
              <w:t>意抛洒，应集中收集并及时清</w:t>
            </w:r>
            <w:r>
              <w:rPr>
                <w:rFonts w:hint="default" w:ascii="Times New Roman" w:hAnsi="Times New Roman" w:cs="Times New Roman" w:eastAsiaTheme="majorEastAsia"/>
                <w:color w:val="auto"/>
                <w:spacing w:val="1"/>
                <w:sz w:val="21"/>
                <w:szCs w:val="21"/>
                <w:highlight w:val="none"/>
              </w:rPr>
              <w:t>运，防止污染物进入土壤环境造成污染。项目区处于风蚀区，需</w:t>
            </w:r>
            <w:r>
              <w:rPr>
                <w:rFonts w:hint="default" w:ascii="Times New Roman" w:hAnsi="Times New Roman" w:cs="Times New Roman" w:eastAsiaTheme="majorEastAsia"/>
                <w:color w:val="auto"/>
                <w:spacing w:val="5"/>
                <w:sz w:val="21"/>
                <w:szCs w:val="21"/>
                <w:highlight w:val="none"/>
              </w:rPr>
              <w:t>要严格采取各项水土保持措施，</w:t>
            </w:r>
            <w:r>
              <w:rPr>
                <w:rFonts w:hint="default" w:ascii="Times New Roman" w:hAnsi="Times New Roman" w:cs="Times New Roman" w:eastAsiaTheme="majorEastAsia"/>
                <w:color w:val="auto"/>
                <w:spacing w:val="17"/>
                <w:sz w:val="21"/>
                <w:szCs w:val="21"/>
                <w:highlight w:val="none"/>
              </w:rPr>
              <w:t>施工完毕后通过对临时占地采</w:t>
            </w:r>
            <w:r>
              <w:rPr>
                <w:rFonts w:hint="default" w:ascii="Times New Roman" w:hAnsi="Times New Roman" w:cs="Times New Roman" w:eastAsiaTheme="majorEastAsia"/>
                <w:color w:val="auto"/>
                <w:spacing w:val="8"/>
                <w:sz w:val="21"/>
                <w:szCs w:val="21"/>
                <w:highlight w:val="none"/>
              </w:rPr>
              <w:t>取土地平整和防沙治沙措施。</w:t>
            </w:r>
          </w:p>
        </w:tc>
        <w:tc>
          <w:tcPr>
            <w:tcW w:w="958" w:type="dxa"/>
            <w:vAlign w:val="top"/>
          </w:tcPr>
          <w:p w14:paraId="3209D318">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5E2FFA97">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7D528E8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04C66677">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7967450B">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0F75097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450C3C30">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1C518A41">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2D5A620F">
            <w:pPr>
              <w:keepNext w:val="0"/>
              <w:keepLines w:val="0"/>
              <w:pageBreakBefore w:val="0"/>
              <w:widowControl/>
              <w:kinsoku/>
              <w:wordWrap/>
              <w:overflowPunct/>
              <w:topLinePunct w:val="0"/>
              <w:autoSpaceDE/>
              <w:autoSpaceDN/>
              <w:bidi w:val="0"/>
              <w:adjustRightInd/>
              <w:snapToGrid/>
              <w:spacing w:before="65" w:line="280" w:lineRule="exact"/>
              <w:ind w:left="277"/>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3"/>
                <w:sz w:val="21"/>
                <w:szCs w:val="21"/>
                <w:highlight w:val="none"/>
              </w:rPr>
              <w:t>符合</w:t>
            </w:r>
          </w:p>
        </w:tc>
      </w:tr>
      <w:tr w14:paraId="17F0D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1446" w:type="dxa"/>
            <w:vMerge w:val="continue"/>
            <w:vAlign w:val="top"/>
          </w:tcPr>
          <w:p w14:paraId="03157ACD">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tc>
        <w:tc>
          <w:tcPr>
            <w:tcW w:w="3073" w:type="dxa"/>
            <w:vAlign w:val="top"/>
          </w:tcPr>
          <w:p w14:paraId="7A46F9D3">
            <w:pPr>
              <w:keepNext w:val="0"/>
              <w:keepLines w:val="0"/>
              <w:pageBreakBefore w:val="0"/>
              <w:widowControl/>
              <w:kinsoku/>
              <w:wordWrap/>
              <w:overflowPunct/>
              <w:topLinePunct w:val="0"/>
              <w:autoSpaceDE/>
              <w:autoSpaceDN/>
              <w:bidi w:val="0"/>
              <w:adjustRightInd/>
              <w:snapToGrid/>
              <w:spacing w:before="65" w:line="280" w:lineRule="exact"/>
              <w:ind w:left="110" w:right="105" w:firstLine="4"/>
              <w:jc w:val="both"/>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3"/>
                <w:sz w:val="21"/>
                <w:szCs w:val="21"/>
                <w:highlight w:val="none"/>
              </w:rPr>
              <w:t>建立环境空气、水环境、土壤环境、生态等监测体系，开展长期跟踪监测。根据监测结果，及时优化开发方案，并采取有效的生</w:t>
            </w:r>
            <w:r>
              <w:rPr>
                <w:rFonts w:hint="default" w:ascii="Times New Roman" w:hAnsi="Times New Roman" w:cs="Times New Roman" w:eastAsiaTheme="majorEastAsia"/>
                <w:color w:val="auto"/>
                <w:spacing w:val="7"/>
                <w:sz w:val="21"/>
                <w:szCs w:val="21"/>
                <w:highlight w:val="none"/>
              </w:rPr>
              <w:t>态环境保护措施。</w:t>
            </w:r>
          </w:p>
        </w:tc>
        <w:tc>
          <w:tcPr>
            <w:tcW w:w="3049" w:type="dxa"/>
            <w:vAlign w:val="top"/>
          </w:tcPr>
          <w:p w14:paraId="69965E49">
            <w:pPr>
              <w:keepNext w:val="0"/>
              <w:keepLines w:val="0"/>
              <w:pageBreakBefore w:val="0"/>
              <w:widowControl/>
              <w:kinsoku/>
              <w:wordWrap/>
              <w:overflowPunct/>
              <w:topLinePunct w:val="0"/>
              <w:autoSpaceDE/>
              <w:autoSpaceDN/>
              <w:bidi w:val="0"/>
              <w:adjustRightInd/>
              <w:snapToGrid/>
              <w:spacing w:before="215" w:line="280" w:lineRule="exact"/>
              <w:ind w:left="114" w:right="103"/>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17"/>
                <w:sz w:val="21"/>
                <w:szCs w:val="21"/>
                <w:highlight w:val="none"/>
              </w:rPr>
              <w:t>本次环评已提出运营期各环境</w:t>
            </w:r>
            <w:r>
              <w:rPr>
                <w:rFonts w:hint="default" w:ascii="Times New Roman" w:hAnsi="Times New Roman" w:cs="Times New Roman" w:eastAsiaTheme="majorEastAsia"/>
                <w:color w:val="auto"/>
                <w:spacing w:val="7"/>
                <w:sz w:val="21"/>
                <w:szCs w:val="21"/>
                <w:highlight w:val="none"/>
              </w:rPr>
              <w:t>要素的监测计划。</w:t>
            </w:r>
          </w:p>
        </w:tc>
        <w:tc>
          <w:tcPr>
            <w:tcW w:w="958" w:type="dxa"/>
            <w:vAlign w:val="top"/>
          </w:tcPr>
          <w:p w14:paraId="787B9BD3">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eastAsiaTheme="majorEastAsia"/>
                <w:color w:val="auto"/>
                <w:sz w:val="21"/>
                <w:szCs w:val="21"/>
                <w:highlight w:val="none"/>
              </w:rPr>
            </w:pPr>
          </w:p>
          <w:p w14:paraId="54497484">
            <w:pPr>
              <w:keepNext w:val="0"/>
              <w:keepLines w:val="0"/>
              <w:pageBreakBefore w:val="0"/>
              <w:widowControl/>
              <w:kinsoku/>
              <w:wordWrap/>
              <w:overflowPunct/>
              <w:topLinePunct w:val="0"/>
              <w:autoSpaceDE/>
              <w:autoSpaceDN/>
              <w:bidi w:val="0"/>
              <w:adjustRightInd/>
              <w:snapToGrid/>
              <w:spacing w:before="65" w:line="280" w:lineRule="exact"/>
              <w:ind w:left="277"/>
              <w:textAlignment w:val="auto"/>
              <w:rPr>
                <w:rFonts w:hint="default" w:ascii="Times New Roman" w:hAnsi="Times New Roman" w:cs="Times New Roman" w:eastAsiaTheme="majorEastAsia"/>
                <w:color w:val="auto"/>
                <w:sz w:val="21"/>
                <w:szCs w:val="21"/>
                <w:highlight w:val="none"/>
              </w:rPr>
            </w:pPr>
            <w:r>
              <w:rPr>
                <w:rFonts w:hint="default" w:ascii="Times New Roman" w:hAnsi="Times New Roman" w:cs="Times New Roman" w:eastAsiaTheme="majorEastAsia"/>
                <w:color w:val="auto"/>
                <w:spacing w:val="3"/>
                <w:sz w:val="21"/>
                <w:szCs w:val="21"/>
                <w:highlight w:val="none"/>
              </w:rPr>
              <w:t>符合</w:t>
            </w:r>
          </w:p>
        </w:tc>
      </w:tr>
    </w:tbl>
    <w:p w14:paraId="6C4D6BA3">
      <w:pPr>
        <w:keepNext w:val="0"/>
        <w:keepLines w:val="0"/>
        <w:pageBreakBefore w:val="0"/>
        <w:widowControl/>
        <w:kinsoku/>
        <w:wordWrap/>
        <w:overflowPunct/>
        <w:topLinePunct w:val="0"/>
        <w:autoSpaceDE/>
        <w:autoSpaceDN/>
        <w:bidi w:val="0"/>
        <w:adjustRightInd/>
        <w:snapToGrid/>
        <w:spacing w:line="360" w:lineRule="auto"/>
        <w:ind w:left="117"/>
        <w:textAlignment w:val="auto"/>
        <w:outlineLvl w:val="2"/>
        <w:rPr>
          <w:rFonts w:ascii="Times New Roman" w:hAnsi="Times New Roman" w:eastAsia="Times New Roman" w:cs="Times New Roman"/>
          <w:color w:val="auto"/>
          <w:sz w:val="28"/>
          <w:szCs w:val="28"/>
          <w:highlight w:val="none"/>
        </w:rPr>
      </w:pPr>
      <w:r>
        <w:rPr>
          <w:rFonts w:ascii="Times New Roman" w:hAnsi="Times New Roman" w:eastAsia="Times New Roman" w:cs="Times New Roman"/>
          <w:b/>
          <w:bCs/>
          <w:color w:val="auto"/>
          <w:spacing w:val="-2"/>
          <w:sz w:val="28"/>
          <w:szCs w:val="28"/>
          <w:highlight w:val="none"/>
        </w:rPr>
        <w:t>3.8.9</w:t>
      </w:r>
      <w:r>
        <w:rPr>
          <w:rFonts w:ascii="宋体" w:hAnsi="宋体" w:eastAsia="宋体" w:cs="宋体"/>
          <w:b/>
          <w:bCs/>
          <w:color w:val="auto"/>
          <w:spacing w:val="-2"/>
          <w:sz w:val="28"/>
          <w:szCs w:val="28"/>
          <w:highlight w:val="none"/>
        </w:rPr>
        <w:t>与《阿克苏地区国民经济和社会发展第十四个五年规划和</w:t>
      </w:r>
      <w:r>
        <w:rPr>
          <w:rFonts w:ascii="Times New Roman" w:hAnsi="Times New Roman" w:eastAsia="Times New Roman" w:cs="Times New Roman"/>
          <w:b/>
          <w:bCs/>
          <w:color w:val="auto"/>
          <w:spacing w:val="-2"/>
          <w:sz w:val="28"/>
          <w:szCs w:val="28"/>
          <w:highlight w:val="none"/>
        </w:rPr>
        <w:t>2035</w:t>
      </w:r>
    </w:p>
    <w:p w14:paraId="2B2CDF65">
      <w:pPr>
        <w:keepNext w:val="0"/>
        <w:keepLines w:val="0"/>
        <w:pageBreakBefore w:val="0"/>
        <w:widowControl/>
        <w:kinsoku/>
        <w:wordWrap/>
        <w:overflowPunct/>
        <w:topLinePunct w:val="0"/>
        <w:autoSpaceDE/>
        <w:autoSpaceDN/>
        <w:bidi w:val="0"/>
        <w:adjustRightInd/>
        <w:snapToGrid/>
        <w:spacing w:line="360" w:lineRule="auto"/>
        <w:ind w:left="124"/>
        <w:textAlignment w:val="auto"/>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年远景目标纲要》符合性分析</w:t>
      </w:r>
    </w:p>
    <w:p w14:paraId="20D397E8">
      <w:pPr>
        <w:spacing w:before="78" w:line="372" w:lineRule="auto"/>
        <w:ind w:left="123" w:right="112" w:firstLine="485"/>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《阿克苏地区国民经济和社会发展第十四个五年规划和</w:t>
      </w:r>
      <w:r>
        <w:rPr>
          <w:rFonts w:ascii="Times New Roman" w:hAnsi="Times New Roman" w:eastAsia="Times New Roman" w:cs="Times New Roman"/>
          <w:color w:val="auto"/>
          <w:sz w:val="24"/>
          <w:szCs w:val="24"/>
          <w:highlight w:val="none"/>
        </w:rPr>
        <w:t>2035</w:t>
      </w:r>
      <w:r>
        <w:rPr>
          <w:rFonts w:ascii="宋体" w:hAnsi="宋体" w:eastAsia="宋体" w:cs="宋体"/>
          <w:color w:val="auto"/>
          <w:sz w:val="24"/>
          <w:szCs w:val="24"/>
          <w:highlight w:val="none"/>
        </w:rPr>
        <w:t>年远景目标纲</w:t>
      </w:r>
      <w:r>
        <w:rPr>
          <w:rFonts w:ascii="宋体" w:hAnsi="宋体" w:eastAsia="宋体" w:cs="宋体"/>
          <w:color w:val="auto"/>
          <w:spacing w:val="-3"/>
          <w:sz w:val="24"/>
          <w:szCs w:val="24"/>
          <w:highlight w:val="none"/>
        </w:rPr>
        <w:t>要》提出，积极支持两大油田公司加大油气资源勘探开发力度，推动顺北、塔河主体、博孜—大北等区块油气开采取得重要成果，新增油气资源全部留用当地加工转化，加大地区天然气管网、储备和运营设施建设及互联互通工作，重点联通博孜、克深、英买力等气田至温宿产业园区及西部县（市）天然气管网，集中在</w:t>
      </w:r>
      <w:r>
        <w:rPr>
          <w:rFonts w:ascii="宋体" w:hAnsi="宋体" w:eastAsia="宋体" w:cs="宋体"/>
          <w:color w:val="auto"/>
          <w:spacing w:val="-1"/>
          <w:sz w:val="24"/>
          <w:szCs w:val="24"/>
          <w:highlight w:val="none"/>
        </w:rPr>
        <w:t>温宿发展天然气化工产业，辐射至阿克苏市、柯坪县。</w:t>
      </w:r>
    </w:p>
    <w:p w14:paraId="705E8BD4">
      <w:pPr>
        <w:spacing w:before="36" w:line="361" w:lineRule="auto"/>
        <w:ind w:left="126" w:right="112"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本项目位于塔河油田</w:t>
      </w:r>
      <w:r>
        <w:rPr>
          <w:rFonts w:ascii="Times New Roman" w:hAnsi="Times New Roman" w:eastAsia="Times New Roman" w:cs="Times New Roman"/>
          <w:color w:val="auto"/>
          <w:spacing w:val="-4"/>
          <w:sz w:val="24"/>
          <w:szCs w:val="24"/>
          <w:highlight w:val="none"/>
        </w:rPr>
        <w:t>10</w:t>
      </w:r>
      <w:r>
        <w:rPr>
          <w:rFonts w:ascii="宋体" w:hAnsi="宋体" w:eastAsia="宋体" w:cs="宋体"/>
          <w:color w:val="auto"/>
          <w:spacing w:val="-4"/>
          <w:sz w:val="24"/>
          <w:szCs w:val="24"/>
          <w:highlight w:val="none"/>
        </w:rPr>
        <w:t>区、</w:t>
      </w:r>
      <w:r>
        <w:rPr>
          <w:rFonts w:hint="eastAsia" w:eastAsia="宋体" w:cs="Times New Roman"/>
          <w:color w:val="auto"/>
          <w:spacing w:val="-4"/>
          <w:sz w:val="24"/>
          <w:szCs w:val="24"/>
          <w:highlight w:val="none"/>
          <w:lang w:val="en-US" w:eastAsia="zh-CN"/>
        </w:rPr>
        <w:t>8</w:t>
      </w:r>
      <w:r>
        <w:rPr>
          <w:rFonts w:ascii="宋体" w:hAnsi="宋体" w:eastAsia="宋体" w:cs="宋体"/>
          <w:color w:val="auto"/>
          <w:spacing w:val="-4"/>
          <w:sz w:val="24"/>
          <w:szCs w:val="24"/>
          <w:highlight w:val="none"/>
        </w:rPr>
        <w:t>区，属于两大油田公司中的塔河主体内开发</w:t>
      </w:r>
      <w:r>
        <w:rPr>
          <w:rFonts w:ascii="宋体" w:hAnsi="宋体" w:eastAsia="宋体" w:cs="宋体"/>
          <w:color w:val="auto"/>
          <w:spacing w:val="-2"/>
          <w:sz w:val="24"/>
          <w:szCs w:val="24"/>
          <w:highlight w:val="none"/>
        </w:rPr>
        <w:t>项目，符合规划要求。</w:t>
      </w:r>
    </w:p>
    <w:p w14:paraId="3FECC42B">
      <w:pPr>
        <w:keepNext w:val="0"/>
        <w:keepLines w:val="0"/>
        <w:pageBreakBefore w:val="0"/>
        <w:widowControl/>
        <w:kinsoku/>
        <w:wordWrap/>
        <w:overflowPunct/>
        <w:topLinePunct w:val="0"/>
        <w:autoSpaceDE/>
        <w:autoSpaceDN/>
        <w:bidi w:val="0"/>
        <w:adjustRightInd/>
        <w:snapToGrid/>
        <w:spacing w:line="360" w:lineRule="auto"/>
        <w:ind w:left="0"/>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3"/>
          <w:sz w:val="28"/>
          <w:szCs w:val="28"/>
          <w:highlight w:val="none"/>
        </w:rPr>
        <w:t>3.8.10</w:t>
      </w:r>
      <w:r>
        <w:rPr>
          <w:rFonts w:ascii="宋体" w:hAnsi="宋体" w:eastAsia="宋体" w:cs="宋体"/>
          <w:b/>
          <w:bCs/>
          <w:color w:val="auto"/>
          <w:spacing w:val="-3"/>
          <w:sz w:val="28"/>
          <w:szCs w:val="28"/>
          <w:highlight w:val="none"/>
        </w:rPr>
        <w:t>与《阿克苏地区生态环境保护“十四五”规划》符合性分析</w:t>
      </w:r>
    </w:p>
    <w:p w14:paraId="53CFA2AA">
      <w:pPr>
        <w:keepNext w:val="0"/>
        <w:keepLines w:val="0"/>
        <w:pageBreakBefore w:val="0"/>
        <w:widowControl/>
        <w:kinsoku/>
        <w:wordWrap/>
        <w:overflowPunct/>
        <w:topLinePunct w:val="0"/>
        <w:autoSpaceDE/>
        <w:autoSpaceDN/>
        <w:bidi w:val="0"/>
        <w:adjustRightInd/>
        <w:snapToGrid/>
        <w:spacing w:line="360" w:lineRule="auto"/>
        <w:ind w:left="119" w:right="79" w:firstLine="482"/>
        <w:jc w:val="both"/>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规划指出：“加快清洁能源替代利用。加大电力、天然气等清洁能</w:t>
      </w:r>
      <w:r>
        <w:rPr>
          <w:rFonts w:ascii="宋体" w:hAnsi="宋体" w:eastAsia="宋体" w:cs="宋体"/>
          <w:color w:val="auto"/>
          <w:spacing w:val="-3"/>
          <w:sz w:val="24"/>
          <w:szCs w:val="24"/>
          <w:highlight w:val="none"/>
        </w:rPr>
        <w:t>源供应，</w:t>
      </w:r>
      <w:r>
        <w:rPr>
          <w:rFonts w:ascii="宋体" w:hAnsi="宋体" w:eastAsia="宋体" w:cs="宋体"/>
          <w:color w:val="auto"/>
          <w:spacing w:val="-5"/>
          <w:sz w:val="24"/>
          <w:szCs w:val="24"/>
          <w:highlight w:val="none"/>
        </w:rPr>
        <w:t>按照“宜电则电、宜气则气”的原则，积极推进清洁能源使用，“煤改气”要坚持“以气定改”。”“加强油气田废弃物的无害化处理和资源化利用，开展油气</w:t>
      </w:r>
      <w:r>
        <w:rPr>
          <w:rFonts w:ascii="宋体" w:hAnsi="宋体" w:eastAsia="宋体" w:cs="宋体"/>
          <w:color w:val="auto"/>
          <w:spacing w:val="-3"/>
          <w:sz w:val="24"/>
          <w:szCs w:val="24"/>
          <w:highlight w:val="none"/>
        </w:rPr>
        <w:t>资源开发区历史遗留污染场地治理，对历史遗留油泥坑进行专项排查，建立整治</w:t>
      </w:r>
      <w:r>
        <w:rPr>
          <w:rFonts w:ascii="宋体" w:hAnsi="宋体" w:eastAsia="宋体" w:cs="宋体"/>
          <w:color w:val="auto"/>
          <w:spacing w:val="-1"/>
          <w:sz w:val="24"/>
          <w:szCs w:val="24"/>
          <w:highlight w:val="none"/>
        </w:rPr>
        <w:t>清单、制定治理与修复计划”。</w:t>
      </w:r>
    </w:p>
    <w:p w14:paraId="28994E8E">
      <w:pPr>
        <w:keepNext w:val="0"/>
        <w:keepLines w:val="0"/>
        <w:pageBreakBefore w:val="0"/>
        <w:widowControl/>
        <w:kinsoku/>
        <w:wordWrap/>
        <w:overflowPunct/>
        <w:topLinePunct w:val="0"/>
        <w:autoSpaceDE/>
        <w:autoSpaceDN/>
        <w:bidi w:val="0"/>
        <w:adjustRightInd/>
        <w:snapToGrid/>
        <w:spacing w:before="37" w:line="360" w:lineRule="auto"/>
        <w:ind w:left="122" w:right="13" w:firstLine="483"/>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项目所在的塔河油田已对区域存在的历史遗留污染场地</w:t>
      </w:r>
      <w:r>
        <w:rPr>
          <w:rFonts w:ascii="宋体" w:hAnsi="宋体" w:eastAsia="宋体" w:cs="宋体"/>
          <w:color w:val="auto"/>
          <w:spacing w:val="-4"/>
          <w:sz w:val="24"/>
          <w:szCs w:val="24"/>
          <w:highlight w:val="none"/>
        </w:rPr>
        <w:t>进行治理。本项目主</w:t>
      </w:r>
      <w:r>
        <w:rPr>
          <w:rFonts w:ascii="宋体" w:hAnsi="宋体" w:eastAsia="宋体" w:cs="宋体"/>
          <w:color w:val="auto"/>
          <w:spacing w:val="-2"/>
          <w:sz w:val="24"/>
          <w:szCs w:val="24"/>
          <w:highlight w:val="none"/>
        </w:rPr>
        <w:t>要以陆地石油开采为主，新增产能</w:t>
      </w:r>
      <w:r>
        <w:rPr>
          <w:rFonts w:ascii="Times New Roman" w:hAnsi="Times New Roman" w:eastAsia="Times New Roman" w:cs="Times New Roman"/>
          <w:color w:val="auto"/>
          <w:spacing w:val="-2"/>
          <w:sz w:val="24"/>
          <w:szCs w:val="24"/>
          <w:highlight w:val="none"/>
        </w:rPr>
        <w:t>23.58</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10</w:t>
      </w:r>
      <w:r>
        <w:rPr>
          <w:rFonts w:ascii="Times New Roman" w:hAnsi="Times New Roman" w:eastAsia="Times New Roman" w:cs="Times New Roman"/>
          <w:color w:val="auto"/>
          <w:spacing w:val="-2"/>
          <w:position w:val="7"/>
          <w:sz w:val="15"/>
          <w:szCs w:val="15"/>
          <w:highlight w:val="none"/>
        </w:rPr>
        <w:t>4</w:t>
      </w:r>
      <w:r>
        <w:rPr>
          <w:rFonts w:ascii="Times New Roman" w:hAnsi="Times New Roman" w:eastAsia="Times New Roman" w:cs="Times New Roman"/>
          <w:color w:val="auto"/>
          <w:spacing w:val="-2"/>
          <w:sz w:val="24"/>
          <w:szCs w:val="24"/>
          <w:highlight w:val="none"/>
        </w:rPr>
        <w:t>t/a</w:t>
      </w:r>
      <w:r>
        <w:rPr>
          <w:rFonts w:ascii="宋体" w:hAnsi="宋体" w:eastAsia="宋体" w:cs="宋体"/>
          <w:color w:val="auto"/>
          <w:spacing w:val="-2"/>
          <w:sz w:val="24"/>
          <w:szCs w:val="24"/>
          <w:highlight w:val="none"/>
        </w:rPr>
        <w:t>。项目建设对于区域资源供应具</w:t>
      </w:r>
      <w:r>
        <w:rPr>
          <w:rFonts w:ascii="宋体" w:hAnsi="宋体" w:eastAsia="宋体" w:cs="宋体"/>
          <w:color w:val="auto"/>
          <w:spacing w:val="-4"/>
          <w:sz w:val="24"/>
          <w:szCs w:val="24"/>
          <w:highlight w:val="none"/>
        </w:rPr>
        <w:t>有十分重要的意义。项目按照固体废物“资源化、减量化、无害化”处置原则落</w:t>
      </w:r>
      <w:r>
        <w:rPr>
          <w:rFonts w:ascii="宋体" w:hAnsi="宋体" w:eastAsia="宋体" w:cs="宋体"/>
          <w:color w:val="auto"/>
          <w:spacing w:val="-3"/>
          <w:sz w:val="24"/>
          <w:szCs w:val="24"/>
          <w:highlight w:val="none"/>
        </w:rPr>
        <w:t>实各类固体废物收集、综合利用和处置措施。钻井采用泥浆不落地系统，钻井期钻井岩屑随泥浆一同进入泥浆不落地系统，采用泥浆不落地技术在井场进行无害化处理，处理后进行固液分离，分离后的液体回用于钻井液配备，分离后的固相经检测满足《油气田钻井固体废物综合利用污</w:t>
      </w:r>
      <w:r>
        <w:rPr>
          <w:rFonts w:ascii="宋体" w:hAnsi="宋体" w:eastAsia="宋体" w:cs="宋体"/>
          <w:color w:val="auto"/>
          <w:spacing w:val="-4"/>
          <w:sz w:val="24"/>
          <w:szCs w:val="24"/>
          <w:highlight w:val="none"/>
        </w:rPr>
        <w:t>染控制要求》（</w:t>
      </w:r>
      <w:r>
        <w:rPr>
          <w:rFonts w:ascii="Times New Roman" w:hAnsi="Times New Roman" w:eastAsia="Times New Roman" w:cs="Times New Roman"/>
          <w:color w:val="auto"/>
          <w:spacing w:val="-4"/>
          <w:sz w:val="24"/>
          <w:szCs w:val="24"/>
          <w:highlight w:val="none"/>
        </w:rPr>
        <w:t>DB65/T3997-2017</w:t>
      </w:r>
      <w:r>
        <w:rPr>
          <w:rFonts w:ascii="宋体" w:hAnsi="宋体" w:eastAsia="宋体" w:cs="宋体"/>
          <w:color w:val="auto"/>
          <w:spacing w:val="-4"/>
          <w:sz w:val="24"/>
          <w:szCs w:val="24"/>
          <w:highlight w:val="none"/>
        </w:rPr>
        <w:t>）</w:t>
      </w:r>
      <w:r>
        <w:rPr>
          <w:rFonts w:ascii="宋体" w:hAnsi="宋体" w:eastAsia="宋体" w:cs="宋体"/>
          <w:color w:val="auto"/>
          <w:sz w:val="24"/>
          <w:szCs w:val="24"/>
          <w:highlight w:val="none"/>
        </w:rPr>
        <w:t>中综合利用污染物限值要求，同时含油率满足《土壤环境质量建设用地土壤污</w:t>
      </w:r>
      <w:r>
        <w:rPr>
          <w:rFonts w:ascii="宋体" w:hAnsi="宋体" w:eastAsia="宋体" w:cs="宋体"/>
          <w:color w:val="auto"/>
          <w:spacing w:val="2"/>
          <w:sz w:val="24"/>
          <w:szCs w:val="24"/>
          <w:highlight w:val="none"/>
        </w:rPr>
        <w:t>染风险管控标准（试行）》（</w:t>
      </w:r>
      <w:r>
        <w:rPr>
          <w:rFonts w:ascii="Times New Roman" w:hAnsi="Times New Roman" w:eastAsia="Times New Roman" w:cs="Times New Roman"/>
          <w:color w:val="auto"/>
          <w:sz w:val="24"/>
          <w:szCs w:val="24"/>
          <w:highlight w:val="none"/>
        </w:rPr>
        <w:t>GB</w:t>
      </w:r>
      <w:r>
        <w:rPr>
          <w:rFonts w:ascii="Times New Roman" w:hAnsi="Times New Roman" w:eastAsia="Times New Roman" w:cs="Times New Roman"/>
          <w:color w:val="auto"/>
          <w:spacing w:val="2"/>
          <w:sz w:val="24"/>
          <w:szCs w:val="24"/>
          <w:highlight w:val="none"/>
        </w:rPr>
        <w:t>36600-2018</w:t>
      </w:r>
      <w:r>
        <w:rPr>
          <w:rFonts w:ascii="宋体" w:hAnsi="宋体" w:eastAsia="宋体" w:cs="宋体"/>
          <w:color w:val="auto"/>
          <w:spacing w:val="2"/>
          <w:sz w:val="24"/>
          <w:szCs w:val="24"/>
          <w:highlight w:val="none"/>
        </w:rPr>
        <w:t>）中第二类用地土壤污染风险筛选</w:t>
      </w:r>
      <w:r>
        <w:rPr>
          <w:rFonts w:ascii="宋体" w:hAnsi="宋体" w:eastAsia="宋体" w:cs="宋体"/>
          <w:color w:val="auto"/>
          <w:sz w:val="24"/>
          <w:szCs w:val="24"/>
          <w:highlight w:val="none"/>
        </w:rPr>
        <w:t>值要求（含油率＜</w:t>
      </w:r>
      <w:r>
        <w:rPr>
          <w:rFonts w:ascii="Times New Roman" w:hAnsi="Times New Roman" w:eastAsia="Times New Roman" w:cs="Times New Roman"/>
          <w:color w:val="auto"/>
          <w:sz w:val="24"/>
          <w:szCs w:val="24"/>
          <w:highlight w:val="none"/>
        </w:rPr>
        <w:t>0.45%</w:t>
      </w:r>
      <w:r>
        <w:rPr>
          <w:rFonts w:ascii="宋体" w:hAnsi="宋体" w:eastAsia="宋体" w:cs="宋体"/>
          <w:color w:val="auto"/>
          <w:sz w:val="24"/>
          <w:szCs w:val="24"/>
          <w:highlight w:val="none"/>
        </w:rPr>
        <w:t>）后用于铺垫油区内的井场、道路等，一次处</w:t>
      </w:r>
      <w:r>
        <w:rPr>
          <w:rFonts w:ascii="宋体" w:hAnsi="宋体" w:eastAsia="宋体" w:cs="宋体"/>
          <w:color w:val="auto"/>
          <w:spacing w:val="-1"/>
          <w:sz w:val="24"/>
          <w:szCs w:val="24"/>
          <w:highlight w:val="none"/>
        </w:rPr>
        <w:t>理后检测</w:t>
      </w:r>
      <w:r>
        <w:rPr>
          <w:rFonts w:ascii="宋体" w:hAnsi="宋体" w:eastAsia="宋体" w:cs="宋体"/>
          <w:color w:val="auto"/>
          <w:spacing w:val="-3"/>
          <w:sz w:val="24"/>
          <w:szCs w:val="24"/>
          <w:highlight w:val="none"/>
        </w:rPr>
        <w:t>不合格，现场进行二次处理，达标后用于铺垫油区内的井场、道路等。生活垃圾</w:t>
      </w:r>
      <w:r>
        <w:rPr>
          <w:rFonts w:ascii="宋体" w:hAnsi="宋体" w:eastAsia="宋体" w:cs="宋体"/>
          <w:color w:val="auto"/>
          <w:spacing w:val="-4"/>
          <w:sz w:val="24"/>
          <w:szCs w:val="24"/>
          <w:highlight w:val="none"/>
        </w:rPr>
        <w:t>依托库车绿能环保科技有限公司处置。符合《阿克苏地区生态环境保护“十四五”</w:t>
      </w:r>
      <w:r>
        <w:rPr>
          <w:rFonts w:ascii="宋体" w:hAnsi="宋体" w:eastAsia="宋体" w:cs="宋体"/>
          <w:color w:val="auto"/>
          <w:spacing w:val="-2"/>
          <w:sz w:val="24"/>
          <w:szCs w:val="24"/>
          <w:highlight w:val="none"/>
        </w:rPr>
        <w:t>规划》要求。</w:t>
      </w:r>
    </w:p>
    <w:p w14:paraId="24B7FD11">
      <w:pPr>
        <w:keepNext w:val="0"/>
        <w:keepLines w:val="0"/>
        <w:pageBreakBefore w:val="0"/>
        <w:widowControl/>
        <w:kinsoku/>
        <w:wordWrap/>
        <w:overflowPunct/>
        <w:topLinePunct w:val="0"/>
        <w:autoSpaceDE/>
        <w:autoSpaceDN/>
        <w:bidi w:val="0"/>
        <w:adjustRightInd/>
        <w:snapToGrid/>
        <w:spacing w:line="360" w:lineRule="auto"/>
        <w:ind w:left="0"/>
        <w:textAlignment w:val="auto"/>
        <w:outlineLvl w:val="2"/>
        <w:rPr>
          <w:rFonts w:ascii="宋体" w:hAnsi="宋体" w:eastAsia="宋体" w:cs="宋体"/>
          <w:color w:val="auto"/>
          <w:sz w:val="28"/>
          <w:szCs w:val="28"/>
          <w:highlight w:val="none"/>
        </w:rPr>
      </w:pPr>
      <w:r>
        <w:rPr>
          <w:rFonts w:ascii="Times New Roman" w:hAnsi="Times New Roman" w:eastAsia="Times New Roman" w:cs="Times New Roman"/>
          <w:b/>
          <w:bCs/>
          <w:color w:val="auto"/>
          <w:spacing w:val="-12"/>
          <w:sz w:val="28"/>
          <w:szCs w:val="28"/>
          <w:highlight w:val="none"/>
        </w:rPr>
        <w:t>3.8.11</w:t>
      </w:r>
      <w:r>
        <w:rPr>
          <w:rFonts w:ascii="宋体" w:hAnsi="宋体" w:eastAsia="宋体" w:cs="宋体"/>
          <w:b/>
          <w:bCs/>
          <w:color w:val="auto"/>
          <w:spacing w:val="-12"/>
          <w:sz w:val="28"/>
          <w:szCs w:val="28"/>
          <w:highlight w:val="none"/>
        </w:rPr>
        <w:t>与《关于加快解决当前挥发性有机物治理突出问题的通知》（环</w:t>
      </w:r>
    </w:p>
    <w:p w14:paraId="7F9D765F">
      <w:pPr>
        <w:keepNext w:val="0"/>
        <w:keepLines w:val="0"/>
        <w:pageBreakBefore w:val="0"/>
        <w:widowControl/>
        <w:kinsoku/>
        <w:wordWrap/>
        <w:overflowPunct/>
        <w:topLinePunct w:val="0"/>
        <w:autoSpaceDE/>
        <w:autoSpaceDN/>
        <w:bidi w:val="0"/>
        <w:adjustRightInd/>
        <w:snapToGrid/>
        <w:spacing w:line="360" w:lineRule="auto"/>
        <w:ind w:left="0"/>
        <w:textAlignment w:val="auto"/>
        <w:rPr>
          <w:rFonts w:ascii="宋体" w:hAnsi="宋体" w:eastAsia="宋体" w:cs="宋体"/>
          <w:color w:val="auto"/>
          <w:sz w:val="28"/>
          <w:szCs w:val="28"/>
          <w:highlight w:val="none"/>
        </w:rPr>
      </w:pPr>
      <w:r>
        <w:rPr>
          <w:rFonts w:ascii="宋体" w:hAnsi="宋体" w:eastAsia="宋体" w:cs="宋体"/>
          <w:b/>
          <w:bCs/>
          <w:color w:val="auto"/>
          <w:spacing w:val="-2"/>
          <w:sz w:val="28"/>
          <w:szCs w:val="28"/>
          <w:highlight w:val="none"/>
        </w:rPr>
        <w:t>大气〔</w:t>
      </w:r>
      <w:r>
        <w:rPr>
          <w:rFonts w:ascii="Times New Roman" w:hAnsi="Times New Roman" w:eastAsia="Times New Roman" w:cs="Times New Roman"/>
          <w:b/>
          <w:bCs/>
          <w:color w:val="auto"/>
          <w:spacing w:val="-2"/>
          <w:sz w:val="28"/>
          <w:szCs w:val="28"/>
          <w:highlight w:val="none"/>
        </w:rPr>
        <w:t>2021</w:t>
      </w:r>
      <w:r>
        <w:rPr>
          <w:rFonts w:ascii="宋体" w:hAnsi="宋体" w:eastAsia="宋体" w:cs="宋体"/>
          <w:b/>
          <w:bCs/>
          <w:color w:val="auto"/>
          <w:spacing w:val="-2"/>
          <w:sz w:val="28"/>
          <w:szCs w:val="28"/>
          <w:highlight w:val="none"/>
        </w:rPr>
        <w:t>〕</w:t>
      </w:r>
      <w:r>
        <w:rPr>
          <w:rFonts w:ascii="Times New Roman" w:hAnsi="Times New Roman" w:eastAsia="Times New Roman" w:cs="Times New Roman"/>
          <w:b/>
          <w:bCs/>
          <w:color w:val="auto"/>
          <w:spacing w:val="-2"/>
          <w:sz w:val="28"/>
          <w:szCs w:val="28"/>
          <w:highlight w:val="none"/>
        </w:rPr>
        <w:t>65</w:t>
      </w:r>
      <w:r>
        <w:rPr>
          <w:rFonts w:ascii="宋体" w:hAnsi="宋体" w:eastAsia="宋体" w:cs="宋体"/>
          <w:b/>
          <w:bCs/>
          <w:color w:val="auto"/>
          <w:spacing w:val="-2"/>
          <w:sz w:val="28"/>
          <w:szCs w:val="28"/>
          <w:highlight w:val="none"/>
        </w:rPr>
        <w:t>号）符合性分析</w:t>
      </w:r>
    </w:p>
    <w:p w14:paraId="71DA90DA">
      <w:pPr>
        <w:keepNext w:val="0"/>
        <w:keepLines w:val="0"/>
        <w:pageBreakBefore w:val="0"/>
        <w:widowControl/>
        <w:kinsoku/>
        <w:wordWrap/>
        <w:overflowPunct/>
        <w:topLinePunct w:val="0"/>
        <w:autoSpaceDE/>
        <w:autoSpaceDN/>
        <w:bidi w:val="0"/>
        <w:adjustRightInd/>
        <w:snapToGrid/>
        <w:spacing w:before="78" w:line="360" w:lineRule="auto"/>
        <w:ind w:left="22" w:right="181" w:firstLine="482"/>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文件指出，其他行业企业中载有气态、液态</w:t>
      </w:r>
      <w:r>
        <w:rPr>
          <w:rFonts w:ascii="Times New Roman" w:hAnsi="Times New Roman" w:eastAsia="Times New Roman" w:cs="Times New Roman"/>
          <w:color w:val="auto"/>
          <w:spacing w:val="-3"/>
          <w:sz w:val="24"/>
          <w:szCs w:val="24"/>
          <w:highlight w:val="none"/>
        </w:rPr>
        <w:t>VOCs</w:t>
      </w:r>
      <w:r>
        <w:rPr>
          <w:rFonts w:ascii="宋体" w:hAnsi="宋体" w:eastAsia="宋体" w:cs="宋体"/>
          <w:color w:val="auto"/>
          <w:spacing w:val="-3"/>
          <w:sz w:val="24"/>
          <w:szCs w:val="24"/>
          <w:highlight w:val="none"/>
        </w:rPr>
        <w:t>物料的设备与管</w:t>
      </w:r>
      <w:r>
        <w:rPr>
          <w:rFonts w:ascii="宋体" w:hAnsi="宋体" w:eastAsia="宋体" w:cs="宋体"/>
          <w:color w:val="auto"/>
          <w:spacing w:val="-4"/>
          <w:sz w:val="24"/>
          <w:szCs w:val="24"/>
          <w:highlight w:val="none"/>
        </w:rPr>
        <w:t>线组件密</w:t>
      </w:r>
      <w:r>
        <w:rPr>
          <w:rFonts w:ascii="宋体" w:hAnsi="宋体" w:eastAsia="宋体" w:cs="宋体"/>
          <w:color w:val="auto"/>
          <w:spacing w:val="-2"/>
          <w:sz w:val="24"/>
          <w:szCs w:val="24"/>
          <w:highlight w:val="none"/>
        </w:rPr>
        <w:t>封点大于等于</w:t>
      </w:r>
      <w:r>
        <w:rPr>
          <w:rFonts w:ascii="Times New Roman" w:hAnsi="Times New Roman" w:eastAsia="Times New Roman" w:cs="Times New Roman"/>
          <w:color w:val="auto"/>
          <w:spacing w:val="-2"/>
          <w:sz w:val="24"/>
          <w:szCs w:val="24"/>
          <w:highlight w:val="none"/>
        </w:rPr>
        <w:t>2000</w:t>
      </w:r>
      <w:r>
        <w:rPr>
          <w:rFonts w:ascii="宋体" w:hAnsi="宋体" w:eastAsia="宋体" w:cs="宋体"/>
          <w:color w:val="auto"/>
          <w:spacing w:val="-2"/>
          <w:sz w:val="24"/>
          <w:szCs w:val="24"/>
          <w:highlight w:val="none"/>
        </w:rPr>
        <w:t>个的，应开展</w:t>
      </w:r>
      <w:r>
        <w:rPr>
          <w:rFonts w:ascii="Times New Roman" w:hAnsi="Times New Roman" w:eastAsia="Times New Roman" w:cs="Times New Roman"/>
          <w:color w:val="auto"/>
          <w:spacing w:val="-2"/>
          <w:sz w:val="24"/>
          <w:szCs w:val="24"/>
          <w:highlight w:val="none"/>
        </w:rPr>
        <w:t>LDAR</w:t>
      </w:r>
      <w:r>
        <w:rPr>
          <w:rFonts w:ascii="宋体" w:hAnsi="宋体" w:eastAsia="宋体" w:cs="宋体"/>
          <w:color w:val="auto"/>
          <w:spacing w:val="-2"/>
          <w:sz w:val="24"/>
          <w:szCs w:val="24"/>
          <w:highlight w:val="none"/>
        </w:rPr>
        <w:t>工作。要将</w:t>
      </w:r>
      <w:r>
        <w:rPr>
          <w:rFonts w:ascii="Times New Roman" w:hAnsi="Times New Roman" w:eastAsia="Times New Roman" w:cs="Times New Roman"/>
          <w:color w:val="auto"/>
          <w:spacing w:val="-2"/>
          <w:sz w:val="24"/>
          <w:szCs w:val="24"/>
          <w:highlight w:val="none"/>
        </w:rPr>
        <w:t>VOCs</w:t>
      </w:r>
      <w:r>
        <w:rPr>
          <w:rFonts w:ascii="宋体" w:hAnsi="宋体" w:eastAsia="宋体" w:cs="宋体"/>
          <w:color w:val="auto"/>
          <w:spacing w:val="-2"/>
          <w:sz w:val="24"/>
          <w:szCs w:val="24"/>
          <w:highlight w:val="none"/>
        </w:rPr>
        <w:t>收集管道、治理设施</w:t>
      </w:r>
      <w:r>
        <w:rPr>
          <w:rFonts w:ascii="宋体" w:hAnsi="宋体" w:eastAsia="宋体" w:cs="宋体"/>
          <w:color w:val="auto"/>
          <w:spacing w:val="-1"/>
          <w:sz w:val="24"/>
          <w:szCs w:val="24"/>
          <w:highlight w:val="none"/>
        </w:rPr>
        <w:t>和与储罐连接的密封点纳入检测范围。按照相</w:t>
      </w:r>
      <w:r>
        <w:rPr>
          <w:rFonts w:ascii="宋体" w:hAnsi="宋体" w:eastAsia="宋体" w:cs="宋体"/>
          <w:color w:val="auto"/>
          <w:spacing w:val="-2"/>
          <w:sz w:val="24"/>
          <w:szCs w:val="24"/>
          <w:highlight w:val="none"/>
        </w:rPr>
        <w:t>关技术规范要求，开展泄漏检测、</w:t>
      </w:r>
      <w:r>
        <w:rPr>
          <w:rFonts w:ascii="宋体" w:hAnsi="宋体" w:eastAsia="宋体" w:cs="宋体"/>
          <w:color w:val="auto"/>
          <w:spacing w:val="-3"/>
          <w:sz w:val="24"/>
          <w:szCs w:val="24"/>
          <w:highlight w:val="none"/>
        </w:rPr>
        <w:t>修复、质量控制、记录管理等工作。鼓励企业加严泄漏认定标准；对在用泵、备用泵、调节阀、搅拌器、开口管线等密封点加强巡检；产生</w:t>
      </w:r>
      <w:r>
        <w:rPr>
          <w:rFonts w:ascii="Times New Roman" w:hAnsi="Times New Roman" w:eastAsia="Times New Roman" w:cs="Times New Roman"/>
          <w:color w:val="auto"/>
          <w:spacing w:val="-3"/>
          <w:sz w:val="24"/>
          <w:szCs w:val="24"/>
          <w:highlight w:val="none"/>
        </w:rPr>
        <w:t>VOC</w:t>
      </w:r>
      <w:r>
        <w:rPr>
          <w:rFonts w:ascii="Times New Roman" w:hAnsi="Times New Roman" w:eastAsia="Times New Roman" w:cs="Times New Roman"/>
          <w:color w:val="auto"/>
          <w:spacing w:val="-3"/>
          <w:position w:val="-1"/>
          <w:sz w:val="15"/>
          <w:szCs w:val="15"/>
          <w:highlight w:val="none"/>
        </w:rPr>
        <w:t>S</w:t>
      </w:r>
      <w:r>
        <w:rPr>
          <w:rFonts w:ascii="宋体" w:hAnsi="宋体" w:eastAsia="宋体" w:cs="宋体"/>
          <w:color w:val="auto"/>
          <w:spacing w:val="-3"/>
          <w:sz w:val="24"/>
          <w:szCs w:val="24"/>
          <w:highlight w:val="none"/>
        </w:rPr>
        <w:t>的生产环节优先采用密闭设备、在密闭空间中操作或采用全密闭集气罩收集方式，并保持负压运行。</w:t>
      </w:r>
    </w:p>
    <w:p w14:paraId="36D7BFB5">
      <w:pPr>
        <w:keepNext w:val="0"/>
        <w:keepLines w:val="0"/>
        <w:pageBreakBefore w:val="0"/>
        <w:widowControl/>
        <w:kinsoku/>
        <w:wordWrap/>
        <w:overflowPunct/>
        <w:topLinePunct w:val="0"/>
        <w:autoSpaceDE/>
        <w:autoSpaceDN/>
        <w:bidi w:val="0"/>
        <w:adjustRightInd/>
        <w:snapToGrid/>
        <w:spacing w:before="31" w:line="360" w:lineRule="auto"/>
        <w:ind w:left="23" w:right="159" w:firstLine="480"/>
        <w:jc w:val="both"/>
        <w:textAlignment w:val="auto"/>
        <w:rPr>
          <w:rFonts w:hint="default" w:ascii="Times New Roman" w:hAnsi="Times New Roman" w:cs="Times New Roman"/>
          <w:color w:val="auto"/>
          <w:highlight w:val="none"/>
          <w:lang w:eastAsia="zh-CN"/>
        </w:rPr>
      </w:pPr>
      <w:r>
        <w:rPr>
          <w:rFonts w:ascii="宋体" w:hAnsi="宋体" w:eastAsia="宋体" w:cs="宋体"/>
          <w:color w:val="auto"/>
          <w:spacing w:val="-1"/>
          <w:sz w:val="24"/>
          <w:szCs w:val="24"/>
          <w:highlight w:val="none"/>
        </w:rPr>
        <w:t>本项目所在的塔河油田已制定泄漏检测与修复（</w:t>
      </w:r>
      <w:r>
        <w:rPr>
          <w:rFonts w:ascii="Times New Roman" w:hAnsi="Times New Roman" w:eastAsia="Times New Roman" w:cs="Times New Roman"/>
          <w:color w:val="auto"/>
          <w:spacing w:val="-1"/>
          <w:sz w:val="24"/>
          <w:szCs w:val="24"/>
          <w:highlight w:val="none"/>
        </w:rPr>
        <w:t>LDAR</w:t>
      </w:r>
      <w:r>
        <w:rPr>
          <w:rFonts w:ascii="宋体" w:hAnsi="宋体" w:eastAsia="宋体" w:cs="宋体"/>
          <w:color w:val="auto"/>
          <w:spacing w:val="-1"/>
          <w:sz w:val="24"/>
          <w:szCs w:val="24"/>
          <w:highlight w:val="none"/>
        </w:rPr>
        <w:t>）计划，</w:t>
      </w:r>
      <w:r>
        <w:rPr>
          <w:rFonts w:ascii="宋体" w:hAnsi="宋体" w:eastAsia="宋体" w:cs="宋体"/>
          <w:color w:val="auto"/>
          <w:spacing w:val="-2"/>
          <w:sz w:val="24"/>
          <w:szCs w:val="24"/>
          <w:highlight w:val="none"/>
        </w:rPr>
        <w:t>定期进行了</w:t>
      </w:r>
      <w:r>
        <w:rPr>
          <w:rFonts w:ascii="宋体" w:hAnsi="宋体" w:eastAsia="宋体" w:cs="宋体"/>
          <w:color w:val="auto"/>
          <w:spacing w:val="-3"/>
          <w:sz w:val="24"/>
          <w:szCs w:val="24"/>
          <w:highlight w:val="none"/>
        </w:rPr>
        <w:t>检测、修复，防止或减少跑、冒、滴、漏现象；同时本项目采取密闭集输工</w:t>
      </w:r>
      <w:r>
        <w:rPr>
          <w:rFonts w:ascii="宋体" w:hAnsi="宋体" w:eastAsia="宋体" w:cs="宋体"/>
          <w:color w:val="auto"/>
          <w:spacing w:val="-13"/>
          <w:sz w:val="24"/>
          <w:szCs w:val="24"/>
          <w:highlight w:val="none"/>
        </w:rPr>
        <w:t>艺，符合《关于加快解决当前挥发性有机物治理突出问题的通知》（环大气〔</w:t>
      </w:r>
      <w:r>
        <w:rPr>
          <w:rFonts w:ascii="Times New Roman" w:hAnsi="Times New Roman" w:eastAsia="Times New Roman" w:cs="Times New Roman"/>
          <w:color w:val="auto"/>
          <w:spacing w:val="-13"/>
          <w:sz w:val="24"/>
          <w:szCs w:val="24"/>
          <w:highlight w:val="none"/>
        </w:rPr>
        <w:t>202</w:t>
      </w:r>
      <w:r>
        <w:rPr>
          <w:rFonts w:ascii="Times New Roman" w:hAnsi="Times New Roman" w:eastAsia="Times New Roman" w:cs="Times New Roman"/>
          <w:color w:val="auto"/>
          <w:spacing w:val="-14"/>
          <w:sz w:val="24"/>
          <w:szCs w:val="24"/>
          <w:highlight w:val="none"/>
        </w:rPr>
        <w:t>1</w:t>
      </w:r>
      <w:r>
        <w:rPr>
          <w:rFonts w:ascii="宋体" w:hAnsi="宋体" w:eastAsia="宋体" w:cs="宋体"/>
          <w:color w:val="auto"/>
          <w:spacing w:val="-14"/>
          <w:sz w:val="24"/>
          <w:szCs w:val="24"/>
          <w:highlight w:val="none"/>
        </w:rPr>
        <w:t>〕</w:t>
      </w:r>
      <w:r>
        <w:rPr>
          <w:rFonts w:ascii="Times New Roman" w:hAnsi="Times New Roman" w:eastAsia="Times New Roman" w:cs="Times New Roman"/>
          <w:color w:val="auto"/>
          <w:spacing w:val="-3"/>
          <w:sz w:val="24"/>
          <w:szCs w:val="24"/>
          <w:highlight w:val="none"/>
        </w:rPr>
        <w:t>65</w:t>
      </w:r>
      <w:r>
        <w:rPr>
          <w:rFonts w:ascii="宋体" w:hAnsi="宋体" w:eastAsia="宋体" w:cs="宋体"/>
          <w:color w:val="auto"/>
          <w:spacing w:val="-3"/>
          <w:sz w:val="24"/>
          <w:szCs w:val="24"/>
          <w:highlight w:val="none"/>
        </w:rPr>
        <w:t>号）的相关要求。</w:t>
      </w:r>
      <w:bookmarkEnd w:id="303"/>
      <w:bookmarkEnd w:id="304"/>
      <w:bookmarkEnd w:id="305"/>
    </w:p>
    <w:p w14:paraId="4852988C">
      <w:pPr>
        <w:pStyle w:val="12"/>
        <w:bidi w:val="0"/>
        <w:outlineLvl w:val="1"/>
        <w:rPr>
          <w:rFonts w:hint="default" w:ascii="Times New Roman" w:hAnsi="Times New Roman" w:eastAsia="宋体" w:cs="Times New Roman"/>
          <w:b/>
          <w:bCs/>
          <w:color w:val="auto"/>
          <w:sz w:val="30"/>
          <w:szCs w:val="30"/>
          <w:highlight w:val="none"/>
        </w:rPr>
      </w:pPr>
      <w:bookmarkStart w:id="334" w:name="_Toc10360"/>
      <w:bookmarkStart w:id="335" w:name="_Toc13616"/>
      <w:bookmarkStart w:id="336" w:name="_Toc21994"/>
      <w:bookmarkStart w:id="337" w:name="_Hlk69492045"/>
      <w:r>
        <w:rPr>
          <w:rFonts w:hint="default" w:ascii="Times New Roman" w:hAnsi="Times New Roman" w:eastAsia="宋体" w:cs="Times New Roman"/>
          <w:b/>
          <w:bCs/>
          <w:color w:val="auto"/>
          <w:sz w:val="30"/>
          <w:szCs w:val="30"/>
          <w:highlight w:val="none"/>
        </w:rPr>
        <w:t>3.</w:t>
      </w:r>
      <w:r>
        <w:rPr>
          <w:rFonts w:hint="eastAsia" w:ascii="Times New Roman" w:hAnsi="Times New Roman" w:eastAsia="宋体" w:cs="Times New Roman"/>
          <w:b/>
          <w:bCs/>
          <w:color w:val="auto"/>
          <w:sz w:val="30"/>
          <w:szCs w:val="30"/>
          <w:highlight w:val="none"/>
          <w:lang w:val="en-US" w:eastAsia="zh-CN"/>
        </w:rPr>
        <w:t>9生态环境分区管控</w:t>
      </w:r>
      <w:r>
        <w:rPr>
          <w:rFonts w:hint="default" w:ascii="Times New Roman" w:hAnsi="Times New Roman" w:eastAsia="宋体" w:cs="Times New Roman"/>
          <w:b/>
          <w:bCs/>
          <w:color w:val="auto"/>
          <w:sz w:val="30"/>
          <w:szCs w:val="30"/>
          <w:highlight w:val="none"/>
        </w:rPr>
        <w:t>符合性分析</w:t>
      </w:r>
      <w:bookmarkEnd w:id="334"/>
      <w:bookmarkEnd w:id="335"/>
      <w:bookmarkEnd w:id="336"/>
    </w:p>
    <w:bookmarkEnd w:id="337"/>
    <w:p w14:paraId="5F2FE829">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highlight w:val="none"/>
          <w:lang w:val="en-US" w:eastAsia="zh-CN"/>
        </w:rPr>
      </w:pPr>
      <w:bookmarkStart w:id="338" w:name="_Toc19367"/>
      <w:r>
        <w:rPr>
          <w:rFonts w:hint="eastAsia" w:cs="Times New Roman"/>
          <w:b/>
          <w:bCs/>
          <w:color w:val="auto"/>
          <w:spacing w:val="0"/>
          <w:highlight w:val="none"/>
          <w:lang w:val="en-US" w:eastAsia="zh-CN"/>
        </w:rPr>
        <w:t>（1）</w:t>
      </w:r>
      <w:r>
        <w:rPr>
          <w:rFonts w:hint="eastAsia" w:ascii="Times New Roman" w:hAnsi="Times New Roman" w:eastAsia="宋体" w:cs="Times New Roman"/>
          <w:b/>
          <w:bCs/>
          <w:color w:val="auto"/>
          <w:spacing w:val="0"/>
          <w:highlight w:val="none"/>
          <w:lang w:val="en-US" w:eastAsia="zh-CN"/>
        </w:rPr>
        <w:t>生态保护红线</w:t>
      </w:r>
      <w:bookmarkEnd w:id="338"/>
    </w:p>
    <w:p w14:paraId="1BF84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生态保护红线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14:paraId="2FDCD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w:t>
      </w:r>
      <w:r>
        <w:rPr>
          <w:rFonts w:hint="eastAsia" w:cs="Times New Roman"/>
          <w:color w:val="auto"/>
          <w:spacing w:val="0"/>
          <w:highlight w:val="none"/>
          <w:lang w:val="en-US" w:eastAsia="zh-CN"/>
        </w:rPr>
        <w:t>项目</w:t>
      </w:r>
      <w:r>
        <w:rPr>
          <w:rFonts w:hint="eastAsia" w:ascii="Times New Roman" w:hAnsi="Times New Roman" w:eastAsia="宋体" w:cs="Times New Roman"/>
          <w:color w:val="auto"/>
          <w:spacing w:val="0"/>
          <w:highlight w:val="none"/>
          <w:lang w:val="en-US" w:eastAsia="zh-CN"/>
        </w:rPr>
        <w:t>位于</w:t>
      </w:r>
      <w:bookmarkStart w:id="339" w:name="OLE_LINK560"/>
      <w:r>
        <w:rPr>
          <w:rFonts w:hint="eastAsia" w:ascii="Times New Roman" w:hAnsi="Times New Roman" w:eastAsia="宋体" w:cs="Times New Roman"/>
          <w:color w:val="auto"/>
          <w:spacing w:val="0"/>
          <w:highlight w:val="none"/>
          <w:lang w:val="en-US" w:eastAsia="zh-CN"/>
        </w:rPr>
        <w:t>阿克苏地区库车市</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塔河油田10区、8区，</w:t>
      </w:r>
      <w:bookmarkEnd w:id="339"/>
      <w:r>
        <w:rPr>
          <w:rFonts w:hint="eastAsia" w:ascii="Times New Roman" w:hAnsi="Times New Roman" w:eastAsia="宋体" w:cs="Times New Roman"/>
          <w:snapToGrid w:val="0"/>
          <w:color w:val="auto"/>
          <w:kern w:val="0"/>
          <w:sz w:val="24"/>
          <w:szCs w:val="24"/>
          <w:highlight w:val="none"/>
        </w:rPr>
        <w:t>本项目</w:t>
      </w:r>
      <w:r>
        <w:rPr>
          <w:rFonts w:hint="eastAsia" w:ascii="Times New Roman" w:hAnsi="Times New Roman" w:eastAsia="宋体" w:cs="Times New Roman"/>
          <w:snapToGrid w:val="0"/>
          <w:color w:val="auto"/>
          <w:kern w:val="0"/>
          <w:sz w:val="24"/>
          <w:szCs w:val="24"/>
          <w:highlight w:val="none"/>
          <w:lang w:val="en-US" w:eastAsia="zh-CN"/>
        </w:rPr>
        <w:t>TH10298CH井</w:t>
      </w:r>
      <w:r>
        <w:rPr>
          <w:rFonts w:hint="eastAsia" w:cs="Times New Roman"/>
          <w:snapToGrid w:val="0"/>
          <w:color w:val="auto"/>
          <w:kern w:val="0"/>
          <w:sz w:val="24"/>
          <w:szCs w:val="24"/>
          <w:highlight w:val="none"/>
          <w:lang w:val="en-US" w:eastAsia="zh-CN"/>
        </w:rPr>
        <w:t>南</w:t>
      </w:r>
      <w:r>
        <w:rPr>
          <w:rFonts w:hint="eastAsia" w:ascii="Times New Roman" w:hAnsi="Times New Roman" w:eastAsia="宋体" w:cs="Times New Roman"/>
          <w:snapToGrid w:val="0"/>
          <w:color w:val="auto"/>
          <w:kern w:val="0"/>
          <w:sz w:val="24"/>
          <w:szCs w:val="24"/>
          <w:highlight w:val="none"/>
          <w:lang w:val="en-US" w:eastAsia="zh-CN"/>
        </w:rPr>
        <w:t>距塔里木河流域土地沙化防控与生物多样性维护生态保护红线区600m</w:t>
      </w:r>
      <w:r>
        <w:rPr>
          <w:rFonts w:hint="eastAsia" w:cs="Times New Roman"/>
          <w:snapToGrid w:val="0"/>
          <w:color w:val="auto"/>
          <w:kern w:val="0"/>
          <w:sz w:val="24"/>
          <w:szCs w:val="24"/>
          <w:highlight w:val="none"/>
          <w:lang w:val="en-US" w:eastAsia="zh-CN"/>
        </w:rPr>
        <w:t>m、TK872CH井西北距生态保护红线约1.9km</w:t>
      </w:r>
      <w:r>
        <w:rPr>
          <w:rFonts w:hint="eastAsia" w:ascii="Times New Roman" w:hAnsi="Times New Roman" w:eastAsia="宋体" w:cs="Times New Roman"/>
          <w:color w:val="auto"/>
          <w:spacing w:val="0"/>
          <w:highlight w:val="none"/>
          <w:lang w:val="en-US" w:eastAsia="zh-CN"/>
        </w:rPr>
        <w:t>，位置关系见图3.9-1。</w:t>
      </w:r>
    </w:p>
    <w:p w14:paraId="6D854713">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highlight w:val="none"/>
          <w:lang w:val="en-US" w:eastAsia="zh-CN"/>
        </w:rPr>
      </w:pPr>
      <w:bookmarkStart w:id="340" w:name="_Toc21195"/>
      <w:r>
        <w:rPr>
          <w:rFonts w:hint="eastAsia" w:cs="Times New Roman"/>
          <w:b/>
          <w:bCs/>
          <w:color w:val="auto"/>
          <w:spacing w:val="0"/>
          <w:highlight w:val="none"/>
          <w:lang w:val="en-US" w:eastAsia="zh-CN"/>
        </w:rPr>
        <w:t>（2）</w:t>
      </w:r>
      <w:r>
        <w:rPr>
          <w:rFonts w:hint="eastAsia" w:ascii="Times New Roman" w:hAnsi="Times New Roman" w:eastAsia="宋体" w:cs="Times New Roman"/>
          <w:b/>
          <w:bCs/>
          <w:color w:val="auto"/>
          <w:spacing w:val="0"/>
          <w:highlight w:val="none"/>
          <w:lang w:val="en-US" w:eastAsia="zh-CN"/>
        </w:rPr>
        <w:t>环境质量底线</w:t>
      </w:r>
      <w:bookmarkEnd w:id="340"/>
    </w:p>
    <w:p w14:paraId="18EB9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本次评价现状调查结果显示，项目区评价区域内环境空气除PM</w:t>
      </w:r>
      <w:r>
        <w:rPr>
          <w:rFonts w:hint="eastAsia" w:ascii="Times New Roman" w:hAnsi="Times New Roman" w:eastAsia="宋体" w:cs="Times New Roman"/>
          <w:color w:val="auto"/>
          <w:spacing w:val="0"/>
          <w:highlight w:val="none"/>
          <w:vertAlign w:val="subscript"/>
          <w:lang w:val="en-US" w:eastAsia="zh-CN"/>
        </w:rPr>
        <w:t>10</w:t>
      </w:r>
      <w:r>
        <w:rPr>
          <w:rFonts w:hint="eastAsia" w:ascii="Times New Roman" w:hAnsi="Times New Roman" w:eastAsia="宋体" w:cs="Times New Roman"/>
          <w:color w:val="auto"/>
          <w:spacing w:val="0"/>
          <w:highlight w:val="none"/>
          <w:lang w:val="en-US" w:eastAsia="zh-CN"/>
        </w:rPr>
        <w:t>、PM</w:t>
      </w:r>
      <w:r>
        <w:rPr>
          <w:rFonts w:hint="eastAsia" w:ascii="Times New Roman" w:hAnsi="Times New Roman" w:eastAsia="宋体" w:cs="Times New Roman"/>
          <w:color w:val="auto"/>
          <w:spacing w:val="0"/>
          <w:highlight w:val="none"/>
          <w:vertAlign w:val="subscript"/>
          <w:lang w:val="en-US" w:eastAsia="zh-CN"/>
        </w:rPr>
        <w:t>2.5</w:t>
      </w:r>
      <w:r>
        <w:rPr>
          <w:rFonts w:hint="eastAsia" w:ascii="Times New Roman" w:hAnsi="Times New Roman" w:eastAsia="宋体" w:cs="Times New Roman"/>
          <w:color w:val="auto"/>
          <w:spacing w:val="0"/>
          <w:highlight w:val="none"/>
          <w:lang w:val="en-US" w:eastAsia="zh-CN"/>
        </w:rPr>
        <w:t>外其他因子均满足《环境空气质量标准》（GB3095-2012）中的二级标准；项目所在区域地下水总硬度、溶解性总固体、硫酸盐、氯化物</w:t>
      </w:r>
      <w:r>
        <w:rPr>
          <w:rFonts w:hint="eastAsia" w:cs="Times New Roman"/>
          <w:color w:val="auto"/>
          <w:spacing w:val="0"/>
          <w:highlight w:val="none"/>
          <w:lang w:val="en-US" w:eastAsia="zh-CN"/>
        </w:rPr>
        <w:t>、氟化物、钠、锰</w:t>
      </w:r>
      <w:r>
        <w:rPr>
          <w:rFonts w:hint="eastAsia" w:ascii="Times New Roman" w:hAnsi="Times New Roman" w:eastAsia="宋体" w:cs="Times New Roman"/>
          <w:color w:val="auto"/>
          <w:spacing w:val="0"/>
          <w:highlight w:val="none"/>
          <w:lang w:val="en-US" w:eastAsia="zh-CN"/>
        </w:rPr>
        <w:t>出现不同程度的超标，超标主要是受干旱气候、蒸发浓缩作用、原生水文地质环境等因素综合影响，</w:t>
      </w:r>
      <w:r>
        <w:rPr>
          <w:rFonts w:hint="eastAsia" w:cs="Times New Roman"/>
          <w:color w:val="auto"/>
          <w:spacing w:val="0"/>
          <w:highlight w:val="none"/>
          <w:lang w:val="en-US" w:eastAsia="zh-CN"/>
        </w:rPr>
        <w:t>其他各项</w:t>
      </w:r>
      <w:r>
        <w:rPr>
          <w:rFonts w:hint="eastAsia" w:ascii="Times New Roman" w:hAnsi="Times New Roman" w:eastAsia="宋体" w:cs="Times New Roman"/>
          <w:color w:val="auto"/>
          <w:spacing w:val="0"/>
          <w:highlight w:val="none"/>
          <w:lang w:val="en-US" w:eastAsia="zh-CN"/>
        </w:rPr>
        <w:t>地下水监测指标均可满足《地下水质量标准》（GB/T14848-2017）中的Ⅲ类标准，石油类满足《地表水环境质量标准》</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GB3838-2002</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Ⅲ类标准；项目区声环境质量良好，满足《声环境质量标准》（GB3096-2008）2类区标准；根据监测结果可知，项目区土壤环境质量满足《土壤环境质量建设用地土壤污染风险管控标准（试行）》（GB36600-2018）第二类用地风险筛选值标准和《土壤环境质量农用地土壤污染风险管控标准（试行）》（GB15618-2018）中风险筛选值。</w:t>
      </w:r>
    </w:p>
    <w:p w14:paraId="60712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工程运营期产生的废气和噪声污染物均能达标排放，采取相应措施后经预测能够满足相关标准要求；污水采取了严格的治理和处置措施，全部综合利用，不外排；固废按照相关环保要求妥善处置，不会对项目区环境质量底线产生冲击，因此，本工程的建设符合环境质量底线要求。</w:t>
      </w:r>
    </w:p>
    <w:p w14:paraId="682DFCA9">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highlight w:val="none"/>
          <w:lang w:val="en-US" w:eastAsia="zh-CN"/>
        </w:rPr>
      </w:pPr>
      <w:bookmarkStart w:id="341" w:name="_Toc5300"/>
      <w:r>
        <w:rPr>
          <w:rFonts w:hint="eastAsia" w:cs="Times New Roman"/>
          <w:b/>
          <w:bCs/>
          <w:color w:val="auto"/>
          <w:spacing w:val="0"/>
          <w:highlight w:val="none"/>
          <w:lang w:val="en-US" w:eastAsia="zh-CN"/>
        </w:rPr>
        <w:t>（3）</w:t>
      </w:r>
      <w:r>
        <w:rPr>
          <w:rFonts w:hint="eastAsia" w:ascii="Times New Roman" w:hAnsi="Times New Roman" w:eastAsia="宋体" w:cs="Times New Roman"/>
          <w:b/>
          <w:bCs/>
          <w:color w:val="auto"/>
          <w:spacing w:val="0"/>
          <w:highlight w:val="none"/>
          <w:lang w:val="en-US" w:eastAsia="zh-CN"/>
        </w:rPr>
        <w:t>资源利用上线</w:t>
      </w:r>
      <w:bookmarkEnd w:id="341"/>
    </w:p>
    <w:p w14:paraId="03FB5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本工程开发过程中的生产废水进行综合利用，节约了水资源，油气集输采用常温密闭集输工艺，不消耗燃料；能源利用均在区域供气、供电负荷范围内，消耗未超出区域负荷上限。本工程占地类型主要为</w:t>
      </w:r>
      <w:r>
        <w:rPr>
          <w:rFonts w:hint="eastAsia" w:cs="Times New Roman"/>
          <w:color w:val="auto"/>
          <w:kern w:val="0"/>
          <w:szCs w:val="20"/>
          <w:highlight w:val="none"/>
          <w:lang w:val="en-US" w:eastAsia="zh-CN"/>
        </w:rPr>
        <w:t>灌木林地、</w:t>
      </w:r>
      <w:r>
        <w:rPr>
          <w:rFonts w:hint="default" w:ascii="Times New Roman" w:hAnsi="Times New Roman" w:eastAsia="宋体" w:cs="Times New Roman"/>
          <w:color w:val="auto"/>
          <w:kern w:val="0"/>
          <w:szCs w:val="20"/>
          <w:highlight w:val="none"/>
        </w:rPr>
        <w:t>天然牧草地</w:t>
      </w:r>
      <w:r>
        <w:rPr>
          <w:rFonts w:hint="default" w:ascii="Times New Roman" w:hAnsi="Times New Roman" w:eastAsia="宋体" w:cs="Times New Roman"/>
          <w:color w:val="auto"/>
          <w:kern w:val="0"/>
          <w:szCs w:val="20"/>
          <w:highlight w:val="none"/>
          <w:lang w:val="en-US" w:eastAsia="zh-CN"/>
        </w:rPr>
        <w:t>等</w:t>
      </w:r>
      <w:r>
        <w:rPr>
          <w:rFonts w:hint="eastAsia" w:ascii="Times New Roman" w:hAnsi="Times New Roman" w:eastAsia="宋体" w:cs="Times New Roman"/>
          <w:color w:val="auto"/>
          <w:spacing w:val="0"/>
          <w:highlight w:val="none"/>
          <w:lang w:val="en-US" w:eastAsia="zh-CN"/>
        </w:rPr>
        <w:t>，项目开工建设前需办理征地手续，土地资源消耗符合要求。总之，本工程开发符合资源利用上线要求。</w:t>
      </w:r>
    </w:p>
    <w:p w14:paraId="25C3D7B0">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highlight w:val="none"/>
          <w:lang w:val="en-US" w:eastAsia="zh-CN"/>
        </w:rPr>
      </w:pPr>
      <w:bookmarkStart w:id="342" w:name="_Toc13798"/>
      <w:r>
        <w:rPr>
          <w:rFonts w:hint="eastAsia" w:cs="Times New Roman"/>
          <w:b/>
          <w:bCs/>
          <w:color w:val="auto"/>
          <w:spacing w:val="0"/>
          <w:highlight w:val="none"/>
          <w:lang w:val="en-US" w:eastAsia="zh-CN"/>
        </w:rPr>
        <w:t>（4）</w:t>
      </w:r>
      <w:r>
        <w:rPr>
          <w:rFonts w:hint="eastAsia" w:ascii="Times New Roman" w:hAnsi="Times New Roman" w:eastAsia="宋体" w:cs="Times New Roman"/>
          <w:b/>
          <w:bCs/>
          <w:color w:val="auto"/>
          <w:spacing w:val="0"/>
          <w:highlight w:val="none"/>
          <w:lang w:val="en-US" w:eastAsia="zh-CN"/>
        </w:rPr>
        <w:t>生态环境准入清单</w:t>
      </w:r>
      <w:bookmarkEnd w:id="342"/>
    </w:p>
    <w:p w14:paraId="67FFD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石油天然气开发是当前国民经济的重要基础产业和支柱产业，根据《产业结构调整指导目录（2024年本）》，将“石油、天然气勘探及开采”列入“鼓励类”项目。可知，石油天然气开发属于国家重点鼓励发展的产业，本项目的建设符合国家的相关政策。</w:t>
      </w:r>
    </w:p>
    <w:p w14:paraId="01C5F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本项目位于阿克苏地区库车市，根据《关于印发</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新疆维吾尔自治区七大片区“三线一单”生态环境分区管控要求</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（2021年版）的通知》（新环环评发〔2021〕162号），项目区属于天山南坡片区，与其符合性分析见表3.</w:t>
      </w:r>
      <w:r>
        <w:rPr>
          <w:rFonts w:hint="eastAsia" w:cs="Times New Roman"/>
          <w:color w:val="auto"/>
          <w:spacing w:val="0"/>
          <w:highlight w:val="none"/>
          <w:lang w:val="en-US" w:eastAsia="zh-CN"/>
        </w:rPr>
        <w:t>9</w:t>
      </w:r>
      <w:r>
        <w:rPr>
          <w:rFonts w:hint="eastAsia" w:ascii="Times New Roman" w:hAnsi="Times New Roman" w:eastAsia="宋体" w:cs="Times New Roman"/>
          <w:color w:val="auto"/>
          <w:spacing w:val="0"/>
          <w:highlight w:val="none"/>
          <w:lang w:val="en-US" w:eastAsia="zh-CN"/>
        </w:rPr>
        <w:t>-1。</w:t>
      </w:r>
    </w:p>
    <w:p w14:paraId="07412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bookmarkStart w:id="343" w:name="OLE_LINK267"/>
      <w:r>
        <w:rPr>
          <w:rFonts w:hint="eastAsia" w:ascii="Times New Roman" w:hAnsi="Times New Roman" w:eastAsia="宋体" w:cs="Times New Roman"/>
          <w:color w:val="auto"/>
          <w:spacing w:val="0"/>
          <w:highlight w:val="none"/>
          <w:lang w:val="en-US" w:eastAsia="zh-CN"/>
        </w:rPr>
        <w:t>根据</w:t>
      </w:r>
      <w:bookmarkStart w:id="344" w:name="OLE_LINK534"/>
      <w:r>
        <w:rPr>
          <w:rFonts w:hint="eastAsia" w:ascii="Times New Roman" w:hAnsi="Times New Roman" w:eastAsia="宋体" w:cs="Times New Roman"/>
          <w:color w:val="auto"/>
          <w:spacing w:val="0"/>
          <w:highlight w:val="none"/>
          <w:lang w:val="en-US" w:eastAsia="zh-CN"/>
        </w:rPr>
        <w:t>《关于印发&lt;新疆维吾尔自治区生态环境分区管控动态更新成果&gt;的通知》（新环环评发〔2024〕157号）和《阿克苏地区生态环境分区管控方案（2023年版）》，本工程所在区域属于库车市一般管控单元（编码为ZH65290230001）</w:t>
      </w:r>
      <w:bookmarkEnd w:id="343"/>
      <w:bookmarkEnd w:id="344"/>
      <w:r>
        <w:rPr>
          <w:rFonts w:hint="eastAsia" w:ascii="Times New Roman" w:hAnsi="Times New Roman" w:eastAsia="宋体" w:cs="Times New Roman"/>
          <w:color w:val="auto"/>
          <w:spacing w:val="0"/>
          <w:highlight w:val="none"/>
          <w:lang w:val="en-US" w:eastAsia="zh-CN"/>
        </w:rPr>
        <w:t>。本工程与</w:t>
      </w:r>
      <w:bookmarkStart w:id="345" w:name="OLE_LINK674"/>
      <w:r>
        <w:rPr>
          <w:rFonts w:hint="eastAsia" w:ascii="Times New Roman" w:hAnsi="Times New Roman" w:eastAsia="宋体" w:cs="Times New Roman"/>
          <w:color w:val="auto"/>
          <w:spacing w:val="0"/>
          <w:highlight w:val="none"/>
          <w:lang w:val="en-US" w:eastAsia="zh-CN"/>
        </w:rPr>
        <w:t>《新疆维吾尔自治区生态环境分区管控动态更新成果》《阿克苏地区生态环境分区管控方案（2023年版）》符合性分析</w:t>
      </w:r>
      <w:bookmarkEnd w:id="345"/>
      <w:r>
        <w:rPr>
          <w:rFonts w:hint="eastAsia" w:ascii="Times New Roman" w:hAnsi="Times New Roman" w:eastAsia="宋体" w:cs="Times New Roman"/>
          <w:color w:val="auto"/>
          <w:spacing w:val="0"/>
          <w:highlight w:val="none"/>
          <w:lang w:val="en-US" w:eastAsia="zh-CN"/>
        </w:rPr>
        <w:t>见表3.</w:t>
      </w:r>
      <w:r>
        <w:rPr>
          <w:rFonts w:hint="eastAsia" w:cs="Times New Roman"/>
          <w:color w:val="auto"/>
          <w:spacing w:val="0"/>
          <w:highlight w:val="none"/>
          <w:lang w:val="en-US" w:eastAsia="zh-CN"/>
        </w:rPr>
        <w:t>10</w:t>
      </w:r>
      <w:r>
        <w:rPr>
          <w:rFonts w:hint="eastAsia" w:ascii="Times New Roman" w:hAnsi="Times New Roman" w:eastAsia="宋体" w:cs="Times New Roman"/>
          <w:color w:val="auto"/>
          <w:spacing w:val="0"/>
          <w:highlight w:val="none"/>
          <w:lang w:val="en-US" w:eastAsia="zh-CN"/>
        </w:rPr>
        <w:t>-2、表3.</w:t>
      </w:r>
      <w:r>
        <w:rPr>
          <w:rFonts w:hint="eastAsia" w:cs="Times New Roman"/>
          <w:color w:val="auto"/>
          <w:spacing w:val="0"/>
          <w:highlight w:val="none"/>
          <w:lang w:val="en-US" w:eastAsia="zh-CN"/>
        </w:rPr>
        <w:t>10</w:t>
      </w:r>
      <w:r>
        <w:rPr>
          <w:rFonts w:hint="eastAsia" w:ascii="Times New Roman" w:hAnsi="Times New Roman" w:eastAsia="宋体" w:cs="Times New Roman"/>
          <w:color w:val="auto"/>
          <w:spacing w:val="0"/>
          <w:highlight w:val="none"/>
          <w:lang w:val="en-US" w:eastAsia="zh-CN"/>
        </w:rPr>
        <w:t>-3，环境管控单元见图3.</w:t>
      </w:r>
      <w:r>
        <w:rPr>
          <w:rFonts w:hint="eastAsia" w:cs="Times New Roman"/>
          <w:color w:val="auto"/>
          <w:spacing w:val="0"/>
          <w:highlight w:val="none"/>
          <w:lang w:val="en-US" w:eastAsia="zh-CN"/>
        </w:rPr>
        <w:t>9</w:t>
      </w:r>
      <w:r>
        <w:rPr>
          <w:rFonts w:hint="eastAsia" w:ascii="Times New Roman" w:hAnsi="Times New Roman" w:eastAsia="宋体" w:cs="Times New Roman"/>
          <w:color w:val="auto"/>
          <w:spacing w:val="0"/>
          <w:highlight w:val="none"/>
          <w:lang w:val="en-US" w:eastAsia="zh-CN"/>
        </w:rPr>
        <w:t>-2。</w:t>
      </w:r>
    </w:p>
    <w:p w14:paraId="0DD84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由表3.</w:t>
      </w:r>
      <w:r>
        <w:rPr>
          <w:rFonts w:hint="eastAsia" w:cs="Times New Roman"/>
          <w:color w:val="auto"/>
          <w:spacing w:val="0"/>
          <w:highlight w:val="none"/>
          <w:lang w:val="en-US" w:eastAsia="zh-CN"/>
        </w:rPr>
        <w:t>9</w:t>
      </w:r>
      <w:r>
        <w:rPr>
          <w:rFonts w:hint="eastAsia" w:ascii="Times New Roman" w:hAnsi="Times New Roman" w:eastAsia="宋体" w:cs="Times New Roman"/>
          <w:color w:val="auto"/>
          <w:spacing w:val="0"/>
          <w:highlight w:val="none"/>
          <w:lang w:val="en-US" w:eastAsia="zh-CN"/>
        </w:rPr>
        <w:t>-1</w:t>
      </w:r>
      <w:r>
        <w:rPr>
          <w:rFonts w:hint="eastAsia" w:cs="Times New Roman"/>
          <w:color w:val="auto"/>
          <w:spacing w:val="0"/>
          <w:highlight w:val="none"/>
          <w:lang w:val="en-US" w:eastAsia="zh-CN"/>
        </w:rPr>
        <w:t>、3.9-2、3.9-3</w:t>
      </w:r>
      <w:r>
        <w:rPr>
          <w:rFonts w:hint="eastAsia" w:ascii="Times New Roman" w:hAnsi="Times New Roman" w:eastAsia="宋体" w:cs="Times New Roman"/>
          <w:color w:val="auto"/>
          <w:spacing w:val="0"/>
          <w:highlight w:val="none"/>
          <w:lang w:val="en-US" w:eastAsia="zh-CN"/>
        </w:rPr>
        <w:t>分析可知</w:t>
      </w:r>
      <w:bookmarkStart w:id="346" w:name="OLE_LINK268"/>
      <w:r>
        <w:rPr>
          <w:rFonts w:hint="eastAsia" w:ascii="Times New Roman" w:hAnsi="Times New Roman" w:eastAsia="宋体" w:cs="Times New Roman"/>
          <w:color w:val="auto"/>
          <w:spacing w:val="0"/>
          <w:highlight w:val="none"/>
          <w:lang w:val="en-US" w:eastAsia="zh-CN"/>
        </w:rPr>
        <w:t>，本工程在实施过程中较好地落实了相关法律法规提出的要求和措施，不在划定的生态保护红线内。本工程符合《新疆维吾尔自治区七大片区“三线一单”生态环境分区管控要求》《新疆维吾尔自治区生态环境分区管控动态更新成果》《阿克苏地区生态环境分区管控方案（2023年版）》的相关要求。</w:t>
      </w:r>
    </w:p>
    <w:bookmarkEnd w:id="346"/>
    <w:p w14:paraId="084C9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highlight w:val="none"/>
          <w:lang w:val="en-US" w:eastAsia="zh-CN"/>
        </w:rPr>
        <w:sectPr>
          <w:headerReference r:id="rId14" w:type="default"/>
          <w:footerReference r:id="rId15" w:type="default"/>
          <w:pgSz w:w="11906" w:h="16838"/>
          <w:pgMar w:top="1610" w:right="1689" w:bottom="1610" w:left="1689" w:header="907" w:footer="1134"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Times New Roman" w:hAnsi="Times New Roman" w:eastAsia="宋体" w:cs="Times New Roman"/>
          <w:color w:val="auto"/>
          <w:spacing w:val="0"/>
          <w:highlight w:val="none"/>
          <w:lang w:val="en-US" w:eastAsia="zh-CN"/>
        </w:rPr>
        <w:t>综上所述，本工程建设符合“三线一单”要求。</w:t>
      </w:r>
    </w:p>
    <w:p w14:paraId="1F2726FB">
      <w:pPr>
        <w:spacing w:line="240" w:lineRule="auto"/>
        <w:ind w:left="0" w:leftChars="0" w:right="0" w:rightChars="0" w:firstLine="0" w:firstLineChars="0"/>
        <w:jc w:val="center"/>
        <w:rPr>
          <w:rFonts w:hint="eastAsia" w:ascii="黑体" w:hAnsi="黑体" w:eastAsia="黑体" w:cs="黑体"/>
          <w:b w:val="0"/>
          <w:bCs/>
          <w:color w:val="auto"/>
          <w:sz w:val="21"/>
          <w:szCs w:val="18"/>
          <w:highlight w:val="none"/>
          <w:lang w:val="en-US" w:eastAsia="zh-CN"/>
        </w:rPr>
      </w:pPr>
      <w:r>
        <w:rPr>
          <w:rFonts w:hint="eastAsia" w:ascii="黑体" w:hAnsi="黑体" w:eastAsia="黑体" w:cs="黑体"/>
          <w:b w:val="0"/>
          <w:bCs/>
          <w:color w:val="auto"/>
          <w:sz w:val="21"/>
          <w:szCs w:val="18"/>
          <w:highlight w:val="none"/>
          <w:lang w:val="en-US" w:eastAsia="zh-CN"/>
        </w:rPr>
        <w:t>表3.9-1本项目与“七大片区总体管控”符合性分析</w:t>
      </w:r>
    </w:p>
    <w:tbl>
      <w:tblPr>
        <w:tblStyle w:val="35"/>
        <w:tblW w:w="501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38"/>
        <w:gridCol w:w="4378"/>
        <w:gridCol w:w="2964"/>
        <w:gridCol w:w="725"/>
      </w:tblGrid>
      <w:tr w14:paraId="4BDF3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3" w:type="pct"/>
            <w:noWrap w:val="0"/>
            <w:vAlign w:val="center"/>
          </w:tcPr>
          <w:p w14:paraId="3A2EB62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名称</w:t>
            </w:r>
          </w:p>
        </w:tc>
        <w:tc>
          <w:tcPr>
            <w:tcW w:w="2543" w:type="pct"/>
            <w:noWrap w:val="0"/>
            <w:vAlign w:val="center"/>
          </w:tcPr>
          <w:p w14:paraId="71FB753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管控要求</w:t>
            </w:r>
          </w:p>
        </w:tc>
        <w:tc>
          <w:tcPr>
            <w:tcW w:w="1722" w:type="pct"/>
            <w:noWrap w:val="0"/>
            <w:vAlign w:val="center"/>
          </w:tcPr>
          <w:p w14:paraId="0A58ED3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拟建工程</w:t>
            </w:r>
          </w:p>
        </w:tc>
        <w:tc>
          <w:tcPr>
            <w:tcW w:w="421" w:type="pct"/>
            <w:noWrap w:val="0"/>
            <w:vAlign w:val="center"/>
          </w:tcPr>
          <w:p w14:paraId="59C5E13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符合性</w:t>
            </w:r>
          </w:p>
        </w:tc>
      </w:tr>
      <w:tr w14:paraId="46DBC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40" w:hRule="atLeast"/>
          <w:jc w:val="center"/>
        </w:trPr>
        <w:tc>
          <w:tcPr>
            <w:tcW w:w="313" w:type="pct"/>
            <w:vMerge w:val="restart"/>
            <w:noWrap w:val="0"/>
            <w:vAlign w:val="center"/>
          </w:tcPr>
          <w:p w14:paraId="5E233B1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天山南坡片区总体管控要求</w:t>
            </w:r>
          </w:p>
        </w:tc>
        <w:tc>
          <w:tcPr>
            <w:tcW w:w="2543" w:type="pct"/>
            <w:noWrap w:val="0"/>
            <w:vAlign w:val="center"/>
          </w:tcPr>
          <w:p w14:paraId="3E34785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722" w:type="pct"/>
            <w:noWrap w:val="0"/>
            <w:vAlign w:val="center"/>
          </w:tcPr>
          <w:p w14:paraId="58E2A7CD">
            <w:pPr>
              <w:pStyle w:val="2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本项目不在托木尔峰和天山南坡中段冰雪水源及生物多样性保护生态功能区。</w:t>
            </w:r>
          </w:p>
        </w:tc>
        <w:tc>
          <w:tcPr>
            <w:tcW w:w="421" w:type="pct"/>
            <w:noWrap w:val="0"/>
            <w:vAlign w:val="center"/>
          </w:tcPr>
          <w:p w14:paraId="4E11F0C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4C2C3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63" w:hRule="atLeast"/>
          <w:jc w:val="center"/>
        </w:trPr>
        <w:tc>
          <w:tcPr>
            <w:tcW w:w="313" w:type="pct"/>
            <w:vMerge w:val="continue"/>
            <w:noWrap w:val="0"/>
            <w:vAlign w:val="center"/>
          </w:tcPr>
          <w:p w14:paraId="3F00157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43" w:type="pct"/>
            <w:noWrap w:val="0"/>
            <w:vAlign w:val="center"/>
          </w:tcPr>
          <w:p w14:paraId="615D428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重点做好塔里木盆地北缘荒漠化防治。加强荒漠植被及河岸荒漠林保护，规范油气勘探开发作业，建立油田和公路扰动区域工程与生物相结合的防风固沙体系，逐步形成生态屏障</w:t>
            </w:r>
          </w:p>
        </w:tc>
        <w:tc>
          <w:tcPr>
            <w:tcW w:w="1722" w:type="pct"/>
            <w:noWrap w:val="0"/>
            <w:vAlign w:val="center"/>
          </w:tcPr>
          <w:p w14:paraId="5F8E0B74">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本项目属于陆上石油开采项目，施工过程中严格控制施工占地，管道敷设完成后，采取措施及时恢复临时占地，对施工作业带进行生态恢复，尽可能减少对区域生态环境的影响。</w:t>
            </w:r>
          </w:p>
        </w:tc>
        <w:tc>
          <w:tcPr>
            <w:tcW w:w="421" w:type="pct"/>
            <w:noWrap w:val="0"/>
            <w:vAlign w:val="center"/>
          </w:tcPr>
          <w:p w14:paraId="2D179DE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18119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13" w:type="pct"/>
            <w:vMerge w:val="continue"/>
            <w:noWrap w:val="0"/>
            <w:vAlign w:val="center"/>
          </w:tcPr>
          <w:p w14:paraId="0DAC506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43" w:type="pct"/>
            <w:noWrap w:val="0"/>
            <w:vAlign w:val="center"/>
          </w:tcPr>
          <w:p w14:paraId="62CB07C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推进塔里木河流域用水结构调整，维护塔里木河、博斯腾湖基本生态用水</w:t>
            </w:r>
          </w:p>
        </w:tc>
        <w:tc>
          <w:tcPr>
            <w:tcW w:w="1722" w:type="pct"/>
            <w:noWrap w:val="0"/>
            <w:vAlign w:val="center"/>
          </w:tcPr>
          <w:p w14:paraId="53F4378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本项目位于库车市，未处于博斯腾湖流域，项目不会对塔里木河基本生态用水产生影响。</w:t>
            </w:r>
          </w:p>
        </w:tc>
        <w:tc>
          <w:tcPr>
            <w:tcW w:w="421" w:type="pct"/>
            <w:noWrap w:val="0"/>
            <w:vAlign w:val="center"/>
          </w:tcPr>
          <w:p w14:paraId="6A1A1A35">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49761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8" w:hRule="atLeast"/>
          <w:jc w:val="center"/>
        </w:trPr>
        <w:tc>
          <w:tcPr>
            <w:tcW w:w="313" w:type="pct"/>
            <w:vMerge w:val="continue"/>
            <w:noWrap w:val="0"/>
            <w:vAlign w:val="center"/>
          </w:tcPr>
          <w:p w14:paraId="4F1DD17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43" w:type="pct"/>
            <w:noWrap w:val="0"/>
            <w:vAlign w:val="center"/>
          </w:tcPr>
          <w:p w14:paraId="6FFC6F7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加强塔里木河流域水环境风险管控。加大博斯腾湖污染源头达标排放治理和监督力度，实施博斯腾湖综合治理</w:t>
            </w:r>
          </w:p>
        </w:tc>
        <w:tc>
          <w:tcPr>
            <w:tcW w:w="1722" w:type="pct"/>
            <w:noWrap w:val="0"/>
            <w:vAlign w:val="center"/>
          </w:tcPr>
          <w:p w14:paraId="7ED78CAD">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本项目已提出一系列环境风险防范措施及应急要求。</w:t>
            </w:r>
          </w:p>
        </w:tc>
        <w:tc>
          <w:tcPr>
            <w:tcW w:w="421" w:type="pct"/>
            <w:noWrap w:val="0"/>
            <w:vAlign w:val="center"/>
          </w:tcPr>
          <w:p w14:paraId="6BC80FE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F797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54" w:hRule="atLeast"/>
          <w:jc w:val="center"/>
        </w:trPr>
        <w:tc>
          <w:tcPr>
            <w:tcW w:w="313" w:type="pct"/>
            <w:vMerge w:val="continue"/>
            <w:noWrap w:val="0"/>
            <w:vAlign w:val="center"/>
          </w:tcPr>
          <w:p w14:paraId="4E04FA0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43" w:type="pct"/>
            <w:noWrap w:val="0"/>
            <w:vAlign w:val="center"/>
          </w:tcPr>
          <w:p w14:paraId="3430CE7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加强油(气)资源开发区土壤环境污染综合整治。强化涉重金属行业污染防控与工业废物处理处置</w:t>
            </w:r>
          </w:p>
        </w:tc>
        <w:tc>
          <w:tcPr>
            <w:tcW w:w="1722" w:type="pct"/>
            <w:noWrap w:val="0"/>
            <w:vAlign w:val="center"/>
          </w:tcPr>
          <w:p w14:paraId="6DBC1D6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采油三厂加强油田废弃物的无害化处理，严防塔河油田10区南、8区油气田勘探、开发、运行过程中以及事故排放产生的废弃物对土壤的污染；拟建工程不涉及涉重金属行业污染防控与工业废物处理处置。</w:t>
            </w:r>
          </w:p>
        </w:tc>
        <w:tc>
          <w:tcPr>
            <w:tcW w:w="421" w:type="pct"/>
            <w:noWrap w:val="0"/>
            <w:vAlign w:val="center"/>
          </w:tcPr>
          <w:p w14:paraId="4A55B7F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bl>
    <w:p w14:paraId="46BFC229">
      <w:pPr>
        <w:keepNext w:val="0"/>
        <w:keepLines w:val="0"/>
        <w:pageBreakBefore w:val="0"/>
        <w:widowControl/>
        <w:kinsoku/>
        <w:wordWrap/>
        <w:overflowPunct/>
        <w:topLinePunct w:val="0"/>
        <w:autoSpaceDE/>
        <w:autoSpaceDN/>
        <w:bidi w:val="0"/>
        <w:adjustRightInd/>
        <w:snapToGrid/>
        <w:spacing w:before="164" w:beforeLines="50" w:line="240" w:lineRule="auto"/>
        <w:ind w:left="0" w:leftChars="0" w:right="0" w:rightChars="0" w:firstLine="0" w:firstLineChars="0"/>
        <w:jc w:val="center"/>
        <w:textAlignment w:val="auto"/>
        <w:rPr>
          <w:rFonts w:hint="eastAsia" w:ascii="黑体" w:hAnsi="黑体" w:eastAsia="黑体" w:cs="黑体"/>
          <w:b w:val="0"/>
          <w:bCs/>
          <w:color w:val="auto"/>
          <w:sz w:val="21"/>
          <w:szCs w:val="18"/>
          <w:highlight w:val="none"/>
          <w:lang w:val="en-US" w:eastAsia="zh-CN"/>
        </w:rPr>
        <w:sectPr>
          <w:pgSz w:w="11906" w:h="16838"/>
          <w:pgMar w:top="1610" w:right="1689" w:bottom="1610" w:left="1689" w:header="907" w:footer="1134" w:gutter="0"/>
          <w:pgBorders>
            <w:top w:val="none" w:sz="0" w:space="0"/>
            <w:left w:val="none" w:sz="0" w:space="0"/>
            <w:bottom w:val="none" w:sz="0" w:space="0"/>
            <w:right w:val="none" w:sz="0" w:space="0"/>
          </w:pgBorders>
          <w:pgNumType w:fmt="decimal"/>
          <w:cols w:space="720" w:num="1"/>
          <w:docGrid w:type="lines" w:linePitch="326" w:charSpace="0"/>
        </w:sectPr>
      </w:pPr>
    </w:p>
    <w:p w14:paraId="7DF1FC12">
      <w:pPr>
        <w:keepNext w:val="0"/>
        <w:keepLines w:val="0"/>
        <w:pageBreakBefore w:val="0"/>
        <w:widowControl/>
        <w:kinsoku/>
        <w:wordWrap/>
        <w:overflowPunct/>
        <w:topLinePunct w:val="0"/>
        <w:autoSpaceDE/>
        <w:autoSpaceDN/>
        <w:bidi w:val="0"/>
        <w:adjustRightInd/>
        <w:snapToGrid/>
        <w:spacing w:before="164" w:beforeLines="50" w:line="240" w:lineRule="auto"/>
        <w:ind w:left="0" w:leftChars="0" w:right="0" w:rightChars="0" w:firstLine="0" w:firstLineChars="0"/>
        <w:jc w:val="center"/>
        <w:textAlignment w:val="auto"/>
        <w:rPr>
          <w:rFonts w:hint="eastAsia" w:ascii="黑体" w:hAnsi="黑体" w:eastAsia="黑体" w:cs="黑体"/>
          <w:b w:val="0"/>
          <w:bCs/>
          <w:color w:val="auto"/>
          <w:sz w:val="21"/>
          <w:szCs w:val="18"/>
          <w:highlight w:val="none"/>
          <w:lang w:val="en-US" w:eastAsia="zh-CN"/>
        </w:rPr>
      </w:pPr>
      <w:r>
        <w:rPr>
          <w:rFonts w:hint="eastAsia" w:ascii="黑体" w:hAnsi="黑体" w:eastAsia="黑体" w:cs="黑体"/>
          <w:b w:val="0"/>
          <w:bCs/>
          <w:color w:val="auto"/>
          <w:sz w:val="21"/>
          <w:szCs w:val="18"/>
          <w:highlight w:val="none"/>
          <w:lang w:val="en-US" w:eastAsia="zh-CN"/>
        </w:rPr>
        <w:t>表3.9-2与《新疆维吾尔自治区生态环境分区管控动态更新成果》（新环环评发〔2024〕157号）相符性分析</w:t>
      </w:r>
    </w:p>
    <w:tbl>
      <w:tblPr>
        <w:tblStyle w:val="35"/>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33" w:type="dxa"/>
          <w:left w:w="28" w:type="dxa"/>
          <w:bottom w:w="0" w:type="dxa"/>
          <w:right w:w="0" w:type="dxa"/>
        </w:tblCellMar>
      </w:tblPr>
      <w:tblGrid>
        <w:gridCol w:w="540"/>
        <w:gridCol w:w="797"/>
        <w:gridCol w:w="8910"/>
        <w:gridCol w:w="2832"/>
        <w:gridCol w:w="1192"/>
      </w:tblGrid>
      <w:tr w14:paraId="6110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3" w:type="dxa"/>
            <w:left w:w="28" w:type="dxa"/>
            <w:bottom w:w="0" w:type="dxa"/>
            <w:right w:w="0" w:type="dxa"/>
          </w:tblCellMar>
        </w:tblPrEx>
        <w:trPr>
          <w:trHeight w:val="340" w:hRule="atLeast"/>
          <w:jc w:val="center"/>
        </w:trPr>
        <w:tc>
          <w:tcPr>
            <w:tcW w:w="13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D6023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管控</w:t>
            </w:r>
          </w:p>
          <w:p w14:paraId="5FD2752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维度</w:t>
            </w:r>
          </w:p>
        </w:tc>
        <w:tc>
          <w:tcPr>
            <w:tcW w:w="8908" w:type="dxa"/>
            <w:tcBorders>
              <w:top w:val="single" w:color="auto" w:sz="4" w:space="0"/>
              <w:left w:val="single" w:color="auto" w:sz="4" w:space="0"/>
              <w:bottom w:val="single" w:color="auto" w:sz="4" w:space="0"/>
              <w:right w:val="single" w:color="auto" w:sz="4" w:space="0"/>
            </w:tcBorders>
            <w:shd w:val="clear" w:color="auto" w:fill="auto"/>
            <w:vAlign w:val="center"/>
          </w:tcPr>
          <w:p w14:paraId="5F6EB5F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管控要求</w:t>
            </w:r>
          </w:p>
        </w:tc>
        <w:tc>
          <w:tcPr>
            <w:tcW w:w="2831" w:type="dxa"/>
            <w:tcBorders>
              <w:top w:val="single" w:color="auto" w:sz="4" w:space="0"/>
              <w:left w:val="single" w:color="auto" w:sz="4" w:space="0"/>
              <w:bottom w:val="single" w:color="auto" w:sz="4" w:space="0"/>
              <w:right w:val="single" w:color="auto" w:sz="4" w:space="0"/>
            </w:tcBorders>
            <w:shd w:val="clear" w:color="auto" w:fill="auto"/>
            <w:vAlign w:val="center"/>
          </w:tcPr>
          <w:p w14:paraId="3AEBA3D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本项目采取的相关措施</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06E9665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符合性</w:t>
            </w:r>
          </w:p>
        </w:tc>
      </w:tr>
      <w:tr w14:paraId="334E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5D07743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A1空间布局约束</w:t>
            </w: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6CBFA3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A1.1禁止开发建设的活动</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44D719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〔A1.1-1〕禁止新建、扩建《产业结构调整指导目录（2024年本）》中淘汰类项目。禁止引入《市场准入负面清单（2022年版）》禁止准入类事项。</w:t>
            </w:r>
          </w:p>
          <w:p w14:paraId="6AF3AFB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〔A1.1-2〕禁止建设不符合国家和自治区环境保护标准的项目。</w:t>
            </w:r>
          </w:p>
          <w:p w14:paraId="5C952A6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〔A1.1-3〕禁止在饮用水水源保护区、风景名胜区、自然保护区的核心区和缓冲区、城镇居民区、文化教育科学研究区等人口集中区域以及</w:t>
            </w:r>
            <w:r>
              <w:rPr>
                <w:rFonts w:hint="eastAsia" w:cs="Times New Roman"/>
                <w:color w:val="auto"/>
                <w:spacing w:val="0"/>
                <w:sz w:val="21"/>
                <w:szCs w:val="21"/>
                <w:highlight w:val="none"/>
                <w:lang w:val="en-US" w:eastAsia="zh-CN"/>
              </w:rPr>
              <w:t>法律法规</w:t>
            </w:r>
            <w:r>
              <w:rPr>
                <w:rFonts w:hint="eastAsia" w:ascii="Times New Roman" w:hAnsi="Times New Roman" w:eastAsia="宋体" w:cs="Times New Roman"/>
                <w:color w:val="auto"/>
                <w:spacing w:val="0"/>
                <w:sz w:val="21"/>
                <w:szCs w:val="21"/>
                <w:highlight w:val="none"/>
                <w:lang w:val="en-US" w:eastAsia="zh-CN"/>
              </w:rPr>
              <w:t>规定的其他禁止养殖区域建设畜禽养殖场、养殖小区。</w:t>
            </w:r>
          </w:p>
          <w:p w14:paraId="0B1B67C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〔A1.1-4〕禁止在水源涵养区、地下水源、饮用水源、自然保护区、风景名胜区、森林公园、重要湿地及人群密集区等生态敏感区域内进行煤炭、石油、天然气开发。</w:t>
            </w:r>
          </w:p>
          <w:p w14:paraId="0ED9CB5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-5〕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p w14:paraId="412E49D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-6〕禁止在自治区行政区域内引进能（水）耗不符合相关国家标准中准入值要求且污染物排放和环境风险防控不符合国家（地方）标准及有关产业准入条件的高污染（排放）、高能（水）耗、高环境风险的工业项目。</w:t>
            </w:r>
          </w:p>
          <w:p w14:paraId="0468CA9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p w14:paraId="3DED8FD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〔A1.1-8〕严格执行危险化学品“禁限控”目录，新建危险化学品生产项目必须进入一般或较低安全风险的化工园区（</w:t>
            </w:r>
            <w:r>
              <w:rPr>
                <w:rFonts w:hint="eastAsia" w:cs="Times New Roman"/>
                <w:color w:val="auto"/>
                <w:spacing w:val="0"/>
                <w:sz w:val="21"/>
                <w:szCs w:val="21"/>
                <w:highlight w:val="none"/>
                <w:lang w:val="en-US" w:eastAsia="zh-CN"/>
              </w:rPr>
              <w:t>与其他</w:t>
            </w:r>
            <w:r>
              <w:rPr>
                <w:rFonts w:hint="eastAsia" w:ascii="Times New Roman" w:hAnsi="Times New Roman" w:eastAsia="宋体" w:cs="Times New Roman"/>
                <w:color w:val="auto"/>
                <w:spacing w:val="0"/>
                <w:sz w:val="21"/>
                <w:szCs w:val="21"/>
                <w:highlight w:val="none"/>
                <w:lang w:val="en-US" w:eastAsia="zh-CN"/>
              </w:rPr>
              <w:t>行业生产装置配套建设的项目除外），引导其他石化化工项目在化工园区发展。</w:t>
            </w:r>
          </w:p>
          <w:p w14:paraId="0138856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-9〕严禁新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p w14:paraId="5E0CAE4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-10〕推动涉重金属产业集中优化发展，禁止新建用汞的电石法（聚）氯乙烯生产工艺，新建、扩建的重有色金属冶炼、电镀、制革企业优先选择布设在依法合规设立并依法开展规划环境影响评价的产业园区。</w:t>
            </w:r>
          </w:p>
          <w:p w14:paraId="77C2160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C20ABC4">
            <w:pPr>
              <w:pStyle w:val="2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为陆上石油开采项目，属于“常规石油、天然气勘探与开采”项目，属于《产业结构调整指导目录（2024年本）》中的鼓励类项目，符合国家当前产业政策要求；不属于《市场准入负面清单（2022年版）》（发改体改规〔2022〕397号）中禁止准入类项目；不属于“三高”项目；项目所在区域不属于国家和自治区大气污染联防联控区域；本项目不在水源涵养区、地下水源、饮用水源、自然保护区、风景名胜区、森林公园、重要湿地及人群密集区等生态敏感区域内。</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BD5E0A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600B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22DA8A8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8A5FC6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A1.2限制开发建设的活动</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55AD6F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1.2-1〕严格控制缺水地区、水污染严重区域和敏感区域高耗水、高污染行业发展。〔A1.2-2〕建设项目用地原则上不得占用永久基本农田，确需占用永久基本农田的建设项目须符合《基本农田保护条例》中相关要求，占用耕地、林地或草地的建设项目须按照国家、自治区相关补偿要求进行补偿。</w:t>
            </w:r>
          </w:p>
          <w:p w14:paraId="3BB38B3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〔A1.2-3〕以用途变更为住宅、公共管理与公共服务用地的地块为重点，严格建设用地准入管理和风险管控，未依法完成土壤污染状况调查或风险评估的地块，不得开工建设与风险管控和修复无关的项目。</w:t>
            </w:r>
          </w:p>
          <w:p w14:paraId="3C9444B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〔A1.2-4〕严格控制建设项目占用湿地。因国家和自治区重点建设工程、基础设施建设，以及重点公益性项目建设，确需占用湿地的，应当按照有关</w:t>
            </w:r>
            <w:r>
              <w:rPr>
                <w:rFonts w:hint="eastAsia" w:cs="Times New Roman"/>
                <w:color w:val="auto"/>
                <w:spacing w:val="0"/>
                <w:sz w:val="21"/>
                <w:szCs w:val="21"/>
                <w:highlight w:val="none"/>
                <w:lang w:val="en-US" w:eastAsia="zh-CN"/>
              </w:rPr>
              <w:t>法律法规</w:t>
            </w:r>
            <w:r>
              <w:rPr>
                <w:rFonts w:hint="eastAsia" w:ascii="Times New Roman" w:hAnsi="Times New Roman" w:eastAsia="宋体" w:cs="Times New Roman"/>
                <w:color w:val="auto"/>
                <w:spacing w:val="0"/>
                <w:sz w:val="21"/>
                <w:szCs w:val="21"/>
                <w:highlight w:val="none"/>
                <w:lang w:val="en-US" w:eastAsia="zh-CN"/>
              </w:rPr>
              <w:t>规定的权限和程序办理批准手续。</w:t>
            </w:r>
          </w:p>
          <w:p w14:paraId="285BD69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〔A1.2-5〕严格管控自然保护地范围内非生态活动，稳妥推进核心区内居民、耕地有序退出，矿权依法依规退出。</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3525305">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本项目不占用永久基本农田、湿地，不涉及自然保护地。</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4AF923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11E3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5FC1D59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9CBAD1D">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A1.3不符合空间布局要求活动的退出要求</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A93883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〔A1.3-1〕任何单位和个人不得在水源涵养区、饮用水水源保护区内和河流、湖泊、水库周围建设重化工、涉重金属等工业污染项目；对已建成的工业污染项目，当地人民政府应当组织限期搬迁。</w:t>
            </w:r>
          </w:p>
          <w:p w14:paraId="2DFF024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〔A1.3-2〕对不符合国家产业政策、严重污染水环境的生产项目全部予以取缔。</w:t>
            </w:r>
          </w:p>
          <w:p w14:paraId="410C4B4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p w14:paraId="21B07AF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〔A1.3-4〕城市建成区、重点流域内已建成投产化工企业和危险化学品生产企业应加快退城入园，搬入化工园区前企业不应实施改扩建工程扩大生产规模。</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4E2EFFB">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本项目不涉及水源涵养区、饮用水水源</w:t>
            </w:r>
            <w:r>
              <w:rPr>
                <w:rFonts w:hint="eastAsia" w:cs="Times New Roman"/>
                <w:color w:val="auto"/>
                <w:spacing w:val="0"/>
                <w:sz w:val="21"/>
                <w:szCs w:val="21"/>
                <w:highlight w:val="none"/>
                <w:lang w:val="en-US" w:eastAsia="zh-CN"/>
              </w:rPr>
              <w:t>保护区</w:t>
            </w:r>
            <w:r>
              <w:rPr>
                <w:rFonts w:hint="eastAsia" w:ascii="Times New Roman" w:hAnsi="Times New Roman" w:eastAsia="宋体" w:cs="Times New Roman"/>
                <w:color w:val="auto"/>
                <w:spacing w:val="0"/>
                <w:sz w:val="21"/>
                <w:szCs w:val="21"/>
                <w:highlight w:val="none"/>
                <w:lang w:val="en-US" w:eastAsia="zh-CN"/>
              </w:rPr>
              <w:t>和河流、湖泊、水库；本项目符合国家产业政策，为鼓励类项目。</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59D72AC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2F48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60184A9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3341C5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A1.4</w:t>
            </w:r>
            <w:r>
              <w:rPr>
                <w:rFonts w:hint="eastAsia" w:cs="Times New Roman"/>
                <w:color w:val="auto"/>
                <w:spacing w:val="0"/>
                <w:sz w:val="21"/>
                <w:szCs w:val="21"/>
                <w:highlight w:val="none"/>
                <w:lang w:val="en-US" w:eastAsia="zh-CN"/>
              </w:rPr>
              <w:t>其他</w:t>
            </w:r>
            <w:r>
              <w:rPr>
                <w:rFonts w:hint="eastAsia" w:ascii="Times New Roman" w:hAnsi="Times New Roman" w:eastAsia="宋体" w:cs="Times New Roman"/>
                <w:color w:val="auto"/>
                <w:spacing w:val="0"/>
                <w:sz w:val="21"/>
                <w:szCs w:val="21"/>
                <w:highlight w:val="none"/>
                <w:lang w:val="en-US" w:eastAsia="zh-CN"/>
              </w:rPr>
              <w:t>布局要求</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D6110E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p w14:paraId="6E5D754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〔A1.4-2〕新建、扩建石化、化工、焦化、有色金属冶炼、平板玻璃项目应布设在依法合规设立并经规划环评的产业园区。</w:t>
            </w:r>
          </w:p>
          <w:p w14:paraId="43AE138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73996AC">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本项目符合国家、自治区主体功能区规划、生态环境功能区划、国民经济发展规划、产业发展规划、国土空间规划。</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F7680F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7FFC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4B7F18A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A2污染物排放管控</w:t>
            </w: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9F2F17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A2.1污染物削减/替代要求</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F1E35A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2.1-1〕新、改、扩建重点行业建设项目应符合“三线一单”、产业政策、区域环评、规划环评和行业环境准入管控要求。重点区域的新、改、扩建重点行业建设项目应遵循重点重金属污染物排放“减量替代”原则。</w:t>
            </w:r>
          </w:p>
          <w:p w14:paraId="74ED57F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〔A2.1-2〕以石化、化工、涂装、医药、包装印刷、油品储运销等行业领域为重点，安全高效推进挥发性有机物综合治理，实施原辅材料和产品源头替代工程。</w:t>
            </w:r>
          </w:p>
          <w:p w14:paraId="6F53820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p w14:paraId="6DD63E8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2B035BB">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本项目符合自治区及阿克苏“三线一单”、产业政策、区域环评、规划环评和行业环境准入管控要求；本项目为陆上石油开采项目，报告已对温室气体排放进行影响评价。</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647228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B7B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3755CBA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4241B8D">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A2.2污染控制措施要求</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97517A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p w14:paraId="6A626C4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p w14:paraId="6B1E08E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p w14:paraId="61ED642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〔A2.2-4〕强化用水定额管理。推进地下水超采综合治理。开展河湖生态流量（水量）确定工作，强化生态用水保障。</w:t>
            </w:r>
          </w:p>
          <w:p w14:paraId="640E9EE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p w14:paraId="40CBA90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p w14:paraId="7D51425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-7〕强化重点区域地下水环境风险管控，对化学品生产企业、工业集聚区、尾矿库、矿山开采区、危险废物处置场、垃圾填埋场等地下水污染源及周边区域，逐步开展地下水环境状况调查评估，加强风险管控。</w:t>
            </w:r>
          </w:p>
          <w:p w14:paraId="78490A9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〔A2.2-8〕严控土壤重金属污染，加强油（气）田开发土壤污染防治，以历史遗留工业企业污染场地为重点，开展土壤污染风险管控与修复工程。</w:t>
            </w:r>
          </w:p>
          <w:p w14:paraId="0E50BC8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B008569">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本项目不涉及伊犁河流域、额尔齐斯河流域、博斯腾湖流域、额敏河流域等敏感区域；本项目为油气田开采工程，为滚动开发项目，区块内无历史遗留污染场地；本项目不涉及种植业。</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03634C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7C96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3EE3AD9D">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A3环境风险管控</w:t>
            </w: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112F29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A3.1人居环境要求</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FAF2DC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〔A3.1-1〕建立和完善重污染天气兵地联合应急预案、预报预警应急机制和会商联动机制。“乌—昌—石”区域内可能影响相邻行政区域大气环境的项目，兵地间、城市间必须相互征求意见。</w:t>
            </w:r>
          </w:p>
          <w:p w14:paraId="6D2771E2">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〔A3.1-2〕对跨国境河流、涉及县级及以上集中式饮用水水源地的河流、其他重要环境敏感目标的河流，建立健全流域上下游突发水污染事件</w:t>
            </w:r>
            <w:r>
              <w:rPr>
                <w:rFonts w:hint="eastAsia" w:cs="Times New Roman"/>
                <w:color w:val="auto"/>
                <w:spacing w:val="0"/>
                <w:sz w:val="21"/>
                <w:szCs w:val="21"/>
                <w:highlight w:val="none"/>
                <w:lang w:val="en-US" w:eastAsia="zh-CN"/>
              </w:rPr>
              <w:t>联防联控机制</w:t>
            </w:r>
            <w:r>
              <w:rPr>
                <w:rFonts w:hint="eastAsia" w:ascii="Times New Roman" w:hAnsi="Times New Roman" w:eastAsia="宋体" w:cs="Times New Roman"/>
                <w:color w:val="auto"/>
                <w:spacing w:val="0"/>
                <w:sz w:val="21"/>
                <w:szCs w:val="21"/>
                <w:highlight w:val="none"/>
                <w:lang w:val="en-US" w:eastAsia="zh-CN"/>
              </w:rPr>
              <w:t>，建立流域环境应急基础信息动态更新长效机制，绘制全流域“一河一策一图”。建立健全跨部门、跨区域的环境应急协调联动处置机制，强化流域上下游、兵地各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p w14:paraId="37EBB17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〔A3.1-3〕强化重污染天气监测预报预警能力，建立和完善重污染天气兵地联合应急预案、预警应急机制和会商联动机制，加强轻、中度污染天气管控。</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F2E6F0A">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本项目所在区域属于PM</w:t>
            </w:r>
            <w:r>
              <w:rPr>
                <w:rFonts w:hint="eastAsia" w:ascii="Times New Roman" w:hAnsi="Times New Roman" w:eastAsia="宋体" w:cs="Times New Roman"/>
                <w:color w:val="auto"/>
                <w:spacing w:val="0"/>
                <w:sz w:val="21"/>
                <w:szCs w:val="21"/>
                <w:highlight w:val="none"/>
                <w:vertAlign w:val="subscript"/>
                <w:lang w:val="en-US" w:eastAsia="zh-CN"/>
              </w:rPr>
              <w:t>2.5</w:t>
            </w:r>
            <w:r>
              <w:rPr>
                <w:rFonts w:hint="eastAsia" w:ascii="Times New Roman" w:hAnsi="Times New Roman" w:eastAsia="宋体" w:cs="Times New Roman"/>
                <w:color w:val="auto"/>
                <w:spacing w:val="0"/>
                <w:sz w:val="21"/>
                <w:szCs w:val="21"/>
                <w:highlight w:val="none"/>
                <w:lang w:val="en-US" w:eastAsia="zh-CN"/>
              </w:rPr>
              <w:t>、PM</w:t>
            </w:r>
            <w:r>
              <w:rPr>
                <w:rFonts w:hint="eastAsia" w:ascii="Times New Roman" w:hAnsi="Times New Roman" w:eastAsia="宋体" w:cs="Times New Roman"/>
                <w:color w:val="auto"/>
                <w:spacing w:val="0"/>
                <w:sz w:val="21"/>
                <w:szCs w:val="21"/>
                <w:highlight w:val="none"/>
                <w:vertAlign w:val="subscript"/>
                <w:lang w:val="en-US" w:eastAsia="zh-CN"/>
              </w:rPr>
              <w:t>10</w:t>
            </w:r>
            <w:r>
              <w:rPr>
                <w:rFonts w:hint="eastAsia" w:ascii="Times New Roman" w:hAnsi="Times New Roman" w:eastAsia="宋体" w:cs="Times New Roman"/>
                <w:color w:val="auto"/>
                <w:spacing w:val="0"/>
                <w:sz w:val="21"/>
                <w:szCs w:val="21"/>
                <w:highlight w:val="none"/>
                <w:lang w:val="en-US" w:eastAsia="zh-CN"/>
              </w:rPr>
              <w:t>年平均浓度不达标城市，根据《关于在南疆四地州深度贫困地区实施〈环境影响评价技术导则大气环境（HJ2.2-2018）〉差别化政策有关事宜的复函》的要求，对阿克苏实行环境影响评价差别化政策，本项目不涉及县级及以上集中式饮用水水源地的河流、其他重要环境敏感目标的河流。</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9FAD69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1ED3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69FD1AF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068583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A3.2联防联控要求</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553A5BB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p w14:paraId="33B90FE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〔A3.2-2〕依法推行农用地分类管理制度，强化受污染耕地安全利用和风险管控。因地制宜制定实施安全利用方案，鼓励采取种植结构调整等措施，确保受污染耕地全部实现安全利用。</w:t>
            </w:r>
          </w:p>
          <w:p w14:paraId="7DE14A4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p w14:paraId="42513AC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p w14:paraId="1C5D66D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p w14:paraId="5697516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6EB814A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项目所在区域不属于国家和自治区大气污染联防联控区域。</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914B2B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24CF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11A96F8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A4资源利用要求</w:t>
            </w: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8E2FCC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A4.1水资源</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417E0B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〔A4.1-1〕自治区用水总量2025年、2030年控制在国家下达的指标内。</w:t>
            </w:r>
          </w:p>
          <w:p w14:paraId="7C981F2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〔A4.1-2〕加大城镇污水再生利用工程建设力度，推进区域再生水循环利用，到2025年，城市生活污水再生利用率力争达到60%。</w:t>
            </w:r>
          </w:p>
          <w:p w14:paraId="16C7EA8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〔A4.1-3〕加强农村水利基础设施建设，推进农村供水保障工程，农村自来水普及率、集中供水率分别达到99.3%、99.7%。</w:t>
            </w:r>
          </w:p>
          <w:p w14:paraId="6F737FB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〔A4.1-4〕地下水资源利用实行总量控制和水位控制。取用地下水资源，应当按照国家和自治区有关规定申请取水许可。地下水利用应当以浅层地下水为主。</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B0C09F9">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本项目采取节水措施，管线试压废水属于清净废水，试压完成后用于区域降尘，施工过程中节约了水资源；运营期无用水工序。</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2B4DD95">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2756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40A2328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142BF7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A4.2土地资源</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51645EF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〔A4.2-1〕土地资源上线指标控制在最终批复的国土空间规划控制指标内。</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7858A2F">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本项目用水主要为施工期用水，用水量较小，施工期管道试压废水及钻井废水均进行综合利用，节约了水资源，对区域水资源消耗较小。</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5BF9FB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4C29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0C72D7B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B0CE8E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A4.3能源利用</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A661A7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〔A4.3-1〕单位地区生产总值二氧化碳排放降低水平完成国家下达指标。</w:t>
            </w:r>
          </w:p>
          <w:p w14:paraId="1AF9E41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〔A4.3-2〕到2025年，自治区万元国内生产总值能耗比2020年下降14.5%。</w:t>
            </w:r>
          </w:p>
          <w:p w14:paraId="41EF474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〔A4.3-3〕到2025年，非化石能源占一次能源消费比重达18%以上。</w:t>
            </w:r>
          </w:p>
          <w:p w14:paraId="23509F1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〔A4.3-4〕鼓励使用清洁能源或电厂热力、工业余热等替代锅炉、炉窑燃料用煤。</w:t>
            </w:r>
          </w:p>
          <w:p w14:paraId="44A66DF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〔A4.3-5〕以碳达峰碳中和工作为引领，着力提高能源资源利用效率。引导重点行业深入实施清洁生产改造，钢铁、建材、石油化工等重点行业以及其他行业重点用能单位持续开展节能降耗。</w:t>
            </w:r>
          </w:p>
          <w:p w14:paraId="670241C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〔A4.3-6〕深入推进碳达峰碳中和行动。推动能源清洁低碳转型，加强能耗“双控”管理，优化能源消费结构。新增原料用能不纳入能源消费总量控制。持续推进散煤整治。</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6026DC6D">
            <w:pPr>
              <w:pStyle w:val="2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本项目侧钻井场不新增加热炉，利旧加热炉采用天然气作为燃料。</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C97D0F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4ADC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7AA96E9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1070335">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A4.4禁燃区要求</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570F786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〔A4.4-1〕在禁燃区内，禁止销售、燃用高污染燃料；禁止新建、扩建燃用高污染燃料的设施。已建成的，应当在规定期限内改用清洁能源。</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5CF59010">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本项目所在区域不属于禁燃区。</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511D091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0F26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14:paraId="3EBF740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79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5BE3E81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A4.5资源综合利用</w:t>
            </w:r>
          </w:p>
        </w:tc>
        <w:tc>
          <w:tcPr>
            <w:tcW w:w="890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F921E9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p w14:paraId="51E6BBA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p w14:paraId="47216F5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283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FAC33E9">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本项目运营期危险废物集中收集后最终交由有相应危险废物处理资质的单位进行回收处置。</w:t>
            </w:r>
          </w:p>
        </w:tc>
        <w:tc>
          <w:tcPr>
            <w:tcW w:w="119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D8AADA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bl>
    <w:p w14:paraId="170FFD4A">
      <w:pPr>
        <w:keepNext w:val="0"/>
        <w:keepLines w:val="0"/>
        <w:pageBreakBefore w:val="0"/>
        <w:widowControl/>
        <w:kinsoku/>
        <w:wordWrap/>
        <w:overflowPunct/>
        <w:topLinePunct w:val="0"/>
        <w:autoSpaceDE/>
        <w:autoSpaceDN/>
        <w:bidi w:val="0"/>
        <w:adjustRightInd/>
        <w:snapToGrid/>
        <w:spacing w:before="164" w:beforeLines="50" w:line="240" w:lineRule="auto"/>
        <w:ind w:left="0" w:leftChars="0" w:right="0" w:rightChars="0" w:firstLine="0" w:firstLineChars="0"/>
        <w:jc w:val="center"/>
        <w:textAlignment w:val="auto"/>
        <w:rPr>
          <w:rFonts w:hint="eastAsia" w:ascii="黑体" w:hAnsi="黑体" w:eastAsia="黑体" w:cs="黑体"/>
          <w:b w:val="0"/>
          <w:bCs/>
          <w:color w:val="auto"/>
          <w:sz w:val="21"/>
          <w:szCs w:val="18"/>
          <w:highlight w:val="none"/>
          <w:lang w:val="en-US" w:eastAsia="zh-CN"/>
        </w:rPr>
      </w:pPr>
      <w:r>
        <w:rPr>
          <w:rFonts w:hint="eastAsia" w:ascii="黑体" w:hAnsi="黑体" w:eastAsia="黑体" w:cs="黑体"/>
          <w:b w:val="0"/>
          <w:bCs/>
          <w:color w:val="auto"/>
          <w:sz w:val="21"/>
          <w:szCs w:val="18"/>
          <w:highlight w:val="none"/>
          <w:lang w:val="en-US" w:eastAsia="zh-CN"/>
        </w:rPr>
        <w:t>表3.10-3本工程与《阿克苏地区生态环境准入清单更新情况说明(2023年)》符合性分析</w:t>
      </w:r>
    </w:p>
    <w:tbl>
      <w:tblPr>
        <w:tblStyle w:val="35"/>
        <w:tblW w:w="510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62"/>
        <w:gridCol w:w="1007"/>
        <w:gridCol w:w="7320"/>
        <w:gridCol w:w="3825"/>
        <w:gridCol w:w="989"/>
      </w:tblGrid>
      <w:tr w14:paraId="45E3B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1" w:hRule="atLeast"/>
          <w:jc w:val="center"/>
        </w:trPr>
        <w:tc>
          <w:tcPr>
            <w:tcW w:w="406" w:type="pct"/>
            <w:noWrap w:val="0"/>
            <w:vAlign w:val="center"/>
          </w:tcPr>
          <w:p w14:paraId="6262FC4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名称</w:t>
            </w:r>
          </w:p>
        </w:tc>
        <w:tc>
          <w:tcPr>
            <w:tcW w:w="2910" w:type="pct"/>
            <w:gridSpan w:val="2"/>
            <w:noWrap w:val="0"/>
            <w:vAlign w:val="center"/>
          </w:tcPr>
          <w:p w14:paraId="6CB93C6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文件要求</w:t>
            </w:r>
          </w:p>
        </w:tc>
        <w:tc>
          <w:tcPr>
            <w:tcW w:w="1337" w:type="pct"/>
            <w:noWrap w:val="0"/>
            <w:vAlign w:val="center"/>
          </w:tcPr>
          <w:p w14:paraId="3FF0F15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w:t>
            </w:r>
          </w:p>
        </w:tc>
        <w:tc>
          <w:tcPr>
            <w:tcW w:w="345" w:type="pct"/>
            <w:noWrap w:val="0"/>
            <w:vAlign w:val="center"/>
          </w:tcPr>
          <w:p w14:paraId="7E4E57D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符合性</w:t>
            </w:r>
          </w:p>
        </w:tc>
      </w:tr>
      <w:tr w14:paraId="7188E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3" w:hRule="atLeast"/>
          <w:jc w:val="center"/>
        </w:trPr>
        <w:tc>
          <w:tcPr>
            <w:tcW w:w="406" w:type="pct"/>
            <w:vMerge w:val="restart"/>
            <w:noWrap w:val="0"/>
            <w:vAlign w:val="center"/>
          </w:tcPr>
          <w:p w14:paraId="3A35C75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阿克苏地区总体管控要求</w:t>
            </w:r>
          </w:p>
          <w:p w14:paraId="3F090FD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352" w:type="pct"/>
            <w:vMerge w:val="restart"/>
            <w:noWrap w:val="0"/>
            <w:vAlign w:val="center"/>
          </w:tcPr>
          <w:p w14:paraId="687A91A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空间布局约束</w:t>
            </w:r>
          </w:p>
          <w:p w14:paraId="431711C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48AA66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1.1禁止新建、改（扩）建《产业结构调整指导目录（2019年本）（2021年修改）》中淘汰类项目。禁止引入《市场准入负面清单（2022年版）》禁止准入类事项。</w:t>
            </w:r>
          </w:p>
        </w:tc>
        <w:tc>
          <w:tcPr>
            <w:tcW w:w="1337" w:type="pct"/>
            <w:noWrap w:val="0"/>
            <w:vAlign w:val="center"/>
          </w:tcPr>
          <w:p w14:paraId="00D4A73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本项目为陆上石油开采项目，属于《产业结构调整指导目录</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2024年本</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国家发展改革委令2023年第7号</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中的鼓励类项目，符合国家当前产业政策要求；不属于《市场准入负面清单</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2022年版</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发改体改规〔2022〕397号</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中禁止准入类项目</w:t>
            </w:r>
            <w:r>
              <w:rPr>
                <w:rFonts w:hint="eastAsia" w:cs="Times New Roman"/>
                <w:color w:val="auto"/>
                <w:spacing w:val="0"/>
                <w:sz w:val="21"/>
                <w:szCs w:val="21"/>
                <w:highlight w:val="none"/>
                <w:lang w:val="en-US" w:eastAsia="zh-CN"/>
              </w:rPr>
              <w:t>。</w:t>
            </w:r>
          </w:p>
        </w:tc>
        <w:tc>
          <w:tcPr>
            <w:tcW w:w="345" w:type="pct"/>
            <w:noWrap w:val="0"/>
            <w:vAlign w:val="center"/>
          </w:tcPr>
          <w:p w14:paraId="58F506C8">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0406E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14" w:hRule="atLeast"/>
          <w:jc w:val="center"/>
        </w:trPr>
        <w:tc>
          <w:tcPr>
            <w:tcW w:w="406" w:type="pct"/>
            <w:vMerge w:val="continue"/>
            <w:noWrap w:val="0"/>
            <w:vAlign w:val="center"/>
          </w:tcPr>
          <w:p w14:paraId="1A9C85E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7647DC8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3DA917F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1.2国家重点生态功能区内禁止新建、改扩建产业准入负面清单中禁止类项目。</w:t>
            </w:r>
          </w:p>
        </w:tc>
        <w:tc>
          <w:tcPr>
            <w:tcW w:w="1337" w:type="pct"/>
            <w:noWrap w:val="0"/>
            <w:vAlign w:val="center"/>
          </w:tcPr>
          <w:p w14:paraId="2381C7A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本项目为陆上石油开采项目，属于《产业结构调整指导目录</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2024年本</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国家发展改革委令2023年第7号</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中的鼓励类项目，符合国家当前产业政策要求；不属于《市场准入负面清单</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2022年版</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发改体改规〔2022〕397号</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中禁止准入类项目</w:t>
            </w:r>
            <w:r>
              <w:rPr>
                <w:rFonts w:hint="eastAsia" w:cs="Times New Roman"/>
                <w:color w:val="auto"/>
                <w:spacing w:val="0"/>
                <w:sz w:val="21"/>
                <w:szCs w:val="21"/>
                <w:highlight w:val="none"/>
                <w:lang w:val="en-US" w:eastAsia="zh-CN"/>
              </w:rPr>
              <w:t>。</w:t>
            </w:r>
          </w:p>
        </w:tc>
        <w:tc>
          <w:tcPr>
            <w:tcW w:w="345" w:type="pct"/>
            <w:noWrap w:val="0"/>
            <w:vAlign w:val="center"/>
          </w:tcPr>
          <w:p w14:paraId="268C4B6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25FEF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6C59846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FFFAE7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61E0EB4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1.3禁止建设不符合国家和自治区环境保护标准的项目。</w:t>
            </w:r>
          </w:p>
        </w:tc>
        <w:tc>
          <w:tcPr>
            <w:tcW w:w="1337" w:type="pct"/>
            <w:noWrap w:val="0"/>
            <w:vAlign w:val="center"/>
          </w:tcPr>
          <w:p w14:paraId="0D60626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本项目符合国家和自治区环境保护标准</w:t>
            </w:r>
          </w:p>
        </w:tc>
        <w:tc>
          <w:tcPr>
            <w:tcW w:w="345" w:type="pct"/>
            <w:noWrap w:val="0"/>
            <w:vAlign w:val="center"/>
          </w:tcPr>
          <w:p w14:paraId="4E76F47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68E44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406" w:type="pct"/>
            <w:vMerge w:val="continue"/>
            <w:noWrap w:val="0"/>
            <w:vAlign w:val="center"/>
          </w:tcPr>
          <w:p w14:paraId="2FEEC19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5CC7CA4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4A00E65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1.4禁止新建、改建、扩建列入淘汰类目录的高污染工业项目。禁止使用列入淘汰类目录的工艺、设备、产品。</w:t>
            </w:r>
          </w:p>
        </w:tc>
        <w:tc>
          <w:tcPr>
            <w:tcW w:w="1337" w:type="pct"/>
            <w:noWrap w:val="0"/>
            <w:vAlign w:val="center"/>
          </w:tcPr>
          <w:p w14:paraId="137E47B3">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本项目不属于列入淘汰类目录的高污染工业项目</w:t>
            </w:r>
            <w:r>
              <w:rPr>
                <w:rFonts w:hint="eastAsia" w:cs="Times New Roman"/>
                <w:color w:val="auto"/>
                <w:spacing w:val="0"/>
                <w:sz w:val="21"/>
                <w:szCs w:val="21"/>
                <w:highlight w:val="none"/>
                <w:lang w:val="en-US" w:eastAsia="zh-CN"/>
              </w:rPr>
              <w:t>。</w:t>
            </w:r>
          </w:p>
        </w:tc>
        <w:tc>
          <w:tcPr>
            <w:tcW w:w="345" w:type="pct"/>
            <w:noWrap w:val="0"/>
            <w:vAlign w:val="center"/>
          </w:tcPr>
          <w:p w14:paraId="3EB5E64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DD8F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56F1DA3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446715D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6E7E6F2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1.5禁止在饮用水水源保护区、风景名胜区、自然保护区的核心区和缓冲区、城镇居民区、文化教育科学研究区等人口集中区域以及</w:t>
            </w:r>
            <w:r>
              <w:rPr>
                <w:rFonts w:hint="eastAsia" w:cs="Times New Roman"/>
                <w:color w:val="auto"/>
                <w:spacing w:val="0"/>
                <w:sz w:val="21"/>
                <w:szCs w:val="21"/>
                <w:highlight w:val="none"/>
                <w:lang w:val="en-US" w:eastAsia="zh-CN"/>
              </w:rPr>
              <w:t>法律法规</w:t>
            </w:r>
            <w:r>
              <w:rPr>
                <w:rFonts w:hint="eastAsia" w:ascii="Times New Roman" w:hAnsi="Times New Roman" w:eastAsia="宋体" w:cs="Times New Roman"/>
                <w:color w:val="auto"/>
                <w:spacing w:val="0"/>
                <w:sz w:val="21"/>
                <w:szCs w:val="21"/>
                <w:highlight w:val="none"/>
                <w:lang w:val="en-US" w:eastAsia="zh-CN"/>
              </w:rPr>
              <w:t>规定的其他禁止养殖区域建设畜禽养殖场、养殖小区。</w:t>
            </w:r>
          </w:p>
        </w:tc>
        <w:tc>
          <w:tcPr>
            <w:tcW w:w="1337" w:type="pct"/>
            <w:noWrap w:val="0"/>
            <w:vAlign w:val="center"/>
          </w:tcPr>
          <w:p w14:paraId="20CC814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78EF292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7A65E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49" w:hRule="atLeast"/>
          <w:jc w:val="center"/>
        </w:trPr>
        <w:tc>
          <w:tcPr>
            <w:tcW w:w="406" w:type="pct"/>
            <w:vMerge w:val="continue"/>
            <w:noWrap w:val="0"/>
            <w:vAlign w:val="center"/>
          </w:tcPr>
          <w:p w14:paraId="5F7D576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83CA2C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2F12AB0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1.6禁止在水源涵养区、地下水源、饮用水源、自然保护区、风景名胜区、森林公园、重要湿地及人群密集区等生态敏感区域内进行煤炭、石油、天然气开发。</w:t>
            </w:r>
          </w:p>
        </w:tc>
        <w:tc>
          <w:tcPr>
            <w:tcW w:w="1337" w:type="pct"/>
            <w:noWrap w:val="0"/>
            <w:vAlign w:val="center"/>
          </w:tcPr>
          <w:p w14:paraId="5BEF0B2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本项目占地范围内不涉及水源涵养区、地下水源、饮用水源、自然保护区、风景名胜区、森林公园、重要湿地及人群密集区等生态敏感区域</w:t>
            </w:r>
            <w:r>
              <w:rPr>
                <w:rFonts w:hint="eastAsia" w:cs="Times New Roman"/>
                <w:color w:val="auto"/>
                <w:spacing w:val="0"/>
                <w:sz w:val="21"/>
                <w:szCs w:val="21"/>
                <w:highlight w:val="none"/>
                <w:lang w:val="en-US" w:eastAsia="zh-CN"/>
              </w:rPr>
              <w:t>。</w:t>
            </w:r>
          </w:p>
        </w:tc>
        <w:tc>
          <w:tcPr>
            <w:tcW w:w="345" w:type="pct"/>
            <w:noWrap w:val="0"/>
            <w:vAlign w:val="center"/>
          </w:tcPr>
          <w:p w14:paraId="7745D89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7AB0C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406" w:type="pct"/>
            <w:vMerge w:val="continue"/>
            <w:noWrap w:val="0"/>
            <w:vAlign w:val="center"/>
          </w:tcPr>
          <w:p w14:paraId="764DEC6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75AAAAF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38A90BE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1.7禁止向沙漠、滩涂、盐碱地、沼泽地等非法排污、倾倒有毒有害物质。</w:t>
            </w:r>
          </w:p>
        </w:tc>
        <w:tc>
          <w:tcPr>
            <w:tcW w:w="1337" w:type="pct"/>
            <w:noWrap w:val="0"/>
            <w:vAlign w:val="center"/>
          </w:tcPr>
          <w:p w14:paraId="6B36889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本工程不涉及</w:t>
            </w:r>
          </w:p>
        </w:tc>
        <w:tc>
          <w:tcPr>
            <w:tcW w:w="345" w:type="pct"/>
            <w:noWrap w:val="0"/>
            <w:vAlign w:val="center"/>
          </w:tcPr>
          <w:p w14:paraId="7C9CAA0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5D70F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06" w:type="pct"/>
            <w:vMerge w:val="continue"/>
            <w:noWrap w:val="0"/>
            <w:vAlign w:val="center"/>
          </w:tcPr>
          <w:p w14:paraId="56906E0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00B5395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1CAB51E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1.8禁止利用渗坑、裂隙、溶洞或者采用稀释等方法处置危险废物。</w:t>
            </w:r>
          </w:p>
        </w:tc>
        <w:tc>
          <w:tcPr>
            <w:tcW w:w="1337" w:type="pct"/>
            <w:noWrap w:val="0"/>
            <w:vAlign w:val="center"/>
          </w:tcPr>
          <w:p w14:paraId="22A2D331">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本项目危险废物均交由具有危险废物处置单位处置</w:t>
            </w:r>
            <w:r>
              <w:rPr>
                <w:rFonts w:hint="eastAsia" w:cs="Times New Roman"/>
                <w:color w:val="auto"/>
                <w:spacing w:val="0"/>
                <w:sz w:val="21"/>
                <w:szCs w:val="21"/>
                <w:highlight w:val="none"/>
                <w:lang w:val="en-US" w:eastAsia="zh-CN"/>
              </w:rPr>
              <w:t>。</w:t>
            </w:r>
          </w:p>
        </w:tc>
        <w:tc>
          <w:tcPr>
            <w:tcW w:w="345" w:type="pct"/>
            <w:noWrap w:val="0"/>
            <w:vAlign w:val="center"/>
          </w:tcPr>
          <w:p w14:paraId="1BA5822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10BFA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4" w:hRule="atLeast"/>
          <w:jc w:val="center"/>
        </w:trPr>
        <w:tc>
          <w:tcPr>
            <w:tcW w:w="406" w:type="pct"/>
            <w:vMerge w:val="continue"/>
            <w:noWrap w:val="0"/>
            <w:vAlign w:val="center"/>
          </w:tcPr>
          <w:p w14:paraId="0846590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FD494B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47C7317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1.9禁止在地区范围内引进能（水）耗不符合相关国家标准中准入值要求且污染物排放和环境风险防控不符合国家（地方）标准及有关产业准入条件的高污染（排放）、高能（水）耗、高环境风险的工业项目。</w:t>
            </w:r>
          </w:p>
        </w:tc>
        <w:tc>
          <w:tcPr>
            <w:tcW w:w="1337" w:type="pct"/>
            <w:noWrap w:val="0"/>
            <w:vAlign w:val="center"/>
          </w:tcPr>
          <w:p w14:paraId="39E260A5">
            <w:pPr>
              <w:pStyle w:val="29"/>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本项目不属于高污染（排放）、高能（水）耗、高环境风险的工业项目。</w:t>
            </w:r>
          </w:p>
        </w:tc>
        <w:tc>
          <w:tcPr>
            <w:tcW w:w="345" w:type="pct"/>
            <w:noWrap w:val="0"/>
            <w:vAlign w:val="center"/>
          </w:tcPr>
          <w:p w14:paraId="5C9414A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FCF6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15BAD16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7CFE1D0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1260E27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1.10坚决遏制高耗能高排放低水平项目盲目发展。严把高耗能高排放低水平项目准入关口，严格落实污染物排放区域削减要求，对不符合规定的项目坚决停批停建。依法依规淘汰落后产能和化解过剩产能。</w:t>
            </w:r>
          </w:p>
        </w:tc>
        <w:tc>
          <w:tcPr>
            <w:tcW w:w="1337" w:type="pct"/>
            <w:noWrap w:val="0"/>
            <w:vAlign w:val="center"/>
          </w:tcPr>
          <w:p w14:paraId="3FA0E1C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本项目不属于高耗能高排放低水平项目。</w:t>
            </w:r>
          </w:p>
        </w:tc>
        <w:tc>
          <w:tcPr>
            <w:tcW w:w="345" w:type="pct"/>
            <w:noWrap w:val="0"/>
            <w:vAlign w:val="center"/>
          </w:tcPr>
          <w:p w14:paraId="067929B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08738C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406" w:type="pct"/>
            <w:vMerge w:val="continue"/>
            <w:noWrap w:val="0"/>
            <w:vAlign w:val="center"/>
          </w:tcPr>
          <w:p w14:paraId="223E83C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EEA27C2">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04FE2F8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1.11引导化工项目进区入园，促进高水平集聚发展。推动化工园区规范化发展，依法依规利用综合标准倒逼园区防范化解安全环境风险，加快园区污染防治等基础设施建设，加强园区污水管网排查整治，提升本质安全和清洁生产水平。引导园区内企业循环生产、产业耦合发展，鼓励化工园区间错位、差异化发展，与冶金、建材、纺织、电子等行业协同布局。鼓励化工园区建设科技创新及科研成果孵化平台、智能化管理系统。严格执行危险化学品“禁限控”目录，新建危险化学品生产项目必须进入一般或较低安全风险的化工园区（</w:t>
            </w:r>
            <w:r>
              <w:rPr>
                <w:rFonts w:hint="eastAsia" w:cs="Times New Roman"/>
                <w:color w:val="auto"/>
                <w:spacing w:val="0"/>
                <w:sz w:val="21"/>
                <w:szCs w:val="21"/>
                <w:highlight w:val="none"/>
                <w:lang w:val="en-US" w:eastAsia="zh-CN"/>
              </w:rPr>
              <w:t>与其他</w:t>
            </w:r>
            <w:r>
              <w:rPr>
                <w:rFonts w:hint="eastAsia" w:ascii="Times New Roman" w:hAnsi="Times New Roman" w:eastAsia="宋体" w:cs="Times New Roman"/>
                <w:color w:val="auto"/>
                <w:spacing w:val="0"/>
                <w:sz w:val="21"/>
                <w:szCs w:val="21"/>
                <w:highlight w:val="none"/>
                <w:lang w:val="en-US" w:eastAsia="zh-CN"/>
              </w:rPr>
              <w:t>行业生产装置配套建设的项目除外），引导其他石化化工项目在化工园区发展。</w:t>
            </w:r>
          </w:p>
        </w:tc>
        <w:tc>
          <w:tcPr>
            <w:tcW w:w="1337" w:type="pct"/>
            <w:noWrap w:val="0"/>
            <w:vAlign w:val="center"/>
          </w:tcPr>
          <w:p w14:paraId="4917C073">
            <w:pPr>
              <w:pStyle w:val="29"/>
              <w:keepNext w:val="0"/>
              <w:keepLines w:val="0"/>
              <w:widowControl/>
              <w:suppressLineNumbers w:val="0"/>
              <w:spacing w:before="0" w:beforeAutospacing="0" w:after="0" w:afterAutospacing="0"/>
              <w:ind w:left="0" w:right="0" w:firstLine="210" w:firstLineChars="10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本项目不属于化工项目。</w:t>
            </w:r>
          </w:p>
        </w:tc>
        <w:tc>
          <w:tcPr>
            <w:tcW w:w="345" w:type="pct"/>
            <w:noWrap w:val="0"/>
            <w:vAlign w:val="center"/>
          </w:tcPr>
          <w:p w14:paraId="41397475">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23EBE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15" w:hRule="atLeast"/>
          <w:jc w:val="center"/>
        </w:trPr>
        <w:tc>
          <w:tcPr>
            <w:tcW w:w="406" w:type="pct"/>
            <w:vMerge w:val="continue"/>
            <w:noWrap w:val="0"/>
            <w:vAlign w:val="center"/>
          </w:tcPr>
          <w:p w14:paraId="49094A3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05EA2F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196E92F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1.12严禁新建《禁止、控制和限制危险化学品目录》中淘汰类、禁止类危险化学品化工项目。坚决遏制“两高”项目盲目发展，石化、现代煤化工项目应纳入国家产业规划。严格执行生态保护红线、永久基本农田管控要求，禁止新</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改、扩</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建化工项目违规占用生态保护红线和永久基本农田。</w:t>
            </w:r>
          </w:p>
        </w:tc>
        <w:tc>
          <w:tcPr>
            <w:tcW w:w="1337" w:type="pct"/>
            <w:noWrap w:val="0"/>
            <w:vAlign w:val="center"/>
          </w:tcPr>
          <w:p w14:paraId="3498A06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本项目不占用生态保护红线、永久基本农田。</w:t>
            </w:r>
          </w:p>
        </w:tc>
        <w:tc>
          <w:tcPr>
            <w:tcW w:w="345" w:type="pct"/>
            <w:noWrap w:val="0"/>
            <w:vAlign w:val="center"/>
          </w:tcPr>
          <w:p w14:paraId="2825D7D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6F1B0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1C5AD942">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5F9C194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0F1C96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1.13推动涉重金属产业集中优化发展，禁止新建用汞的电石法（聚）氯乙烯生产工艺，新建、扩建的重有色金属冶炼、电镀、制革企业优先选择布设在依法合规设立并依法开展规划环境影响评价的产业园区。</w:t>
            </w:r>
          </w:p>
        </w:tc>
        <w:tc>
          <w:tcPr>
            <w:tcW w:w="1337" w:type="pct"/>
            <w:noWrap w:val="0"/>
            <w:vAlign w:val="center"/>
          </w:tcPr>
          <w:p w14:paraId="2945D2DF">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3E61B88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19822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6C5A571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0616759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63504EC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1.14永久基本农田集中区域禁止规划新建可能造成土壤污染的建设项目。涉及有毒有害物质可能造成土壤污染的新(改、扩)建项目，提出并落实土壤和地下水污染防治要求。</w:t>
            </w:r>
          </w:p>
        </w:tc>
        <w:tc>
          <w:tcPr>
            <w:tcW w:w="1337" w:type="pct"/>
            <w:noWrap w:val="0"/>
            <w:vAlign w:val="center"/>
          </w:tcPr>
          <w:p w14:paraId="17D2291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本项目不占用永久基本农田</w:t>
            </w:r>
            <w:r>
              <w:rPr>
                <w:rFonts w:hint="eastAsia" w:cs="Times New Roman"/>
                <w:color w:val="auto"/>
                <w:spacing w:val="0"/>
                <w:sz w:val="21"/>
                <w:szCs w:val="21"/>
                <w:highlight w:val="none"/>
                <w:lang w:val="en-US" w:eastAsia="zh-CN"/>
              </w:rPr>
              <w:t>。</w:t>
            </w:r>
          </w:p>
        </w:tc>
        <w:tc>
          <w:tcPr>
            <w:tcW w:w="345" w:type="pct"/>
            <w:noWrap w:val="0"/>
            <w:vAlign w:val="center"/>
          </w:tcPr>
          <w:p w14:paraId="727AE48D">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4F401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61A7BB8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3F22BB7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2B4DA00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1.15河湖岸线生态红线保护区实施最严格的保护政策，严禁一切与保护无关的开发活动，滨岸带缓冲区以维系地表径流污染拦截功能为重点，严格岸线用途管制，严控畜禽养殖业。严格控制石油加工、化学原料和化学制品制造、医药制造、化学纤维制造、有色金属冶炼、纺织印染、尾矿库等项目环境风险。制定河湖岸线开发利用负面清单，禁止不符合水体功能定位的涉水开发活动。强化河湖岸线建设项目管理，严禁以各种名义侵占河道、围垦湖泊。</w:t>
            </w:r>
          </w:p>
        </w:tc>
        <w:tc>
          <w:tcPr>
            <w:tcW w:w="1337" w:type="pct"/>
            <w:noWrap w:val="0"/>
            <w:vAlign w:val="center"/>
          </w:tcPr>
          <w:p w14:paraId="5FF4ACDB">
            <w:pPr>
              <w:pStyle w:val="29"/>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本项目距离生态保护红线最近为</w:t>
            </w:r>
            <w:r>
              <w:rPr>
                <w:rFonts w:hint="eastAsia" w:cs="Times New Roman"/>
                <w:color w:val="auto"/>
                <w:spacing w:val="0"/>
                <w:sz w:val="21"/>
                <w:szCs w:val="21"/>
                <w:highlight w:val="none"/>
                <w:lang w:val="en-US" w:eastAsia="zh-CN"/>
              </w:rPr>
              <w:t>600m</w:t>
            </w:r>
            <w:r>
              <w:rPr>
                <w:rFonts w:hint="eastAsia" w:ascii="Times New Roman" w:hAnsi="Times New Roman" w:eastAsia="宋体" w:cs="Times New Roman"/>
                <w:color w:val="auto"/>
                <w:spacing w:val="0"/>
                <w:sz w:val="21"/>
                <w:szCs w:val="21"/>
                <w:highlight w:val="none"/>
                <w:lang w:val="en-US" w:eastAsia="zh-CN"/>
              </w:rPr>
              <w:t>，敷设管线未穿越红线，不在生态保护红线范围内。</w:t>
            </w:r>
          </w:p>
        </w:tc>
        <w:tc>
          <w:tcPr>
            <w:tcW w:w="345" w:type="pct"/>
            <w:noWrap w:val="0"/>
            <w:vAlign w:val="center"/>
          </w:tcPr>
          <w:p w14:paraId="14A06A2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E178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38B8322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09B4F8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2340449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1.16原则上禁止曾用于生产、使用、贮存、回收、处置有毒有害物质的工矿用地复垦为种植食用农产品的耕地。</w:t>
            </w:r>
          </w:p>
        </w:tc>
        <w:tc>
          <w:tcPr>
            <w:tcW w:w="1337" w:type="pct"/>
            <w:noWrap w:val="0"/>
            <w:vAlign w:val="center"/>
          </w:tcPr>
          <w:p w14:paraId="6F5D053F">
            <w:pPr>
              <w:pStyle w:val="2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38680D28">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5AB05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255ED44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3141F1A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741BD95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1.17对自然保护区、森林公园、湿地公园、沙漠公园、饮用水源地等特殊类土壤应严格保护，严格执行保护区管理规定，禁止各类开发建设活动污染保护区土壤。</w:t>
            </w:r>
          </w:p>
        </w:tc>
        <w:tc>
          <w:tcPr>
            <w:tcW w:w="1337" w:type="pct"/>
            <w:noWrap w:val="0"/>
            <w:vAlign w:val="center"/>
          </w:tcPr>
          <w:p w14:paraId="34228E1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146B296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34F35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67E5927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48A172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420BF94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1.18严禁在天然水体进行网箱养殖和将规模化畜禽养殖场产生的污水和粪便排入河道。加强对畜禽养殖及屠宰企业污染物排放的监管，在水源地保护区内不允许进行畜禽养殖。</w:t>
            </w:r>
          </w:p>
        </w:tc>
        <w:tc>
          <w:tcPr>
            <w:tcW w:w="1337" w:type="pct"/>
            <w:noWrap w:val="0"/>
            <w:vAlign w:val="center"/>
          </w:tcPr>
          <w:p w14:paraId="743061A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67AD26D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43192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39" w:hRule="atLeast"/>
          <w:jc w:val="center"/>
        </w:trPr>
        <w:tc>
          <w:tcPr>
            <w:tcW w:w="406" w:type="pct"/>
            <w:vMerge w:val="continue"/>
            <w:noWrap w:val="0"/>
            <w:vAlign w:val="center"/>
          </w:tcPr>
          <w:p w14:paraId="4B65276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308B4B8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shd w:val="clear" w:color="auto" w:fill="auto"/>
            <w:noWrap w:val="0"/>
            <w:vAlign w:val="center"/>
          </w:tcPr>
          <w:p w14:paraId="5A12ECDB">
            <w:pPr>
              <w:pStyle w:val="29"/>
              <w:keepNext w:val="0"/>
              <w:keepLines w:val="0"/>
              <w:widowControl/>
              <w:suppressLineNumbers w:val="0"/>
              <w:spacing w:before="0" w:beforeAutospacing="0" w:after="0" w:afterAutospacing="0"/>
              <w:ind w:left="0" w:leftChars="0" w:right="0" w:rightChars="0"/>
              <w:jc w:val="left"/>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r>
              <w:rPr>
                <w:rFonts w:hint="eastAsia" w:cs="Times New Roman"/>
                <w:color w:val="auto"/>
                <w:spacing w:val="0"/>
                <w:sz w:val="21"/>
                <w:szCs w:val="21"/>
                <w:highlight w:val="none"/>
                <w:lang w:val="en-US" w:eastAsia="zh-CN"/>
              </w:rPr>
              <w:t>19</w:t>
            </w:r>
            <w:r>
              <w:rPr>
                <w:rFonts w:hint="eastAsia" w:ascii="Times New Roman" w:hAnsi="Times New Roman" w:eastAsia="宋体" w:cs="Times New Roman"/>
                <w:color w:val="auto"/>
                <w:spacing w:val="0"/>
                <w:sz w:val="21"/>
                <w:szCs w:val="21"/>
                <w:highlight w:val="none"/>
                <w:lang w:val="en-US" w:eastAsia="zh-CN"/>
              </w:rPr>
              <w:t>限制新建、改（扩）建《产业结构调整指导目录（20</w:t>
            </w:r>
            <w:r>
              <w:rPr>
                <w:rFonts w:hint="eastAsia" w:cs="Times New Roman"/>
                <w:color w:val="auto"/>
                <w:spacing w:val="0"/>
                <w:sz w:val="21"/>
                <w:szCs w:val="21"/>
                <w:highlight w:val="none"/>
                <w:lang w:val="en-US" w:eastAsia="zh-CN"/>
              </w:rPr>
              <w:t>24</w:t>
            </w:r>
            <w:r>
              <w:rPr>
                <w:rFonts w:hint="eastAsia" w:ascii="Times New Roman" w:hAnsi="Times New Roman" w:eastAsia="宋体" w:cs="Times New Roman"/>
                <w:color w:val="auto"/>
                <w:spacing w:val="0"/>
                <w:sz w:val="21"/>
                <w:szCs w:val="21"/>
                <w:highlight w:val="none"/>
                <w:lang w:val="en-US" w:eastAsia="zh-CN"/>
              </w:rPr>
              <w:t>年本）（》中限制类项目。国家重点生态功能区内限制新建、改（扩）建产业准入负面清单中限制类项目。</w:t>
            </w:r>
          </w:p>
        </w:tc>
        <w:tc>
          <w:tcPr>
            <w:tcW w:w="1337" w:type="pct"/>
            <w:shd w:val="clear" w:color="auto" w:fill="auto"/>
            <w:noWrap w:val="0"/>
            <w:vAlign w:val="center"/>
          </w:tcPr>
          <w:p w14:paraId="28AF7C1F">
            <w:pPr>
              <w:pStyle w:val="29"/>
              <w:keepNext w:val="0"/>
              <w:keepLines w:val="0"/>
              <w:widowControl/>
              <w:suppressLineNumbers w:val="0"/>
              <w:spacing w:before="0" w:beforeAutospacing="0" w:after="0" w:afterAutospacing="0"/>
              <w:ind w:left="0" w:leftChars="0" w:right="0" w:rightChars="0"/>
              <w:jc w:val="left"/>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本项目为陆上石油开采项目，属于《产业结构调整指导目录</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2024年本</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》中鼓励类项目。</w:t>
            </w:r>
          </w:p>
        </w:tc>
        <w:tc>
          <w:tcPr>
            <w:tcW w:w="345" w:type="pct"/>
            <w:shd w:val="clear" w:color="auto" w:fill="auto"/>
            <w:noWrap w:val="0"/>
            <w:vAlign w:val="center"/>
          </w:tcPr>
          <w:p w14:paraId="4BF3EF2F">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符合</w:t>
            </w:r>
          </w:p>
        </w:tc>
      </w:tr>
      <w:tr w14:paraId="38561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56D5975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5499649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shd w:val="clear" w:color="auto" w:fill="auto"/>
            <w:noWrap w:val="0"/>
            <w:vAlign w:val="center"/>
          </w:tcPr>
          <w:p w14:paraId="014138FB">
            <w:pPr>
              <w:pStyle w:val="29"/>
              <w:keepNext w:val="0"/>
              <w:keepLines w:val="0"/>
              <w:widowControl/>
              <w:suppressLineNumbers w:val="0"/>
              <w:spacing w:before="0" w:beforeAutospacing="0" w:after="0" w:afterAutospacing="0"/>
              <w:ind w:left="0" w:leftChars="0" w:right="0" w:rightChars="0"/>
              <w:jc w:val="left"/>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1.20严格控制建设项目占用湿地。因国家和自治区重点建设工程、基础设施建设，以及重点公益性项目建设，确需占用湿地的，应当按照有关</w:t>
            </w:r>
            <w:r>
              <w:rPr>
                <w:rFonts w:hint="eastAsia" w:cs="Times New Roman"/>
                <w:color w:val="auto"/>
                <w:spacing w:val="0"/>
                <w:sz w:val="21"/>
                <w:szCs w:val="21"/>
                <w:highlight w:val="none"/>
                <w:lang w:val="en-US" w:eastAsia="zh-CN"/>
              </w:rPr>
              <w:t>法律法规</w:t>
            </w:r>
            <w:r>
              <w:rPr>
                <w:rFonts w:hint="eastAsia" w:ascii="Times New Roman" w:hAnsi="Times New Roman" w:eastAsia="宋体" w:cs="Times New Roman"/>
                <w:color w:val="auto"/>
                <w:spacing w:val="0"/>
                <w:sz w:val="21"/>
                <w:szCs w:val="21"/>
                <w:highlight w:val="none"/>
                <w:lang w:val="en-US" w:eastAsia="zh-CN"/>
              </w:rPr>
              <w:t>规定的权限和程序办理批准手续。</w:t>
            </w:r>
          </w:p>
        </w:tc>
        <w:tc>
          <w:tcPr>
            <w:tcW w:w="1337" w:type="pct"/>
            <w:shd w:val="clear" w:color="auto" w:fill="auto"/>
            <w:noWrap w:val="0"/>
            <w:vAlign w:val="center"/>
          </w:tcPr>
          <w:p w14:paraId="0CF10855">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本项目不涉及占用湿地</w:t>
            </w:r>
          </w:p>
        </w:tc>
        <w:tc>
          <w:tcPr>
            <w:tcW w:w="345" w:type="pct"/>
            <w:shd w:val="clear" w:color="auto" w:fill="auto"/>
            <w:noWrap w:val="0"/>
            <w:vAlign w:val="center"/>
          </w:tcPr>
          <w:p w14:paraId="2DFBEA45">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符合</w:t>
            </w:r>
          </w:p>
        </w:tc>
      </w:tr>
      <w:tr w14:paraId="53724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1D65910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C9E9C4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59D3B2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1.21在河湖管理范围外，湖泊周边、水库库边建设光伏、风电项目的，要科学论证，严格管控，不得布设在具有防洪、供水功能和水生态、水环境保护需求的区域，不得妨碍行洪通畅，不得危害水库大坝和堤防等水利工程设施安全，不得影响河势稳定。</w:t>
            </w:r>
          </w:p>
        </w:tc>
        <w:tc>
          <w:tcPr>
            <w:tcW w:w="1337" w:type="pct"/>
            <w:noWrap w:val="0"/>
            <w:vAlign w:val="center"/>
          </w:tcPr>
          <w:p w14:paraId="362D2197">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64F354F9">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64B54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055F8D8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57082D9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shd w:val="clear" w:color="auto" w:fill="auto"/>
            <w:noWrap w:val="0"/>
            <w:vAlign w:val="center"/>
          </w:tcPr>
          <w:p w14:paraId="15BE5BAA">
            <w:pPr>
              <w:pStyle w:val="29"/>
              <w:keepNext w:val="0"/>
              <w:keepLines w:val="0"/>
              <w:widowControl/>
              <w:suppressLineNumbers w:val="0"/>
              <w:spacing w:before="0" w:beforeAutospacing="0" w:after="0" w:afterAutospacing="0"/>
              <w:ind w:left="0" w:leftChars="0" w:right="0" w:rightChars="0"/>
              <w:jc w:val="left"/>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1.22严格管控自然保护地范围内非生态活动，稳妥推进核心区内居民、耕地有序退出，矿权依法依规退出。</w:t>
            </w:r>
          </w:p>
        </w:tc>
        <w:tc>
          <w:tcPr>
            <w:tcW w:w="1337" w:type="pct"/>
            <w:shd w:val="clear" w:color="auto" w:fill="auto"/>
            <w:noWrap w:val="0"/>
            <w:vAlign w:val="center"/>
          </w:tcPr>
          <w:p w14:paraId="551AA004">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shd w:val="clear" w:color="auto" w:fill="auto"/>
            <w:noWrap w:val="0"/>
            <w:vAlign w:val="center"/>
          </w:tcPr>
          <w:p w14:paraId="006FE535">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w:t>
            </w:r>
          </w:p>
        </w:tc>
      </w:tr>
      <w:tr w14:paraId="3148D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07D55ED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36729E6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shd w:val="clear" w:color="auto" w:fill="auto"/>
            <w:noWrap w:val="0"/>
            <w:vAlign w:val="center"/>
          </w:tcPr>
          <w:p w14:paraId="21A8BB6E">
            <w:pPr>
              <w:pStyle w:val="29"/>
              <w:keepNext w:val="0"/>
              <w:keepLines w:val="0"/>
              <w:widowControl/>
              <w:suppressLineNumbers w:val="0"/>
              <w:spacing w:before="0" w:beforeAutospacing="0" w:after="0" w:afterAutospacing="0"/>
              <w:ind w:left="0" w:leftChars="0" w:right="0" w:rightChars="0"/>
              <w:jc w:val="left"/>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1.23新建、扩建石化、化工、焦化、有色金属冶炼、平板玻璃项目应布设在依法合规设立并经规划环评的产业园区。各级生态环境部门和行政审批部门要严格把关，对于不符合相关法律法规的，依法不予审批。</w:t>
            </w:r>
          </w:p>
        </w:tc>
        <w:tc>
          <w:tcPr>
            <w:tcW w:w="1337" w:type="pct"/>
            <w:shd w:val="clear" w:color="auto" w:fill="auto"/>
            <w:noWrap w:val="0"/>
            <w:vAlign w:val="center"/>
          </w:tcPr>
          <w:p w14:paraId="6BE8F062">
            <w:pPr>
              <w:pStyle w:val="29"/>
              <w:keepNext w:val="0"/>
              <w:keepLines w:val="0"/>
              <w:widowControl/>
              <w:suppressLineNumbers w:val="0"/>
              <w:spacing w:before="0" w:beforeAutospacing="0" w:after="0" w:afterAutospacing="0"/>
              <w:ind w:left="0" w:leftChars="0" w:right="0" w:rightChars="0"/>
              <w:jc w:val="left"/>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本项目不属于石化、化工、焦化、有色金属冶炼、平板玻璃项目。</w:t>
            </w:r>
          </w:p>
        </w:tc>
        <w:tc>
          <w:tcPr>
            <w:tcW w:w="345" w:type="pct"/>
            <w:shd w:val="clear" w:color="auto" w:fill="auto"/>
            <w:noWrap w:val="0"/>
            <w:vAlign w:val="center"/>
          </w:tcPr>
          <w:p w14:paraId="7C083151">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符合</w:t>
            </w:r>
          </w:p>
        </w:tc>
      </w:tr>
      <w:tr w14:paraId="6F52A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55456B8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7CD93F3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3DE0328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1.24在河湖管理范围内布局岸线整治修复类、体育和旅游类、水产养殖类</w:t>
            </w:r>
            <w:r>
              <w:rPr>
                <w:rFonts w:hint="eastAsia" w:cs="Times New Roman"/>
                <w:color w:val="auto"/>
                <w:spacing w:val="0"/>
                <w:sz w:val="21"/>
                <w:szCs w:val="21"/>
                <w:highlight w:val="none"/>
                <w:lang w:val="en-US" w:eastAsia="zh-CN"/>
              </w:rPr>
              <w:t>及其他</w:t>
            </w:r>
            <w:r>
              <w:rPr>
                <w:rFonts w:hint="eastAsia" w:ascii="Times New Roman" w:hAnsi="Times New Roman" w:eastAsia="宋体" w:cs="Times New Roman"/>
                <w:color w:val="auto"/>
                <w:spacing w:val="0"/>
                <w:sz w:val="21"/>
                <w:szCs w:val="21"/>
                <w:highlight w:val="none"/>
                <w:lang w:val="en-US" w:eastAsia="zh-CN"/>
              </w:rPr>
              <w:t>活动类规划，应征求</w:t>
            </w:r>
            <w:r>
              <w:rPr>
                <w:rFonts w:hint="eastAsia" w:cs="Times New Roman"/>
                <w:color w:val="auto"/>
                <w:spacing w:val="0"/>
                <w:sz w:val="21"/>
                <w:szCs w:val="21"/>
                <w:highlight w:val="none"/>
                <w:lang w:val="en-US" w:eastAsia="zh-CN"/>
              </w:rPr>
              <w:t>水行政主管部门</w:t>
            </w:r>
            <w:r>
              <w:rPr>
                <w:rFonts w:hint="eastAsia" w:ascii="Times New Roman" w:hAnsi="Times New Roman" w:eastAsia="宋体" w:cs="Times New Roman"/>
                <w:color w:val="auto"/>
                <w:spacing w:val="0"/>
                <w:sz w:val="21"/>
                <w:szCs w:val="21"/>
                <w:highlight w:val="none"/>
                <w:lang w:val="en-US" w:eastAsia="zh-CN"/>
              </w:rPr>
              <w:t>意见，办理相关手续。河湖管理范围内违法违规建筑物、构筑物不符合补救消缺要求的存量问题拆除腾退；对于坑塘养殖类、耕地种植类存量问题复核洪水影响，不能够满足要求的逐步退出。</w:t>
            </w:r>
          </w:p>
        </w:tc>
        <w:tc>
          <w:tcPr>
            <w:tcW w:w="1337" w:type="pct"/>
            <w:noWrap w:val="0"/>
            <w:vAlign w:val="center"/>
          </w:tcPr>
          <w:p w14:paraId="5A69C236">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1108A01B">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257BA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12CB34A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restart"/>
            <w:noWrap w:val="0"/>
            <w:vAlign w:val="center"/>
          </w:tcPr>
          <w:p w14:paraId="3087417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11ADCD0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498FE7F8">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6B3050C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5AAF324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582A03B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586284B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69D1C19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p w14:paraId="4F08226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污染物排放管控</w:t>
            </w:r>
          </w:p>
        </w:tc>
        <w:tc>
          <w:tcPr>
            <w:tcW w:w="2558" w:type="pct"/>
            <w:noWrap w:val="0"/>
            <w:vAlign w:val="center"/>
          </w:tcPr>
          <w:p w14:paraId="1666FD0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2.1新、改、扩建重点行业建设项目应符合“三线一单”、产业政策、区域环评、规划环评和行业环境准入管控要求，应遵循重点重金属污染物排放“等量替代”原则。</w:t>
            </w:r>
          </w:p>
        </w:tc>
        <w:tc>
          <w:tcPr>
            <w:tcW w:w="1337" w:type="pct"/>
            <w:noWrap w:val="0"/>
            <w:vAlign w:val="center"/>
          </w:tcPr>
          <w:p w14:paraId="65CF92E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本项目符合“三线一单”、产业政策、规划环评和行业环境准入管控要求。</w:t>
            </w:r>
          </w:p>
        </w:tc>
        <w:tc>
          <w:tcPr>
            <w:tcW w:w="345" w:type="pct"/>
            <w:noWrap w:val="0"/>
            <w:vAlign w:val="center"/>
          </w:tcPr>
          <w:p w14:paraId="1C3F4825">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51E08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000AAAE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2DEDE1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30FF5CF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2.2积极遏制臭氧浓度增长趋势，推进挥发性有机物和氮氧化物协同减排。以石化、化工、涂装、医药、包装印刷、油品储运销等行业领域为重点，安全高效推进挥发性有机物综合治理，实施原辅材料和产品源头替代工程。</w:t>
            </w:r>
          </w:p>
        </w:tc>
        <w:tc>
          <w:tcPr>
            <w:tcW w:w="1337" w:type="pct"/>
            <w:noWrap w:val="0"/>
            <w:vAlign w:val="center"/>
          </w:tcPr>
          <w:p w14:paraId="2A93D17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本项目实施后油气采取密闭集输工艺，生产设施密闭，加强设备管理，减少VOC</w:t>
            </w:r>
            <w:r>
              <w:rPr>
                <w:rFonts w:hint="eastAsia" w:ascii="Times New Roman" w:hAnsi="Times New Roman" w:eastAsia="宋体" w:cs="Times New Roman"/>
                <w:color w:val="auto"/>
                <w:spacing w:val="0"/>
                <w:sz w:val="21"/>
                <w:szCs w:val="21"/>
                <w:highlight w:val="none"/>
                <w:vertAlign w:val="subscript"/>
                <w:lang w:val="en-US" w:eastAsia="zh-CN"/>
              </w:rPr>
              <w:t>S</w:t>
            </w:r>
            <w:r>
              <w:rPr>
                <w:rFonts w:hint="eastAsia" w:ascii="Times New Roman" w:hAnsi="Times New Roman" w:eastAsia="宋体" w:cs="Times New Roman"/>
                <w:color w:val="auto"/>
                <w:spacing w:val="0"/>
                <w:sz w:val="21"/>
                <w:szCs w:val="21"/>
                <w:highlight w:val="none"/>
                <w:lang w:val="en-US" w:eastAsia="zh-CN"/>
              </w:rPr>
              <w:t>排放对大气环境的影响。</w:t>
            </w:r>
          </w:p>
        </w:tc>
        <w:tc>
          <w:tcPr>
            <w:tcW w:w="345" w:type="pct"/>
            <w:noWrap w:val="0"/>
            <w:vAlign w:val="center"/>
          </w:tcPr>
          <w:p w14:paraId="4C90C0A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29E5C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7F07CAD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4365758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shd w:val="clear" w:color="auto" w:fill="auto"/>
            <w:noWrap w:val="0"/>
            <w:vAlign w:val="center"/>
          </w:tcPr>
          <w:p w14:paraId="038CA66D">
            <w:pPr>
              <w:keepNext w:val="0"/>
              <w:keepLines w:val="0"/>
              <w:widowControl/>
              <w:suppressLineNumbers w:val="0"/>
              <w:spacing w:before="0" w:beforeAutospacing="0" w:after="0" w:afterAutospacing="0" w:line="240" w:lineRule="auto"/>
              <w:ind w:left="0" w:right="0" w:firstLine="0" w:firstLineChars="0"/>
              <w:rPr>
                <w:rFonts w:hint="eastAsia" w:ascii="Times New Roman" w:hAnsi="Times New Roman" w:eastAsia="宋体" w:cs="Times New Roman"/>
                <w:bCs/>
                <w:color w:val="auto"/>
                <w:sz w:val="24"/>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bidi="ar-SA"/>
              </w:rPr>
              <w:t>2.3加强能耗“双控”管理，合理控制能源消费增量，优化能源消费结构。合理控制煤电装机规模，有序淘汰煤电落后产能，推进燃煤电厂灵活性和供热改造。</w:t>
            </w:r>
          </w:p>
        </w:tc>
        <w:tc>
          <w:tcPr>
            <w:tcW w:w="1337" w:type="pct"/>
            <w:shd w:val="clear" w:color="auto" w:fill="auto"/>
            <w:noWrap w:val="0"/>
            <w:vAlign w:val="center"/>
          </w:tcPr>
          <w:p w14:paraId="5EE1C94B">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shd w:val="clear" w:color="auto" w:fill="auto"/>
            <w:noWrap w:val="0"/>
            <w:vAlign w:val="center"/>
          </w:tcPr>
          <w:p w14:paraId="048A9B0B">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w:t>
            </w:r>
          </w:p>
        </w:tc>
      </w:tr>
      <w:tr w14:paraId="0215E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650D638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30B2807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1418462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4</w:t>
            </w:r>
            <w:r>
              <w:rPr>
                <w:rFonts w:hint="eastAsia" w:ascii="Times New Roman" w:hAnsi="Times New Roman" w:eastAsia="宋体" w:cs="Times New Roman"/>
                <w:color w:val="auto"/>
                <w:spacing w:val="0"/>
                <w:sz w:val="21"/>
                <w:szCs w:val="21"/>
                <w:highlight w:val="none"/>
                <w:lang w:val="en-US" w:eastAsia="zh-CN"/>
              </w:rPr>
              <w:t>完成自治区下达的“十四五”重点工程污染物减排指标，制定年度减排计划。</w:t>
            </w:r>
          </w:p>
        </w:tc>
        <w:tc>
          <w:tcPr>
            <w:tcW w:w="1337" w:type="pct"/>
            <w:noWrap w:val="0"/>
            <w:vAlign w:val="center"/>
          </w:tcPr>
          <w:p w14:paraId="537B2A3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2E74839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43F86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29FED1E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369079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7D830F8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5</w:t>
            </w:r>
            <w:r>
              <w:rPr>
                <w:rFonts w:hint="eastAsia" w:ascii="Times New Roman" w:hAnsi="Times New Roman" w:eastAsia="宋体" w:cs="Times New Roman"/>
                <w:color w:val="auto"/>
                <w:spacing w:val="0"/>
                <w:sz w:val="21"/>
                <w:szCs w:val="21"/>
                <w:highlight w:val="none"/>
                <w:lang w:val="en-US" w:eastAsia="zh-CN"/>
              </w:rPr>
              <w:t>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1337" w:type="pct"/>
            <w:noWrap w:val="0"/>
            <w:vAlign w:val="center"/>
          </w:tcPr>
          <w:p w14:paraId="299D2BA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本项目提出了相关降碳措施，具体见“8.2减污降碳措施”。</w:t>
            </w:r>
          </w:p>
        </w:tc>
        <w:tc>
          <w:tcPr>
            <w:tcW w:w="345" w:type="pct"/>
            <w:noWrap w:val="0"/>
            <w:vAlign w:val="center"/>
          </w:tcPr>
          <w:p w14:paraId="2E9B6F3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6BDF2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3130359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787B88C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6133474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6</w:t>
            </w:r>
            <w:r>
              <w:rPr>
                <w:rFonts w:hint="eastAsia" w:ascii="Times New Roman" w:hAnsi="Times New Roman" w:eastAsia="宋体" w:cs="Times New Roman"/>
                <w:color w:val="auto"/>
                <w:spacing w:val="0"/>
                <w:sz w:val="21"/>
                <w:szCs w:val="21"/>
                <w:highlight w:val="none"/>
                <w:lang w:val="en-US" w:eastAsia="zh-CN"/>
              </w:rPr>
              <w:t>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337" w:type="pct"/>
            <w:noWrap w:val="0"/>
            <w:vAlign w:val="center"/>
          </w:tcPr>
          <w:p w14:paraId="09ACF90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1D8B181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06920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6" w:type="pct"/>
            <w:vMerge w:val="continue"/>
            <w:noWrap w:val="0"/>
            <w:vAlign w:val="center"/>
          </w:tcPr>
          <w:p w14:paraId="39BF361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48F301E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76B3BF5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2.7深入实施清洁柴油车（机）行动，基本淘汰国三及以下排放标准机动车，加快淘汰报废老旧柴油公务用车，全面实施国六排放标准。积极推广新能源汽车，提高城市公交领域新能源车辆占比。因地制宜持续提升新增及更新公务用车新能源汽车配备比例。大力推广“公转铁”运输组织模式，力争长距离公路货物运输量占比逐年递减，铁路发送量占比持续增加。推进重点工业企业和工业园区的原辅材料及产品由公路运输向铁路运输转移，降低大宗货物公路运输比重，减少重型柴油车使用强度。持续强化货运车辆燃油消耗量限值标准管理。积极推广新能源汽车，加快充电桩建设，建设高速公路沿线、物流集散地充电桩，鼓励开展充电桩进小区相关工作。</w:t>
            </w:r>
          </w:p>
        </w:tc>
        <w:tc>
          <w:tcPr>
            <w:tcW w:w="1337" w:type="pct"/>
            <w:shd w:val="clear" w:color="auto" w:fill="auto"/>
            <w:noWrap w:val="0"/>
            <w:vAlign w:val="center"/>
          </w:tcPr>
          <w:p w14:paraId="6A89324C">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shd w:val="clear" w:color="auto" w:fill="auto"/>
            <w:noWrap w:val="0"/>
            <w:vAlign w:val="center"/>
          </w:tcPr>
          <w:p w14:paraId="2B53BA42">
            <w:pPr>
              <w:pStyle w:val="29"/>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0"/>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w:t>
            </w:r>
          </w:p>
        </w:tc>
      </w:tr>
      <w:tr w14:paraId="1D9AE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60" w:hRule="atLeast"/>
          <w:jc w:val="center"/>
        </w:trPr>
        <w:tc>
          <w:tcPr>
            <w:tcW w:w="406" w:type="pct"/>
            <w:vMerge w:val="restart"/>
            <w:noWrap w:val="0"/>
            <w:vAlign w:val="center"/>
          </w:tcPr>
          <w:p w14:paraId="5C691EA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阿克苏地区总体管控要求</w:t>
            </w:r>
          </w:p>
        </w:tc>
        <w:tc>
          <w:tcPr>
            <w:tcW w:w="352" w:type="pct"/>
            <w:vMerge w:val="restart"/>
            <w:noWrap w:val="0"/>
            <w:vAlign w:val="center"/>
          </w:tcPr>
          <w:p w14:paraId="660639E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污染物排放管控</w:t>
            </w:r>
          </w:p>
        </w:tc>
        <w:tc>
          <w:tcPr>
            <w:tcW w:w="2558" w:type="pct"/>
            <w:noWrap w:val="0"/>
            <w:vAlign w:val="center"/>
          </w:tcPr>
          <w:p w14:paraId="3E0BFF0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8</w:t>
            </w:r>
            <w:r>
              <w:rPr>
                <w:rFonts w:hint="eastAsia" w:ascii="Times New Roman" w:hAnsi="Times New Roman" w:eastAsia="宋体" w:cs="Times New Roman"/>
                <w:color w:val="auto"/>
                <w:spacing w:val="0"/>
                <w:sz w:val="21"/>
                <w:szCs w:val="21"/>
                <w:highlight w:val="none"/>
                <w:lang w:val="en-US" w:eastAsia="zh-CN"/>
              </w:rPr>
              <w:t>提升城市精细化管理水平，强化施工、道路、堆场、裸露地面等扬尘管控，加强城市保洁和清扫。加大餐饮油烟污染、恶臭异味治理力度。强化秸秆综合利用和禁烧管控。</w:t>
            </w:r>
          </w:p>
        </w:tc>
        <w:tc>
          <w:tcPr>
            <w:tcW w:w="1337" w:type="pct"/>
            <w:noWrap w:val="0"/>
            <w:vAlign w:val="center"/>
          </w:tcPr>
          <w:p w14:paraId="2E29BB85">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7070DB0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613F7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96" w:hRule="atLeast"/>
          <w:jc w:val="center"/>
        </w:trPr>
        <w:tc>
          <w:tcPr>
            <w:tcW w:w="406" w:type="pct"/>
            <w:vMerge w:val="continue"/>
            <w:noWrap w:val="0"/>
            <w:vAlign w:val="center"/>
          </w:tcPr>
          <w:p w14:paraId="067BFDB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791917D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70BD754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9</w:t>
            </w:r>
            <w:r>
              <w:rPr>
                <w:rFonts w:hint="eastAsia" w:ascii="Times New Roman" w:hAnsi="Times New Roman" w:eastAsia="宋体" w:cs="Times New Roman"/>
                <w:color w:val="auto"/>
                <w:spacing w:val="0"/>
                <w:sz w:val="21"/>
                <w:szCs w:val="21"/>
                <w:highlight w:val="none"/>
                <w:lang w:val="en-US" w:eastAsia="zh-CN"/>
              </w:rPr>
              <w:t>严守水资源开发利用控制、用水效率控制和水功能区限制纳污“三条红线”，严格实行区域用水总量和强度控制，强化用水定额管理。推进地下水超采综合治理。开展河湖生态流量（水量）确定工作，强化生态用水保障。</w:t>
            </w:r>
          </w:p>
        </w:tc>
        <w:tc>
          <w:tcPr>
            <w:tcW w:w="1337" w:type="pct"/>
            <w:noWrap w:val="0"/>
            <w:vAlign w:val="center"/>
          </w:tcPr>
          <w:p w14:paraId="7DDAA2A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本项目采取节水措施，管线试压废水属于清净废水，试压完成后用于区域降尘。运营期无用水工序。</w:t>
            </w:r>
          </w:p>
        </w:tc>
        <w:tc>
          <w:tcPr>
            <w:tcW w:w="345" w:type="pct"/>
            <w:noWrap w:val="0"/>
            <w:vAlign w:val="center"/>
          </w:tcPr>
          <w:p w14:paraId="1257D6F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10733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384FF6B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E4BB1D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34B7028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0</w:t>
            </w:r>
            <w:r>
              <w:rPr>
                <w:rFonts w:hint="eastAsia" w:ascii="Times New Roman" w:hAnsi="Times New Roman" w:eastAsia="宋体" w:cs="Times New Roman"/>
                <w:color w:val="auto"/>
                <w:spacing w:val="0"/>
                <w:sz w:val="21"/>
                <w:szCs w:val="21"/>
                <w:highlight w:val="none"/>
                <w:lang w:val="en-US" w:eastAsia="zh-CN"/>
              </w:rPr>
              <w:t>全面落实河（湖）长制，实施水陆统筹的水污染减排机制，严格执行污染物排放总量控制，整体推进水功能区水质稳中向好。巩固提升城市黑臭水体治理成效，推动实现长治久清。</w:t>
            </w:r>
          </w:p>
        </w:tc>
        <w:tc>
          <w:tcPr>
            <w:tcW w:w="1337" w:type="pct"/>
            <w:noWrap w:val="0"/>
            <w:vAlign w:val="center"/>
          </w:tcPr>
          <w:p w14:paraId="2159883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4B1CCC5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0FE9F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1603A12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46340B3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473F1F8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1</w:t>
            </w:r>
            <w:r>
              <w:rPr>
                <w:rFonts w:hint="eastAsia" w:ascii="Times New Roman" w:hAnsi="Times New Roman" w:eastAsia="宋体" w:cs="Times New Roman"/>
                <w:color w:val="auto"/>
                <w:spacing w:val="0"/>
                <w:sz w:val="21"/>
                <w:szCs w:val="21"/>
                <w:highlight w:val="none"/>
                <w:lang w:val="en-US" w:eastAsia="zh-CN"/>
              </w:rPr>
              <w:t>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337" w:type="pct"/>
            <w:noWrap w:val="0"/>
            <w:vAlign w:val="center"/>
          </w:tcPr>
          <w:p w14:paraId="16AD880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本项目严格执行《环境影响评价技术导则地下水环境》</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HJ610-2016</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“11.2.2分区防控措施”和《石油化工工程防渗技术规范》</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GB/T50934-2013</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“4.0.4石油化工储运工程区的典型污染防治分区”相关要求，对井场进行分区防渗，地下水污染风险得到有效防范。</w:t>
            </w:r>
          </w:p>
        </w:tc>
        <w:tc>
          <w:tcPr>
            <w:tcW w:w="345" w:type="pct"/>
            <w:noWrap w:val="0"/>
            <w:vAlign w:val="center"/>
          </w:tcPr>
          <w:p w14:paraId="0A0C40B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4AF7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01" w:hRule="atLeast"/>
          <w:jc w:val="center"/>
        </w:trPr>
        <w:tc>
          <w:tcPr>
            <w:tcW w:w="406" w:type="pct"/>
            <w:vMerge w:val="continue"/>
            <w:noWrap w:val="0"/>
            <w:vAlign w:val="center"/>
          </w:tcPr>
          <w:p w14:paraId="3424732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B50A2A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32EFC2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2</w:t>
            </w:r>
            <w:r>
              <w:rPr>
                <w:rFonts w:hint="eastAsia" w:ascii="Times New Roman" w:hAnsi="Times New Roman" w:eastAsia="宋体" w:cs="Times New Roman"/>
                <w:color w:val="auto"/>
                <w:spacing w:val="0"/>
                <w:sz w:val="21"/>
                <w:szCs w:val="21"/>
                <w:highlight w:val="none"/>
                <w:lang w:val="en-US" w:eastAsia="zh-CN"/>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337" w:type="pct"/>
            <w:noWrap w:val="0"/>
            <w:vAlign w:val="center"/>
          </w:tcPr>
          <w:p w14:paraId="0DB2AF7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本项目制定完善的地下水监测计划，切实保障地下水生态环境安全。</w:t>
            </w:r>
          </w:p>
        </w:tc>
        <w:tc>
          <w:tcPr>
            <w:tcW w:w="345" w:type="pct"/>
            <w:noWrap w:val="0"/>
            <w:vAlign w:val="center"/>
          </w:tcPr>
          <w:p w14:paraId="05E10276">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1345A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24" w:hRule="atLeast"/>
          <w:jc w:val="center"/>
        </w:trPr>
        <w:tc>
          <w:tcPr>
            <w:tcW w:w="406" w:type="pct"/>
            <w:vMerge w:val="continue"/>
            <w:noWrap w:val="0"/>
            <w:vAlign w:val="center"/>
          </w:tcPr>
          <w:p w14:paraId="17588BD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01CC238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2879EB1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3</w:t>
            </w:r>
            <w:r>
              <w:rPr>
                <w:rFonts w:hint="eastAsia" w:ascii="Times New Roman" w:hAnsi="Times New Roman" w:eastAsia="宋体" w:cs="Times New Roman"/>
                <w:color w:val="auto"/>
                <w:spacing w:val="0"/>
                <w:sz w:val="21"/>
                <w:szCs w:val="21"/>
                <w:highlight w:val="none"/>
                <w:lang w:val="en-US" w:eastAsia="zh-CN"/>
              </w:rPr>
              <w:t>严控土壤重金属污染，加强油（气）田开发土壤污染防治，以历史遗留工业企业污染场地为重点，开展土壤污染风险管控与修复工程。</w:t>
            </w:r>
          </w:p>
        </w:tc>
        <w:tc>
          <w:tcPr>
            <w:tcW w:w="1337" w:type="pct"/>
            <w:noWrap w:val="0"/>
            <w:vAlign w:val="center"/>
          </w:tcPr>
          <w:p w14:paraId="694252E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本项目制定土壤污染防治措施，切实保障土壤环境安全。</w:t>
            </w:r>
          </w:p>
        </w:tc>
        <w:tc>
          <w:tcPr>
            <w:tcW w:w="345" w:type="pct"/>
            <w:noWrap w:val="0"/>
            <w:vAlign w:val="center"/>
          </w:tcPr>
          <w:p w14:paraId="30B90708">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45BF8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21AC0FE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797F2B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D84422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4</w:t>
            </w:r>
            <w:r>
              <w:rPr>
                <w:rFonts w:hint="eastAsia" w:ascii="Times New Roman" w:hAnsi="Times New Roman" w:eastAsia="宋体" w:cs="Times New Roman"/>
                <w:color w:val="auto"/>
                <w:spacing w:val="0"/>
                <w:sz w:val="21"/>
                <w:szCs w:val="21"/>
                <w:highlight w:val="none"/>
                <w:lang w:val="en-US" w:eastAsia="zh-CN"/>
              </w:rPr>
              <w:t>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337" w:type="pct"/>
            <w:noWrap w:val="0"/>
            <w:vAlign w:val="center"/>
          </w:tcPr>
          <w:p w14:paraId="102DCD6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4AB6AC6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34DB2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6" w:type="pct"/>
            <w:vMerge w:val="continue"/>
            <w:noWrap w:val="0"/>
            <w:vAlign w:val="center"/>
          </w:tcPr>
          <w:p w14:paraId="6A3F3B5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35911D1E">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6DEA1F6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5</w:t>
            </w:r>
            <w:r>
              <w:rPr>
                <w:rFonts w:hint="eastAsia" w:ascii="Times New Roman" w:hAnsi="Times New Roman" w:eastAsia="宋体" w:cs="Times New Roman"/>
                <w:color w:val="auto"/>
                <w:spacing w:val="0"/>
                <w:sz w:val="21"/>
                <w:szCs w:val="21"/>
                <w:highlight w:val="none"/>
                <w:lang w:val="en-US" w:eastAsia="zh-CN"/>
              </w:rPr>
              <w:t>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337" w:type="pct"/>
            <w:noWrap w:val="0"/>
            <w:vAlign w:val="center"/>
          </w:tcPr>
          <w:p w14:paraId="2DB29F7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756FA4C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63EA2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continue"/>
            <w:noWrap w:val="0"/>
            <w:vAlign w:val="center"/>
          </w:tcPr>
          <w:p w14:paraId="2E2FF9D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9D0DD02">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44FDD44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6</w:t>
            </w:r>
            <w:r>
              <w:rPr>
                <w:rFonts w:hint="eastAsia" w:ascii="Times New Roman" w:hAnsi="Times New Roman" w:eastAsia="宋体" w:cs="Times New Roman"/>
                <w:color w:val="auto"/>
                <w:spacing w:val="0"/>
                <w:sz w:val="21"/>
                <w:szCs w:val="21"/>
                <w:highlight w:val="none"/>
                <w:lang w:val="en-US" w:eastAsia="zh-CN"/>
              </w:rPr>
              <w:t>聚焦秋冬季细颗粒物污染，加大产业结构调整和污染治理力度，强化联防联控联治。进一步深化工业污染源深度治理，钢铁、有色金属、化工等行业执行重污染天气应急减排措施。持续开展防风固沙生态修复工程，加强沙尘天气颗粒物防控。建立和完善重污染天气兵地联合应急预案、预警应急机制和会商联动机制，实施重污染天气重点行业绩效分级和应急减排差异化控制。</w:t>
            </w:r>
          </w:p>
        </w:tc>
        <w:tc>
          <w:tcPr>
            <w:tcW w:w="1337" w:type="pct"/>
            <w:noWrap w:val="0"/>
            <w:vAlign w:val="center"/>
          </w:tcPr>
          <w:p w14:paraId="368DAAF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28F3FF2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7EE30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88" w:hRule="atLeast"/>
          <w:jc w:val="center"/>
        </w:trPr>
        <w:tc>
          <w:tcPr>
            <w:tcW w:w="406" w:type="pct"/>
            <w:vMerge w:val="continue"/>
            <w:noWrap w:val="0"/>
            <w:vAlign w:val="center"/>
          </w:tcPr>
          <w:p w14:paraId="506FED3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4C15E72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6C83F4E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2.1</w:t>
            </w:r>
            <w:r>
              <w:rPr>
                <w:rFonts w:hint="eastAsia" w:cs="Times New Roman"/>
                <w:color w:val="auto"/>
                <w:spacing w:val="0"/>
                <w:sz w:val="21"/>
                <w:szCs w:val="21"/>
                <w:highlight w:val="none"/>
                <w:lang w:val="en-US" w:eastAsia="zh-CN"/>
              </w:rPr>
              <w:t>7</w:t>
            </w:r>
            <w:r>
              <w:rPr>
                <w:rFonts w:hint="eastAsia" w:ascii="Times New Roman" w:hAnsi="Times New Roman" w:eastAsia="宋体" w:cs="Times New Roman"/>
                <w:color w:val="auto"/>
                <w:spacing w:val="0"/>
                <w:sz w:val="21"/>
                <w:szCs w:val="21"/>
                <w:highlight w:val="none"/>
                <w:lang w:val="en-US" w:eastAsia="zh-CN"/>
              </w:rPr>
              <w:t>建立健全自然保护地生态环境监管制度。组织开展自然保护地人类活动遥感监测疑似问题实地核查，实现自然保护地类型全覆盖。加强自然保护地管理，严控自然保护地内各类开发建设活动。</w:t>
            </w:r>
          </w:p>
        </w:tc>
        <w:tc>
          <w:tcPr>
            <w:tcW w:w="1337" w:type="pct"/>
            <w:noWrap w:val="0"/>
            <w:vAlign w:val="center"/>
          </w:tcPr>
          <w:p w14:paraId="1C80CE0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484622C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4737A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10" w:hRule="atLeast"/>
          <w:jc w:val="center"/>
        </w:trPr>
        <w:tc>
          <w:tcPr>
            <w:tcW w:w="406" w:type="pct"/>
            <w:vMerge w:val="continue"/>
            <w:noWrap w:val="0"/>
            <w:vAlign w:val="center"/>
          </w:tcPr>
          <w:p w14:paraId="5810F4C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D8C2F1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7F7F99E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18</w:t>
            </w:r>
            <w:r>
              <w:rPr>
                <w:rFonts w:hint="eastAsia" w:ascii="Times New Roman" w:hAnsi="Times New Roman" w:eastAsia="宋体" w:cs="Times New Roman"/>
                <w:color w:val="auto"/>
                <w:spacing w:val="0"/>
                <w:sz w:val="21"/>
                <w:szCs w:val="21"/>
                <w:highlight w:val="none"/>
                <w:lang w:val="en-US" w:eastAsia="zh-CN"/>
              </w:rPr>
              <w:t>实施塔里木河重要源流区（阿克苏河流域）山水林田湖草沙一体化保护和修复工程。推行草原森林河流湖泊休养生息，对生态严重退化地区实行封禁保护。巩固提升退耕还林还草成果，推进草原禁牧和草畜平衡制度落实。健全耕地休耕轮作制度，推进荒漠化和水土流失综合治理。根据区域水资源条件科学开展国土绿化行动，全面保护修复天然林，深入实施以农田防护林为主的防护林体系修复建设工程。加强湿地保护和修复，推进重点湿地综合治理，强化湿地用途管制和利用监管。</w:t>
            </w:r>
          </w:p>
        </w:tc>
        <w:tc>
          <w:tcPr>
            <w:tcW w:w="1337" w:type="pct"/>
            <w:noWrap w:val="0"/>
            <w:vAlign w:val="center"/>
          </w:tcPr>
          <w:p w14:paraId="6527459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537ACA6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7973B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6" w:type="pct"/>
            <w:vMerge w:val="restart"/>
            <w:noWrap w:val="0"/>
            <w:vAlign w:val="center"/>
          </w:tcPr>
          <w:p w14:paraId="6A2934A8">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阿克苏地区总体管控要求</w:t>
            </w:r>
          </w:p>
        </w:tc>
        <w:tc>
          <w:tcPr>
            <w:tcW w:w="352" w:type="pct"/>
            <w:vMerge w:val="restart"/>
            <w:noWrap w:val="0"/>
            <w:vAlign w:val="center"/>
          </w:tcPr>
          <w:p w14:paraId="3B5FDA2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299825D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19</w:t>
            </w:r>
            <w:r>
              <w:rPr>
                <w:rFonts w:hint="eastAsia" w:ascii="Times New Roman" w:hAnsi="Times New Roman" w:eastAsia="宋体" w:cs="Times New Roman"/>
                <w:color w:val="auto"/>
                <w:spacing w:val="0"/>
                <w:sz w:val="21"/>
                <w:szCs w:val="21"/>
                <w:highlight w:val="none"/>
                <w:lang w:val="en-US" w:eastAsia="zh-CN"/>
              </w:rPr>
              <w:t>全面提升城镇污水处理能力。所有县级以上城市及重点独立建制镇均应建成污水处理设施，对现有城镇污水处理设施因地制宜进行提标改造。加强污水处理设施运行管理及配套管网建设，进一步提高县城、城市污水处理率，提升污泥处理处置水平。建立污泥生产、运输、处置全过程监管体系，实现污泥稳定化、无害化和资源化处理处置。加强城镇污水处理及再生利用设施建设。</w:t>
            </w:r>
          </w:p>
        </w:tc>
        <w:tc>
          <w:tcPr>
            <w:tcW w:w="1337" w:type="pct"/>
            <w:noWrap w:val="0"/>
            <w:vAlign w:val="center"/>
          </w:tcPr>
          <w:p w14:paraId="561A5F3D">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3DAE610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04AF1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57" w:hRule="atLeast"/>
          <w:jc w:val="center"/>
        </w:trPr>
        <w:tc>
          <w:tcPr>
            <w:tcW w:w="406" w:type="pct"/>
            <w:vMerge w:val="continue"/>
            <w:noWrap w:val="0"/>
            <w:vAlign w:val="center"/>
          </w:tcPr>
          <w:p w14:paraId="5D2219E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0AA34F0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424E423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2.2</w:t>
            </w:r>
            <w:r>
              <w:rPr>
                <w:rFonts w:hint="eastAsia" w:cs="Times New Roman"/>
                <w:color w:val="auto"/>
                <w:spacing w:val="0"/>
                <w:sz w:val="21"/>
                <w:szCs w:val="21"/>
                <w:highlight w:val="none"/>
                <w:lang w:val="en-US" w:eastAsia="zh-CN"/>
              </w:rPr>
              <w:t>0</w:t>
            </w:r>
            <w:r>
              <w:rPr>
                <w:rFonts w:hint="eastAsia" w:ascii="Times New Roman" w:hAnsi="Times New Roman" w:eastAsia="宋体" w:cs="Times New Roman"/>
                <w:color w:val="auto"/>
                <w:spacing w:val="0"/>
                <w:sz w:val="21"/>
                <w:szCs w:val="21"/>
                <w:highlight w:val="none"/>
                <w:lang w:val="en-US" w:eastAsia="zh-CN"/>
              </w:rPr>
              <w:t>提升生活垃圾处理处置水平。规范化建设生活垃圾卫生填埋场，发展垃圾生物堆肥、焚烧发电和卫生填埋相组合的综合处置，减少原生垃圾直接填埋量。推行生活垃圾分类收集和回收体系，加强对垃圾填埋场封场后的环境管理。开展餐厨垃圾资源化利用与无害化处理试点以及生活垃圾分类示范试点。</w:t>
            </w:r>
          </w:p>
        </w:tc>
        <w:tc>
          <w:tcPr>
            <w:tcW w:w="1337" w:type="pct"/>
            <w:noWrap w:val="0"/>
            <w:vAlign w:val="center"/>
          </w:tcPr>
          <w:p w14:paraId="71D5E093">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1796055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7007E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406" w:type="pct"/>
            <w:vMerge w:val="continue"/>
            <w:noWrap w:val="0"/>
            <w:vAlign w:val="center"/>
          </w:tcPr>
          <w:p w14:paraId="0ED1E43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453C1F8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302E428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2.2</w:t>
            </w:r>
            <w:r>
              <w:rPr>
                <w:rFonts w:hint="eastAsia" w:cs="Times New Roman"/>
                <w:color w:val="auto"/>
                <w:spacing w:val="0"/>
                <w:sz w:val="21"/>
                <w:szCs w:val="21"/>
                <w:highlight w:val="none"/>
                <w:lang w:val="en-US" w:eastAsia="zh-CN"/>
              </w:rPr>
              <w:t>1</w:t>
            </w:r>
            <w:r>
              <w:rPr>
                <w:rFonts w:hint="eastAsia" w:ascii="Times New Roman" w:hAnsi="Times New Roman" w:eastAsia="宋体" w:cs="Times New Roman"/>
                <w:color w:val="auto"/>
                <w:spacing w:val="0"/>
                <w:sz w:val="21"/>
                <w:szCs w:val="21"/>
                <w:highlight w:val="none"/>
                <w:lang w:val="en-US" w:eastAsia="zh-CN"/>
              </w:rPr>
              <w:t>加强矿山地质环境保护与恢复治理力度。建立健全矿山生态环境保护修复监管信息系统，完善矿山地质环境动态监测体系建设。加强对矿山企业依法履行矿山地质环境保护与土地复垦义务的监督管理。</w:t>
            </w:r>
          </w:p>
        </w:tc>
        <w:tc>
          <w:tcPr>
            <w:tcW w:w="1337" w:type="pct"/>
            <w:noWrap w:val="0"/>
            <w:vAlign w:val="center"/>
          </w:tcPr>
          <w:p w14:paraId="395D6D8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项目生态修复满足《矿山生态环境保护与恢复治理技术规范</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试行</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HJ651</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、《废弃井封井回填技术指南（试行）》《废弃井及长停井处置指南》</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SY/T6646</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、《陆上石油天然气开采业绿色矿山建设规范》</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DZ/T0317</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等相关要求</w:t>
            </w:r>
          </w:p>
        </w:tc>
        <w:tc>
          <w:tcPr>
            <w:tcW w:w="345" w:type="pct"/>
            <w:noWrap w:val="0"/>
            <w:vAlign w:val="center"/>
          </w:tcPr>
          <w:p w14:paraId="3228F47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6EAE5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35" w:hRule="atLeast"/>
          <w:jc w:val="center"/>
        </w:trPr>
        <w:tc>
          <w:tcPr>
            <w:tcW w:w="406" w:type="pct"/>
            <w:vMerge w:val="continue"/>
            <w:noWrap w:val="0"/>
            <w:vAlign w:val="center"/>
          </w:tcPr>
          <w:p w14:paraId="0669E53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restart"/>
            <w:noWrap w:val="0"/>
            <w:vAlign w:val="center"/>
          </w:tcPr>
          <w:p w14:paraId="7B41C30A">
            <w:pPr>
              <w:pStyle w:val="2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污染物排放管控</w:t>
            </w:r>
          </w:p>
        </w:tc>
        <w:tc>
          <w:tcPr>
            <w:tcW w:w="2558" w:type="pct"/>
            <w:noWrap w:val="0"/>
            <w:vAlign w:val="center"/>
          </w:tcPr>
          <w:p w14:paraId="68C3FFB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3.1对涉及县级及以上集中式饮用水水源地的河流、其他重要环境敏感目标的河流，建立健全流域上下游突发水污染事件联防联动机制，建立流域环境应急基础信息动态更新长效机制，绘制全流域“一河一策一图”。建立健全跨部门、跨区域的环境应急协调联动处置机制，强化流域上下游、兵地各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tc>
        <w:tc>
          <w:tcPr>
            <w:tcW w:w="1337" w:type="pct"/>
            <w:noWrap w:val="0"/>
            <w:vAlign w:val="center"/>
          </w:tcPr>
          <w:p w14:paraId="10C281A5">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345" w:type="pct"/>
            <w:noWrap w:val="0"/>
            <w:vAlign w:val="center"/>
          </w:tcPr>
          <w:p w14:paraId="492E43D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78AE1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8" w:hRule="atLeast"/>
          <w:jc w:val="center"/>
        </w:trPr>
        <w:tc>
          <w:tcPr>
            <w:tcW w:w="406" w:type="pct"/>
            <w:vMerge w:val="continue"/>
            <w:noWrap w:val="0"/>
            <w:vAlign w:val="center"/>
          </w:tcPr>
          <w:p w14:paraId="30DC398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74989B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5FA57E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3.2强化重污染天气监测预报预警能力，建立和完善重污染天气兵地联合应急预案、预警应急机制和会商联动机制，加强轻、中度污染天气管控。</w:t>
            </w:r>
          </w:p>
        </w:tc>
        <w:tc>
          <w:tcPr>
            <w:tcW w:w="1337" w:type="pct"/>
            <w:noWrap w:val="0"/>
            <w:vAlign w:val="center"/>
          </w:tcPr>
          <w:p w14:paraId="5392B18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345" w:type="pct"/>
            <w:noWrap w:val="0"/>
            <w:vAlign w:val="center"/>
          </w:tcPr>
          <w:p w14:paraId="0F758C4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23211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79" w:hRule="atLeast"/>
          <w:jc w:val="center"/>
        </w:trPr>
        <w:tc>
          <w:tcPr>
            <w:tcW w:w="406" w:type="pct"/>
            <w:vMerge w:val="continue"/>
            <w:noWrap w:val="0"/>
            <w:vAlign w:val="center"/>
          </w:tcPr>
          <w:p w14:paraId="094A216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5987724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76A470B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3.3严格危险化学品废弃处置。对城镇人口密集区现有不符合安全和卫生防护距离要求的危险化学品生产企业，进行定量风险评估，就地改造达标、搬迁进入规范化工园区或关闭退出。</w:t>
            </w:r>
          </w:p>
        </w:tc>
        <w:tc>
          <w:tcPr>
            <w:tcW w:w="1337" w:type="pct"/>
            <w:noWrap w:val="0"/>
            <w:vAlign w:val="center"/>
          </w:tcPr>
          <w:p w14:paraId="67EBF8E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345" w:type="pct"/>
            <w:noWrap w:val="0"/>
            <w:vAlign w:val="center"/>
          </w:tcPr>
          <w:p w14:paraId="48F4B0AE">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1934B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64" w:hRule="atLeast"/>
          <w:jc w:val="center"/>
        </w:trPr>
        <w:tc>
          <w:tcPr>
            <w:tcW w:w="406" w:type="pct"/>
            <w:vMerge w:val="continue"/>
            <w:noWrap w:val="0"/>
            <w:vAlign w:val="center"/>
          </w:tcPr>
          <w:p w14:paraId="5E9446EB">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53A96259">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109C201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3.4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1337" w:type="pct"/>
            <w:noWrap w:val="0"/>
            <w:vAlign w:val="center"/>
          </w:tcPr>
          <w:p w14:paraId="76E6347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345" w:type="pct"/>
            <w:noWrap w:val="0"/>
            <w:vAlign w:val="center"/>
          </w:tcPr>
          <w:p w14:paraId="2F90D82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009ED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32" w:hRule="atLeast"/>
          <w:jc w:val="center"/>
        </w:trPr>
        <w:tc>
          <w:tcPr>
            <w:tcW w:w="406" w:type="pct"/>
            <w:vMerge w:val="continue"/>
            <w:noWrap w:val="0"/>
            <w:vAlign w:val="center"/>
          </w:tcPr>
          <w:p w14:paraId="6E29980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91059B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0282D90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3.5有序实施建设用地风险管控和治理修复。推动重点行业企业用地土壤污染状况调查成果应用，提升土壤环境监管能力。严格落实建设用地土壤污染风险管控和修复名录制度。以用途变更为住宅、公共管理与公共服务用地的地块为重点，严格建设用地准入管理和风险管控。</w:t>
            </w:r>
          </w:p>
        </w:tc>
        <w:tc>
          <w:tcPr>
            <w:tcW w:w="1337" w:type="pct"/>
            <w:noWrap w:val="0"/>
            <w:vAlign w:val="center"/>
          </w:tcPr>
          <w:p w14:paraId="099C42ED">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本项目不涉及涉重金属行业污染防控与工业废物处理处置，本项目制定土壤污染防治措施，切实保障土壤环境安全</w:t>
            </w:r>
          </w:p>
        </w:tc>
        <w:tc>
          <w:tcPr>
            <w:tcW w:w="345" w:type="pct"/>
            <w:noWrap w:val="0"/>
            <w:vAlign w:val="center"/>
          </w:tcPr>
          <w:p w14:paraId="37590CB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BF8C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6" w:type="pct"/>
            <w:vMerge w:val="restart"/>
            <w:noWrap w:val="0"/>
            <w:vAlign w:val="center"/>
          </w:tcPr>
          <w:p w14:paraId="6BEFA67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阿克苏地区总体管控要求</w:t>
            </w:r>
          </w:p>
        </w:tc>
        <w:tc>
          <w:tcPr>
            <w:tcW w:w="352" w:type="pct"/>
            <w:vMerge w:val="restart"/>
            <w:noWrap w:val="0"/>
            <w:vAlign w:val="center"/>
          </w:tcPr>
          <w:p w14:paraId="68C3660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环境风</w:t>
            </w:r>
          </w:p>
          <w:p w14:paraId="43A7E81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险防控</w:t>
            </w:r>
          </w:p>
          <w:p w14:paraId="268AA9A2">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723ECA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在高敏感性县.市配备专职环境应急管理人员，配备必要的物资装备。完善多层级环境应急专家管理体系，建立对口帮扶模式和远程非现场会商调度机制，指导地方提升应急能力、规范应急准备与响应、分类分级开展基层环境应急人员轮训。加强各地应急监测装备配置，定期开展应急监测演练，增强应急实战能力。</w:t>
            </w:r>
          </w:p>
        </w:tc>
        <w:tc>
          <w:tcPr>
            <w:tcW w:w="1337" w:type="pct"/>
            <w:noWrap w:val="0"/>
            <w:vAlign w:val="center"/>
          </w:tcPr>
          <w:p w14:paraId="1BC4683A">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本项目已提出一系列环境风险防范措施及应急要求</w:t>
            </w:r>
            <w:r>
              <w:rPr>
                <w:rFonts w:hint="eastAsia" w:cs="Times New Roman"/>
                <w:color w:val="auto"/>
                <w:spacing w:val="0"/>
                <w:sz w:val="21"/>
                <w:szCs w:val="21"/>
                <w:highlight w:val="none"/>
                <w:lang w:val="en-US" w:eastAsia="zh-CN"/>
              </w:rPr>
              <w:t>。</w:t>
            </w:r>
          </w:p>
        </w:tc>
        <w:tc>
          <w:tcPr>
            <w:tcW w:w="345" w:type="pct"/>
            <w:noWrap w:val="0"/>
            <w:vAlign w:val="center"/>
          </w:tcPr>
          <w:p w14:paraId="67E32DED">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2E1D2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96" w:hRule="atLeast"/>
          <w:jc w:val="center"/>
        </w:trPr>
        <w:tc>
          <w:tcPr>
            <w:tcW w:w="406" w:type="pct"/>
            <w:vMerge w:val="continue"/>
            <w:noWrap w:val="0"/>
            <w:vAlign w:val="center"/>
          </w:tcPr>
          <w:p w14:paraId="66AFF3D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F2C944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731130D">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3.7依法推行农用地分类管理制度，强化受污染耕地安全利用和风险管控。因地制宜制定实施安全利用方案，鼓励采取种植结构调整等措施，确保受污染耕地全部实现安全利用。</w:t>
            </w:r>
          </w:p>
        </w:tc>
        <w:tc>
          <w:tcPr>
            <w:tcW w:w="1337" w:type="pct"/>
            <w:noWrap w:val="0"/>
            <w:vAlign w:val="center"/>
          </w:tcPr>
          <w:p w14:paraId="4B7DB4D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w:t>
            </w:r>
            <w:r>
              <w:rPr>
                <w:rFonts w:hint="eastAsia" w:cs="Times New Roman"/>
                <w:color w:val="auto"/>
                <w:spacing w:val="0"/>
                <w:sz w:val="21"/>
                <w:szCs w:val="21"/>
                <w:highlight w:val="none"/>
                <w:lang w:val="en-US" w:eastAsia="zh-CN"/>
              </w:rPr>
              <w:t>项目</w:t>
            </w:r>
            <w:r>
              <w:rPr>
                <w:rFonts w:hint="eastAsia" w:ascii="Times New Roman" w:hAnsi="Times New Roman" w:eastAsia="宋体" w:cs="Times New Roman"/>
                <w:color w:val="auto"/>
                <w:spacing w:val="0"/>
                <w:sz w:val="21"/>
                <w:szCs w:val="21"/>
                <w:highlight w:val="none"/>
                <w:lang w:val="en-US" w:eastAsia="zh-CN"/>
              </w:rPr>
              <w:t>不涉及受污染耕地</w:t>
            </w:r>
          </w:p>
        </w:tc>
        <w:tc>
          <w:tcPr>
            <w:tcW w:w="345" w:type="pct"/>
            <w:noWrap w:val="0"/>
            <w:vAlign w:val="center"/>
          </w:tcPr>
          <w:p w14:paraId="70C6C471">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02C59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90" w:hRule="atLeast"/>
          <w:jc w:val="center"/>
        </w:trPr>
        <w:tc>
          <w:tcPr>
            <w:tcW w:w="406" w:type="pct"/>
            <w:vMerge w:val="continue"/>
            <w:noWrap w:val="0"/>
            <w:vAlign w:val="center"/>
          </w:tcPr>
          <w:p w14:paraId="577C648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EA624A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36F41EC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3.8开展新污染物筛查、评估与环境监测。按照国家部署，推进重点行业重点化学物质生产使用信息调查和环境危害评估，识别有毒有害化学物质。以内分泌干扰物、抗生素、全氟化合物等有毒有害化学物质为调查对象，实施有毒有害化学物质环境调查监测，持续开展环境风险评估。加强新污染物环境风险管控。健全有毒有害化学物质环境风险管理体制。强化新化学物质环境管理登记，加强事中事后监管，督促企业落实环境风险管控措施。严格执行产品质量标准中有毒有害化学物质的含量限值。对使用有毒有害化学物质或在生产过程中排放新污染物的企业，全面实施强制性清洁生产审核。加强石化化工、涂料、纺织印染、橡胶、农药、医药等行业新污染物环境风险管控。</w:t>
            </w:r>
          </w:p>
        </w:tc>
        <w:tc>
          <w:tcPr>
            <w:tcW w:w="1337" w:type="pct"/>
            <w:noWrap w:val="0"/>
            <w:vAlign w:val="center"/>
          </w:tcPr>
          <w:p w14:paraId="27096D8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345" w:type="pct"/>
            <w:noWrap w:val="0"/>
            <w:vAlign w:val="center"/>
          </w:tcPr>
          <w:p w14:paraId="2465341F">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2B5AC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2" w:hRule="atLeast"/>
          <w:jc w:val="center"/>
        </w:trPr>
        <w:tc>
          <w:tcPr>
            <w:tcW w:w="406" w:type="pct"/>
            <w:vMerge w:val="continue"/>
            <w:noWrap w:val="0"/>
            <w:vAlign w:val="center"/>
          </w:tcPr>
          <w:p w14:paraId="50AFD61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6CD4326A">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7830B7B0">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w:t>
            </w:r>
            <w:r>
              <w:rPr>
                <w:rFonts w:hint="eastAsia" w:cs="Times New Roman"/>
                <w:color w:val="auto"/>
                <w:spacing w:val="0"/>
                <w:sz w:val="21"/>
                <w:szCs w:val="21"/>
                <w:highlight w:val="none"/>
                <w:lang w:val="en-US" w:eastAsia="zh-CN"/>
              </w:rPr>
              <w:t>9</w:t>
            </w:r>
            <w:r>
              <w:rPr>
                <w:rFonts w:hint="eastAsia" w:ascii="Times New Roman" w:hAnsi="Times New Roman" w:eastAsia="宋体" w:cs="Times New Roman"/>
                <w:color w:val="auto"/>
                <w:spacing w:val="0"/>
                <w:sz w:val="21"/>
                <w:szCs w:val="21"/>
                <w:highlight w:val="none"/>
                <w:lang w:val="en-US" w:eastAsia="zh-CN"/>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337" w:type="pct"/>
            <w:noWrap w:val="0"/>
            <w:vAlign w:val="center"/>
          </w:tcPr>
          <w:p w14:paraId="5832192E">
            <w:pPr>
              <w:pStyle w:val="29"/>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本项目已提出一系列环境风险防范措施及应急要求，本次建设内容纳入采油</w:t>
            </w:r>
            <w:r>
              <w:rPr>
                <w:rFonts w:hint="eastAsia" w:cs="Times New Roman"/>
                <w:color w:val="auto"/>
                <w:spacing w:val="0"/>
                <w:sz w:val="21"/>
                <w:szCs w:val="21"/>
                <w:highlight w:val="none"/>
                <w:lang w:val="en-US" w:eastAsia="zh-CN"/>
              </w:rPr>
              <w:t>三</w:t>
            </w:r>
            <w:r>
              <w:rPr>
                <w:rFonts w:hint="eastAsia" w:ascii="Times New Roman" w:hAnsi="Times New Roman" w:eastAsia="宋体" w:cs="Times New Roman"/>
                <w:color w:val="auto"/>
                <w:spacing w:val="0"/>
                <w:sz w:val="21"/>
                <w:szCs w:val="21"/>
                <w:highlight w:val="none"/>
                <w:lang w:val="en-US" w:eastAsia="zh-CN"/>
              </w:rPr>
              <w:t>厂现有应急预案中，定期按照应急预案内容进行应急演练，逐步提高应急演练范围与级别，出现风险事故时能够及时应对</w:t>
            </w:r>
            <w:r>
              <w:rPr>
                <w:rFonts w:hint="eastAsia" w:cs="Times New Roman"/>
                <w:color w:val="auto"/>
                <w:spacing w:val="0"/>
                <w:sz w:val="21"/>
                <w:szCs w:val="21"/>
                <w:highlight w:val="none"/>
                <w:lang w:val="en-US" w:eastAsia="zh-CN"/>
              </w:rPr>
              <w:t>。</w:t>
            </w:r>
          </w:p>
        </w:tc>
        <w:tc>
          <w:tcPr>
            <w:tcW w:w="345" w:type="pct"/>
            <w:noWrap w:val="0"/>
            <w:vAlign w:val="center"/>
          </w:tcPr>
          <w:p w14:paraId="7ED382F9">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4F299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9" w:hRule="atLeast"/>
          <w:jc w:val="center"/>
        </w:trPr>
        <w:tc>
          <w:tcPr>
            <w:tcW w:w="406" w:type="pct"/>
            <w:vMerge w:val="restart"/>
            <w:noWrap w:val="0"/>
            <w:vAlign w:val="center"/>
          </w:tcPr>
          <w:p w14:paraId="453D95D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阿克苏地区总体管控要求</w:t>
            </w:r>
          </w:p>
        </w:tc>
        <w:tc>
          <w:tcPr>
            <w:tcW w:w="352" w:type="pct"/>
            <w:vMerge w:val="restart"/>
            <w:noWrap w:val="0"/>
            <w:vAlign w:val="center"/>
          </w:tcPr>
          <w:p w14:paraId="7F6DBB8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资源利</w:t>
            </w:r>
          </w:p>
          <w:p w14:paraId="28E30DC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用效率</w:t>
            </w:r>
          </w:p>
        </w:tc>
        <w:tc>
          <w:tcPr>
            <w:tcW w:w="2558" w:type="pct"/>
            <w:noWrap w:val="0"/>
            <w:vAlign w:val="center"/>
          </w:tcPr>
          <w:p w14:paraId="44225E5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4.1地区用水总量控制在自治区下达的指标范围内。</w:t>
            </w:r>
          </w:p>
        </w:tc>
        <w:tc>
          <w:tcPr>
            <w:tcW w:w="1337" w:type="pct"/>
            <w:noWrap w:val="0"/>
            <w:vAlign w:val="center"/>
          </w:tcPr>
          <w:p w14:paraId="08F1DBC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本项目施工期中采取节水措施，用水量较小；运营期不新增用水，不会超过用水总量控制指标</w:t>
            </w:r>
            <w:r>
              <w:rPr>
                <w:rFonts w:hint="eastAsia" w:cs="Times New Roman"/>
                <w:color w:val="auto"/>
                <w:spacing w:val="0"/>
                <w:sz w:val="21"/>
                <w:szCs w:val="21"/>
                <w:highlight w:val="none"/>
                <w:lang w:val="en-US" w:eastAsia="zh-CN"/>
              </w:rPr>
              <w:t>。</w:t>
            </w:r>
          </w:p>
        </w:tc>
        <w:tc>
          <w:tcPr>
            <w:tcW w:w="345" w:type="pct"/>
            <w:noWrap w:val="0"/>
            <w:vAlign w:val="center"/>
          </w:tcPr>
          <w:p w14:paraId="7BCB9E6B">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0E308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64" w:hRule="atLeast"/>
          <w:jc w:val="center"/>
        </w:trPr>
        <w:tc>
          <w:tcPr>
            <w:tcW w:w="406" w:type="pct"/>
            <w:vMerge w:val="continue"/>
            <w:noWrap w:val="0"/>
            <w:vAlign w:val="center"/>
          </w:tcPr>
          <w:p w14:paraId="687F9CA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798B0365">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F3401F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4.2地下水资源利用实行总量控制和水位控制。取用地下水资源，应当按照国家和自治区有关规定申请取水许可。地下水利用应当以浅层地下水为主。</w:t>
            </w:r>
          </w:p>
        </w:tc>
        <w:tc>
          <w:tcPr>
            <w:tcW w:w="1337" w:type="pct"/>
            <w:noWrap w:val="0"/>
            <w:vAlign w:val="center"/>
          </w:tcPr>
          <w:p w14:paraId="1ABBF8EF">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本项目施工期中采取节水措施，用水量较小；运营期不新增用水，不会超过用水总量控制指标</w:t>
            </w:r>
            <w:r>
              <w:rPr>
                <w:rFonts w:hint="eastAsia" w:cs="Times New Roman"/>
                <w:color w:val="auto"/>
                <w:spacing w:val="0"/>
                <w:sz w:val="21"/>
                <w:szCs w:val="21"/>
                <w:highlight w:val="none"/>
                <w:lang w:val="en-US" w:eastAsia="zh-CN"/>
              </w:rPr>
              <w:t>。</w:t>
            </w:r>
          </w:p>
        </w:tc>
        <w:tc>
          <w:tcPr>
            <w:tcW w:w="345" w:type="pct"/>
            <w:noWrap w:val="0"/>
            <w:vAlign w:val="center"/>
          </w:tcPr>
          <w:p w14:paraId="0DA72A44">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30EB8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6" w:type="pct"/>
            <w:vMerge w:val="continue"/>
            <w:noWrap w:val="0"/>
            <w:vAlign w:val="center"/>
          </w:tcPr>
          <w:p w14:paraId="0356389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1F671AD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48D1A5D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4.3土地资源利用上线指标执行批复后的《阿克苏地区国土空间规划（2021-2035年）》。</w:t>
            </w:r>
          </w:p>
        </w:tc>
        <w:tc>
          <w:tcPr>
            <w:tcW w:w="1337" w:type="pct"/>
            <w:noWrap w:val="0"/>
            <w:vAlign w:val="center"/>
          </w:tcPr>
          <w:p w14:paraId="090D893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本项目井场不新增永久占地，管线埋地敷设，敷设完成后回填管沟，对土地资源占用较少，土地资源消耗符合要求</w:t>
            </w:r>
            <w:r>
              <w:rPr>
                <w:rFonts w:hint="eastAsia" w:cs="Times New Roman"/>
                <w:color w:val="auto"/>
                <w:spacing w:val="0"/>
                <w:sz w:val="21"/>
                <w:szCs w:val="21"/>
                <w:highlight w:val="none"/>
                <w:lang w:val="en-US" w:eastAsia="zh-CN"/>
              </w:rPr>
              <w:t>。</w:t>
            </w:r>
          </w:p>
        </w:tc>
        <w:tc>
          <w:tcPr>
            <w:tcW w:w="345" w:type="pct"/>
            <w:noWrap w:val="0"/>
            <w:vAlign w:val="center"/>
          </w:tcPr>
          <w:p w14:paraId="1B0DBF87">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0B349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23" w:hRule="atLeast"/>
          <w:jc w:val="center"/>
        </w:trPr>
        <w:tc>
          <w:tcPr>
            <w:tcW w:w="406" w:type="pct"/>
            <w:noWrap w:val="0"/>
            <w:vAlign w:val="center"/>
          </w:tcPr>
          <w:p w14:paraId="752FDE7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2A394606">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00FA05F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4.4到2025年，单位地区生产总值二氧化碳排放较2020年下降12%，单位地区生产总值能耗强度较2020年下降14.5%，非化石能源消费比重增长至18%以上。</w:t>
            </w:r>
          </w:p>
        </w:tc>
        <w:tc>
          <w:tcPr>
            <w:tcW w:w="1337" w:type="pct"/>
            <w:noWrap w:val="0"/>
            <w:vAlign w:val="center"/>
          </w:tcPr>
          <w:p w14:paraId="59156597">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本项目整体温室气体排放量相对较小</w:t>
            </w:r>
          </w:p>
        </w:tc>
        <w:tc>
          <w:tcPr>
            <w:tcW w:w="345" w:type="pct"/>
            <w:noWrap w:val="0"/>
            <w:vAlign w:val="center"/>
          </w:tcPr>
          <w:p w14:paraId="3B388AD0">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69835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6" w:type="pct"/>
            <w:noWrap w:val="0"/>
            <w:vAlign w:val="center"/>
          </w:tcPr>
          <w:p w14:paraId="0032D50C">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352" w:type="pct"/>
            <w:vMerge w:val="continue"/>
            <w:noWrap w:val="0"/>
            <w:vAlign w:val="center"/>
          </w:tcPr>
          <w:p w14:paraId="436D09D1">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p>
        </w:tc>
        <w:tc>
          <w:tcPr>
            <w:tcW w:w="2558" w:type="pct"/>
            <w:noWrap w:val="0"/>
            <w:vAlign w:val="center"/>
          </w:tcPr>
          <w:p w14:paraId="50CF7F73">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4.5高污染燃料禁燃区内禁止销售、燃用高污染燃料；禁止新建、扩建燃用高污染燃料的项目和设施，已建成的应逐步或依法限期改用天然气、电或其他清洁能源。</w:t>
            </w:r>
          </w:p>
        </w:tc>
        <w:tc>
          <w:tcPr>
            <w:tcW w:w="1337" w:type="pct"/>
            <w:noWrap w:val="0"/>
            <w:vAlign w:val="center"/>
          </w:tcPr>
          <w:p w14:paraId="1AF82694">
            <w:pPr>
              <w:pStyle w:val="29"/>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345" w:type="pct"/>
            <w:noWrap w:val="0"/>
            <w:vAlign w:val="center"/>
          </w:tcPr>
          <w:p w14:paraId="0D0AA78C">
            <w:pPr>
              <w:pStyle w:val="2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bl>
    <w:p w14:paraId="6B8AA2EC">
      <w:pPr>
        <w:widowControl w:val="0"/>
        <w:jc w:val="center"/>
        <w:rPr>
          <w:rFonts w:hint="eastAsia" w:ascii="Times New Roman" w:hAnsi="Times New Roman" w:eastAsia="黑体" w:cs="Times New Roman"/>
          <w:b w:val="0"/>
          <w:bCs/>
          <w:color w:val="auto"/>
          <w:kern w:val="2"/>
          <w:sz w:val="21"/>
          <w:highlight w:val="none"/>
          <w:lang w:val="en-US" w:eastAsia="zh-CN" w:bidi="ar-SA"/>
        </w:rPr>
      </w:pPr>
      <w:r>
        <w:rPr>
          <w:rFonts w:hint="eastAsia" w:ascii="Times New Roman" w:hAnsi="Times New Roman" w:eastAsia="黑体" w:cs="Times New Roman"/>
          <w:b w:val="0"/>
          <w:bCs/>
          <w:color w:val="auto"/>
          <w:kern w:val="2"/>
          <w:sz w:val="21"/>
          <w:highlight w:val="none"/>
          <w:lang w:val="en-US" w:eastAsia="zh-CN" w:bidi="ar-SA"/>
        </w:rPr>
        <w:t>表3.9-3本项目与环境管控单元符合性分析一览表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911"/>
        <w:gridCol w:w="4364"/>
        <w:gridCol w:w="2976"/>
        <w:gridCol w:w="3334"/>
        <w:gridCol w:w="1589"/>
      </w:tblGrid>
      <w:tr w14:paraId="4CB3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Align w:val="center"/>
          </w:tcPr>
          <w:p w14:paraId="5AB37A7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单元编码</w:t>
            </w:r>
          </w:p>
        </w:tc>
        <w:tc>
          <w:tcPr>
            <w:tcW w:w="1539" w:type="pct"/>
            <w:vAlign w:val="center"/>
          </w:tcPr>
          <w:p w14:paraId="5EA0235E">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单元名称</w:t>
            </w:r>
          </w:p>
        </w:tc>
        <w:tc>
          <w:tcPr>
            <w:tcW w:w="1049" w:type="pct"/>
            <w:vAlign w:val="center"/>
          </w:tcPr>
          <w:p w14:paraId="0A7A4AA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单元属性</w:t>
            </w:r>
          </w:p>
        </w:tc>
        <w:tc>
          <w:tcPr>
            <w:tcW w:w="1176" w:type="pct"/>
            <w:vAlign w:val="center"/>
          </w:tcPr>
          <w:p w14:paraId="442737A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单元</w:t>
            </w:r>
            <w:r>
              <w:rPr>
                <w:rFonts w:hint="eastAsia" w:cs="宋体"/>
                <w:b/>
                <w:bCs w:val="0"/>
                <w:color w:val="auto"/>
                <w:sz w:val="21"/>
                <w:szCs w:val="21"/>
                <w:highlight w:val="none"/>
                <w:lang w:val="en-US" w:eastAsia="zh-CN" w:bidi="ar-SA"/>
              </w:rPr>
              <w:t>特点</w:t>
            </w:r>
          </w:p>
        </w:tc>
        <w:tc>
          <w:tcPr>
            <w:tcW w:w="560" w:type="pct"/>
            <w:vAlign w:val="center"/>
          </w:tcPr>
          <w:p w14:paraId="4C89EAFA">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环境要素</w:t>
            </w:r>
          </w:p>
          <w:p w14:paraId="28BDAA7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属性</w:t>
            </w:r>
          </w:p>
        </w:tc>
      </w:tr>
      <w:tr w14:paraId="688B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Align w:val="center"/>
          </w:tcPr>
          <w:p w14:paraId="16561FC8">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ZH65290230001</w:t>
            </w:r>
          </w:p>
        </w:tc>
        <w:tc>
          <w:tcPr>
            <w:tcW w:w="1539" w:type="pct"/>
            <w:vAlign w:val="center"/>
          </w:tcPr>
          <w:p w14:paraId="6A0F3EC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库车市一般管控单元</w:t>
            </w:r>
          </w:p>
        </w:tc>
        <w:tc>
          <w:tcPr>
            <w:tcW w:w="1049" w:type="pct"/>
            <w:vAlign w:val="center"/>
          </w:tcPr>
          <w:p w14:paraId="38B41072">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bidi="ar-SA"/>
              </w:rPr>
            </w:pPr>
            <w:r>
              <w:rPr>
                <w:rFonts w:hint="eastAsia" w:cs="Times New Roman"/>
                <w:bCs/>
                <w:color w:val="auto"/>
                <w:sz w:val="21"/>
                <w:szCs w:val="21"/>
                <w:highlight w:val="none"/>
                <w:lang w:val="en-US" w:eastAsia="zh-CN" w:bidi="ar-SA"/>
              </w:rPr>
              <w:t>/</w:t>
            </w:r>
          </w:p>
        </w:tc>
        <w:tc>
          <w:tcPr>
            <w:tcW w:w="1176" w:type="pct"/>
            <w:vAlign w:val="center"/>
          </w:tcPr>
          <w:p w14:paraId="192FAB29">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一般管控单元</w:t>
            </w:r>
          </w:p>
        </w:tc>
        <w:tc>
          <w:tcPr>
            <w:tcW w:w="560" w:type="pct"/>
            <w:vAlign w:val="center"/>
          </w:tcPr>
          <w:p w14:paraId="36B45E24">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一般管控单元</w:t>
            </w:r>
          </w:p>
        </w:tc>
      </w:tr>
      <w:tr w14:paraId="0B2D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Align w:val="center"/>
          </w:tcPr>
          <w:p w14:paraId="083EA44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维度</w:t>
            </w:r>
          </w:p>
        </w:tc>
        <w:tc>
          <w:tcPr>
            <w:tcW w:w="2589" w:type="pct"/>
            <w:gridSpan w:val="2"/>
            <w:vAlign w:val="center"/>
          </w:tcPr>
          <w:p w14:paraId="7C7E040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管控要求</w:t>
            </w:r>
          </w:p>
        </w:tc>
        <w:tc>
          <w:tcPr>
            <w:tcW w:w="1176" w:type="pct"/>
            <w:vAlign w:val="center"/>
          </w:tcPr>
          <w:p w14:paraId="0357539E">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本项目</w:t>
            </w:r>
          </w:p>
        </w:tc>
        <w:tc>
          <w:tcPr>
            <w:tcW w:w="560" w:type="pct"/>
            <w:vAlign w:val="center"/>
          </w:tcPr>
          <w:p w14:paraId="24F9D77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sz w:val="21"/>
                <w:szCs w:val="21"/>
                <w:highlight w:val="none"/>
                <w:lang w:val="en-US" w:eastAsia="zh-CN" w:bidi="ar-SA"/>
              </w:rPr>
            </w:pPr>
            <w:r>
              <w:rPr>
                <w:rFonts w:hint="eastAsia" w:ascii="Times New Roman" w:hAnsi="Times New Roman" w:eastAsia="宋体" w:cs="宋体"/>
                <w:b/>
                <w:bCs w:val="0"/>
                <w:color w:val="auto"/>
                <w:sz w:val="21"/>
                <w:szCs w:val="21"/>
                <w:highlight w:val="none"/>
                <w:lang w:val="en-US" w:eastAsia="zh-CN" w:bidi="ar-SA"/>
              </w:rPr>
              <w:t>符合性</w:t>
            </w:r>
          </w:p>
        </w:tc>
      </w:tr>
      <w:tr w14:paraId="4D0A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restart"/>
            <w:vAlign w:val="center"/>
          </w:tcPr>
          <w:p w14:paraId="03518A26">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val="0"/>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空间布局约束</w:t>
            </w:r>
          </w:p>
        </w:tc>
        <w:tc>
          <w:tcPr>
            <w:tcW w:w="2589" w:type="pct"/>
            <w:gridSpan w:val="2"/>
            <w:vAlign w:val="center"/>
          </w:tcPr>
          <w:p w14:paraId="58E70FA6">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1、建设项目用地原则上不得占用基本农田，确需占用基本农田的建设项目须符合《基本农田保护条例》中相关要求，占用耕地、林地或草地的建设项目须按照国家、自治区相关补偿要求进行补偿。</w:t>
            </w:r>
          </w:p>
        </w:tc>
        <w:tc>
          <w:tcPr>
            <w:tcW w:w="1176" w:type="pct"/>
            <w:vAlign w:val="center"/>
          </w:tcPr>
          <w:p w14:paraId="5B6F5543">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项目建设前已对区域基本农田采取了避让措施，项目不占用基本农田</w:t>
            </w:r>
            <w:r>
              <w:rPr>
                <w:rFonts w:hint="eastAsia" w:cs="宋体"/>
                <w:b w:val="0"/>
                <w:bCs/>
                <w:color w:val="auto"/>
                <w:sz w:val="21"/>
                <w:szCs w:val="21"/>
                <w:highlight w:val="none"/>
                <w:lang w:val="en-US" w:eastAsia="zh-CN" w:bidi="ar-SA"/>
              </w:rPr>
              <w:t>。</w:t>
            </w:r>
          </w:p>
        </w:tc>
        <w:tc>
          <w:tcPr>
            <w:tcW w:w="560" w:type="pct"/>
            <w:vAlign w:val="center"/>
          </w:tcPr>
          <w:p w14:paraId="22496C4D">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符合</w:t>
            </w:r>
          </w:p>
        </w:tc>
      </w:tr>
      <w:tr w14:paraId="4410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132B0CBB">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1DCE0815">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2、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w:t>
            </w:r>
          </w:p>
        </w:tc>
        <w:tc>
          <w:tcPr>
            <w:tcW w:w="1176" w:type="pct"/>
            <w:vAlign w:val="center"/>
          </w:tcPr>
          <w:p w14:paraId="0F92C908">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232929FA">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6C38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3F2CAACA">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12E45FFF">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3、永久基本农田集中区域禁止规划新建可能造成土壤污染的建设项目。涉及有毒有害物质可能造成土壤污染的新(改、扩)建项目，提出并落实土壤和地下水污染防治要求。</w:t>
            </w:r>
          </w:p>
        </w:tc>
        <w:tc>
          <w:tcPr>
            <w:tcW w:w="1176" w:type="pct"/>
            <w:vAlign w:val="center"/>
          </w:tcPr>
          <w:p w14:paraId="0E4CB8A3">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本项目不占用永久基本农田</w:t>
            </w:r>
          </w:p>
        </w:tc>
        <w:tc>
          <w:tcPr>
            <w:tcW w:w="560" w:type="pct"/>
            <w:vAlign w:val="center"/>
          </w:tcPr>
          <w:p w14:paraId="767A9BF0">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符合</w:t>
            </w:r>
          </w:p>
        </w:tc>
      </w:tr>
      <w:tr w14:paraId="76E9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44" w:hRule="atLeast"/>
          <w:jc w:val="center"/>
        </w:trPr>
        <w:tc>
          <w:tcPr>
            <w:tcW w:w="674" w:type="pct"/>
            <w:vMerge w:val="continue"/>
            <w:vAlign w:val="center"/>
          </w:tcPr>
          <w:p w14:paraId="38A8EE18">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749F06E8">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4、严格执行畜禽养殖禁养区规定，根据区域用地和消纳水平，合理确定养殖规模。</w:t>
            </w:r>
          </w:p>
        </w:tc>
        <w:tc>
          <w:tcPr>
            <w:tcW w:w="1176" w:type="pct"/>
            <w:vAlign w:val="center"/>
          </w:tcPr>
          <w:p w14:paraId="3FA3BB7B">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7F613C03">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4C95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2FD50B1E">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23AA206E">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5、禁止向沙漠、滩涂、盐碱地、沼泽地等非法排污、倾倒有毒有害物质。</w:t>
            </w:r>
          </w:p>
        </w:tc>
        <w:tc>
          <w:tcPr>
            <w:tcW w:w="1176" w:type="pct"/>
            <w:vAlign w:val="center"/>
          </w:tcPr>
          <w:p w14:paraId="2DF0BD43">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6161F3FE">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30BF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4EB6FA9E">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4E8EEA5C">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6、禁止利用渗坑、裂隙、溶洞或者采用稀释等方法处置危险废物。</w:t>
            </w:r>
          </w:p>
        </w:tc>
        <w:tc>
          <w:tcPr>
            <w:tcW w:w="1176" w:type="pct"/>
            <w:vAlign w:val="center"/>
          </w:tcPr>
          <w:p w14:paraId="324A2F28">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530BF334">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4A53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restart"/>
            <w:vAlign w:val="center"/>
          </w:tcPr>
          <w:p w14:paraId="00685963">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污染物排放管控</w:t>
            </w:r>
          </w:p>
        </w:tc>
        <w:tc>
          <w:tcPr>
            <w:tcW w:w="2589" w:type="pct"/>
            <w:gridSpan w:val="2"/>
            <w:vAlign w:val="center"/>
          </w:tcPr>
          <w:p w14:paraId="45AA7497">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1、强化畜禽粪污资源化利用，改善养殖场通风环境，提高畜禽粪污综合利用率，减少氨挥发排放。鼓励和支持散养密集区实行畜禽粪污分户收集、集中处理。</w:t>
            </w:r>
          </w:p>
        </w:tc>
        <w:tc>
          <w:tcPr>
            <w:tcW w:w="1176" w:type="pct"/>
            <w:vAlign w:val="center"/>
          </w:tcPr>
          <w:p w14:paraId="4AE1E6D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36C79A74">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207A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4E9ED918">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7BA41C0E">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2、严格控制林地、草地、园地农药使用量，禁止使用高毒、高残留农药。</w:t>
            </w:r>
          </w:p>
        </w:tc>
        <w:tc>
          <w:tcPr>
            <w:tcW w:w="1176" w:type="pct"/>
            <w:vAlign w:val="center"/>
          </w:tcPr>
          <w:p w14:paraId="0133B4D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070B4631">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6601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476299BE">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42655257">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176" w:type="pct"/>
            <w:vAlign w:val="center"/>
          </w:tcPr>
          <w:p w14:paraId="2C9458A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257C7571">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5EB9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29" w:hRule="atLeast"/>
          <w:jc w:val="center"/>
        </w:trPr>
        <w:tc>
          <w:tcPr>
            <w:tcW w:w="674" w:type="pct"/>
            <w:vMerge w:val="continue"/>
            <w:vAlign w:val="center"/>
          </w:tcPr>
          <w:p w14:paraId="24400088">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677A1804">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4、对化学品生产企业、工业集聚区、尾矿库、矿山开采区、危险废物处置场、垃圾填埋场等地下水污染源及周边区域，逐步开展地下水环境状况调查评估，加强风险管控。</w:t>
            </w:r>
          </w:p>
        </w:tc>
        <w:tc>
          <w:tcPr>
            <w:tcW w:w="1176" w:type="pct"/>
            <w:vAlign w:val="center"/>
          </w:tcPr>
          <w:p w14:paraId="06F36CA8">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本项目制定完善的地下水监测计划；切实保障地下水生态环境安全。</w:t>
            </w:r>
          </w:p>
        </w:tc>
        <w:tc>
          <w:tcPr>
            <w:tcW w:w="560" w:type="pct"/>
            <w:vAlign w:val="center"/>
          </w:tcPr>
          <w:p w14:paraId="65C03C59">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符合</w:t>
            </w:r>
          </w:p>
        </w:tc>
      </w:tr>
      <w:tr w14:paraId="6796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7C100547">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75AE4A34">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5、严控土壤重金属污染，加强油（气）田开发土壤污染防治，以历史遗留工业企业污染场地为重点，开展土壤污染风险管控与修复工程。</w:t>
            </w:r>
          </w:p>
        </w:tc>
        <w:tc>
          <w:tcPr>
            <w:tcW w:w="1176" w:type="pct"/>
            <w:vAlign w:val="center"/>
          </w:tcPr>
          <w:p w14:paraId="56C81675">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采油三厂已开展历史遗留污油泥清理工作，已完成受污染土壤清理工作。</w:t>
            </w:r>
          </w:p>
        </w:tc>
        <w:tc>
          <w:tcPr>
            <w:tcW w:w="560" w:type="pct"/>
            <w:vAlign w:val="center"/>
          </w:tcPr>
          <w:p w14:paraId="1937DD59">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符合</w:t>
            </w:r>
          </w:p>
        </w:tc>
      </w:tr>
      <w:tr w14:paraId="595F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48FB6663">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p>
        </w:tc>
        <w:tc>
          <w:tcPr>
            <w:tcW w:w="2589" w:type="pct"/>
            <w:gridSpan w:val="2"/>
            <w:vAlign w:val="center"/>
          </w:tcPr>
          <w:p w14:paraId="25490D33">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176" w:type="pct"/>
            <w:vAlign w:val="center"/>
          </w:tcPr>
          <w:p w14:paraId="349AF95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7C259D88">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01F4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restart"/>
            <w:vAlign w:val="center"/>
          </w:tcPr>
          <w:p w14:paraId="04A7E3E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bidi="ar-SA"/>
              </w:rPr>
              <w:t>环境风险防控</w:t>
            </w:r>
          </w:p>
        </w:tc>
        <w:tc>
          <w:tcPr>
            <w:tcW w:w="2589" w:type="pct"/>
            <w:gridSpan w:val="2"/>
            <w:vAlign w:val="center"/>
          </w:tcPr>
          <w:p w14:paraId="04D07005">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1、加强对矿山、油田等矿产资源开采影响区域内未利用地的环境监管，发现土壤污染问题的，要坚决查处，并及时督促有关单位采取有效防治措施消除或减轻污染。</w:t>
            </w:r>
          </w:p>
          <w:p w14:paraId="6EE02978">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p>
        </w:tc>
        <w:tc>
          <w:tcPr>
            <w:tcW w:w="1176" w:type="pct"/>
            <w:vAlign w:val="center"/>
          </w:tcPr>
          <w:p w14:paraId="41DD60EB">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运营期加强巡检，杜绝“跑、冒、滴、漏”等现象，防治土壤污染，落地油100%回收，委托具有危废处置资质的单位无害化处置。</w:t>
            </w:r>
          </w:p>
        </w:tc>
        <w:tc>
          <w:tcPr>
            <w:tcW w:w="560" w:type="pct"/>
            <w:vAlign w:val="center"/>
          </w:tcPr>
          <w:p w14:paraId="61DA1186">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符合</w:t>
            </w:r>
          </w:p>
        </w:tc>
      </w:tr>
      <w:tr w14:paraId="0399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7DCFF097">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bidi="ar-SA"/>
              </w:rPr>
            </w:pPr>
          </w:p>
        </w:tc>
        <w:tc>
          <w:tcPr>
            <w:tcW w:w="2589" w:type="pct"/>
            <w:gridSpan w:val="2"/>
            <w:vAlign w:val="center"/>
          </w:tcPr>
          <w:p w14:paraId="71B1599F">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2、对排查出的危库和病库以及风险评估有严重环境安全隐患的尾矿库，要求企业完善污染治理设施、进行治理和修复。全面整治历史遗留尾矿库，完善覆膜、压土、排洪、堤坝加固等隐患治理和闭库措施。</w:t>
            </w:r>
          </w:p>
          <w:p w14:paraId="45FF62DD">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p>
        </w:tc>
        <w:tc>
          <w:tcPr>
            <w:tcW w:w="1176" w:type="pct"/>
            <w:vAlign w:val="center"/>
          </w:tcPr>
          <w:p w14:paraId="41A50E59">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656A5F5E">
            <w:pPr>
              <w:keepNext w:val="0"/>
              <w:keepLines w:val="0"/>
              <w:widowControl/>
              <w:suppressLineNumbers w:val="0"/>
              <w:adjustRightInd w:val="0"/>
              <w:spacing w:before="0" w:beforeAutospacing="0" w:after="0" w:afterAutospacing="0" w:line="0" w:lineRule="atLeast"/>
              <w:ind w:left="0" w:right="0"/>
              <w:jc w:val="center"/>
              <w:rPr>
                <w:rFonts w:hint="eastAsia" w:ascii="Times New Roman" w:hAnsi="Times New Roman" w:eastAsia="宋体" w:cs="宋体"/>
                <w:b w:val="0"/>
                <w:bCs/>
                <w:color w:val="auto"/>
                <w:sz w:val="21"/>
                <w:szCs w:val="21"/>
                <w:highlight w:val="none"/>
                <w:lang w:val="en-US" w:eastAsia="zh-CN" w:bidi="ar-SA"/>
              </w:rPr>
            </w:pPr>
            <w:r>
              <w:rPr>
                <w:rFonts w:hint="eastAsia" w:hAnsi="宋体"/>
                <w:color w:val="auto"/>
                <w:spacing w:val="-10"/>
                <w:sz w:val="23"/>
                <w:szCs w:val="23"/>
                <w:highlight w:val="none"/>
              </w:rPr>
              <w:t>--</w:t>
            </w:r>
          </w:p>
        </w:tc>
      </w:tr>
      <w:tr w14:paraId="23ED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0154120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bidi="ar-SA"/>
              </w:rPr>
            </w:pPr>
          </w:p>
        </w:tc>
        <w:tc>
          <w:tcPr>
            <w:tcW w:w="2589" w:type="pct"/>
            <w:gridSpan w:val="2"/>
            <w:vAlign w:val="center"/>
          </w:tcPr>
          <w:p w14:paraId="7EB274C7">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3、依法推行农用地分类管理制度，强化受污染耕地安全利用和风险管控。因地制宜制定实施安全利用方案，鼓励采取种植结构调整等措施，确保受污染耕地全部实现安全利用。</w:t>
            </w:r>
          </w:p>
        </w:tc>
        <w:tc>
          <w:tcPr>
            <w:tcW w:w="1176" w:type="pct"/>
            <w:vAlign w:val="center"/>
          </w:tcPr>
          <w:p w14:paraId="10330339">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560" w:type="pct"/>
            <w:vAlign w:val="center"/>
          </w:tcPr>
          <w:p w14:paraId="76D3D8C4">
            <w:pPr>
              <w:keepNext w:val="0"/>
              <w:keepLines w:val="0"/>
              <w:widowControl/>
              <w:suppressLineNumbers w:val="0"/>
              <w:adjustRightInd w:val="0"/>
              <w:spacing w:before="0" w:beforeAutospacing="0" w:after="0" w:afterAutospacing="0" w:line="0" w:lineRule="atLeast"/>
              <w:ind w:left="0" w:right="0"/>
              <w:jc w:val="center"/>
              <w:rPr>
                <w:rFonts w:hint="eastAsia" w:ascii="Times New Roman" w:hAnsi="Times New Roman" w:eastAsia="宋体" w:cs="宋体"/>
                <w:b w:val="0"/>
                <w:bCs/>
                <w:color w:val="auto"/>
                <w:sz w:val="21"/>
                <w:szCs w:val="21"/>
                <w:highlight w:val="none"/>
                <w:lang w:val="en-US" w:eastAsia="zh-CN" w:bidi="ar-SA"/>
              </w:rPr>
            </w:pPr>
            <w:r>
              <w:rPr>
                <w:rFonts w:hint="eastAsia" w:hAnsi="宋体"/>
                <w:color w:val="auto"/>
                <w:spacing w:val="-10"/>
                <w:sz w:val="23"/>
                <w:szCs w:val="23"/>
                <w:highlight w:val="none"/>
              </w:rPr>
              <w:t>--</w:t>
            </w:r>
          </w:p>
        </w:tc>
      </w:tr>
      <w:tr w14:paraId="4441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restart"/>
            <w:vAlign w:val="center"/>
          </w:tcPr>
          <w:p w14:paraId="614658F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bidi="ar-SA"/>
              </w:rPr>
              <w:t>资源利用效率</w:t>
            </w:r>
          </w:p>
        </w:tc>
        <w:tc>
          <w:tcPr>
            <w:tcW w:w="2589" w:type="pct"/>
            <w:gridSpan w:val="2"/>
            <w:vAlign w:val="center"/>
          </w:tcPr>
          <w:p w14:paraId="58CDB11E">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1、全面推进秸秆综合利用，鼓励秸秆资源化、饲料化、肥料化利用，推动秸秆还田与离田收集。</w:t>
            </w:r>
          </w:p>
        </w:tc>
        <w:tc>
          <w:tcPr>
            <w:tcW w:w="3334" w:type="dxa"/>
            <w:vAlign w:val="center"/>
          </w:tcPr>
          <w:p w14:paraId="2183FE8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1589" w:type="dxa"/>
            <w:vAlign w:val="center"/>
          </w:tcPr>
          <w:p w14:paraId="080C151D">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7EA8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1AD2F8D2">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bidi="ar-SA"/>
              </w:rPr>
            </w:pPr>
          </w:p>
        </w:tc>
        <w:tc>
          <w:tcPr>
            <w:tcW w:w="2589" w:type="pct"/>
            <w:gridSpan w:val="2"/>
            <w:vAlign w:val="center"/>
          </w:tcPr>
          <w:p w14:paraId="36E4A477">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2、减少化肥农药使用量，增加有机肥使用量，实现化肥农药使用量负增长。</w:t>
            </w:r>
          </w:p>
        </w:tc>
        <w:tc>
          <w:tcPr>
            <w:tcW w:w="3334" w:type="dxa"/>
            <w:vAlign w:val="center"/>
          </w:tcPr>
          <w:p w14:paraId="116B367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1589" w:type="dxa"/>
            <w:vAlign w:val="center"/>
          </w:tcPr>
          <w:p w14:paraId="5C4AAEAC">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r w14:paraId="48EA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674" w:type="pct"/>
            <w:vMerge w:val="continue"/>
            <w:vAlign w:val="center"/>
          </w:tcPr>
          <w:p w14:paraId="06550CB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bidi="ar-SA"/>
              </w:rPr>
            </w:pPr>
          </w:p>
        </w:tc>
        <w:tc>
          <w:tcPr>
            <w:tcW w:w="2589" w:type="pct"/>
            <w:gridSpan w:val="2"/>
            <w:vAlign w:val="center"/>
          </w:tcPr>
          <w:p w14:paraId="79F4AF6A">
            <w:pPr>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3、推广渠道防渗、管道输水、喷灌、微灌等节水灌溉技术，完善灌溉用水计量设施。推进规模化高效节水灌溉，推广农作物节水抗旱技术。建立灌区墒情测报网络，提高农业用水效率，降低农业用水比重。</w:t>
            </w:r>
          </w:p>
        </w:tc>
        <w:tc>
          <w:tcPr>
            <w:tcW w:w="3334" w:type="dxa"/>
            <w:vAlign w:val="center"/>
          </w:tcPr>
          <w:p w14:paraId="7319E14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本项目不涉及相关内容</w:t>
            </w:r>
          </w:p>
        </w:tc>
        <w:tc>
          <w:tcPr>
            <w:tcW w:w="1589" w:type="dxa"/>
            <w:vAlign w:val="center"/>
          </w:tcPr>
          <w:p w14:paraId="693313D3">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val="0"/>
                <w:bCs/>
                <w:color w:val="auto"/>
                <w:sz w:val="21"/>
                <w:szCs w:val="21"/>
                <w:highlight w:val="none"/>
                <w:lang w:val="en-US" w:eastAsia="zh-CN" w:bidi="ar-SA"/>
              </w:rPr>
            </w:pPr>
            <w:r>
              <w:rPr>
                <w:rFonts w:hint="eastAsia" w:ascii="Times New Roman" w:hAnsi="Times New Roman" w:eastAsia="宋体" w:cs="宋体"/>
                <w:b w:val="0"/>
                <w:bCs/>
                <w:color w:val="auto"/>
                <w:sz w:val="21"/>
                <w:szCs w:val="21"/>
                <w:highlight w:val="none"/>
                <w:lang w:val="en-US" w:eastAsia="zh-CN" w:bidi="ar-SA"/>
              </w:rPr>
              <w:t>--</w:t>
            </w:r>
          </w:p>
        </w:tc>
      </w:tr>
    </w:tbl>
    <w:p w14:paraId="66DF768E">
      <w:pPr>
        <w:autoSpaceDE w:val="0"/>
        <w:autoSpaceDN w:val="0"/>
        <w:adjustRightInd w:val="0"/>
        <w:snapToGrid w:val="0"/>
        <w:spacing w:line="360" w:lineRule="auto"/>
        <w:ind w:firstLine="480" w:firstLineChars="200"/>
        <w:rPr>
          <w:rFonts w:hint="eastAsia"/>
          <w:color w:val="auto"/>
          <w:highlight w:val="none"/>
          <w:lang w:eastAsia="zh-CN"/>
        </w:rPr>
      </w:pPr>
      <w:r>
        <w:rPr>
          <w:rFonts w:ascii="Times New Roman" w:hAnsi="Times New Roman"/>
          <w:color w:val="auto"/>
          <w:highlight w:val="none"/>
        </w:rPr>
        <w:t>综上所述，本项目建设符合</w:t>
      </w:r>
      <w:r>
        <w:rPr>
          <w:rFonts w:hint="eastAsia" w:ascii="Times New Roman" w:hAnsi="Times New Roman"/>
          <w:color w:val="auto"/>
          <w:highlight w:val="none"/>
          <w:lang w:val="en-US" w:eastAsia="zh-CN"/>
        </w:rPr>
        <w:t>生态环境分区管控</w:t>
      </w:r>
      <w:r>
        <w:rPr>
          <w:rFonts w:ascii="Times New Roman" w:hAnsi="Times New Roman"/>
          <w:color w:val="auto"/>
          <w:highlight w:val="none"/>
        </w:rPr>
        <w:t>要求</w:t>
      </w:r>
      <w:r>
        <w:rPr>
          <w:rFonts w:hint="eastAsia"/>
          <w:color w:val="auto"/>
          <w:highlight w:val="none"/>
          <w:lang w:eastAsia="zh-CN"/>
        </w:rPr>
        <w:t>。</w:t>
      </w:r>
    </w:p>
    <w:p w14:paraId="6102DF2B">
      <w:pPr>
        <w:autoSpaceDE w:val="0"/>
        <w:autoSpaceDN w:val="0"/>
        <w:adjustRightInd w:val="0"/>
        <w:snapToGrid w:val="0"/>
        <w:spacing w:line="360" w:lineRule="auto"/>
        <w:ind w:firstLine="480" w:firstLineChars="200"/>
        <w:rPr>
          <w:rFonts w:hint="eastAsia"/>
          <w:color w:val="auto"/>
          <w:highlight w:val="none"/>
          <w:lang w:eastAsia="zh-CN"/>
        </w:rPr>
        <w:sectPr>
          <w:pgSz w:w="16838" w:h="11906" w:orient="landscape"/>
          <w:pgMar w:top="1800" w:right="1440" w:bottom="1800" w:left="1440" w:header="1020" w:footer="1134" w:gutter="0"/>
          <w:pgBorders>
            <w:top w:val="none" w:sz="0" w:space="0"/>
            <w:left w:val="none" w:sz="0" w:space="0"/>
            <w:bottom w:val="none" w:sz="0" w:space="0"/>
            <w:right w:val="none" w:sz="0" w:space="0"/>
          </w:pgBorders>
          <w:pgNumType w:fmt="decimal"/>
          <w:cols w:space="720" w:num="1"/>
          <w:docGrid w:type="lines" w:linePitch="326" w:charSpace="0"/>
        </w:sectPr>
      </w:pPr>
    </w:p>
    <w:p w14:paraId="42DC47BC">
      <w:pPr>
        <w:pStyle w:val="5"/>
        <w:pageBreakBefore w:val="0"/>
        <w:widowControl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auto"/>
          <w:highlight w:val="none"/>
        </w:rPr>
      </w:pPr>
      <w:bookmarkStart w:id="347" w:name="_Toc8079"/>
      <w:bookmarkStart w:id="348" w:name="_Toc25591"/>
      <w:bookmarkStart w:id="349" w:name="_Toc11485"/>
      <w:bookmarkStart w:id="350" w:name="_Toc7750"/>
      <w:bookmarkStart w:id="351" w:name="_Toc75438891"/>
      <w:r>
        <w:rPr>
          <w:rFonts w:hint="default" w:ascii="Times New Roman" w:hAnsi="Times New Roman" w:cs="Times New Roman"/>
          <w:color w:val="auto"/>
          <w:highlight w:val="none"/>
        </w:rPr>
        <w:t>3.</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选址选线合理性分析</w:t>
      </w:r>
      <w:bookmarkEnd w:id="347"/>
      <w:bookmarkEnd w:id="348"/>
      <w:bookmarkEnd w:id="349"/>
    </w:p>
    <w:p w14:paraId="7F869DEF">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根据现场调查和资料搜集，</w:t>
      </w:r>
      <w:r>
        <w:rPr>
          <w:rFonts w:hint="default" w:ascii="Times New Roman" w:hAnsi="Times New Roman" w:cs="Times New Roman"/>
          <w:color w:val="auto"/>
          <w:highlight w:val="none"/>
          <w:lang w:val="en-US" w:eastAsia="zh-CN"/>
        </w:rPr>
        <w:t>工程</w:t>
      </w:r>
      <w:r>
        <w:rPr>
          <w:rFonts w:hint="default" w:ascii="Times New Roman" w:hAnsi="Times New Roman" w:cs="Times New Roman"/>
          <w:color w:val="auto"/>
          <w:highlight w:val="none"/>
        </w:rPr>
        <w:t>区内不涉及依法划定的自然保护区、饮用水源保护区、风景名胜区、森林公园等</w:t>
      </w:r>
      <w:r>
        <w:rPr>
          <w:rFonts w:hint="default" w:ascii="Times New Roman" w:hAnsi="Times New Roman" w:cs="Times New Roman"/>
          <w:color w:val="auto"/>
          <w:highlight w:val="none"/>
          <w:lang w:val="en-US" w:eastAsia="zh-CN"/>
        </w:rPr>
        <w:t>自然保护地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不涉及生态保护红线</w:t>
      </w:r>
      <w:r>
        <w:rPr>
          <w:rFonts w:hint="default" w:ascii="Times New Roman" w:hAnsi="Times New Roman" w:cs="Times New Roman"/>
          <w:color w:val="auto"/>
          <w:highlight w:val="none"/>
          <w:lang w:eastAsia="zh-CN"/>
        </w:rPr>
        <w:t>。</w:t>
      </w:r>
    </w:p>
    <w:p w14:paraId="40C5314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kern w:val="0"/>
          <w:sz w:val="24"/>
          <w:szCs w:val="24"/>
          <w:highlight w:val="none"/>
          <w:lang w:bidi="ar"/>
        </w:rPr>
      </w:pPr>
      <w:r>
        <w:rPr>
          <w:rFonts w:hint="eastAsia" w:hAnsi="宋体" w:cs="宋体"/>
          <w:b/>
          <w:bCs/>
          <w:color w:val="auto"/>
          <w:kern w:val="0"/>
          <w:sz w:val="24"/>
          <w:szCs w:val="24"/>
          <w:highlight w:val="none"/>
          <w:lang w:eastAsia="zh-CN" w:bidi="ar"/>
        </w:rPr>
        <w:t>（</w:t>
      </w:r>
      <w:r>
        <w:rPr>
          <w:rFonts w:hint="eastAsia" w:hAnsi="宋体" w:cs="宋体"/>
          <w:b/>
          <w:bCs/>
          <w:color w:val="auto"/>
          <w:kern w:val="0"/>
          <w:sz w:val="24"/>
          <w:szCs w:val="24"/>
          <w:highlight w:val="none"/>
          <w:lang w:val="en-US" w:eastAsia="zh-CN" w:bidi="ar"/>
        </w:rPr>
        <w:t>1</w:t>
      </w:r>
      <w:r>
        <w:rPr>
          <w:rFonts w:hint="eastAsia" w:hAnsi="宋体" w:cs="宋体"/>
          <w:b/>
          <w:bCs/>
          <w:color w:val="auto"/>
          <w:kern w:val="0"/>
          <w:sz w:val="24"/>
          <w:szCs w:val="24"/>
          <w:highlight w:val="none"/>
          <w:lang w:eastAsia="zh-CN" w:bidi="ar"/>
        </w:rPr>
        <w:t>）</w:t>
      </w:r>
      <w:r>
        <w:rPr>
          <w:rFonts w:hint="eastAsia" w:hAnsi="宋体" w:cs="宋体"/>
          <w:b/>
          <w:bCs/>
          <w:color w:val="auto"/>
          <w:kern w:val="0"/>
          <w:sz w:val="24"/>
          <w:szCs w:val="24"/>
          <w:highlight w:val="none"/>
          <w:lang w:bidi="ar"/>
        </w:rPr>
        <w:t>项目总体布局合理性分析</w:t>
      </w:r>
    </w:p>
    <w:p w14:paraId="631D73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kern w:val="0"/>
          <w:sz w:val="24"/>
          <w:szCs w:val="24"/>
          <w:highlight w:val="none"/>
          <w:lang w:bidi="ar"/>
        </w:rPr>
      </w:pPr>
      <w:r>
        <w:rPr>
          <w:rFonts w:hint="eastAsia" w:hAnsi="宋体" w:cs="宋体"/>
          <w:color w:val="auto"/>
          <w:kern w:val="0"/>
          <w:sz w:val="24"/>
          <w:szCs w:val="24"/>
          <w:highlight w:val="none"/>
          <w:lang w:val="en-US" w:eastAsia="zh-CN" w:bidi="ar"/>
        </w:rPr>
        <w:t>本</w:t>
      </w:r>
      <w:r>
        <w:rPr>
          <w:rFonts w:hint="eastAsia" w:hAnsi="宋体" w:cs="宋体"/>
          <w:color w:val="auto"/>
          <w:kern w:val="0"/>
          <w:sz w:val="24"/>
          <w:szCs w:val="24"/>
          <w:highlight w:val="none"/>
          <w:lang w:bidi="ar"/>
        </w:rPr>
        <w:t>工程开发区域位于新疆维吾尔自治区阿克苏地区</w:t>
      </w:r>
      <w:r>
        <w:rPr>
          <w:rFonts w:hint="eastAsia" w:hAnsi="宋体" w:cs="宋体"/>
          <w:color w:val="auto"/>
          <w:kern w:val="0"/>
          <w:sz w:val="24"/>
          <w:szCs w:val="24"/>
          <w:highlight w:val="none"/>
          <w:lang w:val="en-US" w:eastAsia="zh-CN" w:bidi="ar"/>
        </w:rPr>
        <w:t>库车市，塔河油田8区、11区</w:t>
      </w:r>
      <w:r>
        <w:rPr>
          <w:rFonts w:hint="eastAsia" w:hAnsi="宋体" w:cs="宋体"/>
          <w:color w:val="auto"/>
          <w:kern w:val="0"/>
          <w:sz w:val="24"/>
          <w:szCs w:val="24"/>
          <w:highlight w:val="none"/>
          <w:lang w:bidi="ar"/>
        </w:rPr>
        <w:t>内，位于城市建成区以外，除位于</w:t>
      </w:r>
      <w:r>
        <w:rPr>
          <w:rFonts w:hint="eastAsia" w:hAnsi="宋体"/>
          <w:color w:val="auto"/>
          <w:sz w:val="24"/>
          <w:szCs w:val="24"/>
          <w:highlight w:val="none"/>
        </w:rPr>
        <w:t>塔里木河流域水土流失重点治理区</w:t>
      </w:r>
      <w:r>
        <w:rPr>
          <w:rFonts w:hint="eastAsia" w:hAnsi="宋体" w:cs="宋体"/>
          <w:color w:val="auto"/>
          <w:kern w:val="0"/>
          <w:sz w:val="24"/>
          <w:szCs w:val="24"/>
          <w:highlight w:val="none"/>
          <w:lang w:bidi="ar"/>
        </w:rPr>
        <w:t>以外，不涉及</w:t>
      </w:r>
      <w:r>
        <w:rPr>
          <w:rFonts w:hint="eastAsia" w:hAnsi="宋体" w:cs="宋体"/>
          <w:color w:val="auto"/>
          <w:sz w:val="24"/>
          <w:szCs w:val="24"/>
          <w:highlight w:val="none"/>
        </w:rPr>
        <w:t>自然保护区、风景名胜区、水源保护区、文物保护单位</w:t>
      </w:r>
      <w:r>
        <w:rPr>
          <w:rFonts w:hint="eastAsia" w:hAnsi="宋体" w:cs="宋体"/>
          <w:color w:val="auto"/>
          <w:kern w:val="0"/>
          <w:sz w:val="24"/>
          <w:szCs w:val="24"/>
          <w:highlight w:val="none"/>
          <w:lang w:bidi="ar"/>
        </w:rPr>
        <w:t>等其他环境敏感区；从现状调查结果看，</w:t>
      </w:r>
      <w:r>
        <w:rPr>
          <w:rFonts w:hint="eastAsia" w:hAnsi="宋体" w:cs="宋体"/>
          <w:color w:val="auto"/>
          <w:kern w:val="0"/>
          <w:sz w:val="24"/>
          <w:szCs w:val="24"/>
          <w:highlight w:val="none"/>
          <w:lang w:val="en-US" w:eastAsia="zh-CN" w:bidi="ar"/>
        </w:rPr>
        <w:t>本项目不新增</w:t>
      </w:r>
      <w:r>
        <w:rPr>
          <w:rFonts w:hint="eastAsia" w:hAnsi="宋体" w:cs="宋体"/>
          <w:color w:val="auto"/>
          <w:kern w:val="0"/>
          <w:sz w:val="24"/>
          <w:szCs w:val="24"/>
          <w:highlight w:val="none"/>
          <w:lang w:bidi="ar"/>
        </w:rPr>
        <w:t>永久占地</w:t>
      </w:r>
      <w:r>
        <w:rPr>
          <w:rFonts w:hint="eastAsia" w:hAnsi="宋体" w:cs="宋体"/>
          <w:color w:val="auto"/>
          <w:kern w:val="0"/>
          <w:sz w:val="24"/>
          <w:szCs w:val="24"/>
          <w:highlight w:val="none"/>
          <w:lang w:eastAsia="zh-CN" w:bidi="ar"/>
        </w:rPr>
        <w:t>，</w:t>
      </w:r>
      <w:r>
        <w:rPr>
          <w:rFonts w:hint="eastAsia" w:hAnsi="宋体" w:cs="宋体"/>
          <w:color w:val="auto"/>
          <w:kern w:val="0"/>
          <w:sz w:val="24"/>
          <w:szCs w:val="24"/>
          <w:highlight w:val="none"/>
          <w:lang w:bidi="ar"/>
        </w:rPr>
        <w:t>临时占地的土地利用类型为</w:t>
      </w:r>
      <w:r>
        <w:rPr>
          <w:rFonts w:hint="eastAsia" w:cs="Times New Roman"/>
          <w:color w:val="auto"/>
          <w:kern w:val="0"/>
          <w:szCs w:val="20"/>
          <w:highlight w:val="none"/>
          <w:lang w:val="en-US" w:eastAsia="zh-CN"/>
        </w:rPr>
        <w:t>灌木林地、</w:t>
      </w:r>
      <w:r>
        <w:rPr>
          <w:rFonts w:hint="default" w:ascii="Times New Roman" w:hAnsi="Times New Roman" w:eastAsia="宋体" w:cs="Times New Roman"/>
          <w:color w:val="auto"/>
          <w:kern w:val="0"/>
          <w:szCs w:val="20"/>
          <w:highlight w:val="none"/>
        </w:rPr>
        <w:t>天然牧草地</w:t>
      </w:r>
      <w:r>
        <w:rPr>
          <w:rFonts w:hint="eastAsia" w:hAnsi="宋体" w:cs="宋体"/>
          <w:color w:val="auto"/>
          <w:kern w:val="0"/>
          <w:sz w:val="24"/>
          <w:szCs w:val="24"/>
          <w:highlight w:val="none"/>
          <w:lang w:val="en-US" w:eastAsia="zh-CN" w:bidi="ar"/>
        </w:rPr>
        <w:t>等</w:t>
      </w:r>
      <w:r>
        <w:rPr>
          <w:rFonts w:hint="eastAsia" w:hAnsi="宋体" w:cs="宋体"/>
          <w:color w:val="auto"/>
          <w:kern w:val="0"/>
          <w:sz w:val="24"/>
          <w:szCs w:val="24"/>
          <w:highlight w:val="none"/>
          <w:lang w:bidi="ar"/>
        </w:rPr>
        <w:t>。</w:t>
      </w:r>
    </w:p>
    <w:p w14:paraId="7CB5A4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kern w:val="0"/>
          <w:sz w:val="24"/>
          <w:szCs w:val="24"/>
          <w:highlight w:val="none"/>
          <w:lang w:bidi="ar"/>
        </w:rPr>
      </w:pPr>
      <w:r>
        <w:rPr>
          <w:rFonts w:hint="default" w:ascii="Times New Roman" w:hAnsi="Times New Roman" w:cs="Times New Roman"/>
          <w:color w:val="auto"/>
          <w:sz w:val="24"/>
          <w:szCs w:val="24"/>
          <w:highlight w:val="none"/>
          <w:lang w:bidi="ar"/>
        </w:rPr>
        <w:t>由于</w:t>
      </w:r>
      <w:r>
        <w:rPr>
          <w:rFonts w:hint="eastAsia" w:ascii="Times New Roman" w:hAnsi="Times New Roman" w:cs="Times New Roman"/>
          <w:color w:val="auto"/>
          <w:sz w:val="24"/>
          <w:szCs w:val="24"/>
          <w:highlight w:val="none"/>
          <w:lang w:val="en-US" w:eastAsia="zh-CN" w:bidi="ar"/>
        </w:rPr>
        <w:t>项目</w:t>
      </w:r>
      <w:r>
        <w:rPr>
          <w:rFonts w:hint="default" w:ascii="Times New Roman" w:hAnsi="Times New Roman" w:cs="Times New Roman"/>
          <w:color w:val="auto"/>
          <w:sz w:val="24"/>
          <w:szCs w:val="24"/>
          <w:highlight w:val="none"/>
          <w:lang w:bidi="ar"/>
        </w:rPr>
        <w:t>所在区域</w:t>
      </w:r>
      <w:r>
        <w:rPr>
          <w:rFonts w:hint="eastAsia" w:ascii="Times New Roman" w:hAnsi="Times New Roman" w:cs="Times New Roman"/>
          <w:color w:val="auto"/>
          <w:sz w:val="24"/>
          <w:szCs w:val="24"/>
          <w:highlight w:val="none"/>
          <w:lang w:val="en-US" w:eastAsia="zh-CN" w:bidi="ar"/>
        </w:rPr>
        <w:t>库车市</w:t>
      </w:r>
      <w:r>
        <w:rPr>
          <w:rFonts w:hint="default" w:ascii="Times New Roman" w:hAnsi="Times New Roman" w:cs="Times New Roman"/>
          <w:color w:val="auto"/>
          <w:sz w:val="24"/>
          <w:szCs w:val="24"/>
          <w:highlight w:val="none"/>
          <w:lang w:bidi="ar"/>
        </w:rPr>
        <w:t>属于塔里木河流域重点治理区。本</w:t>
      </w:r>
      <w:r>
        <w:rPr>
          <w:rFonts w:hint="eastAsia" w:ascii="Times New Roman" w:hAnsi="Times New Roman" w:cs="Times New Roman"/>
          <w:color w:val="auto"/>
          <w:sz w:val="24"/>
          <w:szCs w:val="24"/>
          <w:highlight w:val="none"/>
          <w:lang w:val="en-US" w:eastAsia="zh-CN" w:bidi="ar"/>
        </w:rPr>
        <w:t>项目</w:t>
      </w:r>
      <w:r>
        <w:rPr>
          <w:rFonts w:hint="default" w:ascii="Times New Roman" w:hAnsi="Times New Roman" w:cs="Times New Roman"/>
          <w:color w:val="auto"/>
          <w:sz w:val="24"/>
          <w:szCs w:val="24"/>
          <w:highlight w:val="none"/>
          <w:lang w:bidi="ar"/>
        </w:rPr>
        <w:t>无法避让塔里木</w:t>
      </w:r>
      <w:r>
        <w:rPr>
          <w:rFonts w:hint="eastAsia" w:cs="Times New Roman"/>
          <w:color w:val="auto"/>
          <w:sz w:val="24"/>
          <w:szCs w:val="24"/>
          <w:highlight w:val="none"/>
          <w:lang w:val="en-US" w:eastAsia="zh-CN" w:bidi="ar"/>
        </w:rPr>
        <w:t>河</w:t>
      </w:r>
      <w:r>
        <w:rPr>
          <w:rFonts w:hint="default" w:ascii="Times New Roman" w:hAnsi="Times New Roman" w:cs="Times New Roman"/>
          <w:color w:val="auto"/>
          <w:sz w:val="24"/>
          <w:szCs w:val="24"/>
          <w:highlight w:val="none"/>
          <w:lang w:bidi="ar"/>
        </w:rPr>
        <w:t>流域水土流失重点治理区，建设过程中将严格执行各项水土保持措施，以减轻因工程建设带来的不利影响，减少水土流失。工程建设及运行过程中需按照设计及环评要求采取水土流失防治措施，根据工程影响预测分析，工程对周边产生的环境影响在可接受范围内。</w:t>
      </w:r>
      <w:r>
        <w:rPr>
          <w:rFonts w:hint="eastAsia" w:hAnsi="宋体" w:cs="宋体"/>
          <w:color w:val="auto"/>
          <w:kern w:val="0"/>
          <w:sz w:val="24"/>
          <w:szCs w:val="24"/>
          <w:highlight w:val="none"/>
          <w:lang w:bidi="ar"/>
        </w:rPr>
        <w:t>本次评价要求油田开发要严格按照开发方案划定区域进行，认真落实环评提出的环境保护措施，项目</w:t>
      </w:r>
      <w:r>
        <w:rPr>
          <w:rFonts w:hint="eastAsia" w:hAnsi="宋体" w:cs="宋体"/>
          <w:color w:val="auto"/>
          <w:kern w:val="0"/>
          <w:sz w:val="24"/>
          <w:szCs w:val="24"/>
          <w:highlight w:val="none"/>
          <w:lang w:eastAsia="zh-CN" w:bidi="ar"/>
        </w:rPr>
        <w:t>与其他</w:t>
      </w:r>
      <w:r>
        <w:rPr>
          <w:rFonts w:hint="eastAsia" w:hAnsi="宋体" w:cs="宋体"/>
          <w:color w:val="auto"/>
          <w:kern w:val="0"/>
          <w:sz w:val="24"/>
          <w:szCs w:val="24"/>
          <w:highlight w:val="none"/>
          <w:lang w:bidi="ar"/>
        </w:rPr>
        <w:t>建构筑</w:t>
      </w:r>
      <w:r>
        <w:rPr>
          <w:rFonts w:hint="eastAsia" w:hAnsi="宋体" w:cs="宋体"/>
          <w:color w:val="auto"/>
          <w:kern w:val="0"/>
          <w:sz w:val="24"/>
          <w:szCs w:val="24"/>
          <w:highlight w:val="none"/>
          <w:lang w:val="en-US" w:eastAsia="zh-CN" w:bidi="ar"/>
        </w:rPr>
        <w:t>物</w:t>
      </w:r>
      <w:r>
        <w:rPr>
          <w:rFonts w:hint="eastAsia" w:hAnsi="宋体" w:cs="宋体"/>
          <w:color w:val="auto"/>
          <w:kern w:val="0"/>
          <w:sz w:val="24"/>
          <w:szCs w:val="24"/>
          <w:highlight w:val="none"/>
          <w:lang w:bidi="ar"/>
        </w:rPr>
        <w:t>的距离要严格满足相关设计技术规范要求。</w:t>
      </w:r>
    </w:p>
    <w:p w14:paraId="0137AB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宋体" w:eastAsia="宋体" w:cs="宋体"/>
          <w:b/>
          <w:bCs/>
          <w:color w:val="auto"/>
          <w:kern w:val="0"/>
          <w:sz w:val="24"/>
          <w:szCs w:val="24"/>
          <w:highlight w:val="none"/>
          <w:lang w:bidi="ar"/>
        </w:rPr>
      </w:pPr>
      <w:r>
        <w:rPr>
          <w:rFonts w:hint="default" w:ascii="Times New Roman" w:hAnsi="宋体" w:eastAsia="宋体" w:cs="宋体"/>
          <w:b/>
          <w:bCs/>
          <w:color w:val="auto"/>
          <w:kern w:val="0"/>
          <w:sz w:val="24"/>
          <w:szCs w:val="24"/>
          <w:highlight w:val="none"/>
          <w:lang w:eastAsia="zh-CN" w:bidi="ar"/>
        </w:rPr>
        <w:t>（</w:t>
      </w:r>
      <w:r>
        <w:rPr>
          <w:rFonts w:hint="eastAsia" w:ascii="Times New Roman" w:hAnsi="宋体" w:eastAsia="宋体" w:cs="宋体"/>
          <w:b/>
          <w:bCs/>
          <w:color w:val="auto"/>
          <w:kern w:val="0"/>
          <w:sz w:val="24"/>
          <w:szCs w:val="24"/>
          <w:highlight w:val="none"/>
          <w:lang w:val="en-US" w:eastAsia="zh-CN" w:bidi="ar"/>
        </w:rPr>
        <w:t>2</w:t>
      </w:r>
      <w:r>
        <w:rPr>
          <w:rFonts w:hint="default" w:ascii="Times New Roman" w:hAnsi="宋体" w:eastAsia="宋体" w:cs="宋体"/>
          <w:b/>
          <w:bCs/>
          <w:color w:val="auto"/>
          <w:kern w:val="0"/>
          <w:sz w:val="24"/>
          <w:szCs w:val="24"/>
          <w:highlight w:val="none"/>
          <w:lang w:eastAsia="zh-CN" w:bidi="ar"/>
        </w:rPr>
        <w:t>）</w:t>
      </w:r>
      <w:r>
        <w:rPr>
          <w:rFonts w:hint="default" w:ascii="Times New Roman" w:hAnsi="宋体" w:eastAsia="宋体" w:cs="宋体"/>
          <w:b/>
          <w:bCs/>
          <w:color w:val="auto"/>
          <w:kern w:val="0"/>
          <w:sz w:val="24"/>
          <w:szCs w:val="24"/>
          <w:highlight w:val="none"/>
          <w:lang w:bidi="ar"/>
        </w:rPr>
        <w:t>井场选址分析</w:t>
      </w:r>
    </w:p>
    <w:p w14:paraId="54847963">
      <w:pPr>
        <w:pStyle w:val="12"/>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侧</w:t>
      </w:r>
      <w:r>
        <w:rPr>
          <w:rFonts w:hint="default" w:ascii="Times New Roman" w:hAnsi="Times New Roman" w:cs="Times New Roman"/>
          <w:color w:val="auto"/>
          <w:highlight w:val="none"/>
          <w:lang w:eastAsia="zh-CN"/>
        </w:rPr>
        <w:t>钻井</w:t>
      </w:r>
      <w:r>
        <w:rPr>
          <w:rFonts w:hint="default" w:ascii="Times New Roman" w:hAnsi="Times New Roman" w:cs="Times New Roman"/>
          <w:color w:val="auto"/>
          <w:highlight w:val="none"/>
          <w:lang w:val="en-US" w:eastAsia="zh-CN"/>
        </w:rPr>
        <w:t>4口侧钻井均利用已有井场，不新增永久占地，钻井期间仅办理临时用地手续。</w:t>
      </w:r>
    </w:p>
    <w:p w14:paraId="6B586FD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宋体" w:eastAsia="宋体" w:cs="宋体"/>
          <w:b/>
          <w:bCs/>
          <w:color w:val="auto"/>
          <w:kern w:val="0"/>
          <w:sz w:val="24"/>
          <w:szCs w:val="24"/>
          <w:highlight w:val="none"/>
          <w:lang w:eastAsia="zh-CN" w:bidi="ar"/>
        </w:rPr>
      </w:pPr>
      <w:r>
        <w:rPr>
          <w:rFonts w:hint="default" w:ascii="Times New Roman" w:hAnsi="宋体" w:eastAsia="宋体" w:cs="宋体"/>
          <w:b/>
          <w:bCs/>
          <w:color w:val="auto"/>
          <w:kern w:val="0"/>
          <w:sz w:val="24"/>
          <w:szCs w:val="24"/>
          <w:highlight w:val="none"/>
          <w:lang w:eastAsia="zh-CN" w:bidi="ar"/>
        </w:rPr>
        <w:t>（</w:t>
      </w:r>
      <w:r>
        <w:rPr>
          <w:rFonts w:hint="eastAsia" w:ascii="Times New Roman" w:hAnsi="宋体" w:eastAsia="宋体" w:cs="宋体"/>
          <w:b/>
          <w:bCs/>
          <w:color w:val="auto"/>
          <w:kern w:val="0"/>
          <w:sz w:val="24"/>
          <w:szCs w:val="24"/>
          <w:highlight w:val="none"/>
          <w:lang w:val="en-US" w:eastAsia="zh-CN" w:bidi="ar"/>
        </w:rPr>
        <w:t>3</w:t>
      </w:r>
      <w:r>
        <w:rPr>
          <w:rFonts w:hint="default" w:ascii="Times New Roman" w:hAnsi="宋体" w:eastAsia="宋体" w:cs="宋体"/>
          <w:b/>
          <w:bCs/>
          <w:color w:val="auto"/>
          <w:kern w:val="0"/>
          <w:sz w:val="24"/>
          <w:szCs w:val="24"/>
          <w:highlight w:val="none"/>
          <w:lang w:eastAsia="zh-CN" w:bidi="ar"/>
        </w:rPr>
        <w:t>）管线选线合理性分析</w:t>
      </w:r>
    </w:p>
    <w:p w14:paraId="63F992BD">
      <w:pPr>
        <w:pStyle w:val="12"/>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highlight w:val="none"/>
        </w:rPr>
        <w:t>新建TH102117X井至T707CH</w:t>
      </w:r>
      <w:r>
        <w:rPr>
          <w:rFonts w:hint="default" w:ascii="Times New Roman" w:hAnsi="Times New Roman" w:cs="Times New Roman"/>
          <w:color w:val="auto"/>
          <w:highlight w:val="none"/>
          <w:lang w:val="en-US" w:eastAsia="zh-CN"/>
        </w:rPr>
        <w:t>井采油管线601</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新建T707CH井场至TH102117X井场掺稀管线601m、燃料气管线601m，三条管线同沟敷设；</w:t>
      </w:r>
      <w:r>
        <w:rPr>
          <w:rFonts w:hint="default" w:ascii="Times New Roman" w:hAnsi="Times New Roman" w:cs="Times New Roman"/>
          <w:color w:val="auto"/>
          <w:sz w:val="24"/>
          <w:szCs w:val="24"/>
          <w:highlight w:val="none"/>
        </w:rPr>
        <w:t>4口</w:t>
      </w:r>
      <w:r>
        <w:rPr>
          <w:rFonts w:hint="default" w:ascii="Times New Roman" w:hAnsi="Times New Roman" w:cs="Times New Roman"/>
          <w:color w:val="auto"/>
          <w:sz w:val="24"/>
          <w:szCs w:val="24"/>
          <w:highlight w:val="none"/>
          <w:lang w:val="en-US" w:eastAsia="zh-CN"/>
        </w:rPr>
        <w:t>侧钻老</w:t>
      </w:r>
      <w:r>
        <w:rPr>
          <w:rFonts w:hint="default" w:ascii="Times New Roman" w:hAnsi="Times New Roman" w:cs="Times New Roman"/>
          <w:color w:val="auto"/>
          <w:sz w:val="24"/>
          <w:szCs w:val="24"/>
          <w:highlight w:val="none"/>
        </w:rPr>
        <w:t>井管线均</w:t>
      </w:r>
      <w:r>
        <w:rPr>
          <w:rFonts w:hint="default" w:ascii="Times New Roman" w:hAnsi="Times New Roman" w:cs="Times New Roman"/>
          <w:color w:val="auto"/>
          <w:sz w:val="24"/>
          <w:szCs w:val="24"/>
          <w:highlight w:val="none"/>
          <w:lang w:val="en-US" w:eastAsia="zh-CN"/>
        </w:rPr>
        <w:t>利用已有管线。</w:t>
      </w:r>
      <w:r>
        <w:rPr>
          <w:rFonts w:hint="default" w:ascii="Times New Roman" w:hAnsi="Times New Roman" w:eastAsia="宋体" w:cs="Times New Roman"/>
          <w:color w:val="auto"/>
          <w:sz w:val="24"/>
          <w:szCs w:val="22"/>
          <w:highlight w:val="none"/>
          <w:lang w:val="en-US" w:eastAsia="zh-CN" w:bidi="ar-SA"/>
        </w:rPr>
        <w:t>根据现场调查和资料搜集，</w:t>
      </w:r>
      <w:r>
        <w:rPr>
          <w:rFonts w:hint="default" w:ascii="Times New Roman" w:hAnsi="Times New Roman" w:cs="Times New Roman"/>
          <w:color w:val="auto"/>
          <w:highlight w:val="none"/>
          <w:lang w:val="en-US" w:eastAsia="zh-CN"/>
        </w:rPr>
        <w:t>工程</w:t>
      </w:r>
      <w:r>
        <w:rPr>
          <w:rFonts w:hint="default" w:ascii="Times New Roman" w:hAnsi="Times New Roman" w:cs="Times New Roman"/>
          <w:color w:val="auto"/>
          <w:highlight w:val="none"/>
        </w:rPr>
        <w:t>区</w:t>
      </w:r>
      <w:r>
        <w:rPr>
          <w:rFonts w:hint="default" w:ascii="Times New Roman" w:hAnsi="Times New Roman" w:cs="Times New Roman"/>
          <w:color w:val="auto"/>
          <w:kern w:val="0"/>
          <w:sz w:val="24"/>
          <w:highlight w:val="none"/>
          <w:lang w:val="zh-CN"/>
        </w:rPr>
        <w:t>地势平坦，远离人群居住区，</w:t>
      </w:r>
      <w:r>
        <w:rPr>
          <w:rFonts w:hint="default" w:ascii="Times New Roman" w:hAnsi="Times New Roman" w:cs="Times New Roman"/>
          <w:color w:val="auto"/>
          <w:kern w:val="0"/>
          <w:sz w:val="24"/>
          <w:highlight w:val="none"/>
          <w:lang w:val="en-US" w:eastAsia="zh-CN"/>
        </w:rPr>
        <w:t>新建管道临时占用</w:t>
      </w:r>
      <w:r>
        <w:rPr>
          <w:rFonts w:hint="default" w:ascii="Times New Roman" w:hAnsi="Times New Roman" w:cs="Times New Roman"/>
          <w:color w:val="auto"/>
          <w:highlight w:val="none"/>
          <w:lang w:eastAsia="zh-CN"/>
        </w:rPr>
        <w:t>灌木林地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rPr>
        <w:t>区内不涉及依法划定的自然保护区、饮用水源保护区、风景名胜区、森林公园等</w:t>
      </w:r>
      <w:r>
        <w:rPr>
          <w:rFonts w:hint="default" w:ascii="Times New Roman" w:hAnsi="Times New Roman" w:eastAsia="宋体" w:cs="Times New Roman"/>
          <w:color w:val="auto"/>
          <w:highlight w:val="none"/>
          <w:lang w:val="en-US" w:eastAsia="zh-CN"/>
        </w:rPr>
        <w:t>自然保护地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不涉及生态保护红线。本次环评提出合理优化油气集输管线选线，符合设计规范中“在人烟稀少地区，线路走向应尽量并行已建管道，以便建成后的运行管理”的要求。新建TH102117X单井管线</w:t>
      </w:r>
      <w:r>
        <w:rPr>
          <w:rFonts w:hint="eastAsia" w:ascii="Times New Roman" w:hAnsi="Times New Roman" w:cs="Times New Roman"/>
          <w:color w:val="auto"/>
          <w:highlight w:val="none"/>
          <w:lang w:val="en-US" w:eastAsia="zh-CN"/>
        </w:rPr>
        <w:t>临时占用国家二级公益林（天然林），</w:t>
      </w:r>
      <w:r>
        <w:rPr>
          <w:rFonts w:hint="default" w:ascii="Times New Roman" w:hAnsi="Times New Roman" w:cs="Times New Roman"/>
          <w:color w:val="auto"/>
          <w:kern w:val="0"/>
          <w:szCs w:val="24"/>
          <w:highlight w:val="none"/>
          <w:vertAlign w:val="baseline"/>
          <w:lang w:val="en-US" w:eastAsia="zh-CN" w:bidi="ar-SA"/>
        </w:rPr>
        <w:t>管线的走向布设尽量避开了植被茂密区域，</w:t>
      </w:r>
      <w:r>
        <w:rPr>
          <w:rFonts w:hint="default" w:ascii="Times New Roman" w:hAnsi="Times New Roman" w:cs="Times New Roman"/>
          <w:color w:val="auto"/>
          <w:highlight w:val="none"/>
        </w:rPr>
        <w:t>占用公益林应按《国家级公益林管理办法》办理占用手续并按规定缴纳林地森林植被恢复费用于林地恢复，实现占补平衡，减少对原生地表植被的破坏。</w:t>
      </w:r>
    </w:p>
    <w:p w14:paraId="17648CEC">
      <w:pPr>
        <w:pStyle w:val="12"/>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w:t>
      </w: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的集输管道设计严格遵守国家或行业标准《输油管道工程设计规范》（GB50253-2014）《石油天然气工程设计防火规范》（GB50183-2004）、《油气输送管道穿越工程设计规范》（GB50423-2013）《油气输送管道跨越工程设计规范》（GB50459-20</w:t>
      </w:r>
      <w:r>
        <w:rPr>
          <w:rFonts w:hint="eastAsia" w:ascii="Times New Roman" w:hAnsi="Times New Roman" w:eastAsia="宋体" w:cs="Times New Roman"/>
          <w:color w:val="auto"/>
          <w:highlight w:val="none"/>
          <w:lang w:val="en-US" w:eastAsia="zh-CN"/>
        </w:rPr>
        <w:t>17</w:t>
      </w:r>
      <w:r>
        <w:rPr>
          <w:rFonts w:hint="default" w:ascii="Times New Roman" w:hAnsi="Times New Roman" w:eastAsia="宋体" w:cs="Times New Roman"/>
          <w:color w:val="auto"/>
          <w:highlight w:val="none"/>
          <w:lang w:val="en-US" w:eastAsia="zh-CN"/>
        </w:rPr>
        <w:t>）；线路总体走向力求顺直，线路总体走向确定以后，局部线路走向应根据井场的位置作相应调整；井场靠近和利用现有</w:t>
      </w:r>
      <w:r>
        <w:rPr>
          <w:rFonts w:hint="eastAsia" w:ascii="Times New Roman" w:hAnsi="Times New Roman" w:eastAsia="宋体" w:cs="Times New Roman"/>
          <w:color w:val="auto"/>
          <w:highlight w:val="none"/>
          <w:lang w:val="en-US" w:eastAsia="zh-CN"/>
        </w:rPr>
        <w:t>气田</w:t>
      </w:r>
      <w:r>
        <w:rPr>
          <w:rFonts w:hint="default" w:ascii="Times New Roman" w:hAnsi="Times New Roman" w:eastAsia="宋体" w:cs="Times New Roman"/>
          <w:color w:val="auto"/>
          <w:highlight w:val="none"/>
          <w:lang w:val="en-US" w:eastAsia="zh-CN"/>
        </w:rPr>
        <w:t>公路，方便施工及运行管理；线路在无人区穿越，不涉及征地和拆迁；线路尽量避开不良工程地质区，保证管道运行安全可靠。</w:t>
      </w:r>
    </w:p>
    <w:p w14:paraId="718DBC56">
      <w:pPr>
        <w:pStyle w:val="12"/>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综上所述，从环境保护角度看，管道选线可行。</w:t>
      </w:r>
    </w:p>
    <w:p w14:paraId="7BCAE76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36"/>
          <w:szCs w:val="36"/>
          <w:highlight w:val="none"/>
        </w:rPr>
        <w:sectPr>
          <w:pgSz w:w="11906" w:h="16838"/>
          <w:pgMar w:top="1610" w:right="1689" w:bottom="1610" w:left="1689" w:header="907" w:footer="992" w:gutter="0"/>
          <w:pgBorders>
            <w:top w:val="none" w:sz="0" w:space="0"/>
            <w:left w:val="none" w:sz="0" w:space="0"/>
            <w:bottom w:val="none" w:sz="0" w:space="0"/>
            <w:right w:val="none" w:sz="0" w:space="0"/>
          </w:pgBorders>
          <w:pgNumType w:fmt="decimal"/>
          <w:cols w:space="720" w:num="1"/>
          <w:docGrid w:type="lines" w:linePitch="312" w:charSpace="0"/>
        </w:sectPr>
      </w:pPr>
    </w:p>
    <w:p w14:paraId="6919073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36"/>
          <w:szCs w:val="36"/>
          <w:highlight w:val="none"/>
        </w:rPr>
      </w:pPr>
      <w:bookmarkStart w:id="352" w:name="_Toc438"/>
      <w:bookmarkStart w:id="353" w:name="_Toc18428"/>
      <w:r>
        <w:rPr>
          <w:rFonts w:hint="default" w:ascii="Times New Roman" w:hAnsi="Times New Roman" w:cs="Times New Roman"/>
          <w:color w:val="auto"/>
          <w:sz w:val="36"/>
          <w:szCs w:val="36"/>
          <w:highlight w:val="none"/>
        </w:rPr>
        <w:t>4</w:t>
      </w:r>
      <w:r>
        <w:rPr>
          <w:rFonts w:hint="default" w:ascii="Times New Roman" w:hAnsi="Times New Roman" w:cs="Times New Roman"/>
          <w:color w:val="auto"/>
          <w:sz w:val="36"/>
          <w:szCs w:val="36"/>
          <w:highlight w:val="none"/>
          <w:lang w:val="en-US" w:eastAsia="zh-CN"/>
        </w:rPr>
        <w:t>.</w:t>
      </w:r>
      <w:r>
        <w:rPr>
          <w:rFonts w:hint="default" w:ascii="Times New Roman" w:hAnsi="Times New Roman" w:cs="Times New Roman"/>
          <w:color w:val="auto"/>
          <w:sz w:val="36"/>
          <w:szCs w:val="36"/>
          <w:highlight w:val="none"/>
        </w:rPr>
        <w:t>环境现状调查与评价</w:t>
      </w:r>
      <w:bookmarkEnd w:id="350"/>
      <w:bookmarkEnd w:id="351"/>
      <w:bookmarkEnd w:id="352"/>
      <w:bookmarkEnd w:id="353"/>
    </w:p>
    <w:p w14:paraId="0ED922B0">
      <w:pPr>
        <w:pStyle w:val="5"/>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354" w:name="_Toc18226"/>
      <w:bookmarkStart w:id="355" w:name="_Toc374724183"/>
      <w:bookmarkStart w:id="356" w:name="_Toc26151"/>
      <w:bookmarkStart w:id="357" w:name="_Toc75438892"/>
      <w:bookmarkStart w:id="358" w:name="_Toc508291886"/>
      <w:bookmarkStart w:id="359" w:name="_Toc42981108"/>
      <w:bookmarkStart w:id="360" w:name="_Toc4969"/>
      <w:r>
        <w:rPr>
          <w:rFonts w:hint="default" w:ascii="Times New Roman" w:hAnsi="Times New Roman" w:cs="Times New Roman"/>
          <w:color w:val="auto"/>
          <w:highlight w:val="none"/>
        </w:rPr>
        <w:t>4.1自然环境概况</w:t>
      </w:r>
      <w:bookmarkEnd w:id="354"/>
      <w:bookmarkEnd w:id="355"/>
      <w:bookmarkEnd w:id="356"/>
      <w:bookmarkEnd w:id="357"/>
      <w:bookmarkEnd w:id="358"/>
      <w:bookmarkEnd w:id="359"/>
      <w:bookmarkEnd w:id="360"/>
    </w:p>
    <w:p w14:paraId="362164B6">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361" w:name="_Toc14219"/>
      <w:bookmarkStart w:id="362" w:name="_Toc2407"/>
      <w:bookmarkStart w:id="363" w:name="_Toc30227"/>
      <w:r>
        <w:rPr>
          <w:rFonts w:hint="default" w:ascii="Times New Roman" w:hAnsi="Times New Roman" w:cs="Times New Roman"/>
          <w:color w:val="auto"/>
          <w:highlight w:val="none"/>
        </w:rPr>
        <w:t>4.1.1地理位置</w:t>
      </w:r>
      <w:bookmarkEnd w:id="361"/>
      <w:bookmarkEnd w:id="362"/>
      <w:bookmarkEnd w:id="363"/>
    </w:p>
    <w:p w14:paraId="4246323B">
      <w:pPr>
        <w:pStyle w:val="12"/>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本项目所在区域行政区划隶属于新疆阿克苏地区库车市。</w:t>
      </w:r>
      <w:r>
        <w:rPr>
          <w:rFonts w:hint="default" w:ascii="Times New Roman" w:hAnsi="Times New Roman" w:eastAsia="宋体" w:cs="Times New Roman"/>
          <w:color w:val="auto"/>
          <w:highlight w:val="none"/>
          <w:lang w:val="en-US" w:eastAsia="zh-CN"/>
        </w:rPr>
        <w:t>库车市地处东经82°35′～84°17′，北纬40°46′～42°35′之间，东与轮台县接壤，西与拜城县、新和县相邻，南与沙雅县、尉犁县毗邻，北隔天山山脉与和静县相望。县境南北最大长度193km，东西最大宽度164km，总面积为15379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p>
    <w:p w14:paraId="690DCD87">
      <w:pPr>
        <w:pStyle w:val="12"/>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本项目西北距库车市市区约</w:t>
      </w:r>
      <w:r>
        <w:rPr>
          <w:rFonts w:hint="eastAsia" w:ascii="Times New Roman" w:hAnsi="Times New Roman" w:eastAsia="宋体" w:cs="Times New Roman"/>
          <w:color w:val="auto"/>
          <w:highlight w:val="none"/>
          <w:lang w:val="en-US" w:eastAsia="zh-CN"/>
        </w:rPr>
        <w:t>75</w:t>
      </w:r>
      <w:r>
        <w:rPr>
          <w:rFonts w:hint="default" w:ascii="Times New Roman" w:hAnsi="Times New Roman" w:eastAsia="宋体" w:cs="Times New Roman"/>
          <w:color w:val="auto"/>
          <w:highlight w:val="none"/>
          <w:lang w:val="en-US" w:eastAsia="zh-CN"/>
        </w:rPr>
        <w:t>km。项目所处位置为塔河油田</w:t>
      </w:r>
      <w:r>
        <w:rPr>
          <w:rFonts w:hint="eastAsia" w:ascii="Times New Roman" w:hAnsi="Times New Roman" w:eastAsia="宋体" w:cs="Times New Roman"/>
          <w:color w:val="auto"/>
          <w:highlight w:val="none"/>
          <w:lang w:val="en-US" w:eastAsia="zh-CN"/>
        </w:rPr>
        <w:t>10区、8</w:t>
      </w:r>
      <w:r>
        <w:rPr>
          <w:rFonts w:hint="default" w:ascii="Times New Roman" w:hAnsi="Times New Roman" w:eastAsia="宋体" w:cs="Times New Roman"/>
          <w:color w:val="auto"/>
          <w:highlight w:val="none"/>
          <w:lang w:val="en-US" w:eastAsia="zh-CN"/>
        </w:rPr>
        <w:t>区，隶属塔河油田采油</w:t>
      </w:r>
      <w:r>
        <w:rPr>
          <w:rFonts w:hint="eastAsia" w:ascii="Times New Roman" w:hAnsi="Times New Roman" w:eastAsia="宋体" w:cs="Times New Roman"/>
          <w:color w:val="auto"/>
          <w:highlight w:val="none"/>
          <w:lang w:val="en-US" w:eastAsia="zh-CN"/>
        </w:rPr>
        <w:t>三</w:t>
      </w:r>
      <w:r>
        <w:rPr>
          <w:rFonts w:hint="default" w:ascii="Times New Roman" w:hAnsi="Times New Roman" w:eastAsia="宋体" w:cs="Times New Roman"/>
          <w:color w:val="auto"/>
          <w:highlight w:val="none"/>
          <w:lang w:val="en-US" w:eastAsia="zh-CN"/>
        </w:rPr>
        <w:t>厂管辖。地理位置见图</w:t>
      </w:r>
      <w:r>
        <w:rPr>
          <w:rFonts w:hint="eastAsia" w:ascii="Times New Roman" w:hAns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-1。</w:t>
      </w:r>
    </w:p>
    <w:p w14:paraId="4F891D44">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auto"/>
          <w:highlight w:val="none"/>
          <w:lang w:val="en-US" w:eastAsia="zh-CN"/>
        </w:rPr>
      </w:pPr>
      <w:bookmarkStart w:id="364" w:name="_Toc21001"/>
      <w:bookmarkStart w:id="365" w:name="_Toc18201"/>
      <w:bookmarkStart w:id="366" w:name="_Toc6707"/>
      <w:r>
        <w:rPr>
          <w:rFonts w:hint="default" w:ascii="Times New Roman" w:hAnsi="Times New Roman" w:cs="Times New Roman"/>
          <w:color w:val="auto"/>
          <w:highlight w:val="none"/>
        </w:rPr>
        <w:t>4.1.2地质构造</w:t>
      </w:r>
      <w:bookmarkEnd w:id="364"/>
      <w:bookmarkEnd w:id="365"/>
      <w:bookmarkEnd w:id="366"/>
    </w:p>
    <w:p w14:paraId="787D9DA6">
      <w:pPr>
        <w:pStyle w:val="12"/>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塔河油田构造位于塔里木盆地沙雅隆起中段阿克库勒凸起西南部，阿克苏凸起西部为哈拉哈塘凹陷，北部为雅克拉凸起，南部为顺托果勒隆起，东南部为满家尔拗陷，东部为草湖凹陷。</w:t>
      </w:r>
      <w:bookmarkStart w:id="367" w:name="_Toc30359"/>
      <w:bookmarkStart w:id="368" w:name="_Toc28229"/>
      <w:bookmarkStart w:id="369" w:name="_Toc20882"/>
    </w:p>
    <w:p w14:paraId="0D0B91BA">
      <w:pPr>
        <w:pStyle w:val="12"/>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cs="Times New Roman"/>
          <w:color w:val="auto"/>
          <w:highlight w:val="none"/>
          <w:lang w:val="en-US" w:eastAsia="zh-CN"/>
        </w:rPr>
        <w:t>阿克库勒凸起于加里东中－晚期形成凸起雏形，海西早期受区域性挤压抬升形成向西南倾伏的</w:t>
      </w:r>
      <w:r>
        <w:rPr>
          <w:rFonts w:hint="eastAsia" w:ascii="Times New Roman" w:hAnsi="Times New Roman" w:cs="Times New Roman"/>
          <w:color w:val="auto"/>
          <w:highlight w:val="none"/>
          <w:lang w:val="en-US" w:eastAsia="zh-CN"/>
        </w:rPr>
        <w:t>东北</w:t>
      </w:r>
      <w:r>
        <w:rPr>
          <w:rFonts w:hint="default" w:ascii="Times New Roman" w:hAnsi="Times New Roman" w:cs="Times New Roman"/>
          <w:color w:val="auto"/>
          <w:highlight w:val="none"/>
          <w:lang w:val="en-US" w:eastAsia="zh-CN"/>
        </w:rPr>
        <w:t>向展布的大型鼻凸，在长期的抬升暴露风化剥蚀过程中，使凸起大部分地区普遍缺失志留系－泥盆系及中、上奥陶统。海西晚期运动使凸起再次抬升暴露风化剥蚀，形成了一系列近东西向的褶皱和断裂系统，断块活动特征较为明显，大部分地区仅仅保留石炭系下统（缺失石炭系上统及二叠系），局部地区奥陶系碳酸盐岩暴露，同时造成海西早期运动形成的区域不整合面进一步南倾。这种构造面貌一直持续演化至印支－燕山期。印支－燕山期主压应力为NE－SW方向，持续性的稳定挤压，形成盐边三叠、侏罗系中的NEE向右行扭动张性断裂组合，同时导致工区东南侧下石炭统盐体的大规模塑性流动形成三叠、侏罗系盐边低幅度背斜构造带</w:t>
      </w:r>
      <w:r>
        <w:rPr>
          <w:rFonts w:hint="default" w:ascii="Times New Roman" w:hAnsi="Times New Roman" w:cs="Times New Roman"/>
          <w:b w:val="0"/>
          <w:bCs/>
          <w:color w:val="auto"/>
          <w:sz w:val="24"/>
          <w:highlight w:val="none"/>
          <w:lang w:eastAsia="zh-CN"/>
        </w:rPr>
        <w:t>。</w:t>
      </w:r>
    </w:p>
    <w:bookmarkEnd w:id="367"/>
    <w:bookmarkEnd w:id="368"/>
    <w:bookmarkEnd w:id="369"/>
    <w:p w14:paraId="77FD4685">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370" w:name="_Toc31167"/>
      <w:bookmarkStart w:id="371" w:name="_Toc21624"/>
      <w:bookmarkStart w:id="372" w:name="_Toc17245"/>
      <w:r>
        <w:rPr>
          <w:rFonts w:hint="default" w:ascii="Times New Roman" w:hAnsi="Times New Roman" w:cs="Times New Roman"/>
          <w:color w:val="auto"/>
          <w:highlight w:val="none"/>
        </w:rPr>
        <w:t>4.1.</w:t>
      </w:r>
      <w:bookmarkEnd w:id="370"/>
      <w:bookmarkEnd w:id="371"/>
      <w:bookmarkEnd w:id="372"/>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水文与水文地质</w:t>
      </w:r>
    </w:p>
    <w:p w14:paraId="07B1DB56">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.1水文</w:t>
      </w:r>
    </w:p>
    <w:p w14:paraId="2B4554A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sectPr>
          <w:headerReference r:id="rId16" w:type="default"/>
          <w:footerReference r:id="rId17" w:type="default"/>
          <w:pgSz w:w="11906" w:h="16838"/>
          <w:pgMar w:top="1610" w:right="1689" w:bottom="1610" w:left="1689" w:header="907"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highlight w:val="none"/>
          <w:lang w:val="en-US" w:eastAsia="zh-CN"/>
        </w:rPr>
        <w:t>区域内主要地表水体为英达里亚河</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塔里木河</w:t>
      </w:r>
      <w:r>
        <w:rPr>
          <w:rFonts w:hint="eastAsia" w:cs="Times New Roman"/>
          <w:color w:val="auto"/>
          <w:highlight w:val="none"/>
          <w:lang w:val="en-US" w:eastAsia="zh-CN"/>
        </w:rPr>
        <w:t>和木日达里亚河</w:t>
      </w:r>
      <w:r>
        <w:rPr>
          <w:rFonts w:hint="default" w:ascii="Times New Roman" w:hAnsi="Times New Roman" w:cs="Times New Roman"/>
          <w:color w:val="auto"/>
          <w:highlight w:val="none"/>
          <w:lang w:val="en-US" w:eastAsia="zh-CN"/>
        </w:rPr>
        <w:t>，主要水体功能为灌溉。</w:t>
      </w:r>
    </w:p>
    <w:p w14:paraId="689F7E9A">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英达里亚河：渭干河流出山口后分为东西两支，西支是主河道，经三县分水后有少量余水下泄，可输至沙雅县境内，东支英达里亚河，在1992年黑孜水库未建成前，为渭干河的泄洪河道，最后注入草湖地区巴依孜湖，水库建成后只在大洪水年份有水下泄，渭干河现已与塔里木河干流失去地表水力联系，英达里亚河现状主要功</w:t>
      </w:r>
      <w:r>
        <w:rPr>
          <w:rFonts w:hint="default" w:ascii="Times New Roman" w:hAnsi="Times New Roman" w:eastAsia="宋体" w:cs="Times New Roman"/>
          <w:color w:val="auto"/>
          <w:highlight w:val="none"/>
          <w:lang w:val="en-US" w:eastAsia="zh-CN"/>
        </w:rPr>
        <w:t>能为农业排水通道，同时也是渭干河的一条分支退洪河道，由于切割较深，在枯水期也是一条重要的地下水排泄通道。</w:t>
      </w:r>
    </w:p>
    <w:p w14:paraId="0381E173">
      <w:pPr>
        <w:pStyle w:val="1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塔里木河：塔里木河是我国最长的内陆河流，干流全长1321km，位于天山以南，由塔里木盆地周边的叶尔羌河、喀什噶尔河、阿克苏河和孔雀河以及包括渭干河在内的144条河流汇集而成，流域总面积102万km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，流域内144条大小河流的水资源总量为429亿m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p w14:paraId="07ECEAA5">
      <w:pPr>
        <w:adjustRightInd w:val="0"/>
        <w:snapToGrid w:val="0"/>
        <w:spacing w:line="360" w:lineRule="auto"/>
        <w:ind w:firstLine="464" w:firstLineChars="200"/>
        <w:jc w:val="both"/>
        <w:rPr>
          <w:rFonts w:ascii="Times New Roman" w:hAnsi="Times New Roman" w:cs="Times New Roman"/>
          <w:color w:val="auto"/>
          <w:spacing w:val="-4"/>
          <w:highlight w:val="none"/>
        </w:rPr>
      </w:pPr>
      <w:r>
        <w:rPr>
          <w:rFonts w:ascii="Times New Roman" w:hAnsi="Times New Roman" w:cs="Times New Roman"/>
          <w:color w:val="auto"/>
          <w:spacing w:val="-4"/>
          <w:highlight w:val="none"/>
        </w:rPr>
        <w:t>木日</w:t>
      </w:r>
      <w:r>
        <w:rPr>
          <w:rFonts w:hint="eastAsia" w:ascii="Times New Roman" w:hAnsi="Times New Roman" w:cs="Times New Roman"/>
          <w:color w:val="auto"/>
          <w:spacing w:val="-4"/>
          <w:highlight w:val="none"/>
          <w:lang w:val="en-US" w:eastAsia="zh-CN"/>
        </w:rPr>
        <w:t>达里亚</w:t>
      </w:r>
      <w:r>
        <w:rPr>
          <w:rFonts w:ascii="Times New Roman" w:hAnsi="Times New Roman" w:cs="Times New Roman"/>
          <w:color w:val="auto"/>
          <w:spacing w:val="-4"/>
          <w:highlight w:val="none"/>
        </w:rPr>
        <w:t>河</w:t>
      </w:r>
      <w:r>
        <w:rPr>
          <w:rFonts w:hint="eastAsia" w:ascii="Times New Roman" w:hAnsi="Times New Roman" w:cs="Times New Roman"/>
          <w:color w:val="auto"/>
          <w:spacing w:val="-4"/>
          <w:highlight w:val="none"/>
          <w:lang w:eastAsia="zh-CN"/>
        </w:rPr>
        <w:t>：</w:t>
      </w:r>
      <w:r>
        <w:rPr>
          <w:rFonts w:ascii="Times New Roman" w:hAnsi="Times New Roman" w:cs="Times New Roman"/>
          <w:color w:val="auto"/>
          <w:spacing w:val="-4"/>
          <w:highlight w:val="none"/>
        </w:rPr>
        <w:t>属渭干河排洪沟——英达里亚河的延续，也是草湖区流经的主要水流，其河道宽度只有20～30m，纵坡高1/3000～1/10000。木日</w:t>
      </w:r>
      <w:r>
        <w:rPr>
          <w:rFonts w:hint="eastAsia" w:ascii="Times New Roman" w:hAnsi="Times New Roman" w:cs="Times New Roman"/>
          <w:color w:val="auto"/>
          <w:spacing w:val="-4"/>
          <w:highlight w:val="none"/>
          <w:lang w:val="en-US" w:eastAsia="zh-CN"/>
        </w:rPr>
        <w:t>达里亚</w:t>
      </w:r>
      <w:r>
        <w:rPr>
          <w:rFonts w:ascii="Times New Roman" w:hAnsi="Times New Roman" w:cs="Times New Roman"/>
          <w:color w:val="auto"/>
          <w:spacing w:val="-4"/>
          <w:highlight w:val="none"/>
        </w:rPr>
        <w:t>河流域实际上是多余洪水的“承泄区”，不同的是，枯水期尚有上游灌区的闲弃水和回归水汇入，使木日</w:t>
      </w:r>
      <w:r>
        <w:rPr>
          <w:rFonts w:hint="eastAsia" w:ascii="Times New Roman" w:hAnsi="Times New Roman" w:cs="Times New Roman"/>
          <w:color w:val="auto"/>
          <w:spacing w:val="-4"/>
          <w:highlight w:val="none"/>
          <w:lang w:val="en-US" w:eastAsia="zh-CN"/>
        </w:rPr>
        <w:t>达里亚</w:t>
      </w:r>
      <w:r>
        <w:rPr>
          <w:rFonts w:ascii="Times New Roman" w:hAnsi="Times New Roman" w:cs="Times New Roman"/>
          <w:color w:val="auto"/>
          <w:spacing w:val="-4"/>
          <w:highlight w:val="none"/>
        </w:rPr>
        <w:t>河成为有常流水的小河。木日</w:t>
      </w:r>
      <w:r>
        <w:rPr>
          <w:rFonts w:hint="eastAsia" w:ascii="Times New Roman" w:hAnsi="Times New Roman" w:cs="Times New Roman"/>
          <w:color w:val="auto"/>
          <w:spacing w:val="-4"/>
          <w:highlight w:val="none"/>
          <w:lang w:val="en-US" w:eastAsia="zh-CN"/>
        </w:rPr>
        <w:t>达里亚</w:t>
      </w:r>
      <w:r>
        <w:rPr>
          <w:rFonts w:ascii="Times New Roman" w:hAnsi="Times New Roman" w:cs="Times New Roman"/>
          <w:color w:val="auto"/>
          <w:spacing w:val="-4"/>
          <w:highlight w:val="none"/>
        </w:rPr>
        <w:t>河源流从下草湖东南口算起，流经库车</w:t>
      </w:r>
      <w:r>
        <w:rPr>
          <w:rFonts w:hint="eastAsia" w:cs="Times New Roman"/>
          <w:color w:val="auto"/>
          <w:spacing w:val="-4"/>
          <w:highlight w:val="none"/>
          <w:lang w:val="en-US" w:eastAsia="zh-CN"/>
        </w:rPr>
        <w:t>市</w:t>
      </w:r>
      <w:r>
        <w:rPr>
          <w:rFonts w:ascii="Times New Roman" w:hAnsi="Times New Roman" w:cs="Times New Roman"/>
          <w:color w:val="auto"/>
          <w:spacing w:val="-4"/>
          <w:highlight w:val="none"/>
        </w:rPr>
        <w:t>塔里木乡、种羊场、草湖牧场和轮台县桑塔木林场北部，并消失在荒漠之中。</w:t>
      </w:r>
      <w:r>
        <w:rPr>
          <w:rFonts w:hint="eastAsia" w:ascii="Times New Roman" w:hAnsi="Times New Roman" w:cs="Times New Roman"/>
          <w:color w:val="auto"/>
          <w:spacing w:val="-4"/>
          <w:highlight w:val="none"/>
        </w:rPr>
        <w:t>木日</w:t>
      </w:r>
      <w:r>
        <w:rPr>
          <w:rFonts w:hint="eastAsia" w:ascii="Times New Roman" w:hAnsi="Times New Roman" w:cs="Times New Roman"/>
          <w:color w:val="auto"/>
          <w:spacing w:val="-4"/>
          <w:highlight w:val="none"/>
          <w:lang w:val="en-US" w:eastAsia="zh-CN"/>
        </w:rPr>
        <w:t>达里亚</w:t>
      </w:r>
      <w:r>
        <w:rPr>
          <w:rFonts w:hint="eastAsia" w:ascii="Times New Roman" w:hAnsi="Times New Roman" w:cs="Times New Roman"/>
          <w:color w:val="auto"/>
          <w:spacing w:val="-4"/>
          <w:highlight w:val="none"/>
        </w:rPr>
        <w:t>河</w:t>
      </w:r>
      <w:r>
        <w:rPr>
          <w:rFonts w:ascii="Times New Roman" w:hAnsi="Times New Roman" w:cs="Times New Roman"/>
          <w:color w:val="auto"/>
          <w:spacing w:val="-4"/>
          <w:highlight w:val="none"/>
        </w:rPr>
        <w:t>从塔河油田8区中穿过。</w:t>
      </w:r>
    </w:p>
    <w:p w14:paraId="3548D755">
      <w:pPr>
        <w:adjustRightInd w:val="0"/>
        <w:snapToGrid w:val="0"/>
        <w:spacing w:line="360" w:lineRule="auto"/>
        <w:ind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距离</w:t>
      </w:r>
      <w:r>
        <w:rPr>
          <w:rFonts w:hint="eastAsia" w:cs="Times New Roman"/>
          <w:color w:val="auto"/>
          <w:highlight w:val="none"/>
          <w:lang w:val="en-US" w:eastAsia="zh-CN"/>
        </w:rPr>
        <w:t>木日达里亚</w:t>
      </w:r>
      <w:r>
        <w:rPr>
          <w:rFonts w:hint="default" w:ascii="Times New Roman" w:hAnsi="Times New Roman" w:eastAsia="宋体" w:cs="Times New Roman"/>
          <w:color w:val="auto"/>
          <w:highlight w:val="none"/>
          <w:lang w:val="en-US" w:eastAsia="zh-CN"/>
        </w:rPr>
        <w:t>河最近距离为</w:t>
      </w:r>
      <w:r>
        <w:rPr>
          <w:rFonts w:hint="eastAsia" w:cs="Times New Roman"/>
          <w:color w:val="auto"/>
          <w:highlight w:val="none"/>
          <w:lang w:val="en-US" w:eastAsia="zh-CN"/>
        </w:rPr>
        <w:t>170</w:t>
      </w:r>
      <w:r>
        <w:rPr>
          <w:rFonts w:hint="default" w:ascii="Times New Roman" w:hAnsi="Times New Roman" w:eastAsia="宋体" w:cs="Times New Roman"/>
          <w:color w:val="auto"/>
          <w:highlight w:val="none"/>
          <w:lang w:val="en-US" w:eastAsia="zh-CN"/>
        </w:rPr>
        <w:t>m。</w:t>
      </w:r>
    </w:p>
    <w:p w14:paraId="74CA5360">
      <w:pPr>
        <w:pStyle w:val="7"/>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.2区域水文地质</w:t>
      </w:r>
    </w:p>
    <w:p w14:paraId="5889B9A1">
      <w:pPr>
        <w:adjustRightInd w:val="0"/>
        <w:spacing w:line="360" w:lineRule="auto"/>
        <w:ind w:firstLine="480" w:firstLineChars="200"/>
        <w:jc w:val="both"/>
        <w:rPr>
          <w:rFonts w:ascii="Times New Roman" w:hAnsi="Times New Roman" w:eastAsia="宋体" w:cs="Times New Roman"/>
          <w:color w:val="auto"/>
          <w:highlight w:val="none"/>
        </w:rPr>
      </w:pPr>
      <w:bookmarkStart w:id="373" w:name="_Toc21505"/>
      <w:bookmarkStart w:id="374" w:name="_Toc6462"/>
      <w:bookmarkStart w:id="375" w:name="_Toc16350"/>
      <w:r>
        <w:rPr>
          <w:rFonts w:ascii="Times New Roman" w:hAnsi="Times New Roman" w:eastAsia="宋体" w:cs="Times New Roman"/>
          <w:color w:val="auto"/>
          <w:highlight w:val="none"/>
        </w:rPr>
        <w:t>区域地下水在北部砾质平原接受大气降水、河渠水的渗漏补给，沿地层倾斜方向</w:t>
      </w:r>
      <w:r>
        <w:rPr>
          <w:rFonts w:hint="eastAsia" w:cs="Times New Roman"/>
          <w:color w:val="auto"/>
          <w:highlight w:val="none"/>
          <w:lang w:val="en-US" w:eastAsia="zh-CN"/>
        </w:rPr>
        <w:t>往东南</w:t>
      </w:r>
      <w:r>
        <w:rPr>
          <w:rFonts w:ascii="Times New Roman" w:hAnsi="Times New Roman" w:eastAsia="宋体" w:cs="Times New Roman"/>
          <w:color w:val="auto"/>
          <w:highlight w:val="none"/>
        </w:rPr>
        <w:t>运动，径流进入细土平原。根据区内地形、地貌、地质特征分析，自天山山前至塔里木河，含水层颗粒由卵石、圆砾渐变为粉细砂，由单层渐变为多层。</w:t>
      </w:r>
      <w:r>
        <w:rPr>
          <w:rFonts w:hint="eastAsia" w:cs="Times New Roman"/>
          <w:color w:val="auto"/>
          <w:highlight w:val="none"/>
          <w:lang w:eastAsia="zh-CN"/>
        </w:rPr>
        <w:t>黏性</w:t>
      </w:r>
      <w:r>
        <w:rPr>
          <w:rFonts w:ascii="Times New Roman" w:hAnsi="Times New Roman" w:eastAsia="宋体" w:cs="Times New Roman"/>
          <w:color w:val="auto"/>
          <w:highlight w:val="none"/>
        </w:rPr>
        <w:t>土从无到有渐增为多层，从而形成垂向上多层含水层和隔水层交互出现的综合含水组，即形成上部为潜水、下部为承压水的含水层组。下部承压水头随深度增加而增大，致使地下水在水平运动的同时不断向上运动，顶托补给上部潜水，最终以地面蒸发和植物蒸腾的形式</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隐蔽蒸发</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排泄。下部承压水水质相对优良。上部潜水在砾质平原由于埋藏深，处于补给径流区，水质优良，至细土平原，由于埋藏浅，垂直蒸发强烈，造成潜水强烈浓缩，水质大多恶劣，不能饮用，其含盐量甚至可达50g/l以上，以Cl·SO</w:t>
      </w:r>
      <w:r>
        <w:rPr>
          <w:rFonts w:ascii="Times New Roman" w:hAnsi="Times New Roman" w:eastAsia="宋体" w:cs="Times New Roman"/>
          <w:color w:val="auto"/>
          <w:highlight w:val="none"/>
          <w:vertAlign w:val="subscript"/>
        </w:rPr>
        <w:t>4</w:t>
      </w:r>
      <w:r>
        <w:rPr>
          <w:rFonts w:ascii="Times New Roman" w:hAnsi="Times New Roman" w:eastAsia="宋体" w:cs="Times New Roman"/>
          <w:color w:val="auto"/>
          <w:highlight w:val="none"/>
        </w:rPr>
        <w:t>-Na型水为主，不适于人类和牲畜饮用。</w:t>
      </w:r>
    </w:p>
    <w:p w14:paraId="0F35E4FE">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气候、气象</w:t>
      </w:r>
      <w:bookmarkEnd w:id="373"/>
      <w:bookmarkEnd w:id="374"/>
      <w:bookmarkEnd w:id="375"/>
    </w:p>
    <w:p w14:paraId="6C475811">
      <w:pPr>
        <w:pStyle w:val="12"/>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库车市地处暖温带，热量丰富，气候干燥，降水稀少，夏季炎热，冬季干冷，年温差和日温差都很大，属暖温带大陆性干旱气候。据库车市气象站近20年观测资料统计，主要常规气象要素统计资料见表4.1-1</w:t>
      </w:r>
      <w:r>
        <w:rPr>
          <w:rFonts w:hint="default" w:ascii="Times New Roman" w:hAnsi="Times New Roman" w:cs="Times New Roman"/>
          <w:color w:val="auto"/>
          <w:highlight w:val="none"/>
        </w:rPr>
        <w:t>。</w:t>
      </w:r>
    </w:p>
    <w:p w14:paraId="52FE1DC8">
      <w:pPr>
        <w:pStyle w:val="44"/>
        <w:keepNext w:val="0"/>
        <w:keepLines w:val="0"/>
        <w:pageBreakBefore w:val="0"/>
        <w:widowControl w:val="0"/>
        <w:kinsoku/>
        <w:wordWrap/>
        <w:overflowPunct/>
        <w:topLinePunct w:val="0"/>
        <w:autoSpaceDE/>
        <w:autoSpaceDN/>
        <w:bidi w:val="0"/>
        <w:adjustRightInd w:val="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表4.1-</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highlight w:val="none"/>
          <w:lang w:val="en-US" w:eastAsia="zh-CN"/>
        </w:rPr>
        <w:t>库车市主要气候要素一览表</w:t>
      </w:r>
    </w:p>
    <w:tbl>
      <w:tblPr>
        <w:tblStyle w:val="6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78"/>
        <w:gridCol w:w="2104"/>
        <w:gridCol w:w="1208"/>
        <w:gridCol w:w="585"/>
        <w:gridCol w:w="2241"/>
        <w:gridCol w:w="1525"/>
      </w:tblGrid>
      <w:tr w14:paraId="42CB7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14" w:type="pct"/>
            <w:tcBorders>
              <w:top w:val="single" w:color="000000" w:sz="6" w:space="0"/>
              <w:left w:val="single" w:color="000000" w:sz="6" w:space="0"/>
            </w:tcBorders>
            <w:vAlign w:val="center"/>
          </w:tcPr>
          <w:p w14:paraId="3344258A">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231" w:type="pct"/>
            <w:tcBorders>
              <w:top w:val="single" w:color="000000" w:sz="6" w:space="0"/>
            </w:tcBorders>
            <w:vAlign w:val="center"/>
          </w:tcPr>
          <w:p w14:paraId="6FA7F892">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p>
        </w:tc>
        <w:tc>
          <w:tcPr>
            <w:tcW w:w="707" w:type="pct"/>
            <w:tcBorders>
              <w:top w:val="single" w:color="000000" w:sz="6" w:space="0"/>
            </w:tcBorders>
            <w:vAlign w:val="center"/>
          </w:tcPr>
          <w:p w14:paraId="136A19CB">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统计结果</w:t>
            </w:r>
          </w:p>
        </w:tc>
        <w:tc>
          <w:tcPr>
            <w:tcW w:w="342" w:type="pct"/>
            <w:tcBorders>
              <w:top w:val="single" w:color="000000" w:sz="6" w:space="0"/>
            </w:tcBorders>
            <w:vAlign w:val="center"/>
          </w:tcPr>
          <w:p w14:paraId="6DE66BE0">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311" w:type="pct"/>
            <w:tcBorders>
              <w:top w:val="single" w:color="000000" w:sz="6" w:space="0"/>
            </w:tcBorders>
            <w:vAlign w:val="center"/>
          </w:tcPr>
          <w:p w14:paraId="05F184F8">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p>
        </w:tc>
        <w:tc>
          <w:tcPr>
            <w:tcW w:w="892" w:type="pct"/>
            <w:tcBorders>
              <w:top w:val="single" w:color="000000" w:sz="6" w:space="0"/>
              <w:right w:val="single" w:color="000000" w:sz="6" w:space="0"/>
            </w:tcBorders>
            <w:vAlign w:val="center"/>
          </w:tcPr>
          <w:p w14:paraId="5D754E0E">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统计结果</w:t>
            </w:r>
          </w:p>
        </w:tc>
      </w:tr>
      <w:tr w14:paraId="5B01E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514" w:type="pct"/>
            <w:tcBorders>
              <w:left w:val="single" w:color="000000" w:sz="6" w:space="0"/>
            </w:tcBorders>
            <w:vAlign w:val="center"/>
          </w:tcPr>
          <w:p w14:paraId="68980D24">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1231" w:type="pct"/>
            <w:vAlign w:val="center"/>
          </w:tcPr>
          <w:p w14:paraId="385E4A80">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年平均气温</w:t>
            </w:r>
          </w:p>
        </w:tc>
        <w:tc>
          <w:tcPr>
            <w:tcW w:w="707" w:type="pct"/>
            <w:vAlign w:val="center"/>
          </w:tcPr>
          <w:p w14:paraId="449D56A2">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11.1℃</w:t>
            </w:r>
          </w:p>
        </w:tc>
        <w:tc>
          <w:tcPr>
            <w:tcW w:w="342" w:type="pct"/>
            <w:vAlign w:val="center"/>
          </w:tcPr>
          <w:p w14:paraId="5D513CB7">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1311" w:type="pct"/>
            <w:vAlign w:val="center"/>
          </w:tcPr>
          <w:p w14:paraId="255F2CFB">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多年平均风速</w:t>
            </w:r>
          </w:p>
        </w:tc>
        <w:tc>
          <w:tcPr>
            <w:tcW w:w="892" w:type="pct"/>
            <w:tcBorders>
              <w:right w:val="single" w:color="000000" w:sz="6" w:space="0"/>
            </w:tcBorders>
            <w:vAlign w:val="center"/>
          </w:tcPr>
          <w:p w14:paraId="7853B7B7">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1.8m/s</w:t>
            </w:r>
          </w:p>
        </w:tc>
      </w:tr>
      <w:tr w14:paraId="05C9C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14" w:type="pct"/>
            <w:tcBorders>
              <w:left w:val="single" w:color="000000" w:sz="6" w:space="0"/>
            </w:tcBorders>
            <w:vAlign w:val="center"/>
          </w:tcPr>
          <w:p w14:paraId="6C5CCDB7">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231" w:type="pct"/>
            <w:vAlign w:val="center"/>
          </w:tcPr>
          <w:p w14:paraId="27C5560D">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极端最高气温</w:t>
            </w:r>
          </w:p>
        </w:tc>
        <w:tc>
          <w:tcPr>
            <w:tcW w:w="707" w:type="pct"/>
            <w:vAlign w:val="center"/>
          </w:tcPr>
          <w:p w14:paraId="652F1055">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40.8℃</w:t>
            </w:r>
          </w:p>
        </w:tc>
        <w:tc>
          <w:tcPr>
            <w:tcW w:w="342" w:type="pct"/>
            <w:vAlign w:val="center"/>
          </w:tcPr>
          <w:p w14:paraId="203E539D">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1311" w:type="pct"/>
            <w:vAlign w:val="center"/>
          </w:tcPr>
          <w:p w14:paraId="0888159D">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年日照时数</w:t>
            </w:r>
          </w:p>
        </w:tc>
        <w:tc>
          <w:tcPr>
            <w:tcW w:w="892" w:type="pct"/>
            <w:tcBorders>
              <w:right w:val="single" w:color="000000" w:sz="6" w:space="0"/>
            </w:tcBorders>
            <w:vAlign w:val="center"/>
          </w:tcPr>
          <w:p w14:paraId="6001353E">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2863.7h</w:t>
            </w:r>
          </w:p>
        </w:tc>
      </w:tr>
      <w:tr w14:paraId="0AAF4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514" w:type="pct"/>
            <w:tcBorders>
              <w:left w:val="single" w:color="000000" w:sz="6" w:space="0"/>
            </w:tcBorders>
            <w:vAlign w:val="center"/>
          </w:tcPr>
          <w:p w14:paraId="5AD6FC9A">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231" w:type="pct"/>
            <w:vAlign w:val="center"/>
          </w:tcPr>
          <w:p w14:paraId="2B5A3D08">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极端最低气温</w:t>
            </w:r>
          </w:p>
        </w:tc>
        <w:tc>
          <w:tcPr>
            <w:tcW w:w="707" w:type="pct"/>
            <w:vAlign w:val="center"/>
          </w:tcPr>
          <w:p w14:paraId="4E6DF894">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-23.7℃</w:t>
            </w:r>
          </w:p>
        </w:tc>
        <w:tc>
          <w:tcPr>
            <w:tcW w:w="342" w:type="pct"/>
            <w:vAlign w:val="center"/>
          </w:tcPr>
          <w:p w14:paraId="0E5866B4">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1311" w:type="pct"/>
            <w:vAlign w:val="center"/>
          </w:tcPr>
          <w:p w14:paraId="213B0994">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年最大降雨量</w:t>
            </w:r>
          </w:p>
        </w:tc>
        <w:tc>
          <w:tcPr>
            <w:tcW w:w="892" w:type="pct"/>
            <w:tcBorders>
              <w:right w:val="single" w:color="000000" w:sz="6" w:space="0"/>
            </w:tcBorders>
            <w:vAlign w:val="center"/>
          </w:tcPr>
          <w:p w14:paraId="4D1DC0AD">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145.7mm</w:t>
            </w:r>
          </w:p>
        </w:tc>
      </w:tr>
      <w:tr w14:paraId="2EB78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14" w:type="pct"/>
            <w:tcBorders>
              <w:left w:val="single" w:color="000000" w:sz="6" w:space="0"/>
            </w:tcBorders>
            <w:vAlign w:val="center"/>
          </w:tcPr>
          <w:p w14:paraId="4E2E553D">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231" w:type="pct"/>
            <w:vAlign w:val="center"/>
          </w:tcPr>
          <w:p w14:paraId="7EE5C9CA">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年平均相对湿度</w:t>
            </w:r>
          </w:p>
        </w:tc>
        <w:tc>
          <w:tcPr>
            <w:tcW w:w="707" w:type="pct"/>
            <w:vAlign w:val="center"/>
          </w:tcPr>
          <w:p w14:paraId="313877AF">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51%</w:t>
            </w:r>
          </w:p>
        </w:tc>
        <w:tc>
          <w:tcPr>
            <w:tcW w:w="342" w:type="pct"/>
            <w:vAlign w:val="center"/>
          </w:tcPr>
          <w:p w14:paraId="2A4B4F02">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1311" w:type="pct"/>
            <w:vAlign w:val="center"/>
          </w:tcPr>
          <w:p w14:paraId="23F7B3C4">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年平均降雨量</w:t>
            </w:r>
          </w:p>
        </w:tc>
        <w:tc>
          <w:tcPr>
            <w:tcW w:w="892" w:type="pct"/>
            <w:tcBorders>
              <w:right w:val="single" w:color="000000" w:sz="6" w:space="0"/>
            </w:tcBorders>
            <w:vAlign w:val="center"/>
          </w:tcPr>
          <w:p w14:paraId="0BBF854D">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82.2mm</w:t>
            </w:r>
          </w:p>
        </w:tc>
      </w:tr>
      <w:tr w14:paraId="7B808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514" w:type="pct"/>
            <w:tcBorders>
              <w:left w:val="single" w:color="000000" w:sz="6" w:space="0"/>
              <w:bottom w:val="single" w:color="000000" w:sz="6" w:space="0"/>
            </w:tcBorders>
            <w:vAlign w:val="center"/>
          </w:tcPr>
          <w:p w14:paraId="6C198F02">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231" w:type="pct"/>
            <w:tcBorders>
              <w:bottom w:val="single" w:color="000000" w:sz="6" w:space="0"/>
            </w:tcBorders>
            <w:vAlign w:val="center"/>
          </w:tcPr>
          <w:p w14:paraId="0A9645F0">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年最多风向及频率</w:t>
            </w:r>
          </w:p>
        </w:tc>
        <w:tc>
          <w:tcPr>
            <w:tcW w:w="707" w:type="pct"/>
            <w:tcBorders>
              <w:bottom w:val="single" w:color="000000" w:sz="6" w:space="0"/>
            </w:tcBorders>
            <w:vAlign w:val="center"/>
          </w:tcPr>
          <w:p w14:paraId="1804163A">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N/15.9%</w:t>
            </w:r>
          </w:p>
        </w:tc>
        <w:tc>
          <w:tcPr>
            <w:tcW w:w="342" w:type="pct"/>
            <w:tcBorders>
              <w:bottom w:val="single" w:color="000000" w:sz="6" w:space="0"/>
            </w:tcBorders>
            <w:vAlign w:val="center"/>
          </w:tcPr>
          <w:p w14:paraId="3FA8F157">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311" w:type="pct"/>
            <w:tcBorders>
              <w:bottom w:val="single" w:color="000000" w:sz="6" w:space="0"/>
            </w:tcBorders>
            <w:vAlign w:val="center"/>
          </w:tcPr>
          <w:p w14:paraId="2B7CE830">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平均年蒸发量</w:t>
            </w:r>
          </w:p>
        </w:tc>
        <w:tc>
          <w:tcPr>
            <w:tcW w:w="892" w:type="pct"/>
            <w:tcBorders>
              <w:bottom w:val="single" w:color="000000" w:sz="6" w:space="0"/>
              <w:right w:val="single" w:color="000000" w:sz="6" w:space="0"/>
            </w:tcBorders>
            <w:vAlign w:val="center"/>
          </w:tcPr>
          <w:p w14:paraId="4AAFBB01">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2012.3mm</w:t>
            </w:r>
          </w:p>
        </w:tc>
      </w:tr>
    </w:tbl>
    <w:p w14:paraId="1C3B088E">
      <w:pPr>
        <w:pStyle w:val="5"/>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eastAsia="宋体" w:cs="Times New Roman"/>
          <w:b/>
          <w:snapToGrid w:val="0"/>
          <w:color w:val="auto"/>
          <w:kern w:val="0"/>
          <w:sz w:val="28"/>
          <w:szCs w:val="21"/>
          <w:highlight w:val="none"/>
          <w:lang w:val="en-US" w:eastAsia="en-US" w:bidi="ar-SA"/>
        </w:rPr>
      </w:pPr>
      <w:bookmarkStart w:id="376" w:name="_Toc361761832"/>
      <w:bookmarkStart w:id="377" w:name="_Toc42981109"/>
      <w:bookmarkStart w:id="378" w:name="_Toc508291888"/>
      <w:bookmarkStart w:id="379" w:name="_Toc75438893"/>
      <w:bookmarkStart w:id="380" w:name="_Toc353966740"/>
      <w:bookmarkStart w:id="381" w:name="_Toc10770"/>
      <w:bookmarkStart w:id="382" w:name="_Toc374724185"/>
      <w:bookmarkStart w:id="383" w:name="_Toc11334"/>
      <w:bookmarkStart w:id="384" w:name="_Toc9396"/>
      <w:r>
        <w:rPr>
          <w:rFonts w:hint="default" w:ascii="Times New Roman" w:hAnsi="Times New Roman" w:cs="Times New Roman"/>
          <w:color w:val="auto"/>
          <w:highlight w:val="none"/>
        </w:rPr>
        <w:t>4.2</w:t>
      </w:r>
      <w:bookmarkEnd w:id="376"/>
      <w:bookmarkEnd w:id="377"/>
      <w:bookmarkEnd w:id="378"/>
      <w:bookmarkEnd w:id="379"/>
      <w:bookmarkEnd w:id="380"/>
      <w:bookmarkEnd w:id="381"/>
      <w:bookmarkEnd w:id="382"/>
      <w:bookmarkStart w:id="385" w:name="_Toc75438895"/>
      <w:bookmarkStart w:id="386" w:name="_Toc31206"/>
      <w:bookmarkStart w:id="387" w:name="_Toc75438894"/>
      <w:bookmarkStart w:id="388" w:name="_Toc13474"/>
      <w:bookmarkStart w:id="389" w:name="_Toc75438898"/>
      <w:r>
        <w:rPr>
          <w:rFonts w:hint="default" w:ascii="Times New Roman" w:hAnsi="Times New Roman" w:eastAsia="宋体" w:cs="Times New Roman"/>
          <w:b/>
          <w:snapToGrid w:val="0"/>
          <w:color w:val="auto"/>
          <w:kern w:val="0"/>
          <w:sz w:val="28"/>
          <w:szCs w:val="21"/>
          <w:highlight w:val="none"/>
          <w:lang w:val="en-US" w:eastAsia="en-US" w:bidi="ar-SA"/>
        </w:rPr>
        <w:t>环境空气质量现状调查与评价</w:t>
      </w:r>
      <w:bookmarkEnd w:id="383"/>
      <w:bookmarkEnd w:id="384"/>
      <w:bookmarkEnd w:id="385"/>
      <w:bookmarkEnd w:id="386"/>
    </w:p>
    <w:p w14:paraId="6029BE72">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28"/>
          <w:szCs w:val="28"/>
          <w:highlight w:val="none"/>
        </w:rPr>
      </w:pPr>
      <w:bookmarkStart w:id="390" w:name="_Toc25540"/>
      <w:bookmarkStart w:id="391" w:name="_Toc23959"/>
      <w:bookmarkStart w:id="392" w:name="_Toc10290"/>
      <w:bookmarkStart w:id="393" w:name="_Hlk48604214"/>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.1</w:t>
      </w:r>
      <w:bookmarkEnd w:id="390"/>
      <w:bookmarkEnd w:id="391"/>
      <w:bookmarkEnd w:id="392"/>
      <w:r>
        <w:rPr>
          <w:rFonts w:hint="default" w:ascii="Times New Roman" w:hAnsi="Times New Roman" w:cs="Times New Roman"/>
          <w:color w:val="auto"/>
          <w:sz w:val="28"/>
          <w:szCs w:val="28"/>
          <w:highlight w:val="none"/>
        </w:rPr>
        <w:t>区域大气环境质量达标判定</w:t>
      </w:r>
    </w:p>
    <w:bookmarkEnd w:id="393"/>
    <w:p w14:paraId="58915C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地处阿克苏地区库车市，根据《环境影响评价技术导则大气环境》（H.J2.2-2018）对环境质量现状数据的要求，</w:t>
      </w:r>
      <w:r>
        <w:rPr>
          <w:rFonts w:hint="default" w:ascii="Times New Roman" w:hAnsi="Times New Roman" w:eastAsia="宋体" w:cs="Times New Roman"/>
          <w:bCs/>
          <w:color w:val="auto"/>
          <w:highlight w:val="none"/>
          <w:lang w:val="en-US" w:eastAsia="zh-CN"/>
        </w:rPr>
        <w:t>空气质量现状主要指标包括：细颗粒物（PM</w:t>
      </w:r>
      <w:r>
        <w:rPr>
          <w:rFonts w:hint="default" w:ascii="Times New Roman" w:hAnsi="Times New Roman" w:eastAsia="宋体" w:cs="Times New Roman"/>
          <w:bCs/>
          <w:color w:val="auto"/>
          <w:highlight w:val="none"/>
          <w:vertAlign w:val="subscript"/>
          <w:lang w:val="en-US" w:eastAsia="zh-CN"/>
        </w:rPr>
        <w:t>2.5</w:t>
      </w:r>
      <w:r>
        <w:rPr>
          <w:rFonts w:hint="default" w:ascii="Times New Roman" w:hAnsi="Times New Roman" w:eastAsia="宋体" w:cs="Times New Roman"/>
          <w:bCs/>
          <w:color w:val="auto"/>
          <w:highlight w:val="none"/>
          <w:vertAlign w:val="baseline"/>
          <w:lang w:val="en-US" w:eastAsia="zh-CN"/>
        </w:rPr>
        <w:t>）、</w:t>
      </w:r>
      <w:r>
        <w:rPr>
          <w:rFonts w:hint="default" w:ascii="Times New Roman" w:hAnsi="Times New Roman" w:eastAsia="宋体" w:cs="Times New Roman"/>
          <w:bCs/>
          <w:color w:val="auto"/>
          <w:highlight w:val="none"/>
          <w:lang w:val="en-US" w:eastAsia="zh-CN"/>
        </w:rPr>
        <w:t>二氧化硫（SO</w:t>
      </w:r>
      <w:r>
        <w:rPr>
          <w:rFonts w:hint="default" w:ascii="Times New Roman" w:hAnsi="Times New Roman" w:eastAsia="宋体" w:cs="Times New Roman"/>
          <w:bCs/>
          <w:color w:val="auto"/>
          <w:highlight w:val="none"/>
          <w:vertAlign w:val="subscript"/>
          <w:lang w:val="en-US" w:eastAsia="zh-CN"/>
        </w:rPr>
        <w:t>2</w:t>
      </w:r>
      <w:r>
        <w:rPr>
          <w:rFonts w:hint="default" w:ascii="Times New Roman" w:hAnsi="Times New Roman" w:eastAsia="宋体" w:cs="Times New Roman"/>
          <w:bCs/>
          <w:color w:val="auto"/>
          <w:highlight w:val="none"/>
          <w:lang w:val="en-US" w:eastAsia="zh-CN"/>
        </w:rPr>
        <w:t>）、二氧化氮（NO</w:t>
      </w:r>
      <w:r>
        <w:rPr>
          <w:rFonts w:hint="default" w:ascii="Times New Roman" w:hAnsi="Times New Roman" w:eastAsia="宋体" w:cs="Times New Roman"/>
          <w:bCs/>
          <w:color w:val="auto"/>
          <w:highlight w:val="none"/>
          <w:vertAlign w:val="subscript"/>
          <w:lang w:val="en-US" w:eastAsia="zh-CN"/>
        </w:rPr>
        <w:t>2</w:t>
      </w:r>
      <w:r>
        <w:rPr>
          <w:rFonts w:hint="default" w:ascii="Times New Roman" w:hAnsi="Times New Roman" w:eastAsia="宋体" w:cs="Times New Roman"/>
          <w:bCs/>
          <w:color w:val="auto"/>
          <w:highlight w:val="none"/>
          <w:lang w:val="en-US" w:eastAsia="zh-CN"/>
        </w:rPr>
        <w:t>）、可吸入颗粒物（PM</w:t>
      </w:r>
      <w:r>
        <w:rPr>
          <w:rFonts w:hint="default" w:ascii="Times New Roman" w:hAnsi="Times New Roman" w:eastAsia="宋体" w:cs="Times New Roman"/>
          <w:bCs/>
          <w:color w:val="auto"/>
          <w:highlight w:val="none"/>
          <w:vertAlign w:val="subscript"/>
          <w:lang w:val="en-US" w:eastAsia="zh-CN"/>
        </w:rPr>
        <w:t>10</w:t>
      </w:r>
      <w:r>
        <w:rPr>
          <w:rFonts w:hint="default" w:ascii="Times New Roman" w:hAnsi="Times New Roman" w:eastAsia="宋体" w:cs="Times New Roman"/>
          <w:bCs/>
          <w:color w:val="auto"/>
          <w:highlight w:val="none"/>
          <w:lang w:val="en-US" w:eastAsia="zh-CN"/>
        </w:rPr>
        <w:t>）、一氧化碳（CO）、臭氧（O</w:t>
      </w:r>
      <w:r>
        <w:rPr>
          <w:rFonts w:hint="default" w:ascii="Times New Roman" w:hAnsi="Times New Roman" w:eastAsia="宋体" w:cs="Times New Roman"/>
          <w:bCs/>
          <w:color w:val="auto"/>
          <w:highlight w:val="none"/>
          <w:vertAlign w:val="subscript"/>
          <w:lang w:val="en-US" w:eastAsia="zh-CN"/>
        </w:rPr>
        <w:t>3</w:t>
      </w:r>
      <w:r>
        <w:rPr>
          <w:rFonts w:hint="default" w:ascii="Times New Roman" w:hAnsi="Times New Roman" w:eastAsia="宋体" w:cs="Times New Roman"/>
          <w:bCs/>
          <w:color w:val="auto"/>
          <w:highlight w:val="none"/>
          <w:lang w:val="en-US" w:eastAsia="zh-CN"/>
        </w:rPr>
        <w:t>）</w:t>
      </w:r>
      <w:r>
        <w:rPr>
          <w:rFonts w:hint="default" w:ascii="Times New Roman" w:hAnsi="Times New Roman" w:cs="Times New Roman"/>
          <w:color w:val="auto"/>
          <w:sz w:val="24"/>
          <w:szCs w:val="24"/>
          <w:highlight w:val="none"/>
        </w:rPr>
        <w:t>。</w:t>
      </w:r>
    </w:p>
    <w:p w14:paraId="256AA3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本次评价采用阿克苏地区行政公署发布的《202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年阿克苏地区各县（市）环境空气质量状况公示报告》</w:t>
      </w:r>
      <w:r>
        <w:rPr>
          <w:rFonts w:hint="default" w:ascii="Times New Roman" w:hAnsi="Times New Roman" w:cs="Times New Roman"/>
          <w:color w:val="auto"/>
          <w:sz w:val="24"/>
          <w:szCs w:val="24"/>
          <w:highlight w:val="none"/>
          <w:lang w:val="en-US" w:eastAsia="zh-CN"/>
        </w:rPr>
        <w:t>中库车市的监测数据，</w:t>
      </w:r>
      <w:r>
        <w:rPr>
          <w:rFonts w:hint="default" w:ascii="Times New Roman" w:hAnsi="Times New Roman" w:cs="Times New Roman"/>
          <w:color w:val="auto"/>
          <w:sz w:val="24"/>
          <w:szCs w:val="24"/>
          <w:highlight w:val="none"/>
        </w:rPr>
        <w:t>作为环境空气现状评价基本污染物SO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、CO、O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和PM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的数据来源。空气质量达标区判定结果见表4.2-1</w:t>
      </w:r>
      <w:r>
        <w:rPr>
          <w:rFonts w:hint="default" w:ascii="Times New Roman" w:hAnsi="Times New Roman" w:cs="Times New Roman"/>
          <w:color w:val="auto"/>
          <w:sz w:val="24"/>
          <w:szCs w:val="24"/>
          <w:highlight w:val="none"/>
          <w:lang w:eastAsia="zh-CN"/>
        </w:rPr>
        <w:t>和4.2-2</w:t>
      </w:r>
      <w:r>
        <w:rPr>
          <w:rFonts w:hint="default" w:ascii="Times New Roman" w:hAnsi="Times New Roman" w:cs="Times New Roman"/>
          <w:color w:val="auto"/>
          <w:sz w:val="24"/>
          <w:szCs w:val="24"/>
          <w:highlight w:val="none"/>
        </w:rPr>
        <w:t>。</w:t>
      </w:r>
    </w:p>
    <w:p w14:paraId="30638A6E">
      <w:pPr>
        <w:jc w:val="center"/>
        <w:rPr>
          <w:rFonts w:hint="default" w:ascii="Times New Roman" w:hAnsi="Times New Roman" w:eastAsia="黑体" w:cs="Times New Roman"/>
          <w:color w:val="auto"/>
          <w:sz w:val="21"/>
          <w:szCs w:val="21"/>
          <w:highlight w:val="none"/>
          <w:lang w:val="zh-CN" w:eastAsia="zh-CN" w:bidi="ar-SA"/>
        </w:rPr>
      </w:pPr>
      <w:r>
        <w:rPr>
          <w:rFonts w:hint="default" w:ascii="Times New Roman" w:hAnsi="Times New Roman" w:eastAsia="黑体" w:cs="Times New Roman"/>
          <w:color w:val="auto"/>
          <w:sz w:val="21"/>
          <w:szCs w:val="21"/>
          <w:highlight w:val="none"/>
          <w:lang w:val="zh-CN" w:eastAsia="zh-CN" w:bidi="ar-SA"/>
        </w:rPr>
        <w:t>表4.</w:t>
      </w:r>
      <w:r>
        <w:rPr>
          <w:rFonts w:hint="default" w:ascii="Times New Roman" w:hAnsi="Times New Roman" w:eastAsia="黑体" w:cs="Times New Roman"/>
          <w:color w:val="auto"/>
          <w:sz w:val="21"/>
          <w:szCs w:val="21"/>
          <w:highlight w:val="none"/>
          <w:lang w:val="en-US" w:eastAsia="zh-CN" w:bidi="ar-SA"/>
        </w:rPr>
        <w:t>2</w:t>
      </w:r>
      <w:r>
        <w:rPr>
          <w:rFonts w:hint="default" w:ascii="Times New Roman" w:hAnsi="Times New Roman" w:eastAsia="黑体" w:cs="Times New Roman"/>
          <w:color w:val="auto"/>
          <w:sz w:val="21"/>
          <w:szCs w:val="21"/>
          <w:highlight w:val="none"/>
          <w:lang w:val="zh-CN" w:eastAsia="zh-CN" w:bidi="ar-SA"/>
        </w:rPr>
        <w:t>-1</w:t>
      </w:r>
      <w:r>
        <w:rPr>
          <w:rFonts w:hint="default" w:ascii="Times New Roman" w:hAnsi="Times New Roman" w:eastAsia="黑体" w:cs="Times New Roman"/>
          <w:color w:val="auto"/>
          <w:sz w:val="21"/>
          <w:szCs w:val="21"/>
          <w:highlight w:val="none"/>
          <w:lang w:val="en-US" w:eastAsia="zh-CN" w:bidi="ar-SA"/>
        </w:rPr>
        <w:t>库车市基本污染物环境空气质量现状评价一览表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2560"/>
        <w:gridCol w:w="1246"/>
        <w:gridCol w:w="1246"/>
        <w:gridCol w:w="1204"/>
        <w:gridCol w:w="1244"/>
      </w:tblGrid>
      <w:tr w14:paraId="409A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vMerge w:val="restart"/>
            <w:noWrap w:val="0"/>
            <w:vAlign w:val="center"/>
          </w:tcPr>
          <w:p w14:paraId="144C44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评价因子</w:t>
            </w:r>
          </w:p>
        </w:tc>
        <w:tc>
          <w:tcPr>
            <w:tcW w:w="1463" w:type="pct"/>
            <w:vMerge w:val="restart"/>
            <w:noWrap w:val="0"/>
            <w:vAlign w:val="center"/>
          </w:tcPr>
          <w:p w14:paraId="5B484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年评价指标</w:t>
            </w:r>
          </w:p>
        </w:tc>
        <w:tc>
          <w:tcPr>
            <w:tcW w:w="712" w:type="pct"/>
            <w:noWrap w:val="0"/>
            <w:vAlign w:val="center"/>
          </w:tcPr>
          <w:p w14:paraId="17AEA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现状浓度</w:t>
            </w:r>
          </w:p>
        </w:tc>
        <w:tc>
          <w:tcPr>
            <w:tcW w:w="712" w:type="pct"/>
            <w:noWrap w:val="0"/>
            <w:vAlign w:val="center"/>
          </w:tcPr>
          <w:p w14:paraId="34193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标准限值</w:t>
            </w:r>
          </w:p>
        </w:tc>
        <w:tc>
          <w:tcPr>
            <w:tcW w:w="688" w:type="pct"/>
            <w:vMerge w:val="restart"/>
            <w:noWrap w:val="0"/>
            <w:vAlign w:val="center"/>
          </w:tcPr>
          <w:p w14:paraId="6B8FD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占标率%</w:t>
            </w:r>
          </w:p>
        </w:tc>
        <w:tc>
          <w:tcPr>
            <w:tcW w:w="711" w:type="pct"/>
            <w:vMerge w:val="restart"/>
            <w:noWrap w:val="0"/>
            <w:vAlign w:val="center"/>
          </w:tcPr>
          <w:p w14:paraId="7FB2A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达标情况</w:t>
            </w:r>
          </w:p>
        </w:tc>
      </w:tr>
      <w:tr w14:paraId="3A5B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vMerge w:val="continue"/>
            <w:noWrap w:val="0"/>
            <w:vAlign w:val="center"/>
          </w:tcPr>
          <w:p w14:paraId="4D87C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p>
        </w:tc>
        <w:tc>
          <w:tcPr>
            <w:tcW w:w="1463" w:type="pct"/>
            <w:vMerge w:val="continue"/>
            <w:noWrap w:val="0"/>
            <w:vAlign w:val="center"/>
          </w:tcPr>
          <w:p w14:paraId="6CDCE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p>
        </w:tc>
        <w:tc>
          <w:tcPr>
            <w:tcW w:w="712" w:type="pct"/>
            <w:noWrap w:val="0"/>
            <w:vAlign w:val="center"/>
          </w:tcPr>
          <w:p w14:paraId="04E54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bidi="ar"/>
              </w:rPr>
            </w:pPr>
            <w:r>
              <w:rPr>
                <w:rFonts w:hint="default" w:ascii="Times New Roman" w:hAnsi="Times New Roman" w:eastAsia="宋体" w:cs="Times New Roman"/>
                <w:b w:val="0"/>
                <w:bCs w:val="0"/>
                <w:color w:val="auto"/>
                <w:sz w:val="21"/>
                <w:szCs w:val="21"/>
                <w:highlight w:val="none"/>
                <w:lang w:bidi="ar"/>
              </w:rPr>
              <w:t>μg/</w:t>
            </w:r>
            <w:r>
              <w:rPr>
                <w:rFonts w:hint="default" w:ascii="Times New Roman" w:hAnsi="Times New Roman" w:eastAsia="宋体" w:cs="Times New Roman"/>
                <w:b w:val="0"/>
                <w:bCs w:val="0"/>
                <w:color w:val="auto"/>
                <w:sz w:val="21"/>
                <w:szCs w:val="21"/>
                <w:highlight w:val="none"/>
                <w:lang w:eastAsia="zh-CN" w:bidi="ar"/>
              </w:rPr>
              <w:t>m</w:t>
            </w:r>
            <w:r>
              <w:rPr>
                <w:rFonts w:hint="default" w:ascii="Times New Roman" w:hAnsi="Times New Roman" w:eastAsia="宋体" w:cs="Times New Roman"/>
                <w:b w:val="0"/>
                <w:bCs w:val="0"/>
                <w:color w:val="auto"/>
                <w:sz w:val="21"/>
                <w:szCs w:val="21"/>
                <w:highlight w:val="none"/>
                <w:vertAlign w:val="superscript"/>
                <w:lang w:eastAsia="zh-CN" w:bidi="ar"/>
              </w:rPr>
              <w:t>3</w:t>
            </w:r>
          </w:p>
        </w:tc>
        <w:tc>
          <w:tcPr>
            <w:tcW w:w="712" w:type="pct"/>
            <w:noWrap w:val="0"/>
            <w:vAlign w:val="center"/>
          </w:tcPr>
          <w:p w14:paraId="7177D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bidi="ar"/>
              </w:rPr>
            </w:pPr>
            <w:r>
              <w:rPr>
                <w:rFonts w:hint="default" w:ascii="Times New Roman" w:hAnsi="Times New Roman" w:eastAsia="宋体" w:cs="Times New Roman"/>
                <w:b w:val="0"/>
                <w:bCs w:val="0"/>
                <w:color w:val="auto"/>
                <w:sz w:val="21"/>
                <w:szCs w:val="21"/>
                <w:highlight w:val="none"/>
                <w:lang w:bidi="ar"/>
              </w:rPr>
              <w:t>μg/</w:t>
            </w:r>
            <w:r>
              <w:rPr>
                <w:rFonts w:hint="default" w:ascii="Times New Roman" w:hAnsi="Times New Roman" w:eastAsia="宋体" w:cs="Times New Roman"/>
                <w:b w:val="0"/>
                <w:bCs w:val="0"/>
                <w:color w:val="auto"/>
                <w:sz w:val="21"/>
                <w:szCs w:val="21"/>
                <w:highlight w:val="none"/>
                <w:lang w:eastAsia="zh-CN" w:bidi="ar"/>
              </w:rPr>
              <w:t>m</w:t>
            </w:r>
            <w:r>
              <w:rPr>
                <w:rFonts w:hint="default" w:ascii="Times New Roman" w:hAnsi="Times New Roman" w:eastAsia="宋体" w:cs="Times New Roman"/>
                <w:b w:val="0"/>
                <w:bCs w:val="0"/>
                <w:color w:val="auto"/>
                <w:sz w:val="21"/>
                <w:szCs w:val="21"/>
                <w:highlight w:val="none"/>
                <w:vertAlign w:val="superscript"/>
                <w:lang w:eastAsia="zh-CN" w:bidi="ar"/>
              </w:rPr>
              <w:t>3</w:t>
            </w:r>
          </w:p>
        </w:tc>
        <w:tc>
          <w:tcPr>
            <w:tcW w:w="688" w:type="pct"/>
            <w:vMerge w:val="continue"/>
            <w:noWrap w:val="0"/>
            <w:vAlign w:val="center"/>
          </w:tcPr>
          <w:p w14:paraId="0ECF6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p>
        </w:tc>
        <w:tc>
          <w:tcPr>
            <w:tcW w:w="711" w:type="pct"/>
            <w:vMerge w:val="continue"/>
            <w:noWrap w:val="0"/>
            <w:vAlign w:val="center"/>
          </w:tcPr>
          <w:p w14:paraId="69CEC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p>
        </w:tc>
      </w:tr>
      <w:tr w14:paraId="71C9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0D892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SO</w:t>
            </w:r>
            <w:r>
              <w:rPr>
                <w:rFonts w:hint="default" w:ascii="Times New Roman" w:hAnsi="Times New Roman" w:eastAsia="宋体" w:cs="Times New Roman"/>
                <w:b w:val="0"/>
                <w:bCs w:val="0"/>
                <w:color w:val="auto"/>
                <w:sz w:val="21"/>
                <w:szCs w:val="21"/>
                <w:highlight w:val="none"/>
                <w:vertAlign w:val="subscript"/>
                <w:lang w:bidi="ar"/>
              </w:rPr>
              <w:t>2</w:t>
            </w:r>
          </w:p>
        </w:tc>
        <w:tc>
          <w:tcPr>
            <w:tcW w:w="1463" w:type="pct"/>
            <w:noWrap w:val="0"/>
            <w:vAlign w:val="center"/>
          </w:tcPr>
          <w:p w14:paraId="60120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年平均</w:t>
            </w:r>
          </w:p>
        </w:tc>
        <w:tc>
          <w:tcPr>
            <w:tcW w:w="712" w:type="pct"/>
            <w:noWrap w:val="0"/>
            <w:vAlign w:val="center"/>
          </w:tcPr>
          <w:p w14:paraId="6A27D4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bidi="ar"/>
              </w:rPr>
              <w:t>1</w:t>
            </w:r>
            <w:r>
              <w:rPr>
                <w:rFonts w:hint="default" w:ascii="Times New Roman" w:hAnsi="Times New Roman" w:cs="Times New Roman"/>
                <w:b w:val="0"/>
                <w:bCs w:val="0"/>
                <w:color w:val="auto"/>
                <w:sz w:val="21"/>
                <w:szCs w:val="21"/>
                <w:highlight w:val="none"/>
                <w:lang w:val="en-US" w:eastAsia="zh-CN" w:bidi="ar"/>
              </w:rPr>
              <w:t>2</w:t>
            </w:r>
          </w:p>
        </w:tc>
        <w:tc>
          <w:tcPr>
            <w:tcW w:w="712" w:type="pct"/>
            <w:noWrap w:val="0"/>
            <w:vAlign w:val="center"/>
          </w:tcPr>
          <w:p w14:paraId="3FDD33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60</w:t>
            </w:r>
          </w:p>
        </w:tc>
        <w:tc>
          <w:tcPr>
            <w:tcW w:w="1173" w:type="dxa"/>
            <w:noWrap w:val="0"/>
            <w:vAlign w:val="center"/>
          </w:tcPr>
          <w:p w14:paraId="33697C2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711" w:type="pct"/>
            <w:noWrap w:val="0"/>
            <w:vAlign w:val="center"/>
          </w:tcPr>
          <w:p w14:paraId="6F4A1A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达标</w:t>
            </w:r>
          </w:p>
        </w:tc>
      </w:tr>
      <w:tr w14:paraId="58CE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2EC48EF3">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463" w:type="pct"/>
            <w:noWrap w:val="0"/>
            <w:vAlign w:val="center"/>
          </w:tcPr>
          <w:p w14:paraId="0A1EDD17">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12" w:type="pct"/>
            <w:noWrap w:val="0"/>
            <w:vAlign w:val="center"/>
          </w:tcPr>
          <w:p w14:paraId="13A2E5B4">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w:t>
            </w:r>
          </w:p>
        </w:tc>
        <w:tc>
          <w:tcPr>
            <w:tcW w:w="712" w:type="pct"/>
            <w:noWrap w:val="0"/>
            <w:vAlign w:val="center"/>
          </w:tcPr>
          <w:p w14:paraId="513A26B2">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173" w:type="dxa"/>
            <w:noWrap w:val="0"/>
            <w:vAlign w:val="center"/>
          </w:tcPr>
          <w:p w14:paraId="3A93E6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52.5</w:t>
            </w:r>
          </w:p>
        </w:tc>
        <w:tc>
          <w:tcPr>
            <w:tcW w:w="711" w:type="pct"/>
            <w:noWrap w:val="0"/>
            <w:vAlign w:val="center"/>
          </w:tcPr>
          <w:p w14:paraId="41D583EC">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599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09A4DD87">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463" w:type="pct"/>
            <w:noWrap w:val="0"/>
            <w:vAlign w:val="center"/>
          </w:tcPr>
          <w:p w14:paraId="5F7B95A4">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第95百分位数日平均</w:t>
            </w:r>
          </w:p>
        </w:tc>
        <w:tc>
          <w:tcPr>
            <w:tcW w:w="712" w:type="pct"/>
            <w:noWrap w:val="0"/>
            <w:vAlign w:val="center"/>
          </w:tcPr>
          <w:p w14:paraId="4251812F">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00</w:t>
            </w:r>
          </w:p>
        </w:tc>
        <w:tc>
          <w:tcPr>
            <w:tcW w:w="712" w:type="pct"/>
            <w:noWrap w:val="0"/>
            <w:vAlign w:val="center"/>
          </w:tcPr>
          <w:p w14:paraId="419D1FDC">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1173" w:type="dxa"/>
            <w:noWrap w:val="0"/>
            <w:vAlign w:val="center"/>
          </w:tcPr>
          <w:p w14:paraId="214CD0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711" w:type="pct"/>
            <w:noWrap w:val="0"/>
            <w:vAlign w:val="center"/>
          </w:tcPr>
          <w:p w14:paraId="1F744FD1">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225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1748141C">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463" w:type="pct"/>
            <w:noWrap w:val="0"/>
            <w:vAlign w:val="center"/>
          </w:tcPr>
          <w:p w14:paraId="1A896704">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第90百分位数日平均</w:t>
            </w:r>
          </w:p>
        </w:tc>
        <w:tc>
          <w:tcPr>
            <w:tcW w:w="712" w:type="pct"/>
            <w:noWrap w:val="0"/>
            <w:vAlign w:val="center"/>
          </w:tcPr>
          <w:p w14:paraId="6E97BD1E">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97</w:t>
            </w:r>
          </w:p>
        </w:tc>
        <w:tc>
          <w:tcPr>
            <w:tcW w:w="712" w:type="pct"/>
            <w:noWrap w:val="0"/>
            <w:vAlign w:val="center"/>
          </w:tcPr>
          <w:p w14:paraId="50D521C0">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173" w:type="dxa"/>
            <w:noWrap w:val="0"/>
            <w:vAlign w:val="center"/>
          </w:tcPr>
          <w:p w14:paraId="2CD5EF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60.625</w:t>
            </w:r>
          </w:p>
        </w:tc>
        <w:tc>
          <w:tcPr>
            <w:tcW w:w="711" w:type="pct"/>
            <w:noWrap w:val="0"/>
            <w:vAlign w:val="center"/>
          </w:tcPr>
          <w:p w14:paraId="319FE58A">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CDD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00072242">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bscript"/>
                <w:lang w:eastAsia="zh-CN"/>
              </w:rPr>
              <w:t>2</w:t>
            </w:r>
            <w:r>
              <w:rPr>
                <w:rFonts w:hint="default" w:ascii="Times New Roman" w:hAnsi="Times New Roman" w:eastAsia="宋体" w:cs="Times New Roman"/>
                <w:color w:val="auto"/>
                <w:sz w:val="21"/>
                <w:szCs w:val="21"/>
                <w:highlight w:val="none"/>
                <w:vertAlign w:val="subscript"/>
              </w:rPr>
              <w:t>.5</w:t>
            </w:r>
          </w:p>
        </w:tc>
        <w:tc>
          <w:tcPr>
            <w:tcW w:w="1463" w:type="pct"/>
            <w:noWrap w:val="0"/>
            <w:vAlign w:val="center"/>
          </w:tcPr>
          <w:p w14:paraId="58750963">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12" w:type="pct"/>
            <w:noWrap w:val="0"/>
            <w:vAlign w:val="center"/>
          </w:tcPr>
          <w:p w14:paraId="5147EF16">
            <w:pPr>
              <w:widowControl/>
              <w:bidi w:val="0"/>
              <w:spacing w:line="280" w:lineRule="atLeas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5</w:t>
            </w:r>
          </w:p>
        </w:tc>
        <w:tc>
          <w:tcPr>
            <w:tcW w:w="712" w:type="pct"/>
            <w:noWrap w:val="0"/>
            <w:vAlign w:val="center"/>
          </w:tcPr>
          <w:p w14:paraId="7B39F7E8">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173" w:type="dxa"/>
            <w:noWrap w:val="0"/>
            <w:vAlign w:val="center"/>
          </w:tcPr>
          <w:p w14:paraId="05995680">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2"/>
                <w:szCs w:val="22"/>
                <w:highlight w:val="none"/>
                <w:u w:val="none"/>
                <w:lang w:val="en-US" w:eastAsia="zh-CN" w:bidi="ar"/>
              </w:rPr>
              <w:t>157.14</w:t>
            </w:r>
            <w:r>
              <w:rPr>
                <w:rFonts w:hint="default" w:ascii="Times New Roman" w:hAnsi="Times New Roman" w:cs="Times New Roman"/>
                <w:b/>
                <w:bCs/>
                <w:i w:val="0"/>
                <w:iCs w:val="0"/>
                <w:color w:val="auto"/>
                <w:kern w:val="0"/>
                <w:sz w:val="22"/>
                <w:szCs w:val="22"/>
                <w:highlight w:val="none"/>
                <w:u w:val="none"/>
                <w:lang w:val="en-US" w:eastAsia="zh-CN" w:bidi="ar"/>
              </w:rPr>
              <w:t>3</w:t>
            </w:r>
          </w:p>
        </w:tc>
        <w:tc>
          <w:tcPr>
            <w:tcW w:w="711" w:type="pct"/>
            <w:noWrap w:val="0"/>
            <w:vAlign w:val="top"/>
          </w:tcPr>
          <w:p w14:paraId="7711D6D8">
            <w:pPr>
              <w:widowControl/>
              <w:bidi w:val="0"/>
              <w:spacing w:line="280" w:lineRule="atLeast"/>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超标</w:t>
            </w:r>
          </w:p>
        </w:tc>
      </w:tr>
      <w:tr w14:paraId="1839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19F662BD">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463" w:type="pct"/>
            <w:noWrap w:val="0"/>
            <w:vAlign w:val="center"/>
          </w:tcPr>
          <w:p w14:paraId="374C27AB">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12" w:type="pct"/>
            <w:noWrap w:val="0"/>
            <w:vAlign w:val="center"/>
          </w:tcPr>
          <w:p w14:paraId="7F0AC2DD">
            <w:pPr>
              <w:widowControl/>
              <w:bidi w:val="0"/>
              <w:spacing w:line="280" w:lineRule="atLeas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166</w:t>
            </w:r>
          </w:p>
        </w:tc>
        <w:tc>
          <w:tcPr>
            <w:tcW w:w="712" w:type="pct"/>
            <w:noWrap w:val="0"/>
            <w:vAlign w:val="center"/>
          </w:tcPr>
          <w:p w14:paraId="4AA19CD8">
            <w:pPr>
              <w:widowControl/>
              <w:bidi w:val="0"/>
              <w:spacing w:line="28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173" w:type="dxa"/>
            <w:noWrap w:val="0"/>
            <w:vAlign w:val="center"/>
          </w:tcPr>
          <w:p w14:paraId="68048C55">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2"/>
                <w:szCs w:val="22"/>
                <w:highlight w:val="none"/>
                <w:u w:val="none"/>
                <w:lang w:val="en-US" w:eastAsia="zh-CN" w:bidi="ar"/>
              </w:rPr>
              <w:t>237.14</w:t>
            </w:r>
            <w:r>
              <w:rPr>
                <w:rFonts w:hint="default" w:ascii="Times New Roman" w:hAnsi="Times New Roman" w:cs="Times New Roman"/>
                <w:b/>
                <w:bCs/>
                <w:i w:val="0"/>
                <w:iCs w:val="0"/>
                <w:color w:val="auto"/>
                <w:kern w:val="0"/>
                <w:sz w:val="22"/>
                <w:szCs w:val="22"/>
                <w:highlight w:val="none"/>
                <w:u w:val="none"/>
                <w:lang w:val="en-US" w:eastAsia="zh-CN" w:bidi="ar"/>
              </w:rPr>
              <w:t>3</w:t>
            </w:r>
          </w:p>
        </w:tc>
        <w:tc>
          <w:tcPr>
            <w:tcW w:w="711" w:type="pct"/>
            <w:noWrap w:val="0"/>
            <w:vAlign w:val="top"/>
          </w:tcPr>
          <w:p w14:paraId="50CD409C">
            <w:pPr>
              <w:widowControl/>
              <w:bidi w:val="0"/>
              <w:spacing w:line="280" w:lineRule="atLeas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超标</w:t>
            </w:r>
          </w:p>
        </w:tc>
      </w:tr>
    </w:tbl>
    <w:p w14:paraId="0AE2CFEA">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eastAsia="宋体" w:cs="Times New Roman"/>
          <w:bCs/>
          <w:color w:val="auto"/>
          <w:sz w:val="24"/>
          <w:highlight w:val="none"/>
          <w:lang w:val="en-US" w:eastAsia="zh-CN"/>
        </w:rPr>
        <w:t>由上表可知：202</w:t>
      </w:r>
      <w:r>
        <w:rPr>
          <w:rFonts w:hint="default" w:ascii="Times New Roman" w:hAnsi="Times New Roman"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年项目所在地库车市S</w:t>
      </w:r>
      <w:r>
        <w:rPr>
          <w:rFonts w:hint="default" w:ascii="Times New Roman" w:hAnsi="Times New Roman" w:eastAsia="宋体" w:cs="Times New Roman"/>
          <w:bCs/>
          <w:color w:val="auto"/>
          <w:sz w:val="24"/>
          <w:highlight w:val="none"/>
          <w:lang w:eastAsia="zh-CN"/>
        </w:rPr>
        <w:t>O</w:t>
      </w:r>
      <w:r>
        <w:rPr>
          <w:rFonts w:hint="default" w:ascii="Times New Roman" w:hAnsi="Times New Roman" w:eastAsia="宋体" w:cs="Times New Roman"/>
          <w:bCs/>
          <w:color w:val="auto"/>
          <w:sz w:val="24"/>
          <w:highlight w:val="none"/>
          <w:vertAlign w:val="subscript"/>
          <w:lang w:eastAsia="zh-CN"/>
        </w:rPr>
        <w:t>2</w:t>
      </w:r>
      <w:r>
        <w:rPr>
          <w:rFonts w:hint="default" w:ascii="Times New Roman" w:hAnsi="Times New Roman" w:eastAsia="宋体" w:cs="Times New Roman"/>
          <w:bCs/>
          <w:color w:val="auto"/>
          <w:sz w:val="24"/>
          <w:highlight w:val="none"/>
          <w:lang w:eastAsia="zh-CN"/>
        </w:rPr>
        <w:t>、NO</w:t>
      </w:r>
      <w:r>
        <w:rPr>
          <w:rFonts w:hint="default" w:ascii="Times New Roman" w:hAnsi="Times New Roman" w:eastAsia="宋体" w:cs="Times New Roman"/>
          <w:bCs/>
          <w:color w:val="auto"/>
          <w:sz w:val="24"/>
          <w:highlight w:val="none"/>
          <w:vertAlign w:val="subscript"/>
          <w:lang w:eastAsia="zh-CN"/>
        </w:rPr>
        <w:t>2</w:t>
      </w:r>
      <w:r>
        <w:rPr>
          <w:rFonts w:hint="default" w:ascii="Times New Roman" w:hAnsi="Times New Roman" w:eastAsia="宋体" w:cs="Times New Roman"/>
          <w:bCs/>
          <w:color w:val="auto"/>
          <w:sz w:val="24"/>
          <w:highlight w:val="none"/>
          <w:lang w:eastAsia="zh-CN"/>
        </w:rPr>
        <w:t>年平均浓度及CO、O</w:t>
      </w:r>
      <w:r>
        <w:rPr>
          <w:rFonts w:hint="default" w:ascii="Times New Roman" w:hAnsi="Times New Roman" w:eastAsia="宋体" w:cs="Times New Roman"/>
          <w:bCs/>
          <w:color w:val="auto"/>
          <w:sz w:val="24"/>
          <w:highlight w:val="none"/>
          <w:vertAlign w:val="subscript"/>
          <w:lang w:eastAsia="zh-CN"/>
        </w:rPr>
        <w:t>3</w:t>
      </w:r>
      <w:r>
        <w:rPr>
          <w:rFonts w:hint="default" w:ascii="Times New Roman" w:hAnsi="Times New Roman" w:eastAsia="宋体" w:cs="Times New Roman"/>
          <w:bCs/>
          <w:color w:val="auto"/>
          <w:sz w:val="24"/>
          <w:highlight w:val="none"/>
          <w:lang w:eastAsia="zh-CN"/>
        </w:rPr>
        <w:t>日平均浓度均满足《环境空气质量标准》（GB3095-2012）的二级标准要求；P</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bscript"/>
          <w:lang w:eastAsia="zh-CN"/>
        </w:rPr>
        <w:t>2.5</w:t>
      </w:r>
      <w:r>
        <w:rPr>
          <w:rFonts w:hint="default" w:ascii="Times New Roman" w:hAnsi="Times New Roman" w:eastAsia="宋体" w:cs="Times New Roman"/>
          <w:bCs/>
          <w:color w:val="auto"/>
          <w:sz w:val="24"/>
          <w:highlight w:val="none"/>
          <w:lang w:eastAsia="zh-CN"/>
        </w:rPr>
        <w:t>、PM</w:t>
      </w:r>
      <w:r>
        <w:rPr>
          <w:rFonts w:hint="default" w:ascii="Times New Roman" w:hAnsi="Times New Roman" w:eastAsia="宋体" w:cs="Times New Roman"/>
          <w:bCs/>
          <w:color w:val="auto"/>
          <w:sz w:val="24"/>
          <w:highlight w:val="none"/>
          <w:vertAlign w:val="subscript"/>
          <w:lang w:eastAsia="zh-CN"/>
        </w:rPr>
        <w:t>10</w:t>
      </w:r>
      <w:r>
        <w:rPr>
          <w:rFonts w:hint="default" w:ascii="Times New Roman" w:hAnsi="Times New Roman" w:eastAsia="宋体" w:cs="Times New Roman"/>
          <w:bCs/>
          <w:color w:val="auto"/>
          <w:sz w:val="24"/>
          <w:highlight w:val="none"/>
          <w:lang w:eastAsia="zh-CN"/>
        </w:rPr>
        <w:t>年浓度超过《环境空气质量标准》（GB3095-2012）中二级标准限值要求，超标主要是由于当地气候条件干燥、自然扬尘较多</w:t>
      </w:r>
      <w:r>
        <w:rPr>
          <w:rFonts w:hint="default" w:ascii="Times New Roman" w:hAnsi="Times New Roman" w:eastAsia="宋体" w:cs="Times New Roman"/>
          <w:bCs/>
          <w:color w:val="auto"/>
          <w:sz w:val="24"/>
          <w:highlight w:val="none"/>
          <w:lang w:val="en-US" w:eastAsia="zh-CN"/>
        </w:rPr>
        <w:t>。根据《环境影响评价技术导则大气环境》（HJ2.2-2018）区域达标判断标准，</w:t>
      </w:r>
      <w:r>
        <w:rPr>
          <w:rFonts w:hint="default" w:ascii="Times New Roman" w:hAnsi="Times New Roman" w:cs="Times New Roman"/>
          <w:color w:val="auto"/>
          <w:highlight w:val="none"/>
          <w:lang w:eastAsia="zh-CN" w:bidi="ar"/>
        </w:rPr>
        <w:t>本项目</w:t>
      </w:r>
      <w:r>
        <w:rPr>
          <w:rFonts w:hint="default" w:ascii="Times New Roman" w:hAnsi="Times New Roman" w:eastAsia="宋体" w:cs="Times New Roman"/>
          <w:color w:val="auto"/>
          <w:highlight w:val="none"/>
          <w:lang w:bidi="ar"/>
        </w:rPr>
        <w:t>所在区域</w:t>
      </w:r>
      <w:r>
        <w:rPr>
          <w:rFonts w:hint="default" w:ascii="Times New Roman" w:hAnsi="Times New Roman" w:cs="Times New Roman"/>
          <w:color w:val="auto"/>
          <w:sz w:val="24"/>
          <w:szCs w:val="24"/>
          <w:highlight w:val="none"/>
        </w:rPr>
        <w:t>环境空气质量</w:t>
      </w:r>
      <w:r>
        <w:rPr>
          <w:rFonts w:hint="default" w:ascii="Times New Roman" w:hAnsi="Times New Roman" w:eastAsia="宋体" w:cs="Times New Roman"/>
          <w:color w:val="auto"/>
          <w:highlight w:val="none"/>
          <w:lang w:bidi="ar"/>
        </w:rPr>
        <w:t>属于不达标区。</w:t>
      </w:r>
    </w:p>
    <w:p w14:paraId="7BD6A626">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auto"/>
          <w:sz w:val="28"/>
          <w:szCs w:val="28"/>
          <w:highlight w:val="none"/>
        </w:rPr>
      </w:pPr>
      <w:bookmarkStart w:id="394" w:name="_Toc28455"/>
      <w:bookmarkStart w:id="395" w:name="_Toc14451"/>
      <w:bookmarkStart w:id="396" w:name="_Toc32493"/>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en-US" w:eastAsia="zh-CN"/>
        </w:rPr>
        <w:t>2.2</w:t>
      </w:r>
      <w:r>
        <w:rPr>
          <w:rFonts w:hint="default" w:ascii="Times New Roman" w:hAnsi="Times New Roman" w:eastAsia="宋体" w:cs="Times New Roman"/>
          <w:color w:val="auto"/>
          <w:sz w:val="28"/>
          <w:szCs w:val="28"/>
          <w:highlight w:val="none"/>
        </w:rPr>
        <w:t>特征因子补充监测</w:t>
      </w:r>
      <w:bookmarkEnd w:id="394"/>
      <w:bookmarkEnd w:id="395"/>
      <w:bookmarkEnd w:id="396"/>
    </w:p>
    <w:p w14:paraId="072EE9E8">
      <w:pPr>
        <w:pStyle w:val="12"/>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调查方法</w:t>
      </w:r>
    </w:p>
    <w:p w14:paraId="6641184F">
      <w:pPr>
        <w:pStyle w:val="12"/>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大气</w:t>
      </w:r>
      <w:r>
        <w:rPr>
          <w:rFonts w:hint="default" w:ascii="Times New Roman" w:hAnsi="Times New Roman" w:cs="Times New Roman"/>
          <w:color w:val="auto"/>
          <w:sz w:val="24"/>
          <w:szCs w:val="24"/>
          <w:highlight w:val="none"/>
        </w:rPr>
        <w:t>环境现状调查采用搜集资料法和现场监测法</w:t>
      </w:r>
      <w:r>
        <w:rPr>
          <w:rFonts w:hint="default" w:ascii="Times New Roman" w:hAnsi="Times New Roman" w:cs="Times New Roman"/>
          <w:color w:val="auto"/>
          <w:sz w:val="24"/>
          <w:szCs w:val="24"/>
          <w:highlight w:val="none"/>
          <w:lang w:eastAsia="zh-CN"/>
        </w:rPr>
        <w:t>。</w:t>
      </w:r>
    </w:p>
    <w:p w14:paraId="73043F5A">
      <w:pPr>
        <w:pStyle w:val="12"/>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监测点位</w:t>
      </w:r>
      <w:r>
        <w:rPr>
          <w:rFonts w:hint="eastAsia" w:ascii="Times New Roman" w:hAnsi="Times New Roman" w:cs="Times New Roman"/>
          <w:color w:val="auto"/>
          <w:sz w:val="24"/>
          <w:szCs w:val="24"/>
          <w:highlight w:val="none"/>
          <w:lang w:val="en-US" w:eastAsia="zh-CN"/>
        </w:rPr>
        <w:t>及监测因子</w:t>
      </w:r>
    </w:p>
    <w:p w14:paraId="56E925AD">
      <w:pPr>
        <w:pStyle w:val="12"/>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按照《环境影响评价技术导则大气环境》（HJ2.2-2018），结合项目所在区域地形特点以及当地气象特征，在项目区布置1个监测点位对区域环境空气质量现状进行补充监测，监测因子为非甲烷总烃、硫化氢</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监测单位为新疆广宇众联环境监测有限公司</w:t>
      </w:r>
      <w:r>
        <w:rPr>
          <w:rFonts w:hint="default" w:ascii="Times New Roman" w:hAnsi="Times New Roman" w:cs="Times New Roman"/>
          <w:color w:val="auto"/>
          <w:sz w:val="24"/>
          <w:szCs w:val="24"/>
          <w:highlight w:val="none"/>
          <w:lang w:eastAsia="zh-CN"/>
        </w:rPr>
        <w:t>。本次环评</w:t>
      </w:r>
      <w:r>
        <w:rPr>
          <w:rFonts w:hint="default" w:ascii="Times New Roman" w:hAnsi="Times New Roman" w:cs="Times New Roman"/>
          <w:color w:val="auto"/>
          <w:sz w:val="24"/>
          <w:szCs w:val="24"/>
          <w:highlight w:val="none"/>
          <w:lang w:val="en-US" w:eastAsia="zh-CN"/>
        </w:rPr>
        <w:t>引用《</w:t>
      </w:r>
      <w:r>
        <w:rPr>
          <w:rFonts w:hint="eastAsia" w:ascii="Times New Roman" w:hAnsi="Times New Roman" w:cs="Times New Roman"/>
          <w:color w:val="auto"/>
          <w:sz w:val="24"/>
          <w:szCs w:val="24"/>
          <w:highlight w:val="none"/>
          <w:lang w:val="en-US" w:eastAsia="zh-CN"/>
        </w:rPr>
        <w:t>塔河油田S48-T707井区2025年产能建设项目</w:t>
      </w:r>
      <w:r>
        <w:rPr>
          <w:rFonts w:hint="default" w:ascii="Times New Roman" w:hAnsi="Times New Roman" w:cs="Times New Roman"/>
          <w:color w:val="auto"/>
          <w:sz w:val="24"/>
          <w:szCs w:val="24"/>
          <w:highlight w:val="none"/>
          <w:lang w:val="en-US" w:eastAsia="zh-CN"/>
        </w:rPr>
        <w:t>环境影响报告书》中的1</w:t>
      </w:r>
      <w:r>
        <w:rPr>
          <w:rFonts w:hint="default" w:ascii="Times New Roman" w:hAnsi="Times New Roman" w:cs="Times New Roman"/>
          <w:color w:val="auto"/>
          <w:sz w:val="24"/>
          <w:szCs w:val="24"/>
          <w:highlight w:val="none"/>
          <w:lang w:eastAsia="zh-CN"/>
        </w:rPr>
        <w:t>个大气监测点监测报告数据（</w:t>
      </w:r>
      <w:r>
        <w:rPr>
          <w:rFonts w:hint="default" w:ascii="Times New Roman" w:hAnsi="Times New Roman" w:cs="Times New Roman"/>
          <w:color w:val="auto"/>
          <w:sz w:val="24"/>
          <w:szCs w:val="24"/>
          <w:highlight w:val="none"/>
          <w:lang w:val="en-US" w:eastAsia="zh-CN"/>
        </w:rPr>
        <w:t>位于项目区</w:t>
      </w:r>
      <w:r>
        <w:rPr>
          <w:rFonts w:hint="eastAsia"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lang w:val="en-US" w:eastAsia="zh-CN"/>
        </w:rPr>
        <w:t>风向</w:t>
      </w:r>
      <w:r>
        <w:rPr>
          <w:rFonts w:hint="default" w:ascii="Times New Roman" w:hAnsi="Times New Roman" w:cs="Times New Roman"/>
          <w:color w:val="auto"/>
          <w:sz w:val="24"/>
          <w:szCs w:val="24"/>
          <w:highlight w:val="none"/>
          <w:lang w:eastAsia="zh-CN"/>
        </w:rPr>
        <w:t>）。本次环评实测</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个点位</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引用</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个</w:t>
      </w:r>
      <w:r>
        <w:rPr>
          <w:rFonts w:hint="eastAsia" w:ascii="Times New Roman" w:hAnsi="Times New Roman" w:cs="Times New Roman"/>
          <w:color w:val="auto"/>
          <w:sz w:val="24"/>
          <w:szCs w:val="24"/>
          <w:highlight w:val="none"/>
          <w:lang w:val="en-US" w:eastAsia="zh-CN"/>
        </w:rPr>
        <w:t>监测点</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大气</w:t>
      </w:r>
      <w:r>
        <w:rPr>
          <w:rFonts w:hint="default" w:ascii="Times New Roman" w:hAnsi="Times New Roman" w:cs="Times New Roman"/>
          <w:color w:val="auto"/>
          <w:sz w:val="24"/>
          <w:szCs w:val="24"/>
          <w:highlight w:val="none"/>
          <w:lang w:eastAsia="zh-CN"/>
        </w:rPr>
        <w:t>监测点满足数量和分布要求。本项目引用监测点监测时间均在近三年之内，符合监测点引用时间要求。监测点位基本信息见表</w:t>
      </w:r>
      <w:r>
        <w:rPr>
          <w:rFonts w:hint="default" w:ascii="Times New Roman" w:hAnsi="Times New Roman" w:cs="Times New Roman"/>
          <w:color w:val="auto"/>
          <w:sz w:val="24"/>
          <w:szCs w:val="24"/>
          <w:highlight w:val="none"/>
          <w:lang w:val="en-US" w:eastAsia="zh-CN"/>
        </w:rPr>
        <w:t>4.2-</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。监测点位见图</w:t>
      </w:r>
      <w:r>
        <w:rPr>
          <w:rFonts w:hint="default" w:ascii="Times New Roman" w:hAnsi="Times New Roman" w:cs="Times New Roman"/>
          <w:color w:val="auto"/>
          <w:sz w:val="24"/>
          <w:szCs w:val="24"/>
          <w:highlight w:val="none"/>
          <w:lang w:val="en-US" w:eastAsia="zh-CN"/>
        </w:rPr>
        <w:t>4.2-1。</w:t>
      </w:r>
    </w:p>
    <w:p w14:paraId="458A187F">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auto"/>
          <w:kern w:val="2"/>
          <w:sz w:val="21"/>
          <w:szCs w:val="21"/>
          <w:highlight w:val="none"/>
          <w:vertAlign w:val="superscript"/>
          <w:lang w:val="en-US" w:eastAsia="zh-CN" w:bidi="ar"/>
        </w:rPr>
      </w:pPr>
      <w:r>
        <w:rPr>
          <w:rFonts w:hint="default" w:ascii="Times New Roman" w:hAnsi="Times New Roman" w:eastAsia="黑体" w:cs="Times New Roman"/>
          <w:color w:val="auto"/>
          <w:kern w:val="2"/>
          <w:sz w:val="21"/>
          <w:szCs w:val="21"/>
          <w:highlight w:val="none"/>
          <w:lang w:val="en-US" w:eastAsia="zh-CN" w:bidi="ar"/>
        </w:rPr>
        <w:t>表4.2-</w:t>
      </w:r>
      <w:r>
        <w:rPr>
          <w:rFonts w:hint="eastAsia" w:eastAsia="黑体" w:cs="Times New Roman"/>
          <w:color w:val="auto"/>
          <w:kern w:val="2"/>
          <w:sz w:val="21"/>
          <w:szCs w:val="21"/>
          <w:highlight w:val="none"/>
          <w:lang w:val="en-US" w:eastAsia="zh-CN" w:bidi="ar"/>
        </w:rPr>
        <w:t xml:space="preserve">2      </w:t>
      </w:r>
      <w:r>
        <w:rPr>
          <w:rFonts w:hint="default" w:ascii="Times New Roman" w:hAnsi="Times New Roman" w:eastAsia="黑体" w:cs="Times New Roman"/>
          <w:color w:val="auto"/>
          <w:kern w:val="2"/>
          <w:sz w:val="21"/>
          <w:szCs w:val="21"/>
          <w:highlight w:val="none"/>
          <w:lang w:val="en-US" w:eastAsia="zh-CN" w:bidi="ar"/>
        </w:rPr>
        <w:t>监测点位基本信息</w:t>
      </w:r>
      <w:r>
        <w:rPr>
          <w:rFonts w:hint="eastAsia" w:eastAsia="黑体" w:cs="Times New Roman"/>
          <w:color w:val="auto"/>
          <w:kern w:val="2"/>
          <w:sz w:val="21"/>
          <w:szCs w:val="21"/>
          <w:highlight w:val="none"/>
          <w:lang w:val="en-US" w:eastAsia="zh-CN" w:bidi="ar"/>
        </w:rPr>
        <w:t xml:space="preserve">    </w:t>
      </w:r>
      <w:r>
        <w:rPr>
          <w:rFonts w:hint="default" w:ascii="Times New Roman" w:hAnsi="Times New Roman" w:eastAsia="黑体" w:cs="Times New Roman"/>
          <w:color w:val="auto"/>
          <w:kern w:val="2"/>
          <w:sz w:val="21"/>
          <w:szCs w:val="21"/>
          <w:highlight w:val="none"/>
          <w:lang w:val="en-US" w:eastAsia="zh-CN" w:bidi="ar"/>
        </w:rPr>
        <w:t>单位：mg/m</w:t>
      </w:r>
      <w:r>
        <w:rPr>
          <w:rFonts w:hint="default" w:ascii="Times New Roman" w:hAnsi="Times New Roman" w:eastAsia="黑体" w:cs="Times New Roman"/>
          <w:color w:val="auto"/>
          <w:kern w:val="2"/>
          <w:sz w:val="21"/>
          <w:szCs w:val="21"/>
          <w:highlight w:val="none"/>
          <w:vertAlign w:val="superscript"/>
          <w:lang w:val="en-US" w:eastAsia="zh-CN" w:bidi="ar"/>
        </w:rPr>
        <w:t>3</w:t>
      </w:r>
    </w:p>
    <w:tbl>
      <w:tblPr>
        <w:tblStyle w:val="35"/>
        <w:tblW w:w="9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5"/>
        <w:gridCol w:w="2103"/>
        <w:gridCol w:w="1620"/>
        <w:gridCol w:w="930"/>
        <w:gridCol w:w="1080"/>
        <w:gridCol w:w="1680"/>
        <w:gridCol w:w="1057"/>
      </w:tblGrid>
      <w:tr w14:paraId="7CEEB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0477">
            <w:pPr>
              <w:spacing w:line="240" w:lineRule="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lang w:val="en-US" w:eastAsia="zh-CN"/>
              </w:rPr>
              <w:br w:type="page"/>
            </w: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39D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监测点位名称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25CD">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rPr>
              <w:t>地理坐标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267B">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rPr>
              <w:t>与</w:t>
            </w: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位置关系</w:t>
            </w: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14:paraId="6ACC2CE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监测</w:t>
            </w:r>
          </w:p>
          <w:p w14:paraId="0708792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因子</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800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监测时间</w:t>
            </w:r>
          </w:p>
        </w:tc>
        <w:tc>
          <w:tcPr>
            <w:tcW w:w="10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D3C9CE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监测单位</w:t>
            </w:r>
          </w:p>
        </w:tc>
      </w:tr>
      <w:tr w14:paraId="24090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jc w:val="center"/>
        </w:trPr>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3C4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D6DD">
            <w:pPr>
              <w:autoSpaceDE w:val="0"/>
              <w:autoSpaceDN w:val="0"/>
              <w:adjustRightInd w:val="0"/>
              <w:snapToGrid w:val="0"/>
              <w:spacing w:line="240" w:lineRule="auto"/>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color w:val="auto"/>
                <w:sz w:val="21"/>
                <w:szCs w:val="21"/>
                <w:highlight w:val="none"/>
                <w:lang w:val="en-US" w:eastAsia="zh-CN"/>
              </w:rPr>
              <w:t>TH10250X</w:t>
            </w:r>
            <w:r>
              <w:rPr>
                <w:rFonts w:hint="default" w:ascii="Times New Roman" w:hAnsi="Times New Roman" w:eastAsia="宋体" w:cs="Times New Roman"/>
                <w:color w:val="auto"/>
                <w:sz w:val="21"/>
                <w:szCs w:val="21"/>
                <w:highlight w:val="none"/>
                <w:lang w:val="en-US" w:eastAsia="zh-CN"/>
              </w:rPr>
              <w:t>井场</w:t>
            </w:r>
            <w:r>
              <w:rPr>
                <w:rFonts w:hint="eastAsia" w:ascii="Times New Roman" w:hAnsi="Times New Roman" w:eastAsia="宋体" w:cs="Times New Roman"/>
                <w:color w:val="auto"/>
                <w:sz w:val="21"/>
                <w:szCs w:val="21"/>
                <w:highlight w:val="none"/>
                <w:lang w:val="en-US" w:eastAsia="zh-CN"/>
              </w:rPr>
              <w:t>东侧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实测数据</w:t>
            </w:r>
            <w:r>
              <w:rPr>
                <w:rFonts w:hint="default" w:ascii="Times New Roman" w:hAnsi="Times New Roman" w:eastAsia="宋体" w:cs="Times New Roman"/>
                <w:color w:val="auto"/>
                <w:sz w:val="21"/>
                <w:szCs w:val="21"/>
                <w:highlight w:val="none"/>
                <w:lang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A134">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30" w:type="dxa"/>
            <w:tcBorders>
              <w:top w:val="single" w:color="000000" w:sz="4" w:space="0"/>
              <w:left w:val="single" w:color="000000" w:sz="4" w:space="0"/>
              <w:bottom w:val="single" w:color="000000" w:sz="4" w:space="0"/>
              <w:right w:val="single" w:color="auto" w:sz="4" w:space="0"/>
            </w:tcBorders>
            <w:shd w:val="clear" w:color="auto" w:fill="auto"/>
            <w:vAlign w:val="center"/>
          </w:tcPr>
          <w:p w14:paraId="557C8076">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项目区</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A7017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u w:val="none"/>
              </w:rPr>
              <w:t>非甲烷总烃、H</w:t>
            </w:r>
            <w:r>
              <w:rPr>
                <w:rFonts w:hint="default" w:ascii="Times New Roman" w:hAnsi="Times New Roman" w:cs="Times New Roman"/>
                <w:color w:val="auto"/>
                <w:sz w:val="21"/>
                <w:szCs w:val="21"/>
                <w:highlight w:val="none"/>
                <w:u w:val="none"/>
                <w:vertAlign w:val="subscript"/>
              </w:rPr>
              <w:t>2</w:t>
            </w:r>
            <w:r>
              <w:rPr>
                <w:rFonts w:hint="default" w:ascii="Times New Roman" w:hAnsi="Times New Roman" w:cs="Times New Roman"/>
                <w:color w:val="auto"/>
                <w:sz w:val="21"/>
                <w:szCs w:val="21"/>
                <w:highlight w:val="none"/>
                <w:u w:val="none"/>
              </w:rPr>
              <w:t>S</w:t>
            </w:r>
          </w:p>
        </w:tc>
        <w:tc>
          <w:tcPr>
            <w:tcW w:w="1680" w:type="dxa"/>
            <w:tcBorders>
              <w:top w:val="single" w:color="000000" w:sz="4" w:space="0"/>
              <w:left w:val="single" w:color="auto" w:sz="4" w:space="0"/>
              <w:bottom w:val="single" w:color="000000" w:sz="4" w:space="0"/>
              <w:right w:val="single" w:color="000000" w:sz="4" w:space="0"/>
            </w:tcBorders>
            <w:shd w:val="clear" w:color="auto" w:fill="auto"/>
            <w:vAlign w:val="center"/>
          </w:tcPr>
          <w:p w14:paraId="2CF99CE5">
            <w:pPr>
              <w:widowControl/>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lang w:val="en-US" w:eastAsia="zh-CN"/>
              </w:rPr>
              <w:t>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u w:val="none"/>
              </w:rPr>
              <w:t>年</w:t>
            </w:r>
            <w:r>
              <w:rPr>
                <w:rFonts w:hint="eastAsia" w:cs="Times New Roman"/>
                <w:color w:val="auto"/>
                <w:sz w:val="21"/>
                <w:szCs w:val="21"/>
                <w:highlight w:val="none"/>
                <w:u w:val="none"/>
                <w:lang w:val="en-US" w:eastAsia="zh-CN"/>
              </w:rPr>
              <w:t>3</w:t>
            </w:r>
            <w:r>
              <w:rPr>
                <w:rFonts w:hint="default" w:ascii="Times New Roman" w:hAnsi="Times New Roman" w:cs="Times New Roman"/>
                <w:color w:val="auto"/>
                <w:sz w:val="21"/>
                <w:szCs w:val="21"/>
                <w:highlight w:val="none"/>
                <w:u w:val="none"/>
              </w:rPr>
              <w:t>月2</w:t>
            </w:r>
            <w:r>
              <w:rPr>
                <w:rFonts w:hint="eastAsia" w:cs="Times New Roman"/>
                <w:color w:val="auto"/>
                <w:sz w:val="21"/>
                <w:szCs w:val="21"/>
                <w:highlight w:val="none"/>
                <w:u w:val="none"/>
                <w:lang w:val="en-US" w:eastAsia="zh-CN"/>
              </w:rPr>
              <w:t>6</w:t>
            </w:r>
            <w:r>
              <w:rPr>
                <w:rFonts w:hint="default" w:ascii="Times New Roman" w:hAnsi="Times New Roman" w:cs="Times New Roman"/>
                <w:color w:val="auto"/>
                <w:sz w:val="21"/>
                <w:szCs w:val="21"/>
                <w:highlight w:val="none"/>
                <w:u w:val="none"/>
              </w:rPr>
              <w:t>日-</w:t>
            </w:r>
            <w:r>
              <w:rPr>
                <w:rFonts w:hint="eastAsia" w:cs="Times New Roman"/>
                <w:color w:val="auto"/>
                <w:sz w:val="21"/>
                <w:szCs w:val="21"/>
                <w:highlight w:val="none"/>
                <w:u w:val="none"/>
                <w:lang w:val="en-US" w:eastAsia="zh-CN"/>
              </w:rPr>
              <w:t>4</w:t>
            </w:r>
            <w:r>
              <w:rPr>
                <w:rFonts w:hint="default" w:ascii="Times New Roman" w:hAnsi="Times New Roman" w:cs="Times New Roman"/>
                <w:color w:val="auto"/>
                <w:sz w:val="21"/>
                <w:szCs w:val="21"/>
                <w:highlight w:val="none"/>
                <w:u w:val="none"/>
              </w:rPr>
              <w:t>月</w:t>
            </w:r>
            <w:r>
              <w:rPr>
                <w:rFonts w:hint="eastAsia" w:cs="Times New Roman"/>
                <w:color w:val="auto"/>
                <w:sz w:val="21"/>
                <w:szCs w:val="21"/>
                <w:highlight w:val="none"/>
                <w:u w:val="none"/>
                <w:lang w:val="en-US" w:eastAsia="zh-CN"/>
              </w:rPr>
              <w:t>1</w:t>
            </w:r>
            <w:r>
              <w:rPr>
                <w:rFonts w:hint="default" w:ascii="Times New Roman" w:hAnsi="Times New Roman" w:cs="Times New Roman"/>
                <w:color w:val="auto"/>
                <w:sz w:val="21"/>
                <w:szCs w:val="21"/>
                <w:highlight w:val="none"/>
                <w:u w:val="none"/>
              </w:rPr>
              <w:t>日</w:t>
            </w:r>
          </w:p>
        </w:tc>
        <w:tc>
          <w:tcPr>
            <w:tcW w:w="1057" w:type="dxa"/>
            <w:vMerge w:val="restart"/>
            <w:tcBorders>
              <w:top w:val="single" w:color="auto" w:sz="4" w:space="0"/>
              <w:left w:val="single" w:color="auto" w:sz="4" w:space="0"/>
              <w:right w:val="single" w:color="auto" w:sz="4" w:space="0"/>
            </w:tcBorders>
            <w:shd w:val="clear" w:color="auto" w:fill="auto"/>
            <w:vAlign w:val="center"/>
          </w:tcPr>
          <w:p w14:paraId="725C366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新疆广宇众联环境监测有限公司</w:t>
            </w:r>
          </w:p>
        </w:tc>
      </w:tr>
      <w:tr w14:paraId="380AF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CBD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A601">
            <w:pPr>
              <w:autoSpaceDE w:val="0"/>
              <w:autoSpaceDN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TH102117X井场</w:t>
            </w:r>
          </w:p>
          <w:p w14:paraId="027DC26E">
            <w:pPr>
              <w:autoSpaceDE w:val="0"/>
              <w:autoSpaceDN w:val="0"/>
              <w:adjustRightInd w:val="0"/>
              <w:snapToGrid w:val="0"/>
              <w:spacing w:line="240" w:lineRule="auto"/>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lang w:val="en-US" w:eastAsia="zh-CN"/>
              </w:rPr>
              <w:t>（引用数据）</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2F71">
            <w:pPr>
              <w:autoSpaceDE w:val="0"/>
              <w:autoSpaceDN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930" w:type="dxa"/>
            <w:tcBorders>
              <w:top w:val="single" w:color="000000" w:sz="4" w:space="0"/>
              <w:left w:val="single" w:color="000000" w:sz="4" w:space="0"/>
              <w:bottom w:val="single" w:color="000000" w:sz="4" w:space="0"/>
              <w:right w:val="single" w:color="auto" w:sz="4" w:space="0"/>
            </w:tcBorders>
            <w:shd w:val="clear" w:color="auto" w:fill="auto"/>
            <w:vAlign w:val="center"/>
          </w:tcPr>
          <w:p w14:paraId="7FAE5A34">
            <w:pPr>
              <w:widowControl/>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u w:val="none"/>
              </w:rPr>
              <w:t>项目区</w:t>
            </w:r>
            <w:r>
              <w:rPr>
                <w:rFonts w:hint="eastAsia" w:cs="Times New Roman"/>
                <w:color w:val="auto"/>
                <w:sz w:val="21"/>
                <w:szCs w:val="21"/>
                <w:highlight w:val="none"/>
                <w:lang w:val="en-US" w:eastAsia="zh-CN"/>
              </w:rPr>
              <w:t>下</w:t>
            </w:r>
            <w:r>
              <w:rPr>
                <w:rFonts w:hint="default" w:ascii="Times New Roman" w:hAnsi="Times New Roman" w:eastAsia="宋体" w:cs="Times New Roman"/>
                <w:color w:val="auto"/>
                <w:sz w:val="21"/>
                <w:szCs w:val="21"/>
                <w:highlight w:val="none"/>
                <w:lang w:eastAsia="zh-CN"/>
              </w:rPr>
              <w:t>风向</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8A4D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i w:val="0"/>
                <w:iCs w:val="0"/>
                <w:color w:val="auto"/>
                <w:sz w:val="21"/>
                <w:szCs w:val="21"/>
                <w:highlight w:val="none"/>
                <w:u w:val="none"/>
              </w:rPr>
            </w:pPr>
          </w:p>
        </w:tc>
        <w:tc>
          <w:tcPr>
            <w:tcW w:w="1680" w:type="dxa"/>
            <w:tcBorders>
              <w:top w:val="single" w:color="000000" w:sz="4" w:space="0"/>
              <w:left w:val="single" w:color="auto" w:sz="4" w:space="0"/>
              <w:bottom w:val="single" w:color="000000" w:sz="4" w:space="0"/>
              <w:right w:val="single" w:color="000000" w:sz="4" w:space="0"/>
            </w:tcBorders>
            <w:shd w:val="clear" w:color="auto" w:fill="auto"/>
            <w:vAlign w:val="center"/>
          </w:tcPr>
          <w:p w14:paraId="62F2CB98">
            <w:pPr>
              <w:widowControl/>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u w:val="none"/>
              </w:rPr>
              <w:t>202</w:t>
            </w:r>
            <w:r>
              <w:rPr>
                <w:rFonts w:hint="eastAsia" w:cs="Times New Roman"/>
                <w:color w:val="auto"/>
                <w:sz w:val="21"/>
                <w:szCs w:val="21"/>
                <w:highlight w:val="none"/>
                <w:u w:val="none"/>
                <w:lang w:val="en-US" w:eastAsia="zh-CN"/>
              </w:rPr>
              <w:t>4</w:t>
            </w:r>
            <w:r>
              <w:rPr>
                <w:rFonts w:hint="default" w:ascii="Times New Roman" w:hAnsi="Times New Roman" w:cs="Times New Roman"/>
                <w:color w:val="auto"/>
                <w:sz w:val="21"/>
                <w:szCs w:val="21"/>
                <w:highlight w:val="none"/>
                <w:u w:val="none"/>
              </w:rPr>
              <w:t>年</w:t>
            </w:r>
            <w:r>
              <w:rPr>
                <w:rFonts w:hint="eastAsia" w:cs="Times New Roman"/>
                <w:color w:val="auto"/>
                <w:sz w:val="21"/>
                <w:szCs w:val="21"/>
                <w:highlight w:val="none"/>
                <w:u w:val="none"/>
                <w:lang w:val="en-US" w:eastAsia="zh-CN"/>
              </w:rPr>
              <w:t>12</w:t>
            </w:r>
            <w:r>
              <w:rPr>
                <w:rFonts w:hint="default" w:ascii="Times New Roman" w:hAnsi="Times New Roman" w:cs="Times New Roman"/>
                <w:color w:val="auto"/>
                <w:sz w:val="21"/>
                <w:szCs w:val="21"/>
                <w:highlight w:val="none"/>
                <w:u w:val="none"/>
              </w:rPr>
              <w:t>月</w:t>
            </w:r>
            <w:r>
              <w:rPr>
                <w:rFonts w:hint="eastAsia" w:cs="Times New Roman"/>
                <w:color w:val="auto"/>
                <w:sz w:val="21"/>
                <w:szCs w:val="21"/>
                <w:highlight w:val="none"/>
                <w:u w:val="none"/>
                <w:lang w:val="en-US" w:eastAsia="zh-CN"/>
              </w:rPr>
              <w:t>24</w:t>
            </w:r>
            <w:r>
              <w:rPr>
                <w:rFonts w:hint="default" w:ascii="Times New Roman" w:hAnsi="Times New Roman" w:cs="Times New Roman"/>
                <w:color w:val="auto"/>
                <w:sz w:val="21"/>
                <w:szCs w:val="21"/>
                <w:highlight w:val="none"/>
                <w:u w:val="none"/>
              </w:rPr>
              <w:t>日-</w:t>
            </w:r>
            <w:r>
              <w:rPr>
                <w:rFonts w:hint="eastAsia" w:cs="Times New Roman"/>
                <w:color w:val="auto"/>
                <w:sz w:val="21"/>
                <w:szCs w:val="21"/>
                <w:highlight w:val="none"/>
                <w:u w:val="none"/>
                <w:lang w:val="en-US" w:eastAsia="zh-CN"/>
              </w:rPr>
              <w:t>2024年30</w:t>
            </w:r>
            <w:r>
              <w:rPr>
                <w:rFonts w:hint="default" w:ascii="Times New Roman" w:hAnsi="Times New Roman" w:cs="Times New Roman"/>
                <w:color w:val="auto"/>
                <w:sz w:val="21"/>
                <w:szCs w:val="21"/>
                <w:highlight w:val="none"/>
                <w:u w:val="none"/>
              </w:rPr>
              <w:t>日</w:t>
            </w:r>
          </w:p>
        </w:tc>
        <w:tc>
          <w:tcPr>
            <w:tcW w:w="1057" w:type="dxa"/>
            <w:vMerge w:val="continue"/>
            <w:tcBorders>
              <w:left w:val="single" w:color="auto" w:sz="4" w:space="0"/>
              <w:bottom w:val="single" w:color="auto" w:sz="4" w:space="0"/>
              <w:right w:val="single" w:color="auto" w:sz="4" w:space="0"/>
            </w:tcBorders>
            <w:shd w:val="clear" w:color="auto" w:fill="auto"/>
            <w:noWrap/>
            <w:vAlign w:val="center"/>
          </w:tcPr>
          <w:p w14:paraId="341893A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i w:val="0"/>
                <w:iCs w:val="0"/>
                <w:color w:val="auto"/>
                <w:sz w:val="21"/>
                <w:szCs w:val="21"/>
                <w:highlight w:val="none"/>
                <w:u w:val="none"/>
              </w:rPr>
            </w:pPr>
          </w:p>
        </w:tc>
      </w:tr>
    </w:tbl>
    <w:p w14:paraId="1EAA432F">
      <w:pPr>
        <w:numPr>
          <w:ilvl w:val="0"/>
          <w:numId w:val="0"/>
        </w:numPr>
        <w:spacing w:line="360" w:lineRule="auto"/>
        <w:ind w:leftChars="200"/>
        <w:jc w:val="both"/>
        <w:rPr>
          <w:rFonts w:hint="default"/>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监测及分析方法</w:t>
      </w:r>
    </w:p>
    <w:p w14:paraId="1AD96946">
      <w:pPr>
        <w:spacing w:line="360" w:lineRule="auto"/>
        <w:ind w:firstLine="480" w:firstLineChars="200"/>
        <w:jc w:val="both"/>
        <w:rPr>
          <w:rFonts w:hint="eastAsia" w:ascii="Times New Roman" w:hAnsi="Times New Roman" w:cs="Times New Roman"/>
          <w:snapToGrid w:val="0"/>
          <w:color w:val="auto"/>
          <w:highlight w:val="none"/>
          <w:lang w:eastAsia="zh-CN"/>
        </w:rPr>
      </w:pPr>
      <w:r>
        <w:rPr>
          <w:rFonts w:hint="default" w:ascii="Times New Roman" w:hAnsi="Times New Roman" w:cs="Times New Roman"/>
          <w:color w:val="auto"/>
          <w:sz w:val="24"/>
          <w:szCs w:val="24"/>
          <w:highlight w:val="none"/>
        </w:rPr>
        <w:t>各监测项目的采样方法按国家环保总局颁布的《环境空气监测技术规范》的规定执行；分析方法按《空气和废气监测分析方法》和《环境空气质量标准》（GB3095-2012）引用标准的有关规定执行。具体见表</w:t>
      </w:r>
      <w:r>
        <w:rPr>
          <w:rFonts w:hint="default" w:ascii="Times New Roman" w:hAnsi="Times New Roman" w:cs="Times New Roman"/>
          <w:color w:val="auto"/>
          <w:spacing w:val="4"/>
          <w:kern w:val="24"/>
          <w:sz w:val="24"/>
          <w:szCs w:val="24"/>
          <w:highlight w:val="none"/>
        </w:rPr>
        <w:t>4.</w:t>
      </w:r>
      <w:r>
        <w:rPr>
          <w:rFonts w:hint="eastAsia" w:ascii="Times New Roman" w:hAnsi="Times New Roman" w:cs="Times New Roman"/>
          <w:color w:val="auto"/>
          <w:spacing w:val="4"/>
          <w:kern w:val="24"/>
          <w:sz w:val="24"/>
          <w:szCs w:val="24"/>
          <w:highlight w:val="none"/>
          <w:lang w:val="en-US" w:eastAsia="zh-CN"/>
        </w:rPr>
        <w:t>2</w:t>
      </w:r>
      <w:r>
        <w:rPr>
          <w:rFonts w:hint="default" w:ascii="Times New Roman" w:hAnsi="Times New Roman" w:cs="Times New Roman"/>
          <w:color w:val="auto"/>
          <w:spacing w:val="4"/>
          <w:kern w:val="24"/>
          <w:sz w:val="24"/>
          <w:szCs w:val="24"/>
          <w:highlight w:val="none"/>
        </w:rPr>
        <w:t>-</w:t>
      </w:r>
      <w:r>
        <w:rPr>
          <w:rFonts w:hint="default" w:ascii="Times New Roman" w:hAnsi="Times New Roman" w:cs="Times New Roman"/>
          <w:color w:val="auto"/>
          <w:spacing w:val="4"/>
          <w:kern w:val="24"/>
          <w:sz w:val="24"/>
          <w:szCs w:val="24"/>
          <w:highlight w:val="none"/>
          <w:lang w:val="en-US" w:eastAsia="zh-CN"/>
        </w:rPr>
        <w:t>3</w:t>
      </w:r>
      <w:r>
        <w:rPr>
          <w:rFonts w:hint="eastAsia" w:ascii="Times New Roman" w:hAnsi="Times New Roman" w:cs="Times New Roman"/>
          <w:snapToGrid w:val="0"/>
          <w:color w:val="auto"/>
          <w:highlight w:val="none"/>
          <w:lang w:eastAsia="zh-CN"/>
        </w:rPr>
        <w:t>。</w:t>
      </w:r>
    </w:p>
    <w:p w14:paraId="43113485">
      <w:pPr>
        <w:pStyle w:val="54"/>
        <w:rPr>
          <w:rFonts w:hint="eastAsia" w:ascii="黑体" w:hAnsi="黑体" w:eastAsia="黑体" w:cs="黑体"/>
          <w:b w:val="0"/>
          <w:bCs/>
          <w:color w:val="auto"/>
          <w:highlight w:val="none"/>
        </w:rPr>
      </w:pPr>
      <w:r>
        <w:rPr>
          <w:rFonts w:hint="eastAsia" w:ascii="黑体" w:hAnsi="黑体" w:eastAsia="黑体" w:cs="黑体"/>
          <w:b w:val="0"/>
          <w:bCs/>
          <w:color w:val="auto"/>
          <w:highlight w:val="none"/>
        </w:rPr>
        <w:t>表4.</w:t>
      </w:r>
      <w:r>
        <w:rPr>
          <w:rFonts w:hint="eastAsia" w:ascii="黑体" w:hAnsi="黑体" w:eastAsia="黑体" w:cs="黑体"/>
          <w:b w:val="0"/>
          <w:bCs/>
          <w:color w:val="auto"/>
          <w:highlight w:val="none"/>
          <w:lang w:val="en-US" w:eastAsia="zh-CN"/>
        </w:rPr>
        <w:t>2-3</w:t>
      </w:r>
      <w:r>
        <w:rPr>
          <w:rFonts w:hint="eastAsia" w:ascii="黑体" w:hAnsi="黑体" w:eastAsia="黑体" w:cs="黑体"/>
          <w:b w:val="0"/>
          <w:bCs/>
          <w:color w:val="auto"/>
          <w:highlight w:val="none"/>
        </w:rPr>
        <w:t>大气污染物采样分析方法及依据</w:t>
      </w:r>
    </w:p>
    <w:tbl>
      <w:tblPr>
        <w:tblStyle w:val="35"/>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365"/>
        <w:gridCol w:w="5010"/>
        <w:gridCol w:w="1471"/>
      </w:tblGrid>
      <w:tr w14:paraId="7015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noWrap w:val="0"/>
            <w:vAlign w:val="center"/>
          </w:tcPr>
          <w:p w14:paraId="61BFF8B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365" w:type="dxa"/>
            <w:noWrap w:val="0"/>
            <w:vAlign w:val="center"/>
          </w:tcPr>
          <w:p w14:paraId="6F6C5E0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5010" w:type="dxa"/>
            <w:noWrap w:val="0"/>
            <w:vAlign w:val="center"/>
          </w:tcPr>
          <w:p w14:paraId="24338B8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分析方法</w:t>
            </w:r>
            <w:r>
              <w:rPr>
                <w:rFonts w:hint="default" w:ascii="Times New Roman" w:hAnsi="Times New Roman" w:cs="Times New Roman"/>
                <w:color w:val="auto"/>
                <w:sz w:val="21"/>
                <w:szCs w:val="21"/>
                <w:highlight w:val="none"/>
                <w:lang w:val="en-US" w:eastAsia="zh-CN"/>
              </w:rPr>
              <w:t>及</w:t>
            </w:r>
            <w:r>
              <w:rPr>
                <w:rFonts w:hint="default" w:ascii="Times New Roman" w:hAnsi="Times New Roman" w:cs="Times New Roman"/>
                <w:color w:val="auto"/>
                <w:sz w:val="21"/>
                <w:szCs w:val="21"/>
                <w:highlight w:val="none"/>
              </w:rPr>
              <w:t>依据</w:t>
            </w:r>
          </w:p>
        </w:tc>
        <w:tc>
          <w:tcPr>
            <w:tcW w:w="1471" w:type="dxa"/>
            <w:noWrap w:val="0"/>
            <w:vAlign w:val="center"/>
          </w:tcPr>
          <w:p w14:paraId="708BCFD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检出限（mg/m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r>
      <w:tr w14:paraId="1F2B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noWrap w:val="0"/>
            <w:vAlign w:val="center"/>
          </w:tcPr>
          <w:p w14:paraId="577CCAF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65" w:type="dxa"/>
            <w:noWrap w:val="0"/>
            <w:vAlign w:val="center"/>
          </w:tcPr>
          <w:p w14:paraId="357C349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5010" w:type="dxa"/>
            <w:noWrap w:val="0"/>
            <w:vAlign w:val="center"/>
          </w:tcPr>
          <w:p w14:paraId="51546741">
            <w:pPr>
              <w:keepNext w:val="0"/>
              <w:keepLines w:val="0"/>
              <w:pageBreakBefore w:val="0"/>
              <w:kinsoku/>
              <w:wordWrap/>
              <w:overflowPunct/>
              <w:topLinePunct w:val="0"/>
              <w:autoSpaceDE/>
              <w:autoSpaceDN/>
              <w:bidi w:val="0"/>
              <w:adjustRightInd/>
              <w:snapToGrid/>
              <w:spacing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4"/>
                <w:highlight w:val="none"/>
                <w:lang w:eastAsia="zh-CN"/>
              </w:rPr>
              <w:t>《环境空气</w:t>
            </w:r>
            <w:r>
              <w:rPr>
                <w:rFonts w:hint="default" w:ascii="Times New Roman" w:hAnsi="Times New Roman" w:eastAsia="宋体" w:cs="Times New Roman"/>
                <w:color w:val="auto"/>
                <w:sz w:val="21"/>
                <w:szCs w:val="24"/>
                <w:highlight w:val="none"/>
              </w:rPr>
              <w:t>总烃、甲烷和非甲烷总烃的测定</w:t>
            </w:r>
            <w:r>
              <w:rPr>
                <w:rFonts w:hint="default" w:ascii="Times New Roman" w:hAnsi="Times New Roman" w:cs="Times New Roman"/>
                <w:color w:val="auto"/>
                <w:sz w:val="21"/>
                <w:szCs w:val="24"/>
                <w:highlight w:val="none"/>
                <w:lang w:eastAsia="zh-CN"/>
              </w:rPr>
              <w:t>直接进样－</w:t>
            </w:r>
            <w:r>
              <w:rPr>
                <w:rFonts w:hint="default" w:ascii="Times New Roman" w:hAnsi="Times New Roman" w:eastAsia="宋体" w:cs="Times New Roman"/>
                <w:color w:val="auto"/>
                <w:sz w:val="21"/>
                <w:szCs w:val="24"/>
                <w:highlight w:val="none"/>
              </w:rPr>
              <w:t>气相色谱法</w:t>
            </w:r>
            <w:r>
              <w:rPr>
                <w:rFonts w:hint="default" w:ascii="Times New Roman" w:hAnsi="Times New Roman" w:cs="Times New Roman"/>
                <w:color w:val="auto"/>
                <w:sz w:val="21"/>
                <w:szCs w:val="24"/>
                <w:highlight w:val="none"/>
                <w:lang w:eastAsia="zh-CN"/>
              </w:rPr>
              <w:t>》（</w:t>
            </w:r>
            <w:r>
              <w:rPr>
                <w:rFonts w:hint="default" w:ascii="Times New Roman" w:hAnsi="Times New Roman" w:eastAsia="宋体" w:cs="Times New Roman"/>
                <w:color w:val="auto"/>
                <w:sz w:val="21"/>
                <w:szCs w:val="24"/>
                <w:highlight w:val="none"/>
              </w:rPr>
              <w:t>HJ</w:t>
            </w:r>
            <w:r>
              <w:rPr>
                <w:rFonts w:hint="default" w:ascii="Times New Roman" w:hAnsi="Times New Roman" w:cs="Times New Roman"/>
                <w:color w:val="auto"/>
                <w:sz w:val="21"/>
                <w:szCs w:val="24"/>
                <w:highlight w:val="none"/>
                <w:lang w:val="en-US" w:eastAsia="zh-CN"/>
              </w:rPr>
              <w:t>604</w:t>
            </w:r>
            <w:r>
              <w:rPr>
                <w:rFonts w:hint="default" w:ascii="Times New Roman" w:hAnsi="Times New Roman" w:eastAsia="宋体" w:cs="Times New Roman"/>
                <w:color w:val="auto"/>
                <w:sz w:val="21"/>
                <w:szCs w:val="24"/>
                <w:highlight w:val="none"/>
              </w:rPr>
              <w:t>-2017</w:t>
            </w:r>
            <w:r>
              <w:rPr>
                <w:rFonts w:hint="default" w:ascii="Times New Roman" w:hAnsi="Times New Roman" w:cs="Times New Roman"/>
                <w:color w:val="auto"/>
                <w:sz w:val="21"/>
                <w:szCs w:val="24"/>
                <w:highlight w:val="none"/>
                <w:lang w:eastAsia="zh-CN"/>
              </w:rPr>
              <w:t>）</w:t>
            </w:r>
          </w:p>
        </w:tc>
        <w:tc>
          <w:tcPr>
            <w:tcW w:w="1471" w:type="dxa"/>
            <w:noWrap w:val="0"/>
            <w:vAlign w:val="center"/>
          </w:tcPr>
          <w:p w14:paraId="266AE814">
            <w:pPr>
              <w:keepNext w:val="0"/>
              <w:keepLines w:val="0"/>
              <w:pageBreakBefore w:val="0"/>
              <w:kinsoku/>
              <w:wordWrap/>
              <w:overflowPunct/>
              <w:topLinePunct w:val="0"/>
              <w:autoSpaceDE/>
              <w:autoSpaceDN/>
              <w:bidi w:val="0"/>
              <w:adjustRightInd/>
              <w:snapToGrid/>
              <w:spacing w:afterAutospacing="0"/>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4"/>
                <w:highlight w:val="none"/>
              </w:rPr>
              <w:t>0.07mg/m</w:t>
            </w:r>
            <w:r>
              <w:rPr>
                <w:rFonts w:hint="default" w:ascii="Times New Roman" w:hAnsi="Times New Roman" w:eastAsia="宋体" w:cs="Times New Roman"/>
                <w:color w:val="auto"/>
                <w:sz w:val="21"/>
                <w:szCs w:val="24"/>
                <w:highlight w:val="none"/>
                <w:vertAlign w:val="superscript"/>
                <w:lang w:val="en-US" w:eastAsia="zh-CN"/>
              </w:rPr>
              <w:t>3</w:t>
            </w:r>
          </w:p>
        </w:tc>
      </w:tr>
      <w:tr w14:paraId="1F09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noWrap w:val="0"/>
            <w:vAlign w:val="center"/>
          </w:tcPr>
          <w:p w14:paraId="2C45816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65" w:type="dxa"/>
            <w:noWrap w:val="0"/>
            <w:vAlign w:val="center"/>
          </w:tcPr>
          <w:p w14:paraId="7A8A2A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硫化氢</w:t>
            </w:r>
          </w:p>
        </w:tc>
        <w:tc>
          <w:tcPr>
            <w:tcW w:w="5010" w:type="dxa"/>
            <w:noWrap w:val="0"/>
            <w:vAlign w:val="center"/>
          </w:tcPr>
          <w:p w14:paraId="7BA17400">
            <w:pPr>
              <w:keepNext w:val="0"/>
              <w:keepLines w:val="0"/>
              <w:pageBreakBefore w:val="0"/>
              <w:kinsoku/>
              <w:wordWrap/>
              <w:overflowPunct/>
              <w:topLinePunct w:val="0"/>
              <w:autoSpaceDE/>
              <w:autoSpaceDN/>
              <w:bidi w:val="0"/>
              <w:adjustRightInd/>
              <w:snapToGrid/>
              <w:spacing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4"/>
                <w:highlight w:val="none"/>
                <w:lang w:eastAsia="zh-CN"/>
              </w:rPr>
              <w:t>《居住区大气中硫化氢卫生检验标准方法亚甲蓝分光光度法》（</w:t>
            </w:r>
            <w:r>
              <w:rPr>
                <w:rFonts w:hint="default" w:ascii="Times New Roman" w:hAnsi="Times New Roman" w:eastAsia="宋体" w:cs="Times New Roman"/>
                <w:color w:val="auto"/>
                <w:sz w:val="21"/>
                <w:szCs w:val="24"/>
                <w:highlight w:val="none"/>
              </w:rPr>
              <w:t>GB</w:t>
            </w:r>
            <w:r>
              <w:rPr>
                <w:rFonts w:hint="eastAsia" w:ascii="Times New Roman" w:hAnsi="Times New Roman" w:cs="Times New Roman"/>
                <w:color w:val="auto"/>
                <w:sz w:val="21"/>
                <w:szCs w:val="24"/>
                <w:highlight w:val="none"/>
                <w:lang w:val="en-US" w:eastAsia="zh-CN"/>
              </w:rPr>
              <w:t>/T</w:t>
            </w:r>
            <w:r>
              <w:rPr>
                <w:rFonts w:hint="default" w:ascii="Times New Roman" w:hAnsi="Times New Roman" w:eastAsia="宋体" w:cs="Times New Roman"/>
                <w:color w:val="auto"/>
                <w:sz w:val="21"/>
                <w:szCs w:val="24"/>
                <w:highlight w:val="none"/>
              </w:rPr>
              <w:t>11742-</w:t>
            </w:r>
            <w:r>
              <w:rPr>
                <w:rFonts w:hint="eastAsia" w:ascii="Times New Roman" w:hAnsi="Times New Roman" w:cs="Times New Roman"/>
                <w:color w:val="auto"/>
                <w:sz w:val="21"/>
                <w:szCs w:val="24"/>
                <w:highlight w:val="none"/>
                <w:lang w:val="en-US" w:eastAsia="zh-CN"/>
              </w:rPr>
              <w:t>19</w:t>
            </w:r>
            <w:r>
              <w:rPr>
                <w:rFonts w:hint="default" w:ascii="Times New Roman" w:hAnsi="Times New Roman" w:eastAsia="宋体" w:cs="Times New Roman"/>
                <w:color w:val="auto"/>
                <w:sz w:val="21"/>
                <w:szCs w:val="24"/>
                <w:highlight w:val="none"/>
              </w:rPr>
              <w:t>89</w:t>
            </w:r>
            <w:r>
              <w:rPr>
                <w:rFonts w:hint="default" w:ascii="Times New Roman" w:hAnsi="Times New Roman" w:cs="Times New Roman"/>
                <w:color w:val="auto"/>
                <w:sz w:val="21"/>
                <w:szCs w:val="24"/>
                <w:highlight w:val="none"/>
                <w:lang w:eastAsia="zh-CN"/>
              </w:rPr>
              <w:t>）</w:t>
            </w:r>
          </w:p>
        </w:tc>
        <w:tc>
          <w:tcPr>
            <w:tcW w:w="1471" w:type="dxa"/>
            <w:noWrap w:val="0"/>
            <w:vAlign w:val="center"/>
          </w:tcPr>
          <w:p w14:paraId="30AB2AE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0.005</w:t>
            </w:r>
            <w:r>
              <w:rPr>
                <w:rFonts w:hint="default" w:ascii="Times New Roman" w:hAnsi="Times New Roman" w:eastAsia="宋体" w:cs="Times New Roman"/>
                <w:color w:val="auto"/>
                <w:sz w:val="21"/>
                <w:szCs w:val="24"/>
                <w:highlight w:val="none"/>
              </w:rPr>
              <w:t>mg/m</w:t>
            </w:r>
            <w:r>
              <w:rPr>
                <w:rFonts w:hint="default" w:ascii="Times New Roman" w:hAnsi="Times New Roman" w:eastAsia="宋体" w:cs="Times New Roman"/>
                <w:color w:val="auto"/>
                <w:sz w:val="21"/>
                <w:szCs w:val="24"/>
                <w:highlight w:val="none"/>
                <w:vertAlign w:val="superscript"/>
                <w:lang w:val="en-US" w:eastAsia="zh-CN"/>
              </w:rPr>
              <w:t>3</w:t>
            </w:r>
          </w:p>
        </w:tc>
      </w:tr>
    </w:tbl>
    <w:p w14:paraId="2AFBAF04">
      <w:pPr>
        <w:pStyle w:val="2"/>
        <w:rPr>
          <w:rFonts w:hint="default"/>
          <w:color w:val="auto"/>
          <w:highlight w:val="none"/>
        </w:rPr>
      </w:pPr>
    </w:p>
    <w:p w14:paraId="03C1749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评价标准</w:t>
      </w:r>
    </w:p>
    <w:p w14:paraId="1A8AE79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非甲烷总烃参考</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大气污染物综合排放标准</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GB16297-1996</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确定一次浓度限值2.0mg/m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rPr>
        <w:t>，H</w:t>
      </w:r>
      <w:r>
        <w:rPr>
          <w:rFonts w:hint="default" w:ascii="Times New Roman" w:hAnsi="Times New Roman" w:cs="Times New Roman"/>
          <w:b w:val="0"/>
          <w:bCs w:val="0"/>
          <w:color w:val="auto"/>
          <w:sz w:val="24"/>
          <w:szCs w:val="24"/>
          <w:highlight w:val="none"/>
          <w:vertAlign w:val="subscript"/>
        </w:rPr>
        <w:t>2</w:t>
      </w:r>
      <w:r>
        <w:rPr>
          <w:rFonts w:hint="default" w:ascii="Times New Roman" w:hAnsi="Times New Roman" w:cs="Times New Roman"/>
          <w:b w:val="0"/>
          <w:bCs w:val="0"/>
          <w:color w:val="auto"/>
          <w:sz w:val="24"/>
          <w:szCs w:val="24"/>
          <w:highlight w:val="none"/>
        </w:rPr>
        <w:t>S执行</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环境影响评价技术导则大气环境</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HJ2.2-2018</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附录D中其他污染物空气质量浓度参考限值</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0.01mg/m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的浓度限值要求。</w:t>
      </w:r>
    </w:p>
    <w:p w14:paraId="578A2535">
      <w:pPr>
        <w:pStyle w:val="57"/>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rPr>
        <w:t>评价方法</w:t>
      </w:r>
    </w:p>
    <w:p w14:paraId="53D2633C">
      <w:pPr>
        <w:pStyle w:val="57"/>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采用质量浓度占标率法，计算公式为：</w:t>
      </w:r>
    </w:p>
    <w:p w14:paraId="3BA7246A">
      <w:pPr>
        <w:pStyle w:val="57"/>
        <w:pageBreakBefore w:val="0"/>
        <w:widowControl w:val="0"/>
        <w:kinsoku/>
        <w:wordWrap/>
        <w:overflowPunct/>
        <w:topLinePunct w:val="0"/>
        <w:autoSpaceDE/>
        <w:autoSpaceDN/>
        <w:bidi w:val="0"/>
        <w:adjustRightInd w:val="0"/>
        <w:snapToGrid w:val="0"/>
        <w:ind w:left="53" w:right="53"/>
        <w:jc w:val="center"/>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snapToGrid/>
          <w:color w:val="auto"/>
          <w:highlight w:val="none"/>
        </w:rPr>
        <w:drawing>
          <wp:inline distT="0" distB="0" distL="114300" distR="114300">
            <wp:extent cx="1065530" cy="435610"/>
            <wp:effectExtent l="0" t="0" r="0" b="2540"/>
            <wp:docPr id="25" name="图片 6" descr="C:\Users\hl\AppData\Local\Temp\ksohtml72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C:\Users\hl\AppData\Local\Temp\ksohtml7224\wps1.png"/>
                    <pic:cNvPicPr>
                      <a:picLocks noChangeAspect="1"/>
                    </pic:cNvPicPr>
                  </pic:nvPicPr>
                  <pic:blipFill>
                    <a:blip r:embed="rId40"/>
                    <a:stretch>
                      <a:fillRect/>
                    </a:stretch>
                  </pic:blipFill>
                  <pic:spPr>
                    <a:xfrm>
                      <a:off x="0" y="0"/>
                      <a:ext cx="1065530" cy="435610"/>
                    </a:xfrm>
                    <a:prstGeom prst="rect">
                      <a:avLst/>
                    </a:prstGeom>
                    <a:noFill/>
                    <a:ln>
                      <a:noFill/>
                    </a:ln>
                  </pic:spPr>
                </pic:pic>
              </a:graphicData>
            </a:graphic>
          </wp:inline>
        </w:drawing>
      </w:r>
    </w:p>
    <w:p w14:paraId="61F3CE6B">
      <w:pPr>
        <w:pStyle w:val="57"/>
        <w:pageBreakBefore w:val="0"/>
        <w:widowControl w:val="0"/>
        <w:kinsoku/>
        <w:wordWrap/>
        <w:overflowPunct/>
        <w:topLinePunct w:val="0"/>
        <w:autoSpaceDE/>
        <w:autoSpaceDN/>
        <w:bidi w:val="0"/>
        <w:adjustRightInd w:val="0"/>
        <w:snapToGrid w:val="0"/>
        <w:spacing w:line="360" w:lineRule="auto"/>
        <w:ind w:left="53" w:right="53"/>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式中：Pi——第i个污染物的最大占标百分比，%；</w:t>
      </w:r>
    </w:p>
    <w:p w14:paraId="7AC7BC97">
      <w:pPr>
        <w:pStyle w:val="57"/>
        <w:pageBreakBefore w:val="0"/>
        <w:widowControl w:val="0"/>
        <w:kinsoku/>
        <w:wordWrap/>
        <w:overflowPunct/>
        <w:topLinePunct w:val="0"/>
        <w:autoSpaceDE/>
        <w:autoSpaceDN/>
        <w:bidi w:val="0"/>
        <w:adjustRightInd w:val="0"/>
        <w:snapToGrid w:val="0"/>
        <w:spacing w:line="360" w:lineRule="auto"/>
        <w:ind w:left="53" w:right="53" w:firstLine="1260" w:firstLineChars="525"/>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Ci——第i个污染物监测浓度，μg/m³；</w:t>
      </w:r>
    </w:p>
    <w:p w14:paraId="5CD85041">
      <w:pPr>
        <w:pStyle w:val="57"/>
        <w:pageBreakBefore w:val="0"/>
        <w:widowControl w:val="0"/>
        <w:kinsoku/>
        <w:wordWrap/>
        <w:overflowPunct/>
        <w:topLinePunct w:val="0"/>
        <w:autoSpaceDE/>
        <w:autoSpaceDN/>
        <w:bidi w:val="0"/>
        <w:adjustRightInd w:val="0"/>
        <w:snapToGrid w:val="0"/>
        <w:spacing w:line="360" w:lineRule="auto"/>
        <w:ind w:left="53" w:right="53" w:firstLine="1260" w:firstLineChars="525"/>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Coi——第i个污染物的环境空气质量浓度标准，μg/m³。</w:t>
      </w:r>
    </w:p>
    <w:p w14:paraId="1D1CDB63">
      <w:pPr>
        <w:pStyle w:val="57"/>
        <w:pageBreakBefore w:val="0"/>
        <w:widowControl w:val="0"/>
        <w:kinsoku/>
        <w:wordWrap/>
        <w:overflowPunct/>
        <w:topLinePunct w:val="0"/>
        <w:autoSpaceDE/>
        <w:autoSpaceDN/>
        <w:bidi w:val="0"/>
        <w:adjustRightInd w:val="0"/>
        <w:snapToGrid w:val="0"/>
        <w:spacing w:line="360" w:lineRule="auto"/>
        <w:ind w:left="0" w:leftChars="0" w:right="53"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（6）</w:t>
      </w:r>
      <w:r>
        <w:rPr>
          <w:rFonts w:hint="default" w:ascii="Times New Roman" w:hAnsi="Times New Roman" w:cs="Times New Roman"/>
          <w:b w:val="0"/>
          <w:bCs w:val="0"/>
          <w:color w:val="auto"/>
          <w:sz w:val="24"/>
          <w:szCs w:val="24"/>
          <w:highlight w:val="none"/>
        </w:rPr>
        <w:t>评价结果</w:t>
      </w:r>
    </w:p>
    <w:p w14:paraId="0C2C288A">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监测及评价结果见表</w:t>
      </w:r>
      <w:r>
        <w:rPr>
          <w:rFonts w:hint="default" w:ascii="Times New Roman" w:hAnsi="Times New Roman" w:cs="Times New Roman"/>
          <w:color w:val="auto"/>
          <w:sz w:val="24"/>
          <w:szCs w:val="24"/>
          <w:highlight w:val="none"/>
          <w:lang w:val="en-US" w:eastAsia="zh-CN"/>
        </w:rPr>
        <w:t>4.2-4</w:t>
      </w:r>
      <w:r>
        <w:rPr>
          <w:rFonts w:hint="default" w:ascii="Times New Roman" w:hAnsi="Times New Roman" w:cs="Times New Roman"/>
          <w:color w:val="auto"/>
          <w:sz w:val="24"/>
          <w:szCs w:val="24"/>
          <w:highlight w:val="none"/>
        </w:rPr>
        <w:t>。</w:t>
      </w:r>
    </w:p>
    <w:p w14:paraId="112BC976">
      <w:pPr>
        <w:spacing w:line="245" w:lineRule="auto"/>
        <w:ind w:firstLine="420" w:firstLineChars="200"/>
        <w:jc w:val="center"/>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表</w:t>
      </w:r>
      <w:r>
        <w:rPr>
          <w:rFonts w:hint="eastAsia" w:ascii="黑体" w:hAnsi="黑体" w:eastAsia="黑体" w:cs="黑体"/>
          <w:b w:val="0"/>
          <w:bCs w:val="0"/>
          <w:color w:val="auto"/>
          <w:sz w:val="21"/>
          <w:szCs w:val="21"/>
          <w:highlight w:val="none"/>
          <w:lang w:val="en-US" w:eastAsia="zh-CN"/>
        </w:rPr>
        <w:t>4.2-4   特征</w:t>
      </w:r>
      <w:r>
        <w:rPr>
          <w:rFonts w:hint="eastAsia" w:ascii="黑体" w:hAnsi="黑体" w:eastAsia="黑体" w:cs="黑体"/>
          <w:b w:val="0"/>
          <w:bCs w:val="0"/>
          <w:color w:val="auto"/>
          <w:sz w:val="21"/>
          <w:szCs w:val="21"/>
          <w:highlight w:val="none"/>
        </w:rPr>
        <w:t>污染物环境质量现状评价表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13"/>
        <w:gridCol w:w="2620"/>
        <w:gridCol w:w="1975"/>
        <w:gridCol w:w="1976"/>
      </w:tblGrid>
      <w:tr w14:paraId="063E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noWrap w:val="0"/>
            <w:vAlign w:val="center"/>
          </w:tcPr>
          <w:p w14:paraId="472F09EC">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w:t>
            </w:r>
          </w:p>
        </w:tc>
        <w:tc>
          <w:tcPr>
            <w:tcW w:w="1525" w:type="pct"/>
            <w:noWrap w:val="0"/>
            <w:vAlign w:val="center"/>
          </w:tcPr>
          <w:p w14:paraId="4860C580">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150" w:type="pct"/>
            <w:noWrap w:val="0"/>
            <w:vAlign w:val="center"/>
          </w:tcPr>
          <w:p w14:paraId="416DFEE7">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150" w:type="pct"/>
            <w:noWrap w:val="0"/>
            <w:vAlign w:val="top"/>
          </w:tcPr>
          <w:p w14:paraId="354DD229">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1"/>
                <w:sz w:val="21"/>
                <w:szCs w:val="21"/>
                <w:highlight w:val="none"/>
              </w:rPr>
              <w:t>硫化氢</w:t>
            </w:r>
          </w:p>
        </w:tc>
      </w:tr>
      <w:tr w14:paraId="3E18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restart"/>
            <w:noWrap w:val="0"/>
            <w:vAlign w:val="center"/>
          </w:tcPr>
          <w:p w14:paraId="5D320211">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p w14:paraId="39BFA2D4">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（项目区）</w:t>
            </w:r>
          </w:p>
          <w:p w14:paraId="59D06F46">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rPr>
            </w:pPr>
          </w:p>
        </w:tc>
        <w:tc>
          <w:tcPr>
            <w:tcW w:w="1525" w:type="pct"/>
            <w:noWrap w:val="0"/>
            <w:vAlign w:val="center"/>
          </w:tcPr>
          <w:p w14:paraId="12A5F34B">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浓度范围</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g/m³</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2E7260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220</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270</w:t>
            </w:r>
          </w:p>
        </w:tc>
        <w:tc>
          <w:tcPr>
            <w:tcW w:w="1150" w:type="pct"/>
            <w:noWrap w:val="0"/>
            <w:vAlign w:val="top"/>
          </w:tcPr>
          <w:p w14:paraId="409C8C3A">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w:t>
            </w:r>
          </w:p>
        </w:tc>
      </w:tr>
      <w:tr w14:paraId="037D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continue"/>
            <w:noWrap w:val="0"/>
            <w:vAlign w:val="center"/>
          </w:tcPr>
          <w:p w14:paraId="4904C829">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1525" w:type="pct"/>
            <w:noWrap w:val="0"/>
            <w:vAlign w:val="center"/>
          </w:tcPr>
          <w:p w14:paraId="3710167C">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评价标准</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g/m³</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32526D93">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1150" w:type="pct"/>
            <w:noWrap w:val="0"/>
            <w:vAlign w:val="top"/>
          </w:tcPr>
          <w:p w14:paraId="3B31784B">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3E90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continue"/>
            <w:noWrap w:val="0"/>
            <w:vAlign w:val="center"/>
          </w:tcPr>
          <w:p w14:paraId="4DE9A6EF">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1525" w:type="pct"/>
            <w:noWrap w:val="0"/>
            <w:vAlign w:val="center"/>
          </w:tcPr>
          <w:p w14:paraId="448FC09B">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最大占标率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5C8AA6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13.5</w:t>
            </w:r>
          </w:p>
        </w:tc>
        <w:tc>
          <w:tcPr>
            <w:tcW w:w="1150" w:type="pct"/>
            <w:noWrap w:val="0"/>
            <w:vAlign w:val="top"/>
          </w:tcPr>
          <w:p w14:paraId="452FE4FA">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14:paraId="4ADB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continue"/>
            <w:noWrap w:val="0"/>
            <w:vAlign w:val="center"/>
          </w:tcPr>
          <w:p w14:paraId="676B6A5F">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1525" w:type="pct"/>
            <w:noWrap w:val="0"/>
            <w:vAlign w:val="center"/>
          </w:tcPr>
          <w:p w14:paraId="222F36C7">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超标率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4752DA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150" w:type="pct"/>
            <w:noWrap w:val="0"/>
            <w:vAlign w:val="center"/>
          </w:tcPr>
          <w:p w14:paraId="49EB8777">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1D2A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172" w:type="pct"/>
            <w:vMerge w:val="continue"/>
            <w:noWrap w:val="0"/>
            <w:vAlign w:val="center"/>
          </w:tcPr>
          <w:p w14:paraId="49D840D6">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1525" w:type="pct"/>
            <w:noWrap w:val="0"/>
            <w:vAlign w:val="center"/>
          </w:tcPr>
          <w:p w14:paraId="2273DEDC">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c>
          <w:tcPr>
            <w:tcW w:w="1150" w:type="pct"/>
            <w:noWrap w:val="0"/>
            <w:vAlign w:val="center"/>
          </w:tcPr>
          <w:p w14:paraId="34E723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达标</w:t>
            </w:r>
          </w:p>
        </w:tc>
        <w:tc>
          <w:tcPr>
            <w:tcW w:w="1150" w:type="pct"/>
            <w:noWrap w:val="0"/>
            <w:vAlign w:val="center"/>
          </w:tcPr>
          <w:p w14:paraId="5FD49F2D">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达标</w:t>
            </w:r>
          </w:p>
        </w:tc>
      </w:tr>
      <w:tr w14:paraId="17B4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restart"/>
            <w:noWrap w:val="0"/>
            <w:vAlign w:val="center"/>
          </w:tcPr>
          <w:p w14:paraId="4C884541">
            <w:pPr>
              <w:pStyle w:val="67"/>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p w14:paraId="65134047">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（项目区下风向）</w:t>
            </w:r>
          </w:p>
        </w:tc>
        <w:tc>
          <w:tcPr>
            <w:tcW w:w="1525" w:type="pct"/>
            <w:noWrap w:val="0"/>
            <w:vAlign w:val="center"/>
          </w:tcPr>
          <w:p w14:paraId="461E35B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浓度范围</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g/m³</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69302C6B">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220</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260</w:t>
            </w:r>
          </w:p>
        </w:tc>
        <w:tc>
          <w:tcPr>
            <w:tcW w:w="1150" w:type="pct"/>
            <w:noWrap w:val="0"/>
            <w:vAlign w:val="top"/>
          </w:tcPr>
          <w:p w14:paraId="0F917C3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w:t>
            </w:r>
          </w:p>
        </w:tc>
      </w:tr>
      <w:tr w14:paraId="09FD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continue"/>
            <w:noWrap w:val="0"/>
            <w:vAlign w:val="center"/>
          </w:tcPr>
          <w:p w14:paraId="066F48FC">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1525" w:type="pct"/>
            <w:noWrap w:val="0"/>
            <w:vAlign w:val="center"/>
          </w:tcPr>
          <w:p w14:paraId="64A87D0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g/m³</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4F26CB23">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1150" w:type="pct"/>
            <w:noWrap w:val="0"/>
            <w:vAlign w:val="top"/>
          </w:tcPr>
          <w:p w14:paraId="351908FD">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41C0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continue"/>
            <w:noWrap w:val="0"/>
            <w:vAlign w:val="center"/>
          </w:tcPr>
          <w:p w14:paraId="7AC7F011">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1525" w:type="pct"/>
            <w:noWrap w:val="0"/>
            <w:vAlign w:val="center"/>
          </w:tcPr>
          <w:p w14:paraId="1706AA28">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最大占标率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21A793D1">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w:t>
            </w:r>
          </w:p>
        </w:tc>
        <w:tc>
          <w:tcPr>
            <w:tcW w:w="1150" w:type="pct"/>
            <w:noWrap w:val="0"/>
            <w:vAlign w:val="top"/>
          </w:tcPr>
          <w:p w14:paraId="32532E13">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14:paraId="3F74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continue"/>
            <w:noWrap w:val="0"/>
            <w:vAlign w:val="center"/>
          </w:tcPr>
          <w:p w14:paraId="2351BE53">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1525" w:type="pct"/>
            <w:noWrap w:val="0"/>
            <w:vAlign w:val="center"/>
          </w:tcPr>
          <w:p w14:paraId="2E33CDC3">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p>
        </w:tc>
        <w:tc>
          <w:tcPr>
            <w:tcW w:w="1150" w:type="pct"/>
            <w:noWrap w:val="0"/>
            <w:vAlign w:val="center"/>
          </w:tcPr>
          <w:p w14:paraId="5F5B6DE5">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150" w:type="pct"/>
            <w:noWrap w:val="0"/>
            <w:vAlign w:val="center"/>
          </w:tcPr>
          <w:p w14:paraId="0ED585CC">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30AA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2" w:type="pct"/>
            <w:vMerge w:val="continue"/>
            <w:noWrap w:val="0"/>
            <w:vAlign w:val="center"/>
          </w:tcPr>
          <w:p w14:paraId="06EA5ED6">
            <w:pPr>
              <w:pStyle w:val="6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1525" w:type="pct"/>
            <w:noWrap w:val="0"/>
            <w:vAlign w:val="center"/>
          </w:tcPr>
          <w:p w14:paraId="30BBF6A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c>
          <w:tcPr>
            <w:tcW w:w="1150" w:type="pct"/>
            <w:noWrap w:val="0"/>
            <w:vAlign w:val="center"/>
          </w:tcPr>
          <w:p w14:paraId="454236F6">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150" w:type="pct"/>
            <w:noWrap w:val="0"/>
            <w:vAlign w:val="center"/>
          </w:tcPr>
          <w:p w14:paraId="0208A77B">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F62454C">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firstLine="500" w:firstLineChars="200"/>
        <w:textAlignment w:val="auto"/>
        <w:rPr>
          <w:rFonts w:hint="default" w:ascii="Times New Roman" w:hAnsi="Times New Roman" w:cs="Times New Roman"/>
          <w:color w:val="auto"/>
          <w:spacing w:val="5"/>
          <w:kern w:val="2"/>
          <w:szCs w:val="24"/>
          <w:highlight w:val="none"/>
        </w:rPr>
      </w:pPr>
      <w:r>
        <w:rPr>
          <w:rFonts w:hint="default" w:ascii="Times New Roman" w:hAnsi="Times New Roman" w:cs="Times New Roman"/>
          <w:color w:val="auto"/>
          <w:spacing w:val="5"/>
          <w:kern w:val="2"/>
          <w:sz w:val="24"/>
          <w:szCs w:val="24"/>
          <w:highlight w:val="none"/>
        </w:rPr>
        <w:t>从上表可以看出，</w:t>
      </w:r>
      <w:r>
        <w:rPr>
          <w:rFonts w:hint="default" w:ascii="Times New Roman" w:hAnsi="Times New Roman" w:cs="Times New Roman"/>
          <w:color w:val="auto"/>
          <w:spacing w:val="5"/>
          <w:kern w:val="2"/>
          <w:sz w:val="24"/>
          <w:szCs w:val="24"/>
          <w:highlight w:val="none"/>
          <w:lang w:eastAsia="zh-CN"/>
        </w:rPr>
        <w:t>本项目</w:t>
      </w:r>
      <w:r>
        <w:rPr>
          <w:rFonts w:hint="default" w:ascii="Times New Roman" w:hAnsi="Times New Roman" w:cs="Times New Roman"/>
          <w:color w:val="auto"/>
          <w:spacing w:val="5"/>
          <w:kern w:val="2"/>
          <w:sz w:val="24"/>
          <w:szCs w:val="24"/>
          <w:highlight w:val="none"/>
        </w:rPr>
        <w:t>区域特征污染物H</w:t>
      </w:r>
      <w:r>
        <w:rPr>
          <w:rFonts w:hint="default" w:ascii="Times New Roman" w:hAnsi="Times New Roman" w:cs="Times New Roman"/>
          <w:color w:val="auto"/>
          <w:spacing w:val="5"/>
          <w:kern w:val="2"/>
          <w:sz w:val="24"/>
          <w:szCs w:val="24"/>
          <w:highlight w:val="none"/>
          <w:vertAlign w:val="subscript"/>
        </w:rPr>
        <w:t>2</w:t>
      </w:r>
      <w:r>
        <w:rPr>
          <w:rFonts w:hint="default" w:ascii="Times New Roman" w:hAnsi="Times New Roman" w:cs="Times New Roman"/>
          <w:color w:val="auto"/>
          <w:spacing w:val="5"/>
          <w:kern w:val="2"/>
          <w:sz w:val="24"/>
          <w:szCs w:val="24"/>
          <w:highlight w:val="none"/>
        </w:rPr>
        <w:t>S小时平均值满足《环境影响评价技术导则大气环境》（HJ2.2-2018）附录D中其他污染物空气质量浓度参考限值（0.01mg/m³）的浓度限值要求；非甲烷总烃小时平均值满足《大气污染物综合排放标准》（GB16297-1996）确</w:t>
      </w:r>
      <w:r>
        <w:rPr>
          <w:rFonts w:hint="eastAsia" w:cs="Times New Roman"/>
          <w:color w:val="auto"/>
          <w:spacing w:val="5"/>
          <w:kern w:val="2"/>
          <w:sz w:val="24"/>
          <w:szCs w:val="24"/>
          <w:highlight w:val="none"/>
          <w:lang w:eastAsia="zh-CN"/>
        </w:rPr>
        <w:t>定的</w:t>
      </w:r>
      <w:r>
        <w:rPr>
          <w:rFonts w:hint="default" w:ascii="Times New Roman" w:hAnsi="Times New Roman" w:cs="Times New Roman"/>
          <w:color w:val="auto"/>
          <w:spacing w:val="5"/>
          <w:kern w:val="2"/>
          <w:sz w:val="24"/>
          <w:szCs w:val="24"/>
          <w:highlight w:val="none"/>
        </w:rPr>
        <w:t>一次浓度限值2.0mg/m³要求；各监测点与油田开发活动相关的特征污染物H</w:t>
      </w:r>
      <w:r>
        <w:rPr>
          <w:rFonts w:hint="default" w:ascii="Times New Roman" w:hAnsi="Times New Roman" w:cs="Times New Roman"/>
          <w:color w:val="auto"/>
          <w:spacing w:val="5"/>
          <w:kern w:val="2"/>
          <w:sz w:val="24"/>
          <w:szCs w:val="24"/>
          <w:highlight w:val="none"/>
          <w:vertAlign w:val="subscript"/>
        </w:rPr>
        <w:t>2</w:t>
      </w:r>
      <w:r>
        <w:rPr>
          <w:rFonts w:hint="default" w:ascii="Times New Roman" w:hAnsi="Times New Roman" w:cs="Times New Roman"/>
          <w:color w:val="auto"/>
          <w:spacing w:val="5"/>
          <w:kern w:val="2"/>
          <w:sz w:val="24"/>
          <w:szCs w:val="24"/>
          <w:highlight w:val="none"/>
        </w:rPr>
        <w:t>S、非甲烷总烃均达标</w:t>
      </w:r>
      <w:r>
        <w:rPr>
          <w:rFonts w:hint="default" w:ascii="Times New Roman" w:hAnsi="Times New Roman" w:cs="Times New Roman"/>
          <w:color w:val="auto"/>
          <w:spacing w:val="5"/>
          <w:kern w:val="2"/>
          <w:szCs w:val="24"/>
          <w:highlight w:val="none"/>
        </w:rPr>
        <w:t>。</w:t>
      </w:r>
    </w:p>
    <w:p w14:paraId="564402E3">
      <w:pPr>
        <w:pStyle w:val="5"/>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397" w:name="_Toc26996"/>
      <w:bookmarkStart w:id="398" w:name="_Toc26472"/>
      <w:bookmarkStart w:id="399" w:name="_Toc30795"/>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水环境现状调查与评价</w:t>
      </w:r>
      <w:bookmarkEnd w:id="397"/>
      <w:bookmarkEnd w:id="398"/>
      <w:bookmarkEnd w:id="399"/>
    </w:p>
    <w:p w14:paraId="1ED19396">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400" w:name="_Toc27687"/>
      <w:bookmarkStart w:id="401" w:name="_Toc11239"/>
      <w:bookmarkStart w:id="402" w:name="_Toc22587"/>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.1地表水环境现状调查与分析</w:t>
      </w:r>
      <w:bookmarkEnd w:id="400"/>
      <w:bookmarkEnd w:id="401"/>
      <w:bookmarkEnd w:id="402"/>
    </w:p>
    <w:p w14:paraId="231614CC">
      <w:pPr>
        <w:pStyle w:val="12"/>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根据《环境影响评价技术导则 陆地石油天然气开发建设项目》</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集输工程不涉及跨越地表水水域功能</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 3 \* ROMAN \* MERGEFORMAT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rPr>
        <w:t>III</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类及以上水体，且不涉及涉水施工，同时井位布置、管线选线不涉及水环境保护目标，故</w:t>
      </w:r>
      <w:r>
        <w:rPr>
          <w:rFonts w:hint="default" w:ascii="Times New Roman" w:hAnsi="Times New Roman" w:cs="Times New Roman"/>
          <w:color w:val="auto"/>
          <w:highlight w:val="none"/>
        </w:rPr>
        <w:t>本评价不进行地表水环境质量现状评价</w:t>
      </w:r>
      <w:r>
        <w:rPr>
          <w:rFonts w:hint="default" w:ascii="Times New Roman" w:hAnsi="Times New Roman" w:cs="Times New Roman"/>
          <w:color w:val="auto"/>
          <w:highlight w:val="none"/>
          <w:lang w:eastAsia="zh-CN"/>
        </w:rPr>
        <w:t>。</w:t>
      </w:r>
    </w:p>
    <w:p w14:paraId="168424CB">
      <w:pPr>
        <w:pStyle w:val="6"/>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lang w:eastAsia="zh-CN"/>
        </w:rPr>
      </w:pPr>
      <w:bookmarkStart w:id="403" w:name="_Toc25851"/>
      <w:bookmarkStart w:id="404" w:name="_Toc5099"/>
      <w:bookmarkStart w:id="405" w:name="_Toc16005"/>
      <w:bookmarkStart w:id="406" w:name="_Hlk48604254"/>
      <w:r>
        <w:rPr>
          <w:rFonts w:hint="default" w:ascii="Times New Roman" w:hAnsi="Times New Roman" w:cs="Times New Roman"/>
          <w:color w:val="auto"/>
          <w:highlight w:val="none"/>
          <w:lang w:eastAsia="zh-CN"/>
        </w:rPr>
        <w:t>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.2地下水环境现状调查与分析</w:t>
      </w:r>
      <w:bookmarkEnd w:id="403"/>
      <w:bookmarkEnd w:id="404"/>
      <w:bookmarkEnd w:id="405"/>
    </w:p>
    <w:p w14:paraId="4A35F5D7">
      <w:pPr>
        <w:keepLines/>
        <w:pageBreakBefore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4.</w:t>
      </w: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val="en-US" w:eastAsia="zh-CN"/>
        </w:rPr>
        <w:t>2.1地下水环境现状调查</w:t>
      </w:r>
    </w:p>
    <w:p w14:paraId="57759AA4">
      <w:pPr>
        <w:pStyle w:val="12"/>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调查方法</w:t>
      </w:r>
    </w:p>
    <w:p w14:paraId="6698FC0D">
      <w:pPr>
        <w:pStyle w:val="12"/>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地下水环境现状调查采用搜集资料法</w:t>
      </w:r>
      <w:r>
        <w:rPr>
          <w:rFonts w:hint="default" w:ascii="Times New Roman" w:hAnsi="Times New Roman" w:cs="Times New Roman"/>
          <w:color w:val="auto"/>
          <w:highlight w:val="none"/>
          <w:lang w:eastAsia="zh-CN"/>
        </w:rPr>
        <w:t>。</w:t>
      </w:r>
    </w:p>
    <w:p w14:paraId="06239726">
      <w:pPr>
        <w:pStyle w:val="12"/>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监测点位</w:t>
      </w:r>
    </w:p>
    <w:p w14:paraId="0658BD72">
      <w:pPr>
        <w:pStyle w:val="57"/>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根据《环境影响评价技术导则地下水环境》（HJ610-2016），本次评价监测点位共有</w:t>
      </w:r>
      <w:r>
        <w:rPr>
          <w:rFonts w:hint="eastAsia" w:cs="Times New Roman"/>
          <w:color w:val="auto"/>
          <w:highlight w:val="none"/>
          <w:lang w:val="en-US" w:eastAsia="zh-CN"/>
        </w:rPr>
        <w:t>9</w:t>
      </w:r>
      <w:r>
        <w:rPr>
          <w:rFonts w:hint="default" w:ascii="Times New Roman" w:hAnsi="Times New Roman" w:cs="Times New Roman"/>
          <w:color w:val="auto"/>
          <w:highlight w:val="none"/>
        </w:rPr>
        <w:t>个，</w:t>
      </w:r>
      <w:r>
        <w:rPr>
          <w:rFonts w:hint="eastAsia" w:cs="Times New Roman"/>
          <w:color w:val="auto"/>
          <w:highlight w:val="none"/>
          <w:lang w:val="en-US" w:eastAsia="zh-CN"/>
        </w:rPr>
        <w:t>其中1个为实测点位，8个</w:t>
      </w:r>
      <w:r>
        <w:rPr>
          <w:rFonts w:hint="default" w:ascii="Times New Roman" w:hAnsi="Times New Roman" w:cs="Times New Roman"/>
          <w:color w:val="auto"/>
          <w:highlight w:val="none"/>
          <w:lang w:val="en-US" w:eastAsia="zh-CN"/>
        </w:rPr>
        <w:t>为</w:t>
      </w:r>
      <w:r>
        <w:rPr>
          <w:rFonts w:hint="default" w:ascii="Times New Roman" w:hAnsi="Times New Roman" w:cs="Times New Roman"/>
          <w:color w:val="auto"/>
          <w:highlight w:val="none"/>
        </w:rPr>
        <w:t>引用点位。</w:t>
      </w:r>
      <w:r>
        <w:rPr>
          <w:rFonts w:hint="eastAsia" w:cs="Times New Roman"/>
          <w:color w:val="auto"/>
          <w:highlight w:val="none"/>
          <w:lang w:val="en-US" w:eastAsia="zh-CN"/>
        </w:rPr>
        <w:t>9</w:t>
      </w:r>
      <w:r>
        <w:rPr>
          <w:rFonts w:hint="default" w:ascii="Times New Roman" w:hAnsi="Times New Roman" w:cs="Times New Roman"/>
          <w:color w:val="auto"/>
          <w:highlight w:val="none"/>
        </w:rPr>
        <w:t>个监测点中，有</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个为潜水含水层监测点，</w:t>
      </w:r>
      <w:r>
        <w:rPr>
          <w:rFonts w:hint="eastAsia" w:cs="Times New Roman"/>
          <w:color w:val="auto"/>
          <w:highlight w:val="none"/>
          <w:lang w:val="en-US" w:eastAsia="zh-CN"/>
        </w:rPr>
        <w:t>2</w:t>
      </w:r>
      <w:r>
        <w:rPr>
          <w:rFonts w:hint="default" w:ascii="Times New Roman" w:hAnsi="Times New Roman" w:cs="Times New Roman"/>
          <w:color w:val="auto"/>
          <w:highlight w:val="none"/>
        </w:rPr>
        <w:t>个为承压水含水层监测点，具体监测点位</w:t>
      </w:r>
      <w:r>
        <w:rPr>
          <w:rFonts w:hint="eastAsia" w:cs="Times New Roman"/>
          <w:color w:val="auto"/>
          <w:highlight w:val="none"/>
          <w:lang w:val="en-US" w:eastAsia="zh-CN"/>
        </w:rPr>
        <w:t>信息见表4.3-1及</w:t>
      </w:r>
      <w:r>
        <w:rPr>
          <w:rFonts w:hint="default" w:ascii="Times New Roman" w:hAnsi="Times New Roman" w:cs="Times New Roman"/>
          <w:color w:val="auto"/>
          <w:highlight w:val="none"/>
        </w:rPr>
        <w:t>图4.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14:paraId="6B37DC8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下水环境》（HJ610-2016）中地下水监测点布置要求：“二级评价项目潜水含水层的水质监测点应不少于5个，可能受建设项目影响且具有饮用水开发利用价值的含水层2~4个。原则上建设项目场地上游和两侧的地下水水质监测点均不得少于1个，建设项目场地及其下游影响区的地下水水质监测点不得少于2个”。本项目地下水环境影响评价等级为二级，监测点数量为</w:t>
      </w:r>
      <w:r>
        <w:rPr>
          <w:rFonts w:hint="eastAsia" w:cs="Times New Roman"/>
          <w:color w:val="auto"/>
          <w:highlight w:val="none"/>
          <w:lang w:val="en-US" w:eastAsia="zh-CN"/>
        </w:rPr>
        <w:t>9</w:t>
      </w:r>
      <w:r>
        <w:rPr>
          <w:rFonts w:hint="default" w:ascii="Times New Roman" w:hAnsi="Times New Roman" w:cs="Times New Roman"/>
          <w:color w:val="auto"/>
          <w:highlight w:val="none"/>
        </w:rPr>
        <w:t>，</w:t>
      </w:r>
      <w:r>
        <w:rPr>
          <w:rFonts w:hint="eastAsia" w:cs="Times New Roman"/>
          <w:color w:val="auto"/>
          <w:highlight w:val="none"/>
          <w:lang w:val="en-US" w:eastAsia="zh-CN"/>
        </w:rPr>
        <w:t>兼顾地下水上下游及两侧，</w:t>
      </w:r>
      <w:r>
        <w:rPr>
          <w:rFonts w:hint="default" w:ascii="Times New Roman" w:hAnsi="Times New Roman" w:cs="Times New Roman"/>
          <w:color w:val="auto"/>
          <w:highlight w:val="none"/>
        </w:rPr>
        <w:t>因此，地下水监测点满足数量和分布要求。本项目引用监测点监测时间均在近三年之内，</w:t>
      </w:r>
      <w:r>
        <w:rPr>
          <w:rFonts w:hint="eastAsia" w:cs="Times New Roman"/>
          <w:color w:val="auto"/>
          <w:highlight w:val="none"/>
          <w:lang w:val="en-US" w:eastAsia="zh-CN"/>
        </w:rPr>
        <w:t>同时监测点位属于同一水文地质单元，引用监测数据具有代表性</w:t>
      </w:r>
      <w:r>
        <w:rPr>
          <w:rFonts w:hint="default" w:ascii="Times New Roman" w:hAnsi="Times New Roman" w:cs="Times New Roman"/>
          <w:color w:val="auto"/>
          <w:highlight w:val="none"/>
        </w:rPr>
        <w:t>。</w:t>
      </w:r>
    </w:p>
    <w:p w14:paraId="4C83A1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综上，本项目地下水</w:t>
      </w:r>
      <w:r>
        <w:rPr>
          <w:rFonts w:hint="eastAsia" w:cs="Times New Roman"/>
          <w:color w:val="auto"/>
          <w:highlight w:val="none"/>
          <w:lang w:eastAsia="zh-CN"/>
        </w:rPr>
        <w:t>检测点</w:t>
      </w:r>
      <w:r>
        <w:rPr>
          <w:rFonts w:hint="default" w:ascii="Times New Roman" w:hAnsi="Times New Roman" w:cs="Times New Roman"/>
          <w:color w:val="auto"/>
          <w:highlight w:val="none"/>
        </w:rPr>
        <w:t>布设合理，可满足监测要求。各监测点设置情况及基本信息见表4.3-1。</w:t>
      </w:r>
    </w:p>
    <w:p w14:paraId="79FB059A">
      <w:pPr>
        <w:pStyle w:val="44"/>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-1地下水监测点设置情况一览表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88"/>
        <w:gridCol w:w="1970"/>
        <w:gridCol w:w="764"/>
        <w:gridCol w:w="2284"/>
        <w:gridCol w:w="555"/>
        <w:gridCol w:w="1278"/>
        <w:gridCol w:w="1342"/>
      </w:tblGrid>
      <w:tr w14:paraId="04DB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vAlign w:val="center"/>
          </w:tcPr>
          <w:p w14:paraId="75406FD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1147" w:type="pct"/>
            <w:tcMar>
              <w:left w:w="0" w:type="dxa"/>
              <w:right w:w="0" w:type="dxa"/>
            </w:tcMar>
            <w:vAlign w:val="center"/>
          </w:tcPr>
          <w:p w14:paraId="300373B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点位</w:t>
            </w:r>
          </w:p>
        </w:tc>
        <w:tc>
          <w:tcPr>
            <w:tcW w:w="445" w:type="pct"/>
            <w:vAlign w:val="center"/>
          </w:tcPr>
          <w:p w14:paraId="75CE3B5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w:t>
            </w:r>
          </w:p>
          <w:p w14:paraId="4E1661B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层位</w:t>
            </w:r>
          </w:p>
        </w:tc>
        <w:tc>
          <w:tcPr>
            <w:tcW w:w="1330" w:type="pct"/>
            <w:vAlign w:val="center"/>
          </w:tcPr>
          <w:p w14:paraId="3DA854F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与本项目</w:t>
            </w:r>
          </w:p>
          <w:p w14:paraId="641EFEA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位置关系</w:t>
            </w:r>
          </w:p>
        </w:tc>
        <w:tc>
          <w:tcPr>
            <w:tcW w:w="323" w:type="pct"/>
            <w:vAlign w:val="center"/>
          </w:tcPr>
          <w:p w14:paraId="47527583">
            <w:pPr>
              <w:pStyle w:val="5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井深</w:t>
            </w:r>
          </w:p>
          <w:p w14:paraId="29D596EC">
            <w:pPr>
              <w:pStyle w:val="5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w:t>
            </w:r>
          </w:p>
        </w:tc>
        <w:tc>
          <w:tcPr>
            <w:tcW w:w="744" w:type="pct"/>
            <w:vAlign w:val="center"/>
          </w:tcPr>
          <w:p w14:paraId="7E324DA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w:t>
            </w:r>
          </w:p>
          <w:p w14:paraId="6155F163">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时间</w:t>
            </w:r>
          </w:p>
        </w:tc>
        <w:tc>
          <w:tcPr>
            <w:tcW w:w="781" w:type="pct"/>
            <w:vAlign w:val="center"/>
          </w:tcPr>
          <w:p w14:paraId="14515A3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监测单位</w:t>
            </w:r>
          </w:p>
        </w:tc>
      </w:tr>
      <w:tr w14:paraId="27E9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vAlign w:val="center"/>
          </w:tcPr>
          <w:p w14:paraId="59AAE4DB">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1147" w:type="pct"/>
            <w:tcMar>
              <w:left w:w="0" w:type="dxa"/>
              <w:right w:w="0" w:type="dxa"/>
            </w:tcMar>
            <w:vAlign w:val="center"/>
          </w:tcPr>
          <w:p w14:paraId="535E6F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445" w:type="pct"/>
            <w:vAlign w:val="center"/>
          </w:tcPr>
          <w:p w14:paraId="5D977DD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潜水</w:t>
            </w:r>
          </w:p>
        </w:tc>
        <w:tc>
          <w:tcPr>
            <w:tcW w:w="1330" w:type="pct"/>
            <w:vAlign w:val="center"/>
          </w:tcPr>
          <w:p w14:paraId="5EF5AD96">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TH10250CH井</w:t>
            </w:r>
            <w:r>
              <w:rPr>
                <w:rFonts w:hint="default" w:ascii="Times New Roman" w:hAnsi="Times New Roman" w:eastAsia="宋体" w:cs="Times New Roman"/>
                <w:b w:val="0"/>
                <w:bCs w:val="0"/>
                <w:color w:val="auto"/>
                <w:sz w:val="21"/>
                <w:szCs w:val="21"/>
                <w:highlight w:val="none"/>
              </w:rPr>
              <w:t>西北</w:t>
            </w:r>
            <w:r>
              <w:rPr>
                <w:rFonts w:hint="default" w:ascii="Times New Roman" w:hAnsi="Times New Roman" w:eastAsia="宋体" w:cs="Times New Roman"/>
                <w:b w:val="0"/>
                <w:bCs w:val="0"/>
                <w:color w:val="auto"/>
                <w:sz w:val="21"/>
                <w:szCs w:val="21"/>
                <w:highlight w:val="none"/>
                <w:lang w:val="en-US" w:eastAsia="zh-CN"/>
              </w:rPr>
              <w:t>侧</w:t>
            </w:r>
            <w:r>
              <w:rPr>
                <w:rFonts w:hint="default" w:ascii="Times New Roman" w:hAnsi="Times New Roman" w:cs="Times New Roman"/>
                <w:b w:val="0"/>
                <w:bCs w:val="0"/>
                <w:color w:val="auto"/>
                <w:sz w:val="21"/>
                <w:szCs w:val="21"/>
                <w:highlight w:val="none"/>
                <w:lang w:val="en-US" w:eastAsia="zh-CN"/>
              </w:rPr>
              <w:t>4.5</w:t>
            </w:r>
            <w:r>
              <w:rPr>
                <w:rFonts w:hint="default" w:ascii="Times New Roman" w:hAnsi="Times New Roman" w:eastAsia="宋体" w:cs="Times New Roman"/>
                <w:b w:val="0"/>
                <w:bCs w:val="0"/>
                <w:color w:val="auto"/>
                <w:sz w:val="21"/>
                <w:szCs w:val="21"/>
                <w:highlight w:val="none"/>
              </w:rPr>
              <w:t>km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上游</w:t>
            </w:r>
          </w:p>
        </w:tc>
        <w:tc>
          <w:tcPr>
            <w:tcW w:w="323" w:type="pct"/>
            <w:vAlign w:val="center"/>
          </w:tcPr>
          <w:p w14:paraId="00B0697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744" w:type="pct"/>
            <w:vAlign w:val="center"/>
          </w:tcPr>
          <w:p w14:paraId="30531B3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rPr>
              <w:t>年</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月</w:t>
            </w:r>
          </w:p>
        </w:tc>
        <w:tc>
          <w:tcPr>
            <w:tcW w:w="781" w:type="pct"/>
            <w:vAlign w:val="center"/>
          </w:tcPr>
          <w:p w14:paraId="227EEE1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新疆广宇众联环境监测有限公司</w:t>
            </w:r>
          </w:p>
        </w:tc>
      </w:tr>
      <w:tr w14:paraId="0495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vAlign w:val="center"/>
          </w:tcPr>
          <w:p w14:paraId="50CA507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147" w:type="pct"/>
            <w:tcMar>
              <w:left w:w="0" w:type="dxa"/>
              <w:right w:w="0" w:type="dxa"/>
            </w:tcMar>
            <w:vAlign w:val="center"/>
          </w:tcPr>
          <w:p w14:paraId="75A5CB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p>
        </w:tc>
        <w:tc>
          <w:tcPr>
            <w:tcW w:w="445" w:type="pct"/>
            <w:vAlign w:val="center"/>
          </w:tcPr>
          <w:p w14:paraId="274277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i w:val="0"/>
                <w:iCs w:val="0"/>
                <w:color w:val="auto"/>
                <w:kern w:val="0"/>
                <w:sz w:val="21"/>
                <w:szCs w:val="21"/>
                <w:highlight w:val="none"/>
                <w:u w:val="none"/>
                <w:lang w:val="en-US" w:eastAsia="zh-CN" w:bidi="ar"/>
              </w:rPr>
              <w:t>潜水</w:t>
            </w:r>
          </w:p>
        </w:tc>
        <w:tc>
          <w:tcPr>
            <w:tcW w:w="1330" w:type="pct"/>
            <w:vAlign w:val="center"/>
          </w:tcPr>
          <w:p w14:paraId="24C50DE1">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TH102117X井北侧350m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下游</w:t>
            </w:r>
          </w:p>
        </w:tc>
        <w:tc>
          <w:tcPr>
            <w:tcW w:w="323" w:type="pct"/>
            <w:vAlign w:val="center"/>
          </w:tcPr>
          <w:p w14:paraId="2BBABF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i w:val="0"/>
                <w:iCs w:val="0"/>
                <w:color w:val="auto"/>
                <w:kern w:val="0"/>
                <w:sz w:val="21"/>
                <w:szCs w:val="21"/>
                <w:highlight w:val="none"/>
                <w:u w:val="none"/>
                <w:lang w:val="en-US" w:eastAsia="zh-CN" w:bidi="ar"/>
              </w:rPr>
              <w:t>48</w:t>
            </w:r>
          </w:p>
        </w:tc>
        <w:tc>
          <w:tcPr>
            <w:tcW w:w="744" w:type="pct"/>
            <w:vMerge w:val="restart"/>
            <w:shd w:val="clear" w:color="auto" w:fill="auto"/>
            <w:vAlign w:val="center"/>
          </w:tcPr>
          <w:p w14:paraId="658A9EC7">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202</w:t>
            </w:r>
            <w:r>
              <w:rPr>
                <w:rFonts w:hint="default" w:ascii="Times New Roman" w:hAnsi="Times New Roman"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年</w:t>
            </w:r>
            <w:r>
              <w:rPr>
                <w:rFonts w:hint="default" w:ascii="Times New Roman" w:hAnsi="Times New Roman"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rPr>
              <w:t>月</w:t>
            </w:r>
          </w:p>
        </w:tc>
        <w:tc>
          <w:tcPr>
            <w:tcW w:w="781" w:type="pct"/>
            <w:vMerge w:val="restart"/>
            <w:shd w:val="clear" w:color="auto" w:fill="auto"/>
            <w:vAlign w:val="center"/>
          </w:tcPr>
          <w:p w14:paraId="7CBD11CC">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新疆广宇众联环境监测有限公司</w:t>
            </w:r>
          </w:p>
        </w:tc>
      </w:tr>
      <w:tr w14:paraId="5942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vAlign w:val="center"/>
          </w:tcPr>
          <w:p w14:paraId="732A569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147" w:type="pct"/>
            <w:tcMar>
              <w:left w:w="0" w:type="dxa"/>
              <w:right w:w="0" w:type="dxa"/>
            </w:tcMar>
            <w:vAlign w:val="center"/>
          </w:tcPr>
          <w:p w14:paraId="40AE74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p>
        </w:tc>
        <w:tc>
          <w:tcPr>
            <w:tcW w:w="445" w:type="pct"/>
            <w:vAlign w:val="center"/>
          </w:tcPr>
          <w:p w14:paraId="7964C4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i w:val="0"/>
                <w:iCs w:val="0"/>
                <w:color w:val="auto"/>
                <w:sz w:val="21"/>
                <w:szCs w:val="21"/>
                <w:highlight w:val="none"/>
                <w:u w:val="none"/>
                <w:lang w:val="en-US" w:eastAsia="zh-CN"/>
              </w:rPr>
              <w:t>承压水</w:t>
            </w:r>
          </w:p>
        </w:tc>
        <w:tc>
          <w:tcPr>
            <w:tcW w:w="1330" w:type="pct"/>
            <w:vAlign w:val="center"/>
          </w:tcPr>
          <w:p w14:paraId="417337E7">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TH102117X井南侧3.2km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下游</w:t>
            </w:r>
          </w:p>
        </w:tc>
        <w:tc>
          <w:tcPr>
            <w:tcW w:w="323" w:type="pct"/>
            <w:vAlign w:val="center"/>
          </w:tcPr>
          <w:p w14:paraId="19B305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i w:val="0"/>
                <w:iCs w:val="0"/>
                <w:color w:val="auto"/>
                <w:kern w:val="0"/>
                <w:sz w:val="21"/>
                <w:szCs w:val="21"/>
                <w:highlight w:val="none"/>
                <w:u w:val="none"/>
                <w:lang w:val="en-US" w:eastAsia="zh-CN" w:bidi="ar"/>
              </w:rPr>
              <w:t>50</w:t>
            </w:r>
          </w:p>
        </w:tc>
        <w:tc>
          <w:tcPr>
            <w:tcW w:w="744" w:type="pct"/>
            <w:vMerge w:val="continue"/>
            <w:vAlign w:val="center"/>
          </w:tcPr>
          <w:p w14:paraId="60F8B49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c>
          <w:tcPr>
            <w:tcW w:w="781" w:type="pct"/>
            <w:vMerge w:val="continue"/>
            <w:vAlign w:val="center"/>
          </w:tcPr>
          <w:p w14:paraId="349A1E6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r>
      <w:tr w14:paraId="51BC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vAlign w:val="center"/>
          </w:tcPr>
          <w:p w14:paraId="4C0FAB3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147" w:type="pct"/>
            <w:tcMar>
              <w:left w:w="0" w:type="dxa"/>
              <w:right w:w="0" w:type="dxa"/>
            </w:tcMar>
            <w:vAlign w:val="center"/>
          </w:tcPr>
          <w:p w14:paraId="10264D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445" w:type="pct"/>
            <w:vAlign w:val="center"/>
          </w:tcPr>
          <w:p w14:paraId="740DE0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潜水</w:t>
            </w:r>
          </w:p>
        </w:tc>
        <w:tc>
          <w:tcPr>
            <w:tcW w:w="1330" w:type="pct"/>
            <w:vAlign w:val="center"/>
          </w:tcPr>
          <w:p w14:paraId="78E8F329">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TK872CH井北侧1.8</w:t>
            </w:r>
            <w:r>
              <w:rPr>
                <w:rFonts w:hint="default" w:ascii="Times New Roman" w:hAnsi="Times New Roman" w:eastAsia="宋体" w:cs="Times New Roman"/>
                <w:b w:val="0"/>
                <w:bCs w:val="0"/>
                <w:color w:val="auto"/>
                <w:sz w:val="21"/>
                <w:szCs w:val="21"/>
                <w:highlight w:val="none"/>
              </w:rPr>
              <w:t>km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侧向</w:t>
            </w:r>
          </w:p>
        </w:tc>
        <w:tc>
          <w:tcPr>
            <w:tcW w:w="323" w:type="pct"/>
            <w:vAlign w:val="center"/>
          </w:tcPr>
          <w:p w14:paraId="798E24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i w:val="0"/>
                <w:iCs w:val="0"/>
                <w:color w:val="auto"/>
                <w:kern w:val="0"/>
                <w:sz w:val="21"/>
                <w:szCs w:val="21"/>
                <w:highlight w:val="none"/>
                <w:u w:val="none"/>
                <w:lang w:val="en-US" w:eastAsia="zh-CN" w:bidi="ar"/>
              </w:rPr>
              <w:t>33</w:t>
            </w:r>
          </w:p>
        </w:tc>
        <w:tc>
          <w:tcPr>
            <w:tcW w:w="744" w:type="pct"/>
            <w:vMerge w:val="restart"/>
            <w:vAlign w:val="center"/>
          </w:tcPr>
          <w:p w14:paraId="090E45A1">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202</w:t>
            </w: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年</w:t>
            </w:r>
            <w:r>
              <w:rPr>
                <w:rFonts w:hint="default" w:ascii="Times New Roman" w:hAnsi="Times New Roman"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rPr>
              <w:t>月</w:t>
            </w:r>
          </w:p>
        </w:tc>
        <w:tc>
          <w:tcPr>
            <w:tcW w:w="781" w:type="pct"/>
            <w:vMerge w:val="restart"/>
            <w:vAlign w:val="center"/>
          </w:tcPr>
          <w:p w14:paraId="05042241">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新疆广宇众联环境监测有限公司</w:t>
            </w:r>
          </w:p>
        </w:tc>
      </w:tr>
      <w:tr w14:paraId="2313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vAlign w:val="center"/>
          </w:tcPr>
          <w:p w14:paraId="632212C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5</w:t>
            </w:r>
          </w:p>
        </w:tc>
        <w:tc>
          <w:tcPr>
            <w:tcW w:w="1147" w:type="pct"/>
            <w:tcMar>
              <w:left w:w="0" w:type="dxa"/>
              <w:right w:w="0" w:type="dxa"/>
            </w:tcMar>
            <w:vAlign w:val="center"/>
          </w:tcPr>
          <w:p w14:paraId="53FB3D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445" w:type="pct"/>
            <w:vAlign w:val="center"/>
          </w:tcPr>
          <w:p w14:paraId="29C09C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潜水</w:t>
            </w:r>
          </w:p>
        </w:tc>
        <w:tc>
          <w:tcPr>
            <w:tcW w:w="1330" w:type="pct"/>
            <w:vAlign w:val="center"/>
          </w:tcPr>
          <w:p w14:paraId="3403AFB7">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TH10250CH井</w:t>
            </w:r>
            <w:r>
              <w:rPr>
                <w:rFonts w:hint="default" w:ascii="Times New Roman" w:hAnsi="Times New Roman" w:eastAsia="宋体" w:cs="Times New Roman"/>
                <w:b w:val="0"/>
                <w:bCs w:val="0"/>
                <w:color w:val="auto"/>
                <w:sz w:val="21"/>
                <w:szCs w:val="21"/>
                <w:highlight w:val="none"/>
              </w:rPr>
              <w:t>西北</w:t>
            </w:r>
            <w:r>
              <w:rPr>
                <w:rFonts w:hint="default" w:ascii="Times New Roman" w:hAnsi="Times New Roman" w:eastAsia="宋体" w:cs="Times New Roman"/>
                <w:b w:val="0"/>
                <w:bCs w:val="0"/>
                <w:color w:val="auto"/>
                <w:sz w:val="21"/>
                <w:szCs w:val="21"/>
                <w:highlight w:val="none"/>
                <w:lang w:val="en-US" w:eastAsia="zh-CN"/>
              </w:rPr>
              <w:t>侧1</w:t>
            </w:r>
            <w:r>
              <w:rPr>
                <w:rFonts w:hint="default" w:ascii="Times New Roman" w:hAnsi="Times New Roman" w:cs="Times New Roman"/>
                <w:b w:val="0"/>
                <w:bCs w:val="0"/>
                <w:color w:val="auto"/>
                <w:sz w:val="21"/>
                <w:szCs w:val="21"/>
                <w:highlight w:val="none"/>
                <w:lang w:val="en-US" w:eastAsia="zh-CN"/>
              </w:rPr>
              <w:t>4.4</w:t>
            </w:r>
            <w:r>
              <w:rPr>
                <w:rFonts w:hint="default" w:ascii="Times New Roman" w:hAnsi="Times New Roman" w:eastAsia="宋体" w:cs="Times New Roman"/>
                <w:b w:val="0"/>
                <w:bCs w:val="0"/>
                <w:color w:val="auto"/>
                <w:sz w:val="21"/>
                <w:szCs w:val="21"/>
                <w:highlight w:val="none"/>
              </w:rPr>
              <w:t>km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上游</w:t>
            </w:r>
          </w:p>
        </w:tc>
        <w:tc>
          <w:tcPr>
            <w:tcW w:w="323" w:type="pct"/>
            <w:vAlign w:val="center"/>
          </w:tcPr>
          <w:p w14:paraId="58A9C1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i w:val="0"/>
                <w:iCs w:val="0"/>
                <w:color w:val="auto"/>
                <w:kern w:val="0"/>
                <w:sz w:val="21"/>
                <w:szCs w:val="21"/>
                <w:highlight w:val="none"/>
                <w:u w:val="none"/>
                <w:lang w:val="en-US" w:eastAsia="zh-CN" w:bidi="ar"/>
              </w:rPr>
              <w:t>93</w:t>
            </w:r>
          </w:p>
        </w:tc>
        <w:tc>
          <w:tcPr>
            <w:tcW w:w="744" w:type="pct"/>
            <w:vMerge w:val="continue"/>
            <w:vAlign w:val="center"/>
          </w:tcPr>
          <w:p w14:paraId="2654F8E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c>
          <w:tcPr>
            <w:tcW w:w="781" w:type="pct"/>
            <w:vMerge w:val="continue"/>
            <w:vAlign w:val="center"/>
          </w:tcPr>
          <w:p w14:paraId="6F2B32AB">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r>
      <w:tr w14:paraId="65C1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shd w:val="clear" w:color="auto" w:fill="auto"/>
            <w:vAlign w:val="center"/>
          </w:tcPr>
          <w:p w14:paraId="0678D2DA">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w:t>
            </w:r>
          </w:p>
        </w:tc>
        <w:tc>
          <w:tcPr>
            <w:tcW w:w="1147" w:type="pct"/>
            <w:shd w:val="clear" w:color="auto" w:fill="auto"/>
            <w:tcMar>
              <w:left w:w="0" w:type="dxa"/>
              <w:right w:w="0" w:type="dxa"/>
            </w:tcMar>
            <w:vAlign w:val="center"/>
          </w:tcPr>
          <w:p w14:paraId="45476A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p>
        </w:tc>
        <w:tc>
          <w:tcPr>
            <w:tcW w:w="445" w:type="pct"/>
            <w:shd w:val="clear" w:color="auto" w:fill="auto"/>
            <w:vAlign w:val="center"/>
          </w:tcPr>
          <w:p w14:paraId="12ACBC9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潜水</w:t>
            </w:r>
          </w:p>
        </w:tc>
        <w:tc>
          <w:tcPr>
            <w:tcW w:w="1330" w:type="pct"/>
            <w:shd w:val="clear" w:color="auto" w:fill="auto"/>
            <w:vAlign w:val="center"/>
          </w:tcPr>
          <w:p w14:paraId="64DA3267">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TH10298CH井北</w:t>
            </w:r>
            <w:r>
              <w:rPr>
                <w:rFonts w:hint="default" w:ascii="Times New Roman" w:hAnsi="Times New Roman" w:eastAsia="宋体" w:cs="Times New Roman"/>
                <w:b w:val="0"/>
                <w:bCs w:val="0"/>
                <w:color w:val="auto"/>
                <w:sz w:val="21"/>
                <w:szCs w:val="21"/>
                <w:highlight w:val="none"/>
                <w:lang w:eastAsia="zh-CN"/>
              </w:rPr>
              <w:t>侧</w:t>
            </w:r>
            <w:r>
              <w:rPr>
                <w:rFonts w:hint="default" w:ascii="Times New Roman" w:hAnsi="Times New Roman" w:cs="Times New Roman"/>
                <w:b w:val="0"/>
                <w:bCs w:val="0"/>
                <w:color w:val="auto"/>
                <w:sz w:val="21"/>
                <w:szCs w:val="21"/>
                <w:highlight w:val="none"/>
                <w:lang w:val="en-US" w:eastAsia="zh-CN"/>
              </w:rPr>
              <w:t>8.4</w:t>
            </w:r>
            <w:r>
              <w:rPr>
                <w:rFonts w:hint="default" w:ascii="Times New Roman" w:hAnsi="Times New Roman" w:eastAsia="宋体" w:cs="Times New Roman"/>
                <w:b w:val="0"/>
                <w:bCs w:val="0"/>
                <w:color w:val="auto"/>
                <w:sz w:val="21"/>
                <w:szCs w:val="21"/>
                <w:highlight w:val="none"/>
              </w:rPr>
              <w:t>km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上游</w:t>
            </w:r>
          </w:p>
        </w:tc>
        <w:tc>
          <w:tcPr>
            <w:tcW w:w="323" w:type="pct"/>
            <w:shd w:val="clear" w:color="auto" w:fill="auto"/>
            <w:vAlign w:val="center"/>
          </w:tcPr>
          <w:p w14:paraId="701C888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28</w:t>
            </w:r>
          </w:p>
        </w:tc>
        <w:tc>
          <w:tcPr>
            <w:tcW w:w="744" w:type="pct"/>
            <w:vMerge w:val="restart"/>
            <w:shd w:val="clear" w:color="auto" w:fill="auto"/>
            <w:vAlign w:val="center"/>
          </w:tcPr>
          <w:p w14:paraId="38BC4C73">
            <w:pPr>
              <w:pStyle w:val="5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202</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年</w:t>
            </w:r>
            <w:r>
              <w:rPr>
                <w:rFonts w:hint="default" w:ascii="Times New Roman" w:hAnsi="Times New Roman" w:eastAsia="宋体"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rPr>
              <w:t>月</w:t>
            </w:r>
          </w:p>
        </w:tc>
        <w:tc>
          <w:tcPr>
            <w:tcW w:w="781" w:type="pct"/>
            <w:vMerge w:val="restart"/>
            <w:shd w:val="clear" w:color="auto" w:fill="auto"/>
            <w:vAlign w:val="center"/>
          </w:tcPr>
          <w:p w14:paraId="65BEEEBA">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新疆广宇众联环境监测有限公司</w:t>
            </w:r>
          </w:p>
        </w:tc>
      </w:tr>
      <w:tr w14:paraId="231A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shd w:val="clear" w:color="auto" w:fill="auto"/>
            <w:vAlign w:val="center"/>
          </w:tcPr>
          <w:p w14:paraId="13083E8F">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7</w:t>
            </w:r>
          </w:p>
        </w:tc>
        <w:tc>
          <w:tcPr>
            <w:tcW w:w="1147" w:type="pct"/>
            <w:shd w:val="clear" w:color="auto" w:fill="auto"/>
            <w:tcMar>
              <w:left w:w="0" w:type="dxa"/>
              <w:right w:w="0" w:type="dxa"/>
            </w:tcMar>
            <w:vAlign w:val="center"/>
          </w:tcPr>
          <w:p w14:paraId="4C5D5B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p>
        </w:tc>
        <w:tc>
          <w:tcPr>
            <w:tcW w:w="445" w:type="pct"/>
            <w:shd w:val="clear" w:color="auto" w:fill="auto"/>
            <w:vAlign w:val="center"/>
          </w:tcPr>
          <w:p w14:paraId="568F93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潜水</w:t>
            </w:r>
          </w:p>
        </w:tc>
        <w:tc>
          <w:tcPr>
            <w:tcW w:w="1330" w:type="pct"/>
            <w:shd w:val="clear" w:color="auto" w:fill="auto"/>
            <w:vAlign w:val="center"/>
          </w:tcPr>
          <w:p w14:paraId="72B60169">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TK872CH井东北侧8.7</w:t>
            </w:r>
            <w:r>
              <w:rPr>
                <w:rFonts w:hint="default" w:ascii="Times New Roman" w:hAnsi="Times New Roman" w:eastAsia="宋体" w:cs="Times New Roman"/>
                <w:b w:val="0"/>
                <w:bCs w:val="0"/>
                <w:color w:val="auto"/>
                <w:sz w:val="21"/>
                <w:szCs w:val="21"/>
                <w:highlight w:val="none"/>
              </w:rPr>
              <w:t>km</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侧向</w:t>
            </w:r>
          </w:p>
        </w:tc>
        <w:tc>
          <w:tcPr>
            <w:tcW w:w="323" w:type="pct"/>
            <w:shd w:val="clear" w:color="auto" w:fill="auto"/>
            <w:vAlign w:val="center"/>
          </w:tcPr>
          <w:p w14:paraId="2CA0DFF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26</w:t>
            </w:r>
          </w:p>
        </w:tc>
        <w:tc>
          <w:tcPr>
            <w:tcW w:w="744" w:type="pct"/>
            <w:vMerge w:val="continue"/>
            <w:vAlign w:val="center"/>
          </w:tcPr>
          <w:p w14:paraId="14C3F37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c>
          <w:tcPr>
            <w:tcW w:w="781" w:type="pct"/>
            <w:vMerge w:val="continue"/>
            <w:vAlign w:val="center"/>
          </w:tcPr>
          <w:p w14:paraId="438C675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r>
      <w:tr w14:paraId="6181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atLeast"/>
          <w:jc w:val="center"/>
        </w:trPr>
        <w:tc>
          <w:tcPr>
            <w:tcW w:w="226" w:type="pct"/>
            <w:shd w:val="clear" w:color="auto" w:fill="auto"/>
            <w:vAlign w:val="center"/>
          </w:tcPr>
          <w:p w14:paraId="3FC012E3">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8</w:t>
            </w:r>
          </w:p>
        </w:tc>
        <w:tc>
          <w:tcPr>
            <w:tcW w:w="1147" w:type="pct"/>
            <w:tcMar>
              <w:left w:w="0" w:type="dxa"/>
              <w:right w:w="0" w:type="dxa"/>
            </w:tcMar>
            <w:vAlign w:val="center"/>
          </w:tcPr>
          <w:p w14:paraId="7F9BF7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445" w:type="pct"/>
            <w:vAlign w:val="center"/>
          </w:tcPr>
          <w:p w14:paraId="57988E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潜水</w:t>
            </w:r>
          </w:p>
        </w:tc>
        <w:tc>
          <w:tcPr>
            <w:tcW w:w="1330" w:type="pct"/>
            <w:vAlign w:val="center"/>
          </w:tcPr>
          <w:p w14:paraId="128C942A">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cs="Times New Roman"/>
                <w:b w:val="0"/>
                <w:bCs w:val="0"/>
                <w:color w:val="auto"/>
                <w:sz w:val="21"/>
                <w:szCs w:val="21"/>
                <w:highlight w:val="none"/>
                <w:lang w:val="en-US" w:eastAsia="zh-CN"/>
              </w:rPr>
              <w:t>TK872CH井东侧3.4</w:t>
            </w:r>
            <w:r>
              <w:rPr>
                <w:rFonts w:hint="default" w:ascii="Times New Roman" w:hAnsi="Times New Roman" w:eastAsia="宋体" w:cs="Times New Roman"/>
                <w:b w:val="0"/>
                <w:bCs w:val="0"/>
                <w:color w:val="auto"/>
                <w:sz w:val="21"/>
                <w:szCs w:val="21"/>
                <w:highlight w:val="none"/>
              </w:rPr>
              <w:t>km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侧向</w:t>
            </w:r>
          </w:p>
        </w:tc>
        <w:tc>
          <w:tcPr>
            <w:tcW w:w="323" w:type="pct"/>
            <w:vAlign w:val="center"/>
          </w:tcPr>
          <w:p w14:paraId="21B64A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49</w:t>
            </w:r>
          </w:p>
        </w:tc>
        <w:tc>
          <w:tcPr>
            <w:tcW w:w="744" w:type="pct"/>
            <w:vMerge w:val="restart"/>
            <w:vAlign w:val="center"/>
          </w:tcPr>
          <w:p w14:paraId="6991884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202</w:t>
            </w: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年</w:t>
            </w:r>
            <w:r>
              <w:rPr>
                <w:rFonts w:hint="default" w:ascii="Times New Roman" w:hAnsi="Times New Roman"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rPr>
              <w:t>月</w:t>
            </w:r>
          </w:p>
        </w:tc>
        <w:tc>
          <w:tcPr>
            <w:tcW w:w="781" w:type="pct"/>
            <w:vMerge w:val="restart"/>
            <w:vAlign w:val="center"/>
          </w:tcPr>
          <w:p w14:paraId="15334AD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新疆广宇众联环境监测有限公司</w:t>
            </w:r>
          </w:p>
        </w:tc>
      </w:tr>
      <w:tr w14:paraId="3084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26" w:type="pct"/>
            <w:shd w:val="clear" w:color="auto" w:fill="auto"/>
            <w:vAlign w:val="center"/>
          </w:tcPr>
          <w:p w14:paraId="46698B7F">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9</w:t>
            </w:r>
          </w:p>
        </w:tc>
        <w:tc>
          <w:tcPr>
            <w:tcW w:w="1147" w:type="pct"/>
            <w:tcMar>
              <w:left w:w="0" w:type="dxa"/>
              <w:right w:w="0" w:type="dxa"/>
            </w:tcMar>
            <w:vAlign w:val="center"/>
          </w:tcPr>
          <w:p w14:paraId="182399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445" w:type="pct"/>
            <w:vAlign w:val="center"/>
          </w:tcPr>
          <w:p w14:paraId="62D9C3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承压水</w:t>
            </w:r>
          </w:p>
        </w:tc>
        <w:tc>
          <w:tcPr>
            <w:tcW w:w="1330" w:type="pct"/>
            <w:vAlign w:val="center"/>
          </w:tcPr>
          <w:p w14:paraId="6DB244C3">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TH102117X井东侧13.4km</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侧向</w:t>
            </w:r>
          </w:p>
        </w:tc>
        <w:tc>
          <w:tcPr>
            <w:tcW w:w="323" w:type="pct"/>
            <w:vAlign w:val="center"/>
          </w:tcPr>
          <w:p w14:paraId="6DAD5D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w:t>
            </w:r>
          </w:p>
        </w:tc>
        <w:tc>
          <w:tcPr>
            <w:tcW w:w="744" w:type="pct"/>
            <w:vMerge w:val="continue"/>
            <w:vAlign w:val="center"/>
          </w:tcPr>
          <w:p w14:paraId="380FC618">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c>
          <w:tcPr>
            <w:tcW w:w="781" w:type="pct"/>
            <w:vMerge w:val="continue"/>
            <w:vAlign w:val="center"/>
          </w:tcPr>
          <w:p w14:paraId="7182CEA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r>
    </w:tbl>
    <w:p w14:paraId="721AE8C6">
      <w:pPr>
        <w:pStyle w:val="57"/>
        <w:keepNext w:val="0"/>
        <w:keepLines w:val="0"/>
        <w:pageBreakBefore w:val="0"/>
        <w:widowControl/>
        <w:kinsoku/>
        <w:wordWrap/>
        <w:overflowPunct/>
        <w:topLinePunct w:val="0"/>
        <w:autoSpaceDE/>
        <w:autoSpaceDN/>
        <w:bidi w:val="0"/>
        <w:adjustRightInd w:val="0"/>
        <w:snapToGrid w:val="0"/>
        <w:spacing w:before="157" w:beforeLines="50" w:line="360" w:lineRule="auto"/>
        <w:ind w:right="51" w:firstLine="480" w:firstLineChars="200"/>
        <w:textAlignment w:val="auto"/>
        <w:rPr>
          <w:rFonts w:hint="default" w:ascii="Times New Roman" w:hAnsi="Times New Roman" w:cs="Times New Roman"/>
          <w:bCs/>
          <w:color w:val="auto"/>
          <w:kern w:val="0"/>
          <w:szCs w:val="24"/>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监测项目</w:t>
      </w:r>
    </w:p>
    <w:p w14:paraId="07EBC484">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①监测项目</w:t>
      </w:r>
    </w:p>
    <w:p w14:paraId="60FE5C26">
      <w:pPr>
        <w:keepNext w:val="0"/>
        <w:keepLines w:val="0"/>
        <w:pageBreakBefore w:val="0"/>
        <w:widowControl w:val="0"/>
        <w:tabs>
          <w:tab w:val="center" w:pos="4365"/>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highlight w:val="none"/>
          <w:lang w:eastAsia="zh-CN"/>
        </w:rPr>
      </w:pPr>
      <w:r>
        <w:rPr>
          <w:rFonts w:hint="default" w:ascii="Times New Roman" w:hAnsi="Times New Roman" w:cs="Times New Roman"/>
          <w:color w:val="auto"/>
          <w:sz w:val="24"/>
          <w:szCs w:val="24"/>
          <w:highlight w:val="none"/>
        </w:rPr>
        <w:t>根据《环境影响评价技术导则地下水环境》（HJ610-2016），本次评价的监测项目包括：</w:t>
      </w:r>
      <w:r>
        <w:rPr>
          <w:rFonts w:hint="default"/>
          <w:color w:val="auto"/>
          <w:sz w:val="24"/>
          <w:szCs w:val="24"/>
          <w:highlight w:val="none"/>
        </w:rPr>
        <w:t>pH、</w:t>
      </w:r>
      <w:r>
        <w:rPr>
          <w:rFonts w:hint="default" w:ascii="TimesNewRomanPSMT" w:hAnsi="TimesNewRomanPSMT" w:eastAsia="宋体" w:cs="Times New Roman"/>
          <w:color w:val="auto"/>
          <w:sz w:val="24"/>
          <w:szCs w:val="24"/>
          <w:highlight w:val="none"/>
          <w:lang w:val="en-US" w:eastAsia="zh-CN"/>
        </w:rPr>
        <w:t>氨氮、硝酸盐、亚硝酸盐、挥发性酚类、氰化物、砷、汞、六价铬、总硬度、铅、氟</w:t>
      </w:r>
      <w:r>
        <w:rPr>
          <w:rFonts w:hint="eastAsia" w:ascii="TimesNewRomanPSMT" w:hAnsi="TimesNewRomanPSMT" w:eastAsia="宋体" w:cs="Times New Roman"/>
          <w:color w:val="auto"/>
          <w:sz w:val="24"/>
          <w:szCs w:val="24"/>
          <w:highlight w:val="none"/>
          <w:lang w:val="en-US" w:eastAsia="zh-CN"/>
        </w:rPr>
        <w:t>化物</w:t>
      </w:r>
      <w:r>
        <w:rPr>
          <w:rFonts w:hint="default" w:ascii="TimesNewRomanPSMT" w:hAnsi="TimesNewRomanPSMT" w:eastAsia="宋体" w:cs="Times New Roman"/>
          <w:color w:val="auto"/>
          <w:sz w:val="24"/>
          <w:szCs w:val="24"/>
          <w:highlight w:val="none"/>
          <w:lang w:val="en-US" w:eastAsia="zh-CN"/>
        </w:rPr>
        <w:t>、镉、铁、锰、溶解性总固体、</w:t>
      </w:r>
      <w:r>
        <w:rPr>
          <w:rFonts w:hint="eastAsia" w:ascii="TimesNewRomanPSMT" w:hAnsi="TimesNewRomanPSMT" w:eastAsia="宋体" w:cs="Times New Roman"/>
          <w:color w:val="auto"/>
          <w:sz w:val="24"/>
          <w:szCs w:val="24"/>
          <w:highlight w:val="none"/>
          <w:lang w:val="en-US" w:eastAsia="zh-CN"/>
        </w:rPr>
        <w:t>氯化物、</w:t>
      </w:r>
      <w:r>
        <w:rPr>
          <w:rFonts w:hint="default" w:ascii="TimesNewRomanPSMT" w:hAnsi="TimesNewRomanPSMT" w:eastAsia="宋体" w:cs="Times New Roman"/>
          <w:color w:val="auto"/>
          <w:sz w:val="24"/>
          <w:szCs w:val="24"/>
          <w:highlight w:val="none"/>
          <w:lang w:val="en-US" w:eastAsia="zh-CN"/>
        </w:rPr>
        <w:t>高锰酸盐指数、总大肠菌群、细菌总数、石油类、硫化物</w:t>
      </w:r>
      <w:r>
        <w:rPr>
          <w:rFonts w:hint="eastAsia" w:ascii="TimesNewRomanPSMT" w:hAnsi="TimesNewRomanPSMT" w:eastAsia="宋体" w:cs="Times New Roman"/>
          <w:color w:val="auto"/>
          <w:sz w:val="24"/>
          <w:szCs w:val="24"/>
          <w:highlight w:val="none"/>
          <w:lang w:val="en-US" w:eastAsia="zh-CN"/>
        </w:rPr>
        <w:t>，以及</w:t>
      </w:r>
      <w:r>
        <w:rPr>
          <w:rFonts w:hint="default"/>
          <w:color w:val="auto"/>
          <w:sz w:val="24"/>
          <w:szCs w:val="24"/>
          <w:highlight w:val="none"/>
        </w:rPr>
        <w:t>K+、Na+、Ca</w:t>
      </w:r>
      <w:r>
        <w:rPr>
          <w:rFonts w:hint="default"/>
          <w:color w:val="auto"/>
          <w:sz w:val="24"/>
          <w:szCs w:val="24"/>
          <w:highlight w:val="none"/>
          <w:vertAlign w:val="superscript"/>
        </w:rPr>
        <w:t>2+</w:t>
      </w:r>
      <w:r>
        <w:rPr>
          <w:rFonts w:hint="default"/>
          <w:color w:val="auto"/>
          <w:sz w:val="24"/>
          <w:szCs w:val="24"/>
          <w:highlight w:val="none"/>
        </w:rPr>
        <w:t>、Mg</w:t>
      </w:r>
      <w:r>
        <w:rPr>
          <w:rFonts w:hint="default"/>
          <w:color w:val="auto"/>
          <w:sz w:val="24"/>
          <w:szCs w:val="24"/>
          <w:highlight w:val="none"/>
          <w:vertAlign w:val="superscript"/>
        </w:rPr>
        <w:t>2+</w:t>
      </w:r>
      <w:r>
        <w:rPr>
          <w:rFonts w:hint="default"/>
          <w:color w:val="auto"/>
          <w:sz w:val="24"/>
          <w:szCs w:val="24"/>
          <w:highlight w:val="none"/>
        </w:rPr>
        <w:t>、CO</w:t>
      </w:r>
      <w:r>
        <w:rPr>
          <w:rFonts w:hint="default"/>
          <w:color w:val="auto"/>
          <w:sz w:val="24"/>
          <w:szCs w:val="24"/>
          <w:highlight w:val="none"/>
          <w:vertAlign w:val="subscript"/>
        </w:rPr>
        <w:t>3</w:t>
      </w:r>
      <w:r>
        <w:rPr>
          <w:rFonts w:hint="default"/>
          <w:color w:val="auto"/>
          <w:sz w:val="24"/>
          <w:szCs w:val="24"/>
          <w:highlight w:val="none"/>
          <w:vertAlign w:val="superscript"/>
        </w:rPr>
        <w:t>2-</w:t>
      </w:r>
      <w:r>
        <w:rPr>
          <w:rFonts w:hint="default"/>
          <w:color w:val="auto"/>
          <w:sz w:val="24"/>
          <w:szCs w:val="24"/>
          <w:highlight w:val="none"/>
        </w:rPr>
        <w:t>、HCO</w:t>
      </w:r>
      <w:r>
        <w:rPr>
          <w:rFonts w:hint="default"/>
          <w:color w:val="auto"/>
          <w:sz w:val="24"/>
          <w:szCs w:val="24"/>
          <w:highlight w:val="none"/>
          <w:vertAlign w:val="superscript"/>
        </w:rPr>
        <w:t>3-</w:t>
      </w:r>
      <w:r>
        <w:rPr>
          <w:rFonts w:hint="default"/>
          <w:color w:val="auto"/>
          <w:sz w:val="24"/>
          <w:szCs w:val="24"/>
          <w:highlight w:val="none"/>
        </w:rPr>
        <w:t>、Cl</w:t>
      </w:r>
      <w:r>
        <w:rPr>
          <w:rFonts w:hint="default"/>
          <w:color w:val="auto"/>
          <w:sz w:val="24"/>
          <w:szCs w:val="24"/>
          <w:highlight w:val="none"/>
          <w:vertAlign w:val="superscript"/>
        </w:rPr>
        <w:t>-</w:t>
      </w:r>
      <w:r>
        <w:rPr>
          <w:rFonts w:hint="default"/>
          <w:color w:val="auto"/>
          <w:sz w:val="24"/>
          <w:szCs w:val="24"/>
          <w:highlight w:val="none"/>
        </w:rPr>
        <w:t>、SO</w:t>
      </w:r>
      <w:r>
        <w:rPr>
          <w:rFonts w:hint="default"/>
          <w:color w:val="auto"/>
          <w:sz w:val="24"/>
          <w:szCs w:val="24"/>
          <w:highlight w:val="none"/>
          <w:vertAlign w:val="subscript"/>
        </w:rPr>
        <w:t>4</w:t>
      </w:r>
      <w:r>
        <w:rPr>
          <w:rFonts w:hint="default"/>
          <w:color w:val="auto"/>
          <w:sz w:val="24"/>
          <w:szCs w:val="24"/>
          <w:highlight w:val="none"/>
          <w:vertAlign w:val="superscript"/>
        </w:rPr>
        <w:t>2</w:t>
      </w:r>
      <w:r>
        <w:rPr>
          <w:rFonts w:hint="default"/>
          <w:color w:val="auto"/>
          <w:sz w:val="24"/>
          <w:szCs w:val="24"/>
          <w:highlight w:val="none"/>
        </w:rPr>
        <w:t>-共计8项</w:t>
      </w:r>
      <w:r>
        <w:rPr>
          <w:rFonts w:hint="eastAsia"/>
          <w:color w:val="auto"/>
          <w:sz w:val="24"/>
          <w:szCs w:val="24"/>
          <w:highlight w:val="none"/>
          <w:lang w:eastAsia="zh-CN"/>
        </w:rPr>
        <w:t>。</w:t>
      </w:r>
    </w:p>
    <w:p w14:paraId="356ED9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②分析方法</w:t>
      </w:r>
    </w:p>
    <w:p w14:paraId="75CE633F">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napToGrid w:val="0"/>
          <w:color w:val="auto"/>
          <w:highlight w:val="none"/>
          <w:lang w:eastAsia="zh-CN"/>
        </w:rPr>
      </w:pPr>
      <w:r>
        <w:rPr>
          <w:rFonts w:hint="default" w:ascii="Times New Roman" w:hAnsi="Times New Roman" w:cs="Times New Roman"/>
          <w:color w:val="auto"/>
          <w:highlight w:val="none"/>
        </w:rPr>
        <w:t>采样按照《环境影响评价技术导则地下水环境》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HJ610-2016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执行，监测分析方法按照《地下水环境监测技术规范》（HJ/T164-2004）、《地下水质量标准》（GB/T14848-2017）、《环境水质监测质量保证手册》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第二版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有关标准和规范执行</w:t>
      </w:r>
      <w:r>
        <w:rPr>
          <w:rFonts w:hint="default" w:ascii="Times New Roman" w:hAnsi="Times New Roman" w:cs="Times New Roman"/>
          <w:color w:val="auto"/>
          <w:highlight w:val="none"/>
          <w:lang w:eastAsia="zh-CN"/>
        </w:rPr>
        <w:t>。</w:t>
      </w:r>
    </w:p>
    <w:p w14:paraId="7906CB01">
      <w:pPr>
        <w:pStyle w:val="57"/>
        <w:keepNext w:val="0"/>
        <w:keepLines w:val="0"/>
        <w:pageBreakBefore w:val="0"/>
        <w:kinsoku/>
        <w:wordWrap/>
        <w:overflowPunct/>
        <w:topLinePunct w:val="0"/>
        <w:autoSpaceDE/>
        <w:autoSpaceDN/>
        <w:bidi w:val="0"/>
        <w:adjustRightInd w:val="0"/>
        <w:snapToGrid w:val="0"/>
        <w:spacing w:line="360" w:lineRule="auto"/>
        <w:ind w:right="53"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评价标准</w:t>
      </w:r>
    </w:p>
    <w:p w14:paraId="7CFE81E5">
      <w:pPr>
        <w:keepNext w:val="0"/>
        <w:keepLines w:val="0"/>
        <w:pageBreakBefore w:val="0"/>
        <w:tabs>
          <w:tab w:val="left" w:pos="346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Cs w:val="24"/>
          <w:highlight w:val="none"/>
        </w:rPr>
      </w:pPr>
      <w:r>
        <w:rPr>
          <w:rFonts w:hint="default" w:ascii="Times New Roman" w:hAnsi="Times New Roman" w:cs="Times New Roman"/>
          <w:color w:val="auto"/>
          <w:highlight w:val="none"/>
        </w:rPr>
        <w:t>石油类参照《地表水环境质量标准》（GB3838-2002）Ⅲ类标准；其他因子执行《地下水质量标准》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GB/T14848-2017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Ⅲ类标准</w:t>
      </w:r>
      <w:r>
        <w:rPr>
          <w:rFonts w:hint="default" w:ascii="Times New Roman" w:hAnsi="Times New Roman" w:cs="Times New Roman"/>
          <w:bCs/>
          <w:color w:val="auto"/>
          <w:szCs w:val="24"/>
          <w:highlight w:val="none"/>
        </w:rPr>
        <w:t>。</w:t>
      </w:r>
    </w:p>
    <w:p w14:paraId="3EB06CC2">
      <w:pPr>
        <w:pStyle w:val="57"/>
        <w:keepNext w:val="0"/>
        <w:keepLines w:val="0"/>
        <w:pageBreakBefore w:val="0"/>
        <w:kinsoku/>
        <w:wordWrap/>
        <w:overflowPunct/>
        <w:topLinePunct w:val="0"/>
        <w:autoSpaceDE/>
        <w:autoSpaceDN/>
        <w:bidi w:val="0"/>
        <w:adjustRightInd w:val="0"/>
        <w:snapToGrid w:val="0"/>
        <w:spacing w:line="360" w:lineRule="auto"/>
        <w:ind w:right="53"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评价方法</w:t>
      </w:r>
    </w:p>
    <w:p w14:paraId="29AA7CB4">
      <w:pPr>
        <w:keepNext w:val="0"/>
        <w:keepLines w:val="0"/>
        <w:pageBreakBefore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auto"/>
          <w:spacing w:val="4"/>
          <w:kern w:val="24"/>
          <w:highlight w:val="none"/>
        </w:rPr>
      </w:pPr>
      <w:r>
        <w:rPr>
          <w:rFonts w:hint="default" w:ascii="Times New Roman" w:hAnsi="Times New Roman" w:cs="Times New Roman"/>
          <w:color w:val="auto"/>
          <w:spacing w:val="4"/>
          <w:kern w:val="24"/>
          <w:highlight w:val="none"/>
        </w:rPr>
        <w:t>评价方法采用标准指数法。</w:t>
      </w:r>
    </w:p>
    <w:p w14:paraId="1FDE524B">
      <w:pPr>
        <w:keepNext w:val="0"/>
        <w:keepLines w:val="0"/>
        <w:pageBreakBefore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auto"/>
          <w:spacing w:val="4"/>
          <w:kern w:val="24"/>
          <w:highlight w:val="none"/>
        </w:rPr>
      </w:pPr>
      <w:r>
        <w:rPr>
          <w:rFonts w:hint="default" w:ascii="Times New Roman" w:hAnsi="Times New Roman" w:cs="Times New Roman"/>
          <w:color w:val="auto"/>
          <w:spacing w:val="4"/>
          <w:kern w:val="24"/>
          <w:highlight w:val="none"/>
        </w:rPr>
        <w:t>①对于评价标准为定值的水质因子，其标准指数计算公式：</w:t>
      </w:r>
    </w:p>
    <w:p w14:paraId="290E0C77">
      <w:pPr>
        <w:keepNext w:val="0"/>
        <w:keepLines w:val="0"/>
        <w:pageBreakBefore w:val="0"/>
        <w:kinsoku/>
        <w:wordWrap/>
        <w:overflowPunct/>
        <w:topLinePunct w:val="0"/>
        <w:autoSpaceDE/>
        <w:autoSpaceDN/>
        <w:bidi w:val="0"/>
        <w:adjustRightInd w:val="0"/>
        <w:snapToGrid w:val="0"/>
        <w:spacing w:line="360" w:lineRule="auto"/>
        <w:ind w:firstLine="496" w:firstLineChars="200"/>
        <w:jc w:val="center"/>
        <w:textAlignment w:val="auto"/>
        <w:rPr>
          <w:rFonts w:hint="default" w:ascii="Times New Roman" w:hAnsi="Times New Roman" w:cs="Times New Roman"/>
          <w:color w:val="auto"/>
          <w:spacing w:val="4"/>
          <w:kern w:val="24"/>
          <w:highlight w:val="none"/>
        </w:rPr>
      </w:pPr>
      <w:r>
        <w:rPr>
          <w:rFonts w:hint="default" w:ascii="Times New Roman" w:hAnsi="Times New Roman" w:cs="Times New Roman"/>
          <w:color w:val="auto"/>
          <w:spacing w:val="4"/>
          <w:kern w:val="24"/>
          <w:highlight w:val="none"/>
        </w:rPr>
        <w:drawing>
          <wp:inline distT="0" distB="0" distL="114300" distR="114300">
            <wp:extent cx="654050" cy="464820"/>
            <wp:effectExtent l="0" t="0" r="1270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41"/>
                    <a:stretch>
                      <a:fillRect/>
                    </a:stretch>
                  </pic:blipFill>
                  <pic:spPr>
                    <a:xfrm>
                      <a:off x="0" y="0"/>
                      <a:ext cx="654050" cy="464820"/>
                    </a:xfrm>
                    <a:prstGeom prst="rect">
                      <a:avLst/>
                    </a:prstGeom>
                    <a:noFill/>
                    <a:ln>
                      <a:noFill/>
                    </a:ln>
                  </pic:spPr>
                </pic:pic>
              </a:graphicData>
            </a:graphic>
          </wp:inline>
        </w:drawing>
      </w:r>
    </w:p>
    <w:p w14:paraId="4EA4CF2B">
      <w:pPr>
        <w:keepNext w:val="0"/>
        <w:keepLines w:val="0"/>
        <w:pageBreakBefore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auto"/>
          <w:spacing w:val="4"/>
          <w:kern w:val="24"/>
          <w:highlight w:val="none"/>
        </w:rPr>
      </w:pPr>
      <w:r>
        <w:rPr>
          <w:rFonts w:hint="default" w:ascii="Times New Roman" w:hAnsi="Times New Roman" w:cs="Times New Roman"/>
          <w:color w:val="auto"/>
          <w:spacing w:val="4"/>
          <w:kern w:val="24"/>
          <w:highlight w:val="none"/>
        </w:rPr>
        <w:t>式中：Pi——第i个水质因子的标准指数，无量纲；</w:t>
      </w:r>
    </w:p>
    <w:p w14:paraId="009A270C">
      <w:pPr>
        <w:keepNext w:val="0"/>
        <w:keepLines w:val="0"/>
        <w:pageBreakBefore w:val="0"/>
        <w:tabs>
          <w:tab w:val="left" w:pos="3465"/>
        </w:tabs>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auto"/>
          <w:spacing w:val="4"/>
          <w:kern w:val="24"/>
          <w:highlight w:val="none"/>
        </w:rPr>
      </w:pPr>
      <w:r>
        <w:rPr>
          <w:rFonts w:hint="default" w:ascii="Times New Roman" w:hAnsi="Times New Roman" w:cs="Times New Roman"/>
          <w:color w:val="auto"/>
          <w:spacing w:val="4"/>
          <w:kern w:val="24"/>
          <w:highlight w:val="none"/>
        </w:rPr>
        <w:t>Ci——第i个水质因子的监测浓度，mg/L；</w:t>
      </w:r>
    </w:p>
    <w:p w14:paraId="28ACDF3D">
      <w:pPr>
        <w:keepNext w:val="0"/>
        <w:keepLines w:val="0"/>
        <w:pageBreakBefore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auto"/>
          <w:spacing w:val="4"/>
          <w:kern w:val="24"/>
          <w:highlight w:val="none"/>
        </w:rPr>
      </w:pPr>
      <w:r>
        <w:rPr>
          <w:rFonts w:hint="default" w:ascii="Times New Roman" w:hAnsi="Times New Roman" w:cs="Times New Roman"/>
          <w:color w:val="auto"/>
          <w:spacing w:val="4"/>
          <w:kern w:val="24"/>
          <w:highlight w:val="none"/>
        </w:rPr>
        <w:t>Csi——第i个水质因子的标准浓度，mg/L。</w:t>
      </w:r>
    </w:p>
    <w:p w14:paraId="589954E7">
      <w:pPr>
        <w:keepNext w:val="0"/>
        <w:keepLines w:val="0"/>
        <w:pageBreakBefore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eastAsiaTheme="minorEastAsia"/>
          <w:color w:val="auto"/>
          <w:spacing w:val="4"/>
          <w:kern w:val="24"/>
          <w:szCs w:val="24"/>
          <w:highlight w:val="none"/>
        </w:rPr>
      </w:pPr>
      <w:r>
        <w:rPr>
          <w:rFonts w:hint="default" w:ascii="Times New Roman" w:hAnsi="Times New Roman" w:cs="Times New Roman"/>
          <w:color w:val="auto"/>
          <w:spacing w:val="4"/>
          <w:kern w:val="24"/>
          <w:szCs w:val="24"/>
          <w:highlight w:val="none"/>
        </w:rPr>
        <w:t>②</w:t>
      </w:r>
      <w:r>
        <w:rPr>
          <w:rFonts w:hint="default" w:ascii="Times New Roman" w:hAnsi="Times New Roman" w:cs="Times New Roman" w:eastAsiaTheme="minorEastAsia"/>
          <w:color w:val="auto"/>
          <w:spacing w:val="4"/>
          <w:kern w:val="24"/>
          <w:szCs w:val="24"/>
          <w:highlight w:val="none"/>
        </w:rPr>
        <w:t>对于评价标准为区间值的水质因子</w:t>
      </w:r>
      <w:r>
        <w:rPr>
          <w:rFonts w:hint="default" w:ascii="Times New Roman" w:hAnsi="Times New Roman" w:cs="Times New Roman" w:eastAsiaTheme="minorEastAsia"/>
          <w:color w:val="auto"/>
          <w:spacing w:val="4"/>
          <w:kern w:val="24"/>
          <w:szCs w:val="24"/>
          <w:highlight w:val="none"/>
          <w:lang w:eastAsia="zh-CN"/>
        </w:rPr>
        <w:t>（</w:t>
      </w:r>
      <w:r>
        <w:rPr>
          <w:rFonts w:hint="default" w:ascii="Times New Roman" w:hAnsi="Times New Roman" w:cs="Times New Roman" w:eastAsiaTheme="minorEastAsia"/>
          <w:color w:val="auto"/>
          <w:spacing w:val="4"/>
          <w:kern w:val="24"/>
          <w:szCs w:val="24"/>
          <w:highlight w:val="none"/>
        </w:rPr>
        <w:t>如pH值</w:t>
      </w:r>
      <w:r>
        <w:rPr>
          <w:rFonts w:hint="default" w:ascii="Times New Roman" w:hAnsi="Times New Roman" w:cs="Times New Roman" w:eastAsiaTheme="minorEastAsia"/>
          <w:color w:val="auto"/>
          <w:spacing w:val="4"/>
          <w:kern w:val="24"/>
          <w:szCs w:val="24"/>
          <w:highlight w:val="none"/>
          <w:lang w:eastAsia="zh-CN"/>
        </w:rPr>
        <w:t>）</w:t>
      </w:r>
      <w:r>
        <w:rPr>
          <w:rFonts w:hint="default" w:ascii="Times New Roman" w:hAnsi="Times New Roman" w:cs="Times New Roman" w:eastAsiaTheme="minorEastAsia"/>
          <w:color w:val="auto"/>
          <w:spacing w:val="4"/>
          <w:kern w:val="24"/>
          <w:szCs w:val="24"/>
          <w:highlight w:val="none"/>
        </w:rPr>
        <w:t>，其标准指数计算公式：</w:t>
      </w:r>
    </w:p>
    <w:p w14:paraId="6EB44CAB">
      <w:pPr>
        <w:keepNext w:val="0"/>
        <w:keepLines w:val="0"/>
        <w:pageBreakBefore w:val="0"/>
        <w:kinsoku/>
        <w:wordWrap/>
        <w:overflowPunct/>
        <w:topLinePunct w:val="0"/>
        <w:autoSpaceDE/>
        <w:autoSpaceDN/>
        <w:bidi w:val="0"/>
        <w:adjustRightInd w:val="0"/>
        <w:snapToGrid w:val="0"/>
        <w:spacing w:line="360" w:lineRule="auto"/>
        <w:ind w:right="522" w:firstLine="480" w:firstLineChars="200"/>
        <w:jc w:val="center"/>
        <w:textAlignment w:val="auto"/>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drawing>
          <wp:inline distT="0" distB="0" distL="114300" distR="114300">
            <wp:extent cx="1308100" cy="466725"/>
            <wp:effectExtent l="0" t="0" r="0" b="825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2"/>
                    <a:stretch>
                      <a:fillRect/>
                    </a:stretch>
                  </pic:blipFill>
                  <pic:spPr>
                    <a:xfrm>
                      <a:off x="0" y="0"/>
                      <a:ext cx="1308100" cy="466725"/>
                    </a:xfrm>
                    <a:prstGeom prst="rect">
                      <a:avLst/>
                    </a:prstGeom>
                    <a:noFill/>
                    <a:ln>
                      <a:noFill/>
                    </a:ln>
                  </pic:spPr>
                </pic:pic>
              </a:graphicData>
            </a:graphic>
          </wp:inline>
        </w:drawing>
      </w:r>
      <w:r>
        <w:rPr>
          <w:rFonts w:hint="default" w:ascii="Times New Roman" w:hAnsi="Times New Roman" w:cs="Times New Roman" w:eastAsiaTheme="minorEastAsia"/>
          <w:color w:val="auto"/>
          <w:szCs w:val="24"/>
          <w:highlight w:val="none"/>
        </w:rPr>
        <w:t>，pH≤7时；</w:t>
      </w:r>
    </w:p>
    <w:p w14:paraId="64BC633C">
      <w:pPr>
        <w:keepNext w:val="0"/>
        <w:keepLines w:val="0"/>
        <w:pageBreakBefore w:val="0"/>
        <w:kinsoku/>
        <w:wordWrap/>
        <w:overflowPunct/>
        <w:topLinePunct w:val="0"/>
        <w:autoSpaceDE/>
        <w:autoSpaceDN/>
        <w:bidi w:val="0"/>
        <w:adjustRightInd w:val="0"/>
        <w:snapToGrid w:val="0"/>
        <w:spacing w:line="360" w:lineRule="auto"/>
        <w:ind w:right="524" w:firstLine="480" w:firstLineChars="200"/>
        <w:jc w:val="center"/>
        <w:textAlignment w:val="auto"/>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drawing>
          <wp:inline distT="0" distB="0" distL="114300" distR="114300">
            <wp:extent cx="1280160" cy="458470"/>
            <wp:effectExtent l="0" t="0" r="15240" b="1778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43"/>
                    <a:stretch>
                      <a:fillRect/>
                    </a:stretch>
                  </pic:blipFill>
                  <pic:spPr>
                    <a:xfrm>
                      <a:off x="0" y="0"/>
                      <a:ext cx="1280160" cy="458470"/>
                    </a:xfrm>
                    <a:prstGeom prst="rect">
                      <a:avLst/>
                    </a:prstGeom>
                    <a:noFill/>
                    <a:ln>
                      <a:noFill/>
                    </a:ln>
                  </pic:spPr>
                </pic:pic>
              </a:graphicData>
            </a:graphic>
          </wp:inline>
        </w:drawing>
      </w:r>
      <w:r>
        <w:rPr>
          <w:rFonts w:hint="default" w:ascii="Times New Roman" w:hAnsi="Times New Roman" w:cs="Times New Roman" w:eastAsiaTheme="minorEastAsia"/>
          <w:color w:val="auto"/>
          <w:szCs w:val="24"/>
          <w:highlight w:val="none"/>
        </w:rPr>
        <w:t>，pH＞7时；</w:t>
      </w:r>
    </w:p>
    <w:p w14:paraId="048CC18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式中：P</w:t>
      </w:r>
      <w:r>
        <w:rPr>
          <w:rFonts w:hint="default" w:ascii="Times New Roman" w:hAnsi="Times New Roman" w:cs="Times New Roman" w:eastAsiaTheme="minorEastAsia"/>
          <w:color w:val="auto"/>
          <w:szCs w:val="24"/>
          <w:highlight w:val="none"/>
          <w:vertAlign w:val="subscript"/>
        </w:rPr>
        <w:t>pH</w:t>
      </w:r>
      <w:r>
        <w:rPr>
          <w:rFonts w:hint="default" w:ascii="Times New Roman" w:hAnsi="Times New Roman" w:cs="Times New Roman" w:eastAsiaTheme="minorEastAsia"/>
          <w:color w:val="auto"/>
          <w:szCs w:val="24"/>
          <w:highlight w:val="none"/>
        </w:rPr>
        <w:t>—pH的标准指数，无量纲；</w:t>
      </w:r>
    </w:p>
    <w:p w14:paraId="69A352E4">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pH—pH监测值；</w:t>
      </w:r>
    </w:p>
    <w:p w14:paraId="05C220FE">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pH</w:t>
      </w:r>
      <w:r>
        <w:rPr>
          <w:rFonts w:hint="default" w:ascii="Times New Roman" w:hAnsi="Times New Roman" w:cs="Times New Roman" w:eastAsiaTheme="minorEastAsia"/>
          <w:color w:val="auto"/>
          <w:szCs w:val="24"/>
          <w:highlight w:val="none"/>
          <w:vertAlign w:val="subscript"/>
        </w:rPr>
        <w:t>sd</w:t>
      </w:r>
      <w:r>
        <w:rPr>
          <w:rFonts w:hint="default" w:ascii="Times New Roman" w:hAnsi="Times New Roman" w:cs="Times New Roman" w:eastAsiaTheme="minorEastAsia"/>
          <w:color w:val="auto"/>
          <w:szCs w:val="24"/>
          <w:highlight w:val="none"/>
        </w:rPr>
        <w:t>—标准中pH的下限值；</w:t>
      </w:r>
    </w:p>
    <w:p w14:paraId="43ABE025">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Cs w:val="24"/>
          <w:highlight w:val="none"/>
        </w:rPr>
      </w:pPr>
      <w:r>
        <w:rPr>
          <w:rFonts w:hint="default" w:ascii="Times New Roman" w:hAnsi="Times New Roman" w:cs="Times New Roman" w:eastAsiaTheme="minorEastAsia"/>
          <w:color w:val="auto"/>
          <w:szCs w:val="24"/>
          <w:highlight w:val="none"/>
        </w:rPr>
        <w:t>pH</w:t>
      </w:r>
      <w:r>
        <w:rPr>
          <w:rFonts w:hint="default" w:ascii="Times New Roman" w:hAnsi="Times New Roman" w:cs="Times New Roman" w:eastAsiaTheme="minorEastAsia"/>
          <w:color w:val="auto"/>
          <w:szCs w:val="24"/>
          <w:highlight w:val="none"/>
          <w:vertAlign w:val="subscript"/>
        </w:rPr>
        <w:t>su</w:t>
      </w:r>
      <w:r>
        <w:rPr>
          <w:rFonts w:hint="default" w:ascii="Times New Roman" w:hAnsi="Times New Roman" w:cs="Times New Roman" w:eastAsiaTheme="minorEastAsia"/>
          <w:color w:val="auto"/>
          <w:szCs w:val="24"/>
          <w:highlight w:val="none"/>
        </w:rPr>
        <w:t>—标准中pH的上限值。</w:t>
      </w:r>
    </w:p>
    <w:p w14:paraId="6D025D8D">
      <w:pPr>
        <w:pStyle w:val="5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6</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评价结果</w:t>
      </w:r>
    </w:p>
    <w:p w14:paraId="6E316E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bookmarkStart w:id="407" w:name="_Hlk62561677"/>
      <w:r>
        <w:rPr>
          <w:rFonts w:hint="default" w:ascii="Times New Roman" w:hAnsi="Times New Roman" w:cs="Times New Roman"/>
          <w:color w:val="auto"/>
          <w:highlight w:val="none"/>
        </w:rPr>
        <w:t>项目区地下水监测及评价结果详见表4.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2至表4.3-4</w:t>
      </w:r>
      <w:r>
        <w:rPr>
          <w:rFonts w:hint="default" w:ascii="Times New Roman" w:hAnsi="Times New Roman" w:cs="Times New Roman"/>
          <w:color w:val="auto"/>
          <w:highlight w:val="none"/>
        </w:rPr>
        <w:t>。从表4.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2至4.3-4</w:t>
      </w:r>
      <w:r>
        <w:rPr>
          <w:rFonts w:hint="default" w:ascii="Times New Roman" w:hAnsi="Times New Roman" w:cs="Times New Roman"/>
          <w:color w:val="auto"/>
          <w:highlight w:val="none"/>
        </w:rPr>
        <w:t>可以看出，根据监测结果可知，各</w:t>
      </w:r>
      <w:r>
        <w:rPr>
          <w:rFonts w:hint="eastAsia" w:cs="Times New Roman"/>
          <w:color w:val="auto"/>
          <w:highlight w:val="none"/>
          <w:lang w:eastAsia="zh-CN"/>
        </w:rPr>
        <w:t>检测点</w:t>
      </w:r>
      <w:r>
        <w:rPr>
          <w:rFonts w:hint="default" w:ascii="Times New Roman" w:hAnsi="Times New Roman" w:cs="Times New Roman"/>
          <w:color w:val="auto"/>
          <w:highlight w:val="none"/>
        </w:rPr>
        <w:t>的水质较差，总硬度、溶解性总固体、硫酸盐、氯化物、</w:t>
      </w:r>
      <w:r>
        <w:rPr>
          <w:rFonts w:hint="eastAsia" w:cs="Times New Roman"/>
          <w:color w:val="auto"/>
          <w:highlight w:val="none"/>
          <w:lang w:val="en-US" w:eastAsia="zh-CN"/>
        </w:rPr>
        <w:t>氟化物、</w:t>
      </w:r>
      <w:r>
        <w:rPr>
          <w:rFonts w:hint="default" w:ascii="Times New Roman" w:hAnsi="Times New Roman" w:cs="Times New Roman"/>
          <w:color w:val="auto"/>
          <w:highlight w:val="none"/>
        </w:rPr>
        <w:t>钠、锰等出现不同程度的超标，超出《地下水质量标准》（GB/T14848-2017）的Ⅲ类标准限值，除此之外的其他项目均符合《地下水质量标准》（GB/T14848-2017）中Ⅲ类标准限值的要求。超标原因主要是受干旱气候、蒸发浓缩作用、原生地质、水文地质环境等因素综合影响，由于区内地下水径流非常缓慢，各类离子容易富集</w:t>
      </w:r>
      <w:r>
        <w:rPr>
          <w:rFonts w:hint="default" w:ascii="Times New Roman" w:hAnsi="Times New Roman" w:cs="Times New Roman"/>
          <w:color w:val="auto"/>
          <w:highlight w:val="none"/>
          <w:lang w:eastAsia="zh-CN"/>
        </w:rPr>
        <w:t>。</w:t>
      </w:r>
    </w:p>
    <w:p w14:paraId="5A76CE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根据地下水离子检测结果，评价区地下水阴离子以Cl</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为主，阳离子以Na</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为主，水化学类型主要以Cl•SO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-Na型为主</w:t>
      </w:r>
      <w:r>
        <w:rPr>
          <w:rFonts w:hint="default" w:ascii="Times New Roman" w:hAnsi="Times New Roman" w:cs="Times New Roman"/>
          <w:color w:val="auto"/>
          <w:highlight w:val="none"/>
          <w:lang w:eastAsia="zh-CN"/>
        </w:rPr>
        <w:t>。</w:t>
      </w:r>
    </w:p>
    <w:bookmarkEnd w:id="407"/>
    <w:p w14:paraId="63DD429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黑体" w:cs="Times New Roman"/>
          <w:color w:val="auto"/>
          <w:sz w:val="21"/>
          <w:szCs w:val="21"/>
          <w:highlight w:val="none"/>
        </w:rPr>
        <w:sectPr>
          <w:pgSz w:w="11906" w:h="16838"/>
          <w:pgMar w:top="1610" w:right="1689" w:bottom="1610" w:left="1689" w:header="907" w:footer="992" w:gutter="0"/>
          <w:pgBorders>
            <w:top w:val="none" w:sz="0" w:space="0"/>
            <w:left w:val="none" w:sz="0" w:space="0"/>
            <w:bottom w:val="none" w:sz="0" w:space="0"/>
            <w:right w:val="none" w:sz="0" w:space="0"/>
          </w:pgBorders>
          <w:pgNumType w:fmt="decimal"/>
          <w:cols w:space="720" w:num="1"/>
          <w:docGrid w:type="lines" w:linePitch="312" w:charSpace="0"/>
        </w:sectPr>
      </w:pPr>
    </w:p>
    <w:p w14:paraId="6C7CEC2B">
      <w:pPr>
        <w:pStyle w:val="44"/>
        <w:keepNext w:val="0"/>
        <w:keepLines w:val="0"/>
        <w:pageBreakBefore w:val="0"/>
        <w:kinsoku/>
        <w:wordWrap/>
        <w:overflowPunct/>
        <w:topLinePunct w:val="0"/>
        <w:autoSpaceDE/>
        <w:autoSpaceDN/>
        <w:bidi w:val="0"/>
        <w:spacing w:line="240" w:lineRule="auto"/>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表4.3-2地下水水质现状监测及评价结果</w:t>
      </w:r>
      <w:bookmarkEnd w:id="406"/>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3"/>
        <w:gridCol w:w="1557"/>
        <w:gridCol w:w="1271"/>
        <w:gridCol w:w="959"/>
        <w:gridCol w:w="825"/>
        <w:gridCol w:w="1050"/>
        <w:gridCol w:w="915"/>
        <w:gridCol w:w="1041"/>
        <w:gridCol w:w="1039"/>
        <w:gridCol w:w="3"/>
        <w:gridCol w:w="1036"/>
        <w:gridCol w:w="1039"/>
        <w:gridCol w:w="4"/>
        <w:gridCol w:w="1035"/>
        <w:gridCol w:w="1045"/>
        <w:gridCol w:w="912"/>
      </w:tblGrid>
      <w:tr w14:paraId="12C8F9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vMerge w:val="restart"/>
            <w:tcBorders>
              <w:top w:val="single" w:color="auto" w:sz="4" w:space="0"/>
              <w:left w:val="single" w:color="auto" w:sz="4" w:space="0"/>
              <w:right w:val="single" w:color="auto" w:sz="4" w:space="0"/>
            </w:tcBorders>
            <w:noWrap/>
            <w:vAlign w:val="center"/>
          </w:tcPr>
          <w:p w14:paraId="0104FC7F">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549" w:type="pct"/>
            <w:vMerge w:val="restart"/>
            <w:tcBorders>
              <w:top w:val="single" w:color="auto" w:sz="4" w:space="0"/>
              <w:left w:val="single" w:color="auto" w:sz="4" w:space="0"/>
              <w:bottom w:val="single" w:color="auto" w:sz="4" w:space="0"/>
              <w:right w:val="single" w:color="auto" w:sz="4" w:space="0"/>
            </w:tcBorders>
            <w:noWrap/>
            <w:vAlign w:val="center"/>
          </w:tcPr>
          <w:p w14:paraId="2DE45B18">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检测项目</w:t>
            </w:r>
          </w:p>
        </w:tc>
        <w:tc>
          <w:tcPr>
            <w:tcW w:w="448" w:type="pct"/>
            <w:vMerge w:val="restart"/>
            <w:tcBorders>
              <w:top w:val="single" w:color="auto" w:sz="4" w:space="0"/>
              <w:left w:val="nil"/>
              <w:bottom w:val="single" w:color="auto" w:sz="4" w:space="0"/>
              <w:right w:val="single" w:color="auto" w:sz="4" w:space="0"/>
            </w:tcBorders>
            <w:noWrap/>
            <w:vAlign w:val="center"/>
          </w:tcPr>
          <w:p w14:paraId="1D1FDA5E">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单位</w:t>
            </w:r>
          </w:p>
        </w:tc>
        <w:tc>
          <w:tcPr>
            <w:tcW w:w="3524" w:type="pct"/>
            <w:gridSpan w:val="12"/>
            <w:tcBorders>
              <w:top w:val="single" w:color="auto" w:sz="4" w:space="0"/>
              <w:left w:val="nil"/>
              <w:bottom w:val="single" w:color="auto" w:sz="4" w:space="0"/>
              <w:right w:val="single" w:color="auto" w:sz="4" w:space="0"/>
            </w:tcBorders>
            <w:vAlign w:val="center"/>
          </w:tcPr>
          <w:p w14:paraId="2B3C481A">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监测及评价结果</w:t>
            </w:r>
          </w:p>
        </w:tc>
        <w:tc>
          <w:tcPr>
            <w:tcW w:w="321" w:type="pct"/>
            <w:vMerge w:val="restart"/>
            <w:tcBorders>
              <w:top w:val="single" w:color="auto" w:sz="4" w:space="0"/>
              <w:left w:val="nil"/>
              <w:bottom w:val="single" w:color="auto" w:sz="4" w:space="0"/>
              <w:right w:val="single" w:color="auto" w:sz="4" w:space="0"/>
            </w:tcBorders>
            <w:vAlign w:val="center"/>
          </w:tcPr>
          <w:p w14:paraId="5592F0F4">
            <w:pPr>
              <w:autoSpaceDE w:val="0"/>
              <w:spacing w:line="24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标准限值</w:t>
            </w:r>
            <w:r>
              <w:rPr>
                <w:rFonts w:hint="default" w:ascii="Times New Roman" w:hAnsi="Times New Roman"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Ⅲ</w:t>
            </w:r>
            <w:r>
              <w:rPr>
                <w:rFonts w:hint="default" w:ascii="Times New Roman" w:hAnsi="Times New Roman" w:eastAsia="宋体" w:cs="Times New Roman"/>
                <w:b w:val="0"/>
                <w:bCs w:val="0"/>
                <w:color w:val="auto"/>
                <w:sz w:val="21"/>
                <w:szCs w:val="21"/>
                <w:highlight w:val="none"/>
              </w:rPr>
              <w:t>类</w:t>
            </w:r>
            <w:r>
              <w:rPr>
                <w:rFonts w:hint="default" w:ascii="Times New Roman" w:hAnsi="Times New Roman" w:cs="Times New Roman"/>
                <w:b w:val="0"/>
                <w:bCs w:val="0"/>
                <w:color w:val="auto"/>
                <w:sz w:val="21"/>
                <w:szCs w:val="21"/>
                <w:highlight w:val="none"/>
                <w:lang w:eastAsia="zh-CN"/>
              </w:rPr>
              <w:t>）</w:t>
            </w:r>
          </w:p>
        </w:tc>
      </w:tr>
      <w:tr w14:paraId="5814D4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6" w:type="pct"/>
            <w:vMerge w:val="continue"/>
            <w:tcBorders>
              <w:left w:val="single" w:color="auto" w:sz="4" w:space="0"/>
              <w:right w:val="single" w:color="auto" w:sz="4" w:space="0"/>
            </w:tcBorders>
            <w:vAlign w:val="center"/>
          </w:tcPr>
          <w:p w14:paraId="507B5A87">
            <w:pPr>
              <w:rPr>
                <w:rFonts w:hint="default" w:ascii="Times New Roman" w:hAnsi="Times New Roman" w:eastAsia="宋体" w:cs="Times New Roman"/>
                <w:b w:val="0"/>
                <w:bCs w:val="0"/>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14:paraId="3B7088D0">
            <w:pPr>
              <w:rPr>
                <w:rFonts w:hint="default" w:ascii="Times New Roman" w:hAnsi="Times New Roman" w:eastAsia="宋体" w:cs="Times New Roman"/>
                <w:b w:val="0"/>
                <w:bCs w:val="0"/>
                <w:color w:val="auto"/>
                <w:sz w:val="21"/>
                <w:szCs w:val="21"/>
                <w:highlight w:val="none"/>
              </w:rPr>
            </w:pPr>
          </w:p>
        </w:tc>
        <w:tc>
          <w:tcPr>
            <w:tcW w:w="448" w:type="pct"/>
            <w:vMerge w:val="continue"/>
            <w:tcBorders>
              <w:top w:val="single" w:color="auto" w:sz="4" w:space="0"/>
              <w:left w:val="nil"/>
              <w:bottom w:val="single" w:color="auto" w:sz="4" w:space="0"/>
              <w:right w:val="single" w:color="auto" w:sz="4" w:space="0"/>
            </w:tcBorders>
            <w:vAlign w:val="center"/>
          </w:tcPr>
          <w:p w14:paraId="0EBE8F8A">
            <w:pPr>
              <w:rPr>
                <w:rFonts w:hint="default" w:ascii="Times New Roman" w:hAnsi="Times New Roman" w:eastAsia="宋体" w:cs="Times New Roman"/>
                <w:b w:val="0"/>
                <w:bCs w:val="0"/>
                <w:color w:val="auto"/>
                <w:sz w:val="21"/>
                <w:szCs w:val="21"/>
                <w:highlight w:val="none"/>
              </w:rPr>
            </w:pPr>
          </w:p>
        </w:tc>
        <w:tc>
          <w:tcPr>
            <w:tcW w:w="629" w:type="pct"/>
            <w:gridSpan w:val="2"/>
            <w:tcBorders>
              <w:top w:val="single" w:color="auto" w:sz="4" w:space="0"/>
              <w:left w:val="nil"/>
              <w:bottom w:val="single" w:color="auto" w:sz="4" w:space="0"/>
              <w:right w:val="single" w:color="auto" w:sz="4" w:space="0"/>
            </w:tcBorders>
            <w:noWrap/>
            <w:vAlign w:val="center"/>
          </w:tcPr>
          <w:p w14:paraId="6CF1D8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宋体"/>
                <w:color w:val="auto"/>
                <w:sz w:val="21"/>
                <w:szCs w:val="21"/>
                <w:highlight w:val="none"/>
                <w:lang w:val="en-US" w:eastAsia="zh-CN"/>
              </w:rPr>
              <w:t>1#</w:t>
            </w:r>
          </w:p>
        </w:tc>
        <w:tc>
          <w:tcPr>
            <w:tcW w:w="693" w:type="pct"/>
            <w:gridSpan w:val="2"/>
            <w:tcBorders>
              <w:top w:val="single" w:color="auto" w:sz="4" w:space="0"/>
              <w:left w:val="nil"/>
              <w:bottom w:val="single" w:color="auto" w:sz="4" w:space="0"/>
              <w:right w:val="single" w:color="auto" w:sz="4" w:space="0"/>
            </w:tcBorders>
            <w:noWrap/>
            <w:vAlign w:val="center"/>
          </w:tcPr>
          <w:p w14:paraId="0C1F581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 w:val="21"/>
                <w:szCs w:val="21"/>
                <w:highlight w:val="none"/>
                <w:lang w:val="en-US" w:eastAsia="zh-CN"/>
              </w:rPr>
              <w:t>2#</w:t>
            </w:r>
          </w:p>
        </w:tc>
        <w:tc>
          <w:tcPr>
            <w:tcW w:w="734" w:type="pct"/>
            <w:gridSpan w:val="3"/>
            <w:tcBorders>
              <w:top w:val="single" w:color="auto" w:sz="4" w:space="0"/>
              <w:left w:val="nil"/>
              <w:bottom w:val="single" w:color="auto" w:sz="4" w:space="0"/>
              <w:right w:val="single" w:color="auto" w:sz="4" w:space="0"/>
            </w:tcBorders>
            <w:noWrap/>
            <w:vAlign w:val="center"/>
          </w:tcPr>
          <w:p w14:paraId="0CA3C3D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733" w:type="pct"/>
            <w:gridSpan w:val="3"/>
            <w:tcBorders>
              <w:top w:val="single" w:color="auto" w:sz="4" w:space="0"/>
              <w:left w:val="nil"/>
              <w:bottom w:val="single" w:color="auto" w:sz="4" w:space="0"/>
              <w:right w:val="single" w:color="auto" w:sz="4" w:space="0"/>
            </w:tcBorders>
            <w:noWrap/>
            <w:vAlign w:val="center"/>
          </w:tcPr>
          <w:p w14:paraId="2B036D0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i w:val="0"/>
                <w:iCs w:val="0"/>
                <w:color w:val="auto"/>
                <w:w w:val="90"/>
                <w:kern w:val="2"/>
                <w:sz w:val="21"/>
                <w:szCs w:val="21"/>
                <w:highlight w:val="none"/>
                <w:u w:val="none"/>
                <w:lang w:val="en-US" w:eastAsia="zh-CN"/>
              </w:rPr>
              <w:t>4#</w:t>
            </w:r>
          </w:p>
        </w:tc>
        <w:tc>
          <w:tcPr>
            <w:tcW w:w="733" w:type="pct"/>
            <w:gridSpan w:val="2"/>
            <w:tcBorders>
              <w:top w:val="single" w:color="auto" w:sz="4" w:space="0"/>
              <w:left w:val="nil"/>
              <w:bottom w:val="single" w:color="auto" w:sz="4" w:space="0"/>
              <w:right w:val="single" w:color="auto" w:sz="4" w:space="0"/>
            </w:tcBorders>
            <w:noWrap/>
            <w:vAlign w:val="center"/>
          </w:tcPr>
          <w:p w14:paraId="2C22868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5#</w:t>
            </w:r>
          </w:p>
        </w:tc>
        <w:tc>
          <w:tcPr>
            <w:tcW w:w="321" w:type="pct"/>
            <w:vMerge w:val="continue"/>
            <w:tcBorders>
              <w:top w:val="single" w:color="auto" w:sz="4" w:space="0"/>
              <w:left w:val="nil"/>
              <w:bottom w:val="single" w:color="auto" w:sz="4" w:space="0"/>
              <w:right w:val="single" w:color="auto" w:sz="4" w:space="0"/>
            </w:tcBorders>
            <w:vAlign w:val="center"/>
          </w:tcPr>
          <w:p w14:paraId="5BC18DAE">
            <w:pPr>
              <w:rPr>
                <w:rFonts w:hint="default" w:ascii="Times New Roman" w:hAnsi="Times New Roman" w:eastAsia="宋体" w:cs="Times New Roman"/>
                <w:b w:val="0"/>
                <w:bCs w:val="0"/>
                <w:color w:val="auto"/>
                <w:sz w:val="21"/>
                <w:szCs w:val="21"/>
                <w:highlight w:val="none"/>
              </w:rPr>
            </w:pPr>
          </w:p>
        </w:tc>
      </w:tr>
      <w:tr w14:paraId="26AB92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vMerge w:val="continue"/>
            <w:tcBorders>
              <w:left w:val="single" w:color="auto" w:sz="4" w:space="0"/>
              <w:bottom w:val="single" w:color="auto" w:sz="4" w:space="0"/>
              <w:right w:val="single" w:color="auto" w:sz="4" w:space="0"/>
            </w:tcBorders>
            <w:vAlign w:val="center"/>
          </w:tcPr>
          <w:p w14:paraId="4BD732FF">
            <w:pPr>
              <w:rPr>
                <w:rFonts w:hint="default" w:ascii="Times New Roman" w:hAnsi="Times New Roman" w:eastAsia="宋体" w:cs="Times New Roman"/>
                <w:b w:val="0"/>
                <w:bCs w:val="0"/>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14:paraId="6616EA56">
            <w:pPr>
              <w:rPr>
                <w:rFonts w:hint="default" w:ascii="Times New Roman" w:hAnsi="Times New Roman" w:eastAsia="宋体" w:cs="Times New Roman"/>
                <w:b w:val="0"/>
                <w:bCs w:val="0"/>
                <w:color w:val="auto"/>
                <w:sz w:val="21"/>
                <w:szCs w:val="21"/>
                <w:highlight w:val="none"/>
              </w:rPr>
            </w:pPr>
          </w:p>
        </w:tc>
        <w:tc>
          <w:tcPr>
            <w:tcW w:w="448" w:type="pct"/>
            <w:vMerge w:val="continue"/>
            <w:tcBorders>
              <w:top w:val="single" w:color="auto" w:sz="4" w:space="0"/>
              <w:left w:val="nil"/>
              <w:bottom w:val="single" w:color="auto" w:sz="4" w:space="0"/>
              <w:right w:val="single" w:color="auto" w:sz="4" w:space="0"/>
            </w:tcBorders>
            <w:vAlign w:val="center"/>
          </w:tcPr>
          <w:p w14:paraId="287C6647">
            <w:pPr>
              <w:rPr>
                <w:rFonts w:hint="default" w:ascii="Times New Roman" w:hAnsi="Times New Roman" w:eastAsia="宋体" w:cs="Times New Roman"/>
                <w:b w:val="0"/>
                <w:bCs w:val="0"/>
                <w:color w:val="auto"/>
                <w:sz w:val="21"/>
                <w:szCs w:val="21"/>
                <w:highlight w:val="none"/>
              </w:rPr>
            </w:pPr>
          </w:p>
        </w:tc>
        <w:tc>
          <w:tcPr>
            <w:tcW w:w="338" w:type="pct"/>
            <w:tcBorders>
              <w:top w:val="single" w:color="auto" w:sz="4" w:space="0"/>
              <w:left w:val="nil"/>
              <w:bottom w:val="single" w:color="auto" w:sz="4" w:space="0"/>
              <w:right w:val="single" w:color="auto" w:sz="4" w:space="0"/>
            </w:tcBorders>
            <w:noWrap/>
            <w:vAlign w:val="center"/>
          </w:tcPr>
          <w:p w14:paraId="37244C88">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监测值</w:t>
            </w:r>
          </w:p>
        </w:tc>
        <w:tc>
          <w:tcPr>
            <w:tcW w:w="291" w:type="pct"/>
            <w:tcBorders>
              <w:top w:val="single" w:color="auto" w:sz="4" w:space="0"/>
              <w:left w:val="nil"/>
              <w:bottom w:val="single" w:color="auto" w:sz="4" w:space="0"/>
              <w:right w:val="single" w:color="auto" w:sz="4" w:space="0"/>
            </w:tcBorders>
            <w:noWrap/>
            <w:vAlign w:val="center"/>
          </w:tcPr>
          <w:p w14:paraId="326692B7">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02AAC156">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指数</w:t>
            </w:r>
          </w:p>
        </w:tc>
        <w:tc>
          <w:tcPr>
            <w:tcW w:w="370" w:type="pct"/>
            <w:tcBorders>
              <w:top w:val="single" w:color="auto" w:sz="4" w:space="0"/>
              <w:left w:val="nil"/>
              <w:bottom w:val="single" w:color="auto" w:sz="4" w:space="0"/>
              <w:right w:val="single" w:color="auto" w:sz="4" w:space="0"/>
            </w:tcBorders>
            <w:noWrap/>
            <w:vAlign w:val="center"/>
          </w:tcPr>
          <w:p w14:paraId="0F69023B">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监测值</w:t>
            </w:r>
          </w:p>
        </w:tc>
        <w:tc>
          <w:tcPr>
            <w:tcW w:w="322" w:type="pct"/>
            <w:tcBorders>
              <w:top w:val="single" w:color="auto" w:sz="4" w:space="0"/>
              <w:left w:val="nil"/>
              <w:bottom w:val="single" w:color="auto" w:sz="4" w:space="0"/>
              <w:right w:val="single" w:color="auto" w:sz="4" w:space="0"/>
            </w:tcBorders>
            <w:noWrap/>
            <w:vAlign w:val="center"/>
          </w:tcPr>
          <w:p w14:paraId="22B5D987">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19AA461C">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指数</w:t>
            </w:r>
          </w:p>
        </w:tc>
        <w:tc>
          <w:tcPr>
            <w:tcW w:w="367" w:type="pct"/>
            <w:tcBorders>
              <w:top w:val="single" w:color="auto" w:sz="4" w:space="0"/>
              <w:left w:val="nil"/>
              <w:bottom w:val="single" w:color="auto" w:sz="4" w:space="0"/>
              <w:right w:val="single" w:color="auto" w:sz="4" w:space="0"/>
            </w:tcBorders>
            <w:noWrap/>
            <w:vAlign w:val="center"/>
          </w:tcPr>
          <w:p w14:paraId="4CE2C5A4">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监测值</w:t>
            </w:r>
          </w:p>
        </w:tc>
        <w:tc>
          <w:tcPr>
            <w:tcW w:w="366" w:type="pct"/>
            <w:tcBorders>
              <w:top w:val="single" w:color="auto" w:sz="4" w:space="0"/>
              <w:left w:val="nil"/>
              <w:bottom w:val="single" w:color="auto" w:sz="4" w:space="0"/>
              <w:right w:val="single" w:color="auto" w:sz="4" w:space="0"/>
            </w:tcBorders>
            <w:noWrap/>
            <w:vAlign w:val="center"/>
          </w:tcPr>
          <w:p w14:paraId="434B3774">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54E655D9">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指数</w:t>
            </w:r>
          </w:p>
        </w:tc>
        <w:tc>
          <w:tcPr>
            <w:tcW w:w="366" w:type="pct"/>
            <w:gridSpan w:val="2"/>
            <w:tcBorders>
              <w:top w:val="single" w:color="auto" w:sz="4" w:space="0"/>
              <w:left w:val="nil"/>
              <w:bottom w:val="single" w:color="auto" w:sz="4" w:space="0"/>
              <w:right w:val="single" w:color="auto" w:sz="4" w:space="0"/>
            </w:tcBorders>
            <w:noWrap/>
            <w:vAlign w:val="center"/>
          </w:tcPr>
          <w:p w14:paraId="70CDC663">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监测值</w:t>
            </w:r>
          </w:p>
        </w:tc>
        <w:tc>
          <w:tcPr>
            <w:tcW w:w="366" w:type="pct"/>
            <w:tcBorders>
              <w:top w:val="single" w:color="auto" w:sz="4" w:space="0"/>
              <w:left w:val="nil"/>
              <w:bottom w:val="single" w:color="auto" w:sz="4" w:space="0"/>
              <w:right w:val="single" w:color="auto" w:sz="4" w:space="0"/>
            </w:tcBorders>
            <w:noWrap/>
            <w:vAlign w:val="center"/>
          </w:tcPr>
          <w:p w14:paraId="7F93CD8F">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34CFD705">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指数</w:t>
            </w:r>
          </w:p>
        </w:tc>
        <w:tc>
          <w:tcPr>
            <w:tcW w:w="366" w:type="pct"/>
            <w:gridSpan w:val="2"/>
            <w:tcBorders>
              <w:top w:val="single" w:color="auto" w:sz="4" w:space="0"/>
              <w:left w:val="nil"/>
              <w:bottom w:val="single" w:color="auto" w:sz="4" w:space="0"/>
              <w:right w:val="single" w:color="auto" w:sz="4" w:space="0"/>
            </w:tcBorders>
            <w:noWrap/>
            <w:vAlign w:val="center"/>
          </w:tcPr>
          <w:p w14:paraId="607AC3B0">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监测值</w:t>
            </w:r>
          </w:p>
        </w:tc>
        <w:tc>
          <w:tcPr>
            <w:tcW w:w="368" w:type="pct"/>
            <w:tcBorders>
              <w:top w:val="single" w:color="auto" w:sz="4" w:space="0"/>
              <w:left w:val="nil"/>
              <w:bottom w:val="single" w:color="auto" w:sz="4" w:space="0"/>
              <w:right w:val="single" w:color="auto" w:sz="4" w:space="0"/>
            </w:tcBorders>
            <w:noWrap/>
            <w:vAlign w:val="center"/>
          </w:tcPr>
          <w:p w14:paraId="5946F018">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6E831908">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指数</w:t>
            </w:r>
          </w:p>
        </w:tc>
        <w:tc>
          <w:tcPr>
            <w:tcW w:w="321" w:type="pct"/>
            <w:vMerge w:val="continue"/>
            <w:tcBorders>
              <w:top w:val="single" w:color="auto" w:sz="4" w:space="0"/>
              <w:left w:val="nil"/>
              <w:bottom w:val="single" w:color="auto" w:sz="4" w:space="0"/>
              <w:right w:val="single" w:color="auto" w:sz="4" w:space="0"/>
            </w:tcBorders>
            <w:vAlign w:val="center"/>
          </w:tcPr>
          <w:p w14:paraId="50D9AE25">
            <w:pPr>
              <w:rPr>
                <w:rFonts w:hint="default" w:ascii="Times New Roman" w:hAnsi="Times New Roman" w:eastAsia="宋体" w:cs="Times New Roman"/>
                <w:b w:val="0"/>
                <w:bCs w:val="0"/>
                <w:color w:val="auto"/>
                <w:sz w:val="21"/>
                <w:szCs w:val="21"/>
                <w:highlight w:val="none"/>
              </w:rPr>
            </w:pPr>
          </w:p>
        </w:tc>
      </w:tr>
      <w:tr w14:paraId="42C272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15873B0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549" w:type="pct"/>
            <w:tcBorders>
              <w:top w:val="single" w:color="auto" w:sz="4" w:space="0"/>
              <w:left w:val="single" w:color="auto" w:sz="4" w:space="0"/>
              <w:bottom w:val="single" w:color="auto" w:sz="4" w:space="0"/>
              <w:right w:val="single" w:color="auto" w:sz="4" w:space="0"/>
            </w:tcBorders>
            <w:noWrap/>
            <w:vAlign w:val="center"/>
          </w:tcPr>
          <w:p w14:paraId="672C821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pH值</w:t>
            </w:r>
          </w:p>
        </w:tc>
        <w:tc>
          <w:tcPr>
            <w:tcW w:w="448" w:type="pct"/>
            <w:tcBorders>
              <w:top w:val="single" w:color="auto" w:sz="4" w:space="0"/>
              <w:left w:val="nil"/>
              <w:bottom w:val="single" w:color="auto" w:sz="4" w:space="0"/>
              <w:right w:val="single" w:color="auto" w:sz="4" w:space="0"/>
            </w:tcBorders>
            <w:noWrap/>
            <w:vAlign w:val="center"/>
          </w:tcPr>
          <w:p w14:paraId="4002CA43">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无量纲</w:t>
            </w:r>
          </w:p>
        </w:tc>
        <w:tc>
          <w:tcPr>
            <w:tcW w:w="338" w:type="pct"/>
            <w:tcBorders>
              <w:top w:val="single" w:color="auto" w:sz="4" w:space="0"/>
              <w:left w:val="nil"/>
              <w:bottom w:val="single" w:color="auto" w:sz="4" w:space="0"/>
              <w:right w:val="single" w:color="auto" w:sz="4" w:space="0"/>
            </w:tcBorders>
            <w:noWrap/>
            <w:vAlign w:val="center"/>
          </w:tcPr>
          <w:p w14:paraId="0F9E2111">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7.1</w:t>
            </w:r>
          </w:p>
        </w:tc>
        <w:tc>
          <w:tcPr>
            <w:tcW w:w="291" w:type="pct"/>
            <w:tcBorders>
              <w:top w:val="single" w:color="auto" w:sz="4" w:space="0"/>
              <w:left w:val="nil"/>
              <w:bottom w:val="single" w:color="auto" w:sz="4" w:space="0"/>
              <w:right w:val="single" w:color="auto" w:sz="4" w:space="0"/>
            </w:tcBorders>
            <w:vAlign w:val="center"/>
          </w:tcPr>
          <w:p w14:paraId="2631B8E1">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0.07</w:t>
            </w:r>
          </w:p>
        </w:tc>
        <w:tc>
          <w:tcPr>
            <w:tcW w:w="370" w:type="pct"/>
            <w:tcBorders>
              <w:top w:val="single" w:color="auto" w:sz="4" w:space="0"/>
              <w:left w:val="nil"/>
              <w:bottom w:val="single" w:color="auto" w:sz="4" w:space="0"/>
              <w:right w:val="single" w:color="auto" w:sz="4" w:space="0"/>
            </w:tcBorders>
            <w:noWrap/>
            <w:vAlign w:val="center"/>
          </w:tcPr>
          <w:p w14:paraId="145C5AFE">
            <w:pPr>
              <w:autoSpaceDE w:val="0"/>
              <w:spacing w:line="240" w:lineRule="exact"/>
              <w:jc w:val="center"/>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7.4</w:t>
            </w:r>
          </w:p>
        </w:tc>
        <w:tc>
          <w:tcPr>
            <w:tcW w:w="322" w:type="pct"/>
            <w:tcBorders>
              <w:top w:val="single" w:color="auto" w:sz="4" w:space="0"/>
              <w:left w:val="nil"/>
              <w:bottom w:val="single" w:color="auto" w:sz="4" w:space="0"/>
              <w:right w:val="single" w:color="auto" w:sz="4" w:space="0"/>
            </w:tcBorders>
            <w:vAlign w:val="center"/>
          </w:tcPr>
          <w:p w14:paraId="5C604847">
            <w:pPr>
              <w:autoSpaceDE w:val="0"/>
              <w:spacing w:line="24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0.27</w:t>
            </w:r>
          </w:p>
        </w:tc>
        <w:tc>
          <w:tcPr>
            <w:tcW w:w="367" w:type="pct"/>
            <w:tcBorders>
              <w:top w:val="single" w:color="auto" w:sz="4" w:space="0"/>
              <w:left w:val="nil"/>
              <w:bottom w:val="single" w:color="auto" w:sz="4" w:space="0"/>
              <w:right w:val="single" w:color="auto" w:sz="4" w:space="0"/>
            </w:tcBorders>
            <w:noWrap/>
            <w:vAlign w:val="center"/>
          </w:tcPr>
          <w:p w14:paraId="4D03618B">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i w:val="0"/>
                <w:iCs w:val="0"/>
                <w:color w:val="auto"/>
                <w:kern w:val="0"/>
                <w:sz w:val="21"/>
                <w:szCs w:val="21"/>
                <w:highlight w:val="none"/>
                <w:u w:val="none"/>
                <w:lang w:val="en-US" w:eastAsia="zh-CN" w:bidi="ar"/>
              </w:rPr>
              <w:t>7.4</w:t>
            </w:r>
          </w:p>
        </w:tc>
        <w:tc>
          <w:tcPr>
            <w:tcW w:w="366" w:type="pct"/>
            <w:tcBorders>
              <w:top w:val="single" w:color="auto" w:sz="4" w:space="0"/>
              <w:left w:val="nil"/>
              <w:bottom w:val="single" w:color="auto" w:sz="4" w:space="0"/>
              <w:right w:val="single" w:color="auto" w:sz="4" w:space="0"/>
            </w:tcBorders>
            <w:vAlign w:val="center"/>
          </w:tcPr>
          <w:p w14:paraId="46E03351">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0.27</w:t>
            </w:r>
          </w:p>
        </w:tc>
        <w:tc>
          <w:tcPr>
            <w:tcW w:w="366" w:type="pct"/>
            <w:gridSpan w:val="2"/>
            <w:tcBorders>
              <w:top w:val="single" w:color="auto" w:sz="4" w:space="0"/>
              <w:left w:val="nil"/>
              <w:bottom w:val="single" w:color="auto" w:sz="4" w:space="0"/>
              <w:right w:val="single" w:color="auto" w:sz="4" w:space="0"/>
            </w:tcBorders>
            <w:noWrap/>
            <w:vAlign w:val="center"/>
          </w:tcPr>
          <w:p w14:paraId="73D4384B">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7.9</w:t>
            </w:r>
          </w:p>
        </w:tc>
        <w:tc>
          <w:tcPr>
            <w:tcW w:w="366" w:type="pct"/>
            <w:tcBorders>
              <w:top w:val="single" w:color="auto" w:sz="4" w:space="0"/>
              <w:left w:val="nil"/>
              <w:bottom w:val="single" w:color="auto" w:sz="4" w:space="0"/>
              <w:right w:val="single" w:color="auto" w:sz="4" w:space="0"/>
            </w:tcBorders>
            <w:noWrap/>
            <w:vAlign w:val="center"/>
          </w:tcPr>
          <w:p w14:paraId="314B1DBA">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0.6</w:t>
            </w:r>
          </w:p>
        </w:tc>
        <w:tc>
          <w:tcPr>
            <w:tcW w:w="366" w:type="pct"/>
            <w:gridSpan w:val="2"/>
            <w:tcBorders>
              <w:top w:val="single" w:color="auto" w:sz="4" w:space="0"/>
              <w:left w:val="nil"/>
              <w:bottom w:val="single" w:color="auto" w:sz="4" w:space="0"/>
              <w:right w:val="single" w:color="auto" w:sz="4" w:space="0"/>
            </w:tcBorders>
            <w:noWrap/>
            <w:vAlign w:val="center"/>
          </w:tcPr>
          <w:p w14:paraId="1B2864F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7.2</w:t>
            </w:r>
          </w:p>
        </w:tc>
        <w:tc>
          <w:tcPr>
            <w:tcW w:w="368" w:type="pct"/>
            <w:tcBorders>
              <w:top w:val="single" w:color="auto" w:sz="4" w:space="0"/>
              <w:left w:val="nil"/>
              <w:bottom w:val="single" w:color="auto" w:sz="4" w:space="0"/>
              <w:right w:val="single" w:color="auto" w:sz="4" w:space="0"/>
            </w:tcBorders>
            <w:noWrap/>
            <w:vAlign w:val="center"/>
          </w:tcPr>
          <w:p w14:paraId="462CAB0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0.13</w:t>
            </w:r>
          </w:p>
        </w:tc>
        <w:tc>
          <w:tcPr>
            <w:tcW w:w="321" w:type="pct"/>
            <w:tcBorders>
              <w:top w:val="single" w:color="auto" w:sz="4" w:space="0"/>
              <w:left w:val="nil"/>
              <w:bottom w:val="single" w:color="auto" w:sz="4" w:space="0"/>
              <w:right w:val="single" w:color="auto" w:sz="4" w:space="0"/>
            </w:tcBorders>
            <w:noWrap/>
            <w:vAlign w:val="center"/>
          </w:tcPr>
          <w:p w14:paraId="1995C609">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6.5~8.5</w:t>
            </w:r>
          </w:p>
        </w:tc>
      </w:tr>
      <w:tr w14:paraId="38AF5B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4124C058">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49" w:type="pct"/>
            <w:tcBorders>
              <w:top w:val="single" w:color="auto" w:sz="4" w:space="0"/>
              <w:left w:val="single" w:color="auto" w:sz="4" w:space="0"/>
              <w:bottom w:val="single" w:color="auto" w:sz="4" w:space="0"/>
              <w:right w:val="single" w:color="auto" w:sz="4" w:space="0"/>
            </w:tcBorders>
            <w:noWrap/>
            <w:vAlign w:val="center"/>
          </w:tcPr>
          <w:p w14:paraId="79678E5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448" w:type="pct"/>
            <w:tcBorders>
              <w:top w:val="single" w:color="auto" w:sz="4" w:space="0"/>
              <w:left w:val="nil"/>
              <w:bottom w:val="single" w:color="auto" w:sz="4" w:space="0"/>
              <w:right w:val="single" w:color="auto" w:sz="4" w:space="0"/>
            </w:tcBorders>
            <w:noWrap/>
            <w:vAlign w:val="center"/>
          </w:tcPr>
          <w:p w14:paraId="180EBC36">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noWrap/>
            <w:vAlign w:val="center"/>
          </w:tcPr>
          <w:p w14:paraId="6D72B125">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0.091</w:t>
            </w:r>
          </w:p>
        </w:tc>
        <w:tc>
          <w:tcPr>
            <w:tcW w:w="291" w:type="pct"/>
            <w:tcBorders>
              <w:top w:val="single" w:color="auto" w:sz="4" w:space="0"/>
              <w:left w:val="nil"/>
              <w:bottom w:val="single" w:color="auto" w:sz="4" w:space="0"/>
              <w:right w:val="single" w:color="auto" w:sz="4" w:space="0"/>
            </w:tcBorders>
            <w:vAlign w:val="center"/>
          </w:tcPr>
          <w:p w14:paraId="3DD74C3D">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0.182</w:t>
            </w:r>
          </w:p>
        </w:tc>
        <w:tc>
          <w:tcPr>
            <w:tcW w:w="370" w:type="pct"/>
            <w:tcBorders>
              <w:top w:val="single" w:color="auto" w:sz="4" w:space="0"/>
              <w:left w:val="nil"/>
              <w:bottom w:val="single" w:color="auto" w:sz="4" w:space="0"/>
              <w:right w:val="single" w:color="auto" w:sz="4" w:space="0"/>
            </w:tcBorders>
            <w:noWrap/>
            <w:vAlign w:val="center"/>
          </w:tcPr>
          <w:p w14:paraId="6D8F725F">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0.267</w:t>
            </w:r>
          </w:p>
        </w:tc>
        <w:tc>
          <w:tcPr>
            <w:tcW w:w="322" w:type="pct"/>
            <w:tcBorders>
              <w:top w:val="single" w:color="auto" w:sz="4" w:space="0"/>
              <w:left w:val="nil"/>
              <w:bottom w:val="single" w:color="auto" w:sz="4" w:space="0"/>
              <w:right w:val="single" w:color="auto" w:sz="4" w:space="0"/>
            </w:tcBorders>
            <w:vAlign w:val="center"/>
          </w:tcPr>
          <w:p w14:paraId="46D7B1F9">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0.534</w:t>
            </w:r>
          </w:p>
        </w:tc>
        <w:tc>
          <w:tcPr>
            <w:tcW w:w="367" w:type="pct"/>
            <w:tcBorders>
              <w:top w:val="single" w:color="auto" w:sz="4" w:space="0"/>
              <w:left w:val="nil"/>
              <w:bottom w:val="single" w:color="auto" w:sz="4" w:space="0"/>
              <w:right w:val="single" w:color="auto" w:sz="4" w:space="0"/>
            </w:tcBorders>
            <w:noWrap/>
            <w:vAlign w:val="center"/>
          </w:tcPr>
          <w:p w14:paraId="29BD943F">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176</w:t>
            </w:r>
          </w:p>
        </w:tc>
        <w:tc>
          <w:tcPr>
            <w:tcW w:w="366" w:type="pct"/>
            <w:tcBorders>
              <w:top w:val="single" w:color="auto" w:sz="4" w:space="0"/>
              <w:left w:val="nil"/>
              <w:bottom w:val="single" w:color="auto" w:sz="4" w:space="0"/>
              <w:right w:val="single" w:color="auto" w:sz="4" w:space="0"/>
            </w:tcBorders>
            <w:vAlign w:val="center"/>
          </w:tcPr>
          <w:p w14:paraId="66706245">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0.352</w:t>
            </w:r>
          </w:p>
        </w:tc>
        <w:tc>
          <w:tcPr>
            <w:tcW w:w="366" w:type="pct"/>
            <w:gridSpan w:val="2"/>
            <w:tcBorders>
              <w:top w:val="single" w:color="auto" w:sz="4" w:space="0"/>
              <w:left w:val="nil"/>
              <w:bottom w:val="single" w:color="auto" w:sz="4" w:space="0"/>
              <w:right w:val="single" w:color="auto" w:sz="4" w:space="0"/>
            </w:tcBorders>
            <w:noWrap/>
            <w:vAlign w:val="center"/>
          </w:tcPr>
          <w:p w14:paraId="7CD2C92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0.271</w:t>
            </w:r>
          </w:p>
        </w:tc>
        <w:tc>
          <w:tcPr>
            <w:tcW w:w="366" w:type="pct"/>
            <w:tcBorders>
              <w:top w:val="single" w:color="auto" w:sz="4" w:space="0"/>
              <w:left w:val="nil"/>
              <w:bottom w:val="single" w:color="auto" w:sz="4" w:space="0"/>
              <w:right w:val="single" w:color="auto" w:sz="4" w:space="0"/>
            </w:tcBorders>
            <w:vAlign w:val="center"/>
          </w:tcPr>
          <w:p w14:paraId="47BFF589">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0.542</w:t>
            </w:r>
          </w:p>
        </w:tc>
        <w:tc>
          <w:tcPr>
            <w:tcW w:w="366" w:type="pct"/>
            <w:gridSpan w:val="2"/>
            <w:tcBorders>
              <w:top w:val="single" w:color="auto" w:sz="4" w:space="0"/>
              <w:left w:val="nil"/>
              <w:bottom w:val="single" w:color="auto" w:sz="4" w:space="0"/>
              <w:right w:val="single" w:color="auto" w:sz="4" w:space="0"/>
            </w:tcBorders>
            <w:noWrap/>
            <w:vAlign w:val="top"/>
          </w:tcPr>
          <w:p w14:paraId="1DF4DEEF">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0.211</w:t>
            </w:r>
          </w:p>
        </w:tc>
        <w:tc>
          <w:tcPr>
            <w:tcW w:w="368" w:type="pct"/>
            <w:tcBorders>
              <w:top w:val="single" w:color="auto" w:sz="4" w:space="0"/>
              <w:left w:val="nil"/>
              <w:bottom w:val="single" w:color="auto" w:sz="4" w:space="0"/>
              <w:right w:val="single" w:color="auto" w:sz="4" w:space="0"/>
            </w:tcBorders>
            <w:vAlign w:val="center"/>
          </w:tcPr>
          <w:p w14:paraId="540CD7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0.42</w:t>
            </w:r>
          </w:p>
        </w:tc>
        <w:tc>
          <w:tcPr>
            <w:tcW w:w="321" w:type="pct"/>
            <w:tcBorders>
              <w:top w:val="single" w:color="auto" w:sz="4" w:space="0"/>
              <w:left w:val="nil"/>
              <w:bottom w:val="single" w:color="auto" w:sz="4" w:space="0"/>
              <w:right w:val="single" w:color="auto" w:sz="4" w:space="0"/>
            </w:tcBorders>
            <w:noWrap/>
            <w:vAlign w:val="center"/>
          </w:tcPr>
          <w:p w14:paraId="4BA6E972">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r>
      <w:tr w14:paraId="56E9D4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1663C336">
            <w:pPr>
              <w:keepNext w:val="0"/>
              <w:keepLines w:val="0"/>
              <w:widowControl/>
              <w:suppressLineNumbers w:val="0"/>
              <w:jc w:val="center"/>
              <w:textAlignment w:val="center"/>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549" w:type="pct"/>
            <w:tcBorders>
              <w:top w:val="single" w:color="auto" w:sz="4" w:space="0"/>
              <w:left w:val="single" w:color="auto" w:sz="4" w:space="0"/>
              <w:bottom w:val="single" w:color="auto" w:sz="4" w:space="0"/>
              <w:right w:val="single" w:color="auto" w:sz="4" w:space="0"/>
            </w:tcBorders>
            <w:noWrap/>
            <w:vAlign w:val="center"/>
          </w:tcPr>
          <w:p w14:paraId="6A70C7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亚硝酸盐氮</w:t>
            </w:r>
          </w:p>
        </w:tc>
        <w:tc>
          <w:tcPr>
            <w:tcW w:w="448" w:type="pct"/>
            <w:tcBorders>
              <w:top w:val="single" w:color="auto" w:sz="4" w:space="0"/>
              <w:left w:val="nil"/>
              <w:bottom w:val="single" w:color="auto" w:sz="4" w:space="0"/>
              <w:right w:val="single" w:color="auto" w:sz="4" w:space="0"/>
            </w:tcBorders>
            <w:noWrap/>
            <w:vAlign w:val="center"/>
          </w:tcPr>
          <w:p w14:paraId="3EE8D399">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1D977681">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291" w:type="pct"/>
            <w:tcBorders>
              <w:top w:val="single" w:color="auto" w:sz="4" w:space="0"/>
              <w:left w:val="nil"/>
              <w:bottom w:val="single" w:color="auto" w:sz="4" w:space="0"/>
              <w:right w:val="single" w:color="auto" w:sz="4" w:space="0"/>
            </w:tcBorders>
            <w:shd w:val="clear" w:color="auto" w:fill="auto"/>
            <w:vAlign w:val="center"/>
          </w:tcPr>
          <w:p w14:paraId="77707186">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70" w:type="pct"/>
            <w:tcBorders>
              <w:top w:val="single" w:color="auto" w:sz="4" w:space="0"/>
              <w:left w:val="nil"/>
              <w:bottom w:val="single" w:color="auto" w:sz="4" w:space="0"/>
              <w:right w:val="single" w:color="auto" w:sz="4" w:space="0"/>
            </w:tcBorders>
            <w:noWrap/>
            <w:vAlign w:val="center"/>
          </w:tcPr>
          <w:p w14:paraId="6558A52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22" w:type="pct"/>
            <w:tcBorders>
              <w:top w:val="single" w:color="auto" w:sz="4" w:space="0"/>
              <w:left w:val="nil"/>
              <w:bottom w:val="single" w:color="auto" w:sz="4" w:space="0"/>
              <w:right w:val="single" w:color="auto" w:sz="4" w:space="0"/>
            </w:tcBorders>
            <w:vAlign w:val="center"/>
          </w:tcPr>
          <w:p w14:paraId="79FCACEB">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67" w:type="pct"/>
            <w:tcBorders>
              <w:top w:val="single" w:color="auto" w:sz="4" w:space="0"/>
              <w:left w:val="nil"/>
              <w:bottom w:val="single" w:color="auto" w:sz="4" w:space="0"/>
              <w:right w:val="single" w:color="auto" w:sz="4" w:space="0"/>
            </w:tcBorders>
            <w:noWrap/>
            <w:vAlign w:val="center"/>
          </w:tcPr>
          <w:p w14:paraId="1E51CB85">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66" w:type="pct"/>
            <w:tcBorders>
              <w:top w:val="single" w:color="auto" w:sz="4" w:space="0"/>
              <w:left w:val="nil"/>
              <w:bottom w:val="single" w:color="auto" w:sz="4" w:space="0"/>
              <w:right w:val="single" w:color="auto" w:sz="4" w:space="0"/>
            </w:tcBorders>
            <w:vAlign w:val="center"/>
          </w:tcPr>
          <w:p w14:paraId="49BB06BC">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66" w:type="pct"/>
            <w:gridSpan w:val="2"/>
            <w:tcBorders>
              <w:top w:val="single" w:color="auto" w:sz="4" w:space="0"/>
              <w:left w:val="nil"/>
              <w:bottom w:val="single" w:color="auto" w:sz="4" w:space="0"/>
              <w:right w:val="single" w:color="auto" w:sz="4" w:space="0"/>
            </w:tcBorders>
            <w:noWrap/>
            <w:vAlign w:val="center"/>
          </w:tcPr>
          <w:p w14:paraId="04076930">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66" w:type="pct"/>
            <w:tcBorders>
              <w:top w:val="single" w:color="auto" w:sz="4" w:space="0"/>
              <w:left w:val="nil"/>
              <w:bottom w:val="single" w:color="auto" w:sz="4" w:space="0"/>
              <w:right w:val="single" w:color="auto" w:sz="4" w:space="0"/>
            </w:tcBorders>
            <w:vAlign w:val="center"/>
          </w:tcPr>
          <w:p w14:paraId="7ECD94B2">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66" w:type="pct"/>
            <w:gridSpan w:val="2"/>
            <w:tcBorders>
              <w:top w:val="single" w:color="auto" w:sz="4" w:space="0"/>
              <w:left w:val="nil"/>
              <w:bottom w:val="single" w:color="auto" w:sz="4" w:space="0"/>
              <w:right w:val="single" w:color="auto" w:sz="4" w:space="0"/>
            </w:tcBorders>
            <w:noWrap/>
            <w:vAlign w:val="center"/>
          </w:tcPr>
          <w:p w14:paraId="0D99CE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0.006</w:t>
            </w:r>
          </w:p>
        </w:tc>
        <w:tc>
          <w:tcPr>
            <w:tcW w:w="368" w:type="pct"/>
            <w:tcBorders>
              <w:top w:val="single" w:color="auto" w:sz="4" w:space="0"/>
              <w:left w:val="nil"/>
              <w:bottom w:val="single" w:color="auto" w:sz="4" w:space="0"/>
              <w:right w:val="single" w:color="auto" w:sz="4" w:space="0"/>
            </w:tcBorders>
            <w:vAlign w:val="center"/>
          </w:tcPr>
          <w:p w14:paraId="23DD76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0.006</w:t>
            </w:r>
          </w:p>
        </w:tc>
        <w:tc>
          <w:tcPr>
            <w:tcW w:w="321" w:type="pct"/>
            <w:tcBorders>
              <w:top w:val="single" w:color="auto" w:sz="4" w:space="0"/>
              <w:left w:val="nil"/>
              <w:bottom w:val="single" w:color="auto" w:sz="4" w:space="0"/>
              <w:right w:val="single" w:color="auto" w:sz="4" w:space="0"/>
            </w:tcBorders>
            <w:noWrap/>
            <w:vAlign w:val="center"/>
          </w:tcPr>
          <w:p w14:paraId="0A3F1426">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8210E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499AA6BB">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549" w:type="pct"/>
            <w:tcBorders>
              <w:top w:val="single" w:color="auto" w:sz="4" w:space="0"/>
              <w:left w:val="single" w:color="auto" w:sz="4" w:space="0"/>
              <w:bottom w:val="single" w:color="auto" w:sz="4" w:space="0"/>
              <w:right w:val="single" w:color="auto" w:sz="4" w:space="0"/>
            </w:tcBorders>
            <w:noWrap/>
            <w:vAlign w:val="center"/>
          </w:tcPr>
          <w:p w14:paraId="72AEDD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硝酸盐氮</w:t>
            </w:r>
          </w:p>
        </w:tc>
        <w:tc>
          <w:tcPr>
            <w:tcW w:w="448" w:type="pct"/>
            <w:tcBorders>
              <w:top w:val="single" w:color="auto" w:sz="4" w:space="0"/>
              <w:left w:val="nil"/>
              <w:bottom w:val="single" w:color="auto" w:sz="4" w:space="0"/>
              <w:right w:val="single" w:color="auto" w:sz="4" w:space="0"/>
            </w:tcBorders>
            <w:noWrap/>
            <w:vAlign w:val="center"/>
          </w:tcPr>
          <w:p w14:paraId="22F9F26D">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noWrap/>
            <w:vAlign w:val="center"/>
          </w:tcPr>
          <w:p w14:paraId="1A8609A3">
            <w:pPr>
              <w:autoSpaceDE w:val="0"/>
              <w:spacing w:line="240" w:lineRule="exac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0.08</w:t>
            </w:r>
          </w:p>
        </w:tc>
        <w:tc>
          <w:tcPr>
            <w:tcW w:w="291" w:type="pct"/>
            <w:tcBorders>
              <w:top w:val="single" w:color="auto" w:sz="4" w:space="0"/>
              <w:left w:val="nil"/>
              <w:bottom w:val="single" w:color="auto" w:sz="4" w:space="0"/>
              <w:right w:val="single" w:color="auto" w:sz="4" w:space="0"/>
            </w:tcBorders>
            <w:vAlign w:val="center"/>
          </w:tcPr>
          <w:p w14:paraId="47102F1D">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0.004</w:t>
            </w:r>
          </w:p>
        </w:tc>
        <w:tc>
          <w:tcPr>
            <w:tcW w:w="370" w:type="pct"/>
            <w:tcBorders>
              <w:top w:val="single" w:color="auto" w:sz="4" w:space="0"/>
              <w:left w:val="nil"/>
              <w:bottom w:val="single" w:color="auto" w:sz="4" w:space="0"/>
              <w:right w:val="single" w:color="auto" w:sz="4" w:space="0"/>
            </w:tcBorders>
            <w:noWrap/>
            <w:vAlign w:val="center"/>
          </w:tcPr>
          <w:p w14:paraId="3ABBEE94">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4.02</w:t>
            </w:r>
          </w:p>
        </w:tc>
        <w:tc>
          <w:tcPr>
            <w:tcW w:w="322" w:type="pct"/>
            <w:tcBorders>
              <w:top w:val="single" w:color="auto" w:sz="4" w:space="0"/>
              <w:left w:val="nil"/>
              <w:bottom w:val="single" w:color="auto" w:sz="4" w:space="0"/>
              <w:right w:val="single" w:color="auto" w:sz="4" w:space="0"/>
            </w:tcBorders>
            <w:vAlign w:val="center"/>
          </w:tcPr>
          <w:p w14:paraId="73B51EC6">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0.201</w:t>
            </w:r>
          </w:p>
        </w:tc>
        <w:tc>
          <w:tcPr>
            <w:tcW w:w="367" w:type="pct"/>
            <w:tcBorders>
              <w:top w:val="single" w:color="auto" w:sz="4" w:space="0"/>
              <w:left w:val="nil"/>
              <w:bottom w:val="single" w:color="auto" w:sz="4" w:space="0"/>
              <w:right w:val="single" w:color="auto" w:sz="4" w:space="0"/>
            </w:tcBorders>
            <w:noWrap/>
            <w:vAlign w:val="center"/>
          </w:tcPr>
          <w:p w14:paraId="0F1D99A3">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2.77</w:t>
            </w:r>
          </w:p>
        </w:tc>
        <w:tc>
          <w:tcPr>
            <w:tcW w:w="366" w:type="pct"/>
            <w:tcBorders>
              <w:top w:val="single" w:color="auto" w:sz="4" w:space="0"/>
              <w:left w:val="nil"/>
              <w:bottom w:val="single" w:color="auto" w:sz="4" w:space="0"/>
              <w:right w:val="single" w:color="auto" w:sz="4" w:space="0"/>
            </w:tcBorders>
            <w:vAlign w:val="center"/>
          </w:tcPr>
          <w:p w14:paraId="76242470">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0.1385</w:t>
            </w:r>
          </w:p>
        </w:tc>
        <w:tc>
          <w:tcPr>
            <w:tcW w:w="366" w:type="pct"/>
            <w:gridSpan w:val="2"/>
            <w:tcBorders>
              <w:top w:val="single" w:color="auto" w:sz="4" w:space="0"/>
              <w:left w:val="nil"/>
              <w:bottom w:val="single" w:color="auto" w:sz="4" w:space="0"/>
              <w:right w:val="single" w:color="auto" w:sz="4" w:space="0"/>
            </w:tcBorders>
            <w:noWrap/>
            <w:vAlign w:val="center"/>
          </w:tcPr>
          <w:p w14:paraId="5D692C0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c>
          <w:tcPr>
            <w:tcW w:w="366" w:type="pct"/>
            <w:tcBorders>
              <w:top w:val="single" w:color="auto" w:sz="4" w:space="0"/>
              <w:left w:val="nil"/>
              <w:bottom w:val="single" w:color="auto" w:sz="4" w:space="0"/>
              <w:right w:val="single" w:color="auto" w:sz="4" w:space="0"/>
            </w:tcBorders>
            <w:vAlign w:val="center"/>
          </w:tcPr>
          <w:p w14:paraId="569E307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0.008</w:t>
            </w:r>
          </w:p>
        </w:tc>
        <w:tc>
          <w:tcPr>
            <w:tcW w:w="366" w:type="pct"/>
            <w:gridSpan w:val="2"/>
            <w:tcBorders>
              <w:top w:val="single" w:color="auto" w:sz="4" w:space="0"/>
              <w:left w:val="nil"/>
              <w:bottom w:val="single" w:color="auto" w:sz="4" w:space="0"/>
              <w:right w:val="single" w:color="auto" w:sz="4" w:space="0"/>
            </w:tcBorders>
            <w:noWrap/>
            <w:vAlign w:val="center"/>
          </w:tcPr>
          <w:p w14:paraId="5F04B1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0.14</w:t>
            </w:r>
          </w:p>
        </w:tc>
        <w:tc>
          <w:tcPr>
            <w:tcW w:w="368" w:type="pct"/>
            <w:tcBorders>
              <w:top w:val="single" w:color="auto" w:sz="4" w:space="0"/>
              <w:left w:val="nil"/>
              <w:bottom w:val="single" w:color="auto" w:sz="4" w:space="0"/>
              <w:right w:val="single" w:color="auto" w:sz="4" w:space="0"/>
            </w:tcBorders>
            <w:vAlign w:val="center"/>
          </w:tcPr>
          <w:p w14:paraId="4253A3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w:t>
            </w:r>
          </w:p>
        </w:tc>
        <w:tc>
          <w:tcPr>
            <w:tcW w:w="321" w:type="pct"/>
            <w:tcBorders>
              <w:top w:val="single" w:color="auto" w:sz="4" w:space="0"/>
              <w:left w:val="nil"/>
              <w:bottom w:val="single" w:color="auto" w:sz="4" w:space="0"/>
              <w:right w:val="single" w:color="auto" w:sz="4" w:space="0"/>
            </w:tcBorders>
            <w:noWrap/>
            <w:vAlign w:val="center"/>
          </w:tcPr>
          <w:p w14:paraId="2CA62F2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r w14:paraId="6CC765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036BD600">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49" w:type="pct"/>
            <w:tcBorders>
              <w:top w:val="single" w:color="auto" w:sz="4" w:space="0"/>
              <w:left w:val="single" w:color="auto" w:sz="4" w:space="0"/>
              <w:bottom w:val="single" w:color="auto" w:sz="4" w:space="0"/>
              <w:right w:val="single" w:color="auto" w:sz="4" w:space="0"/>
            </w:tcBorders>
            <w:noWrap/>
            <w:vAlign w:val="center"/>
          </w:tcPr>
          <w:p w14:paraId="4D6A65B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氰化物</w:t>
            </w:r>
          </w:p>
        </w:tc>
        <w:tc>
          <w:tcPr>
            <w:tcW w:w="448" w:type="pct"/>
            <w:tcBorders>
              <w:top w:val="single" w:color="auto" w:sz="4" w:space="0"/>
              <w:left w:val="nil"/>
              <w:bottom w:val="single" w:color="auto" w:sz="4" w:space="0"/>
              <w:right w:val="single" w:color="auto" w:sz="4" w:space="0"/>
            </w:tcBorders>
            <w:noWrap/>
            <w:vAlign w:val="center"/>
          </w:tcPr>
          <w:p w14:paraId="59FA453E">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7B4A6A2E">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＜0.002</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765F3C8F">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70" w:type="pct"/>
            <w:tcBorders>
              <w:top w:val="single" w:color="auto" w:sz="4" w:space="0"/>
              <w:left w:val="nil"/>
              <w:bottom w:val="single" w:color="auto" w:sz="4" w:space="0"/>
              <w:right w:val="single" w:color="auto" w:sz="4" w:space="0"/>
            </w:tcBorders>
            <w:noWrap/>
            <w:vAlign w:val="center"/>
          </w:tcPr>
          <w:p w14:paraId="362516C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＜0.002</w:t>
            </w:r>
          </w:p>
        </w:tc>
        <w:tc>
          <w:tcPr>
            <w:tcW w:w="322" w:type="pct"/>
            <w:tcBorders>
              <w:top w:val="single" w:color="auto" w:sz="4" w:space="0"/>
              <w:left w:val="nil"/>
              <w:bottom w:val="single" w:color="auto" w:sz="4" w:space="0"/>
              <w:right w:val="single" w:color="auto" w:sz="4" w:space="0"/>
            </w:tcBorders>
            <w:noWrap/>
            <w:vAlign w:val="center"/>
          </w:tcPr>
          <w:p w14:paraId="4C83972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67" w:type="pct"/>
            <w:tcBorders>
              <w:top w:val="single" w:color="auto" w:sz="4" w:space="0"/>
              <w:left w:val="nil"/>
              <w:bottom w:val="single" w:color="auto" w:sz="4" w:space="0"/>
              <w:right w:val="single" w:color="auto" w:sz="4" w:space="0"/>
            </w:tcBorders>
            <w:noWrap/>
            <w:vAlign w:val="center"/>
          </w:tcPr>
          <w:p w14:paraId="20E2059B">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＜0.002</w:t>
            </w:r>
          </w:p>
        </w:tc>
        <w:tc>
          <w:tcPr>
            <w:tcW w:w="366" w:type="pct"/>
            <w:tcBorders>
              <w:top w:val="single" w:color="auto" w:sz="4" w:space="0"/>
              <w:left w:val="nil"/>
              <w:bottom w:val="single" w:color="auto" w:sz="4" w:space="0"/>
              <w:right w:val="single" w:color="auto" w:sz="4" w:space="0"/>
            </w:tcBorders>
            <w:noWrap/>
            <w:vAlign w:val="center"/>
          </w:tcPr>
          <w:p w14:paraId="15C372D9">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66" w:type="pct"/>
            <w:gridSpan w:val="2"/>
            <w:tcBorders>
              <w:top w:val="single" w:color="auto" w:sz="4" w:space="0"/>
              <w:left w:val="nil"/>
              <w:bottom w:val="single" w:color="auto" w:sz="4" w:space="0"/>
              <w:right w:val="single" w:color="auto" w:sz="4" w:space="0"/>
            </w:tcBorders>
            <w:noWrap/>
            <w:vAlign w:val="center"/>
          </w:tcPr>
          <w:p w14:paraId="49BCFF31">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＜0.002</w:t>
            </w:r>
          </w:p>
        </w:tc>
        <w:tc>
          <w:tcPr>
            <w:tcW w:w="366" w:type="pct"/>
            <w:tcBorders>
              <w:top w:val="single" w:color="auto" w:sz="4" w:space="0"/>
              <w:left w:val="nil"/>
              <w:bottom w:val="single" w:color="auto" w:sz="4" w:space="0"/>
              <w:right w:val="single" w:color="auto" w:sz="4" w:space="0"/>
            </w:tcBorders>
            <w:noWrap/>
            <w:vAlign w:val="center"/>
          </w:tcPr>
          <w:p w14:paraId="1962F8F0">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66" w:type="pct"/>
            <w:gridSpan w:val="2"/>
            <w:tcBorders>
              <w:top w:val="single" w:color="auto" w:sz="4" w:space="0"/>
              <w:left w:val="nil"/>
              <w:bottom w:val="single" w:color="auto" w:sz="4" w:space="0"/>
              <w:right w:val="single" w:color="auto" w:sz="4" w:space="0"/>
            </w:tcBorders>
            <w:noWrap/>
            <w:vAlign w:val="center"/>
          </w:tcPr>
          <w:p w14:paraId="297935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368" w:type="pct"/>
            <w:tcBorders>
              <w:top w:val="single" w:color="auto" w:sz="4" w:space="0"/>
              <w:left w:val="nil"/>
              <w:bottom w:val="single" w:color="auto" w:sz="4" w:space="0"/>
              <w:right w:val="single" w:color="auto" w:sz="4" w:space="0"/>
            </w:tcBorders>
            <w:noWrap/>
            <w:vAlign w:val="center"/>
          </w:tcPr>
          <w:p w14:paraId="4A26C5C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21" w:type="pct"/>
            <w:tcBorders>
              <w:top w:val="single" w:color="auto" w:sz="4" w:space="0"/>
              <w:left w:val="nil"/>
              <w:bottom w:val="single" w:color="auto" w:sz="4" w:space="0"/>
              <w:right w:val="single" w:color="auto" w:sz="4" w:space="0"/>
            </w:tcBorders>
            <w:noWrap/>
            <w:vAlign w:val="center"/>
          </w:tcPr>
          <w:p w14:paraId="5F875B4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r>
      <w:tr w14:paraId="7CEE40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762F09BF">
            <w:pPr>
              <w:keepNext w:val="0"/>
              <w:keepLines w:val="0"/>
              <w:widowControl/>
              <w:suppressLineNumbers w:val="0"/>
              <w:jc w:val="center"/>
              <w:textAlignment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549" w:type="pct"/>
            <w:tcBorders>
              <w:top w:val="single" w:color="auto" w:sz="4" w:space="0"/>
              <w:left w:val="single" w:color="auto" w:sz="4" w:space="0"/>
              <w:bottom w:val="single" w:color="auto" w:sz="4" w:space="0"/>
              <w:right w:val="single" w:color="auto" w:sz="4" w:space="0"/>
            </w:tcBorders>
            <w:noWrap/>
            <w:vAlign w:val="center"/>
          </w:tcPr>
          <w:p w14:paraId="3ACA99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挥发酚</w:t>
            </w:r>
          </w:p>
        </w:tc>
        <w:tc>
          <w:tcPr>
            <w:tcW w:w="448" w:type="pct"/>
            <w:tcBorders>
              <w:top w:val="single" w:color="auto" w:sz="4" w:space="0"/>
              <w:left w:val="nil"/>
              <w:bottom w:val="single" w:color="auto" w:sz="4" w:space="0"/>
              <w:right w:val="single" w:color="auto" w:sz="4" w:space="0"/>
            </w:tcBorders>
            <w:noWrap/>
            <w:vAlign w:val="center"/>
          </w:tcPr>
          <w:p w14:paraId="06A831CD">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0171A8BD">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2145B9AB">
            <w:pPr>
              <w:keepNext w:val="0"/>
              <w:keepLines w:val="0"/>
              <w:pageBreakBefore w:val="0"/>
              <w:widowControl/>
              <w:kinsoku/>
              <w:wordWrap/>
              <w:overflowPunct/>
              <w:topLinePunct w:val="0"/>
              <w:autoSpaceDE w:val="0"/>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＜0.15</w:t>
            </w:r>
          </w:p>
        </w:tc>
        <w:tc>
          <w:tcPr>
            <w:tcW w:w="370" w:type="pct"/>
            <w:tcBorders>
              <w:top w:val="single" w:color="auto" w:sz="4" w:space="0"/>
              <w:left w:val="nil"/>
              <w:bottom w:val="single" w:color="auto" w:sz="4" w:space="0"/>
              <w:right w:val="single" w:color="auto" w:sz="4" w:space="0"/>
            </w:tcBorders>
            <w:noWrap/>
            <w:vAlign w:val="center"/>
          </w:tcPr>
          <w:p w14:paraId="207BAEF9">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322" w:type="pct"/>
            <w:tcBorders>
              <w:top w:val="single" w:color="auto" w:sz="4" w:space="0"/>
              <w:left w:val="nil"/>
              <w:bottom w:val="single" w:color="auto" w:sz="4" w:space="0"/>
              <w:right w:val="single" w:color="auto" w:sz="4" w:space="0"/>
            </w:tcBorders>
            <w:noWrap/>
            <w:vAlign w:val="center"/>
          </w:tcPr>
          <w:p w14:paraId="484FB23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＜0.15</w:t>
            </w:r>
          </w:p>
        </w:tc>
        <w:tc>
          <w:tcPr>
            <w:tcW w:w="367" w:type="pct"/>
            <w:tcBorders>
              <w:top w:val="single" w:color="auto" w:sz="4" w:space="0"/>
              <w:left w:val="nil"/>
              <w:bottom w:val="single" w:color="auto" w:sz="4" w:space="0"/>
              <w:right w:val="single" w:color="auto" w:sz="4" w:space="0"/>
            </w:tcBorders>
            <w:noWrap/>
            <w:vAlign w:val="center"/>
          </w:tcPr>
          <w:p w14:paraId="063E2B45">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366" w:type="pct"/>
            <w:tcBorders>
              <w:top w:val="single" w:color="auto" w:sz="4" w:space="0"/>
              <w:left w:val="nil"/>
              <w:bottom w:val="single" w:color="auto" w:sz="4" w:space="0"/>
              <w:right w:val="single" w:color="auto" w:sz="4" w:space="0"/>
            </w:tcBorders>
            <w:noWrap/>
            <w:vAlign w:val="center"/>
          </w:tcPr>
          <w:p w14:paraId="3A64D78C">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＜0.15</w:t>
            </w:r>
          </w:p>
        </w:tc>
        <w:tc>
          <w:tcPr>
            <w:tcW w:w="366" w:type="pct"/>
            <w:gridSpan w:val="2"/>
            <w:tcBorders>
              <w:top w:val="single" w:color="auto" w:sz="4" w:space="0"/>
              <w:left w:val="nil"/>
              <w:bottom w:val="single" w:color="auto" w:sz="4" w:space="0"/>
              <w:right w:val="single" w:color="auto" w:sz="4" w:space="0"/>
            </w:tcBorders>
            <w:noWrap/>
            <w:vAlign w:val="center"/>
          </w:tcPr>
          <w:p w14:paraId="6CA37BCA">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366" w:type="pct"/>
            <w:tcBorders>
              <w:top w:val="single" w:color="auto" w:sz="4" w:space="0"/>
              <w:left w:val="nil"/>
              <w:bottom w:val="single" w:color="auto" w:sz="4" w:space="0"/>
              <w:right w:val="single" w:color="auto" w:sz="4" w:space="0"/>
            </w:tcBorders>
            <w:noWrap/>
            <w:vAlign w:val="center"/>
          </w:tcPr>
          <w:p w14:paraId="4FE322BA">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＜0.15</w:t>
            </w:r>
          </w:p>
        </w:tc>
        <w:tc>
          <w:tcPr>
            <w:tcW w:w="366" w:type="pct"/>
            <w:gridSpan w:val="2"/>
            <w:tcBorders>
              <w:top w:val="single" w:color="auto" w:sz="4" w:space="0"/>
              <w:left w:val="nil"/>
              <w:bottom w:val="single" w:color="auto" w:sz="4" w:space="0"/>
              <w:right w:val="single" w:color="auto" w:sz="4" w:space="0"/>
            </w:tcBorders>
            <w:noWrap/>
            <w:vAlign w:val="top"/>
          </w:tcPr>
          <w:p w14:paraId="41F233B8">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368" w:type="pct"/>
            <w:tcBorders>
              <w:top w:val="single" w:color="auto" w:sz="4" w:space="0"/>
              <w:left w:val="nil"/>
              <w:bottom w:val="single" w:color="auto" w:sz="4" w:space="0"/>
              <w:right w:val="single" w:color="auto" w:sz="4" w:space="0"/>
            </w:tcBorders>
            <w:noWrap/>
            <w:vAlign w:val="center"/>
          </w:tcPr>
          <w:p w14:paraId="1A88376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321" w:type="pct"/>
            <w:tcBorders>
              <w:top w:val="single" w:color="auto" w:sz="4" w:space="0"/>
              <w:left w:val="nil"/>
              <w:bottom w:val="single" w:color="auto" w:sz="4" w:space="0"/>
              <w:right w:val="single" w:color="auto" w:sz="4" w:space="0"/>
            </w:tcBorders>
            <w:noWrap/>
            <w:vAlign w:val="center"/>
          </w:tcPr>
          <w:p w14:paraId="2642ABF2">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r>
      <w:tr w14:paraId="53DD0F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1C491A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49" w:type="pct"/>
            <w:tcBorders>
              <w:top w:val="single" w:color="auto" w:sz="4" w:space="0"/>
              <w:left w:val="single" w:color="auto" w:sz="4" w:space="0"/>
              <w:bottom w:val="single" w:color="auto" w:sz="4" w:space="0"/>
              <w:right w:val="single" w:color="auto" w:sz="4" w:space="0"/>
            </w:tcBorders>
            <w:noWrap/>
            <w:vAlign w:val="center"/>
          </w:tcPr>
          <w:p w14:paraId="4CC23B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汞</w:t>
            </w:r>
          </w:p>
        </w:tc>
        <w:tc>
          <w:tcPr>
            <w:tcW w:w="448" w:type="pct"/>
            <w:tcBorders>
              <w:top w:val="single" w:color="auto" w:sz="4" w:space="0"/>
              <w:left w:val="nil"/>
              <w:bottom w:val="single" w:color="auto" w:sz="4" w:space="0"/>
              <w:right w:val="single" w:color="auto" w:sz="4" w:space="0"/>
            </w:tcBorders>
            <w:noWrap/>
            <w:vAlign w:val="center"/>
          </w:tcPr>
          <w:p w14:paraId="2B08331F">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1624442B">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＜4×10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-5</w:t>
            </w:r>
          </w:p>
        </w:tc>
        <w:tc>
          <w:tcPr>
            <w:tcW w:w="291" w:type="pct"/>
            <w:tcBorders>
              <w:top w:val="single" w:color="auto" w:sz="4" w:space="0"/>
              <w:left w:val="nil"/>
              <w:bottom w:val="single" w:color="auto" w:sz="4" w:space="0"/>
              <w:right w:val="single" w:color="auto" w:sz="4" w:space="0"/>
            </w:tcBorders>
            <w:shd w:val="clear" w:color="auto" w:fill="auto"/>
            <w:vAlign w:val="center"/>
          </w:tcPr>
          <w:p w14:paraId="372D7CFC">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70" w:type="pct"/>
            <w:tcBorders>
              <w:top w:val="single" w:color="auto" w:sz="4" w:space="0"/>
              <w:left w:val="nil"/>
              <w:bottom w:val="single" w:color="auto" w:sz="4" w:space="0"/>
              <w:right w:val="single" w:color="auto" w:sz="4" w:space="0"/>
            </w:tcBorders>
            <w:noWrap/>
            <w:vAlign w:val="center"/>
          </w:tcPr>
          <w:p w14:paraId="6ACD8861">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＜4×10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-5</w:t>
            </w:r>
          </w:p>
        </w:tc>
        <w:tc>
          <w:tcPr>
            <w:tcW w:w="322" w:type="pct"/>
            <w:tcBorders>
              <w:top w:val="single" w:color="auto" w:sz="4" w:space="0"/>
              <w:left w:val="nil"/>
              <w:bottom w:val="single" w:color="auto" w:sz="4" w:space="0"/>
              <w:right w:val="single" w:color="auto" w:sz="4" w:space="0"/>
            </w:tcBorders>
            <w:vAlign w:val="center"/>
          </w:tcPr>
          <w:p w14:paraId="2C33BE1E">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67" w:type="pct"/>
            <w:tcBorders>
              <w:top w:val="single" w:color="auto" w:sz="4" w:space="0"/>
              <w:left w:val="nil"/>
              <w:bottom w:val="single" w:color="auto" w:sz="4" w:space="0"/>
              <w:right w:val="single" w:color="auto" w:sz="4" w:space="0"/>
            </w:tcBorders>
            <w:noWrap/>
            <w:vAlign w:val="center"/>
          </w:tcPr>
          <w:p w14:paraId="551D0AC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＜4×10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-5</w:t>
            </w:r>
          </w:p>
        </w:tc>
        <w:tc>
          <w:tcPr>
            <w:tcW w:w="366" w:type="pct"/>
            <w:tcBorders>
              <w:top w:val="single" w:color="auto" w:sz="4" w:space="0"/>
              <w:left w:val="nil"/>
              <w:bottom w:val="single" w:color="auto" w:sz="4" w:space="0"/>
              <w:right w:val="single" w:color="auto" w:sz="4" w:space="0"/>
            </w:tcBorders>
            <w:vAlign w:val="center"/>
          </w:tcPr>
          <w:p w14:paraId="687384C8">
            <w:pPr>
              <w:autoSpaceDE w:val="0"/>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66" w:type="pct"/>
            <w:gridSpan w:val="2"/>
            <w:tcBorders>
              <w:top w:val="single" w:color="auto" w:sz="4" w:space="0"/>
              <w:left w:val="nil"/>
              <w:bottom w:val="single" w:color="auto" w:sz="4" w:space="0"/>
              <w:right w:val="single" w:color="auto" w:sz="4" w:space="0"/>
            </w:tcBorders>
            <w:noWrap/>
            <w:vAlign w:val="center"/>
          </w:tcPr>
          <w:p w14:paraId="43716F39">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＜4×10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-5</w:t>
            </w:r>
          </w:p>
        </w:tc>
        <w:tc>
          <w:tcPr>
            <w:tcW w:w="366" w:type="pct"/>
            <w:tcBorders>
              <w:top w:val="single" w:color="auto" w:sz="4" w:space="0"/>
              <w:left w:val="nil"/>
              <w:bottom w:val="single" w:color="auto" w:sz="4" w:space="0"/>
              <w:right w:val="single" w:color="auto" w:sz="4" w:space="0"/>
            </w:tcBorders>
            <w:vAlign w:val="center"/>
          </w:tcPr>
          <w:p w14:paraId="6FCAFBF5">
            <w:pPr>
              <w:autoSpaceDE w:val="0"/>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66" w:type="pct"/>
            <w:gridSpan w:val="2"/>
            <w:tcBorders>
              <w:top w:val="single" w:color="auto" w:sz="4" w:space="0"/>
              <w:left w:val="nil"/>
              <w:bottom w:val="single" w:color="auto" w:sz="4" w:space="0"/>
              <w:right w:val="single" w:color="auto" w:sz="4" w:space="0"/>
            </w:tcBorders>
            <w:noWrap/>
            <w:vAlign w:val="center"/>
          </w:tcPr>
          <w:p w14:paraId="749D577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＜4×10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-5</w:t>
            </w:r>
          </w:p>
        </w:tc>
        <w:tc>
          <w:tcPr>
            <w:tcW w:w="368" w:type="pct"/>
            <w:tcBorders>
              <w:top w:val="single" w:color="auto" w:sz="4" w:space="0"/>
              <w:left w:val="nil"/>
              <w:bottom w:val="single" w:color="auto" w:sz="4" w:space="0"/>
              <w:right w:val="single" w:color="auto" w:sz="4" w:space="0"/>
            </w:tcBorders>
            <w:vAlign w:val="center"/>
          </w:tcPr>
          <w:p w14:paraId="7E1264DC">
            <w:pPr>
              <w:autoSpaceDE w:val="0"/>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＜0.04</w:t>
            </w:r>
          </w:p>
        </w:tc>
        <w:tc>
          <w:tcPr>
            <w:tcW w:w="321" w:type="pct"/>
            <w:tcBorders>
              <w:top w:val="single" w:color="auto" w:sz="4" w:space="0"/>
              <w:left w:val="nil"/>
              <w:bottom w:val="single" w:color="auto" w:sz="4" w:space="0"/>
              <w:right w:val="single" w:color="auto" w:sz="4" w:space="0"/>
            </w:tcBorders>
            <w:noWrap/>
            <w:vAlign w:val="center"/>
          </w:tcPr>
          <w:p w14:paraId="64BCF98D">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w:t>
            </w:r>
          </w:p>
        </w:tc>
      </w:tr>
      <w:tr w14:paraId="1D4CD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1F50C8F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49" w:type="pct"/>
            <w:tcBorders>
              <w:top w:val="single" w:color="auto" w:sz="4" w:space="0"/>
              <w:left w:val="single" w:color="auto" w:sz="4" w:space="0"/>
              <w:bottom w:val="single" w:color="auto" w:sz="4" w:space="0"/>
              <w:right w:val="single" w:color="auto" w:sz="4" w:space="0"/>
            </w:tcBorders>
            <w:noWrap/>
            <w:vAlign w:val="center"/>
          </w:tcPr>
          <w:p w14:paraId="23115B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砷</w:t>
            </w:r>
          </w:p>
        </w:tc>
        <w:tc>
          <w:tcPr>
            <w:tcW w:w="448" w:type="pct"/>
            <w:tcBorders>
              <w:top w:val="single" w:color="auto" w:sz="4" w:space="0"/>
              <w:left w:val="nil"/>
              <w:bottom w:val="single" w:color="auto" w:sz="4" w:space="0"/>
              <w:right w:val="single" w:color="auto" w:sz="4" w:space="0"/>
            </w:tcBorders>
            <w:noWrap/>
            <w:vAlign w:val="center"/>
          </w:tcPr>
          <w:p w14:paraId="28F3FC0A">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noWrap/>
            <w:vAlign w:val="center"/>
          </w:tcPr>
          <w:p w14:paraId="225BBB90">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w:t>
            </w:r>
            <w:r>
              <w:rPr>
                <w:rFonts w:hint="eastAsia" w:ascii="Times New Roman" w:hAnsi="Times New Roman" w:eastAsia="宋体" w:cs="Times New Roman"/>
                <w:i w:val="0"/>
                <w:iCs w:val="0"/>
                <w:color w:val="auto"/>
                <w:kern w:val="2"/>
                <w:sz w:val="21"/>
                <w:szCs w:val="21"/>
                <w:highlight w:val="none"/>
                <w:u w:val="none"/>
                <w:lang w:val="en-US" w:eastAsia="zh-CN"/>
              </w:rPr>
              <w:t>3</w:t>
            </w:r>
            <w:r>
              <w:rPr>
                <w:rFonts w:hint="default" w:ascii="Times New Roman" w:hAnsi="Times New Roman" w:eastAsia="宋体" w:cs="Times New Roman"/>
                <w:i w:val="0"/>
                <w:iCs w:val="0"/>
                <w:color w:val="auto"/>
                <w:kern w:val="2"/>
                <w:sz w:val="21"/>
                <w:szCs w:val="21"/>
                <w:highlight w:val="none"/>
                <w:u w:val="none"/>
                <w:lang w:val="en-US" w:eastAsia="zh-CN"/>
              </w:rPr>
              <w:t>×10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w:t>
            </w:r>
            <w:r>
              <w:rPr>
                <w:rFonts w:hint="eastAsia" w:ascii="Times New Roman" w:hAnsi="Times New Roman" w:eastAsia="宋体" w:cs="Times New Roman"/>
                <w:i w:val="0"/>
                <w:iCs w:val="0"/>
                <w:color w:val="auto"/>
                <w:kern w:val="2"/>
                <w:sz w:val="21"/>
                <w:szCs w:val="21"/>
                <w:highlight w:val="none"/>
                <w:u w:val="none"/>
                <w:vertAlign w:val="superscript"/>
                <w:lang w:val="en-US" w:eastAsia="zh-CN"/>
              </w:rPr>
              <w:t>4</w:t>
            </w:r>
          </w:p>
        </w:tc>
        <w:tc>
          <w:tcPr>
            <w:tcW w:w="291" w:type="pct"/>
            <w:tcBorders>
              <w:top w:val="single" w:color="auto" w:sz="4" w:space="0"/>
              <w:left w:val="nil"/>
              <w:bottom w:val="single" w:color="auto" w:sz="4" w:space="0"/>
              <w:right w:val="single" w:color="auto" w:sz="4" w:space="0"/>
            </w:tcBorders>
            <w:vAlign w:val="center"/>
          </w:tcPr>
          <w:p w14:paraId="32BBFE8C">
            <w:pPr>
              <w:autoSpaceDE w:val="0"/>
              <w:spacing w:line="240" w:lineRule="exact"/>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i w:val="0"/>
                <w:iCs w:val="0"/>
                <w:color w:val="auto"/>
                <w:kern w:val="2"/>
                <w:sz w:val="21"/>
                <w:szCs w:val="21"/>
                <w:highlight w:val="none"/>
                <w:u w:val="none"/>
                <w:lang w:val="en-US" w:eastAsia="zh-CN"/>
              </w:rPr>
              <w:t>＜</w:t>
            </w:r>
            <w:r>
              <w:rPr>
                <w:rFonts w:hint="eastAsia" w:ascii="Times New Roman" w:hAnsi="Times New Roman" w:eastAsia="宋体" w:cs="Times New Roman"/>
                <w:i w:val="0"/>
                <w:iCs w:val="0"/>
                <w:color w:val="auto"/>
                <w:kern w:val="2"/>
                <w:sz w:val="21"/>
                <w:szCs w:val="21"/>
                <w:highlight w:val="none"/>
                <w:u w:val="none"/>
                <w:lang w:val="en-US" w:eastAsia="zh-CN"/>
              </w:rPr>
              <w:t>0.03</w:t>
            </w:r>
          </w:p>
        </w:tc>
        <w:tc>
          <w:tcPr>
            <w:tcW w:w="370" w:type="pct"/>
            <w:tcBorders>
              <w:top w:val="single" w:color="auto" w:sz="4" w:space="0"/>
              <w:left w:val="nil"/>
              <w:bottom w:val="single" w:color="auto" w:sz="4" w:space="0"/>
              <w:right w:val="single" w:color="auto" w:sz="4" w:space="0"/>
            </w:tcBorders>
            <w:noWrap/>
            <w:vAlign w:val="center"/>
          </w:tcPr>
          <w:p w14:paraId="746B7A0E">
            <w:pPr>
              <w:autoSpaceDE w:val="0"/>
              <w:spacing w:line="240" w:lineRule="exact"/>
              <w:jc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2"/>
                <w:sz w:val="21"/>
                <w:szCs w:val="21"/>
                <w:highlight w:val="none"/>
                <w:u w:val="none"/>
                <w:lang w:val="en-US" w:eastAsia="zh-CN"/>
              </w:rPr>
              <w:t>6</w:t>
            </w:r>
            <w:r>
              <w:rPr>
                <w:rFonts w:hint="default" w:ascii="Times New Roman" w:hAnsi="Times New Roman" w:eastAsia="宋体" w:cs="Times New Roman"/>
                <w:i w:val="0"/>
                <w:iCs w:val="0"/>
                <w:color w:val="auto"/>
                <w:kern w:val="2"/>
                <w:sz w:val="21"/>
                <w:szCs w:val="21"/>
                <w:highlight w:val="none"/>
                <w:u w:val="none"/>
                <w:lang w:val="en-US" w:eastAsia="zh-CN"/>
              </w:rPr>
              <w:t>×10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w:t>
            </w:r>
            <w:r>
              <w:rPr>
                <w:rFonts w:hint="eastAsia" w:cs="Times New Roman"/>
                <w:i w:val="0"/>
                <w:iCs w:val="0"/>
                <w:color w:val="auto"/>
                <w:kern w:val="2"/>
                <w:sz w:val="21"/>
                <w:szCs w:val="21"/>
                <w:highlight w:val="none"/>
                <w:u w:val="none"/>
                <w:vertAlign w:val="superscript"/>
                <w:lang w:val="en-US" w:eastAsia="zh-CN"/>
              </w:rPr>
              <w:t>4</w:t>
            </w:r>
          </w:p>
        </w:tc>
        <w:tc>
          <w:tcPr>
            <w:tcW w:w="322" w:type="pct"/>
            <w:tcBorders>
              <w:top w:val="single" w:color="auto" w:sz="4" w:space="0"/>
              <w:left w:val="nil"/>
              <w:bottom w:val="single" w:color="auto" w:sz="4" w:space="0"/>
              <w:right w:val="single" w:color="auto" w:sz="4" w:space="0"/>
            </w:tcBorders>
            <w:vAlign w:val="center"/>
          </w:tcPr>
          <w:p w14:paraId="56C8F3C2">
            <w:pPr>
              <w:autoSpaceDE w:val="0"/>
              <w:spacing w:line="240" w:lineRule="exact"/>
              <w:jc w:val="center"/>
              <w:rPr>
                <w:rFonts w:hint="default" w:ascii="Times New Roman" w:hAnsi="Times New Roman" w:eastAsia="宋体" w:cs="Times New Roman"/>
                <w:b/>
                <w:bCs/>
                <w:color w:val="auto"/>
                <w:sz w:val="21"/>
                <w:szCs w:val="21"/>
                <w:highlight w:val="none"/>
                <w:lang w:val="en-US"/>
              </w:rPr>
            </w:pPr>
            <w:r>
              <w:rPr>
                <w:rFonts w:hint="eastAsia" w:cs="Times New Roman"/>
                <w:i w:val="0"/>
                <w:iCs w:val="0"/>
                <w:color w:val="auto"/>
                <w:kern w:val="2"/>
                <w:sz w:val="21"/>
                <w:szCs w:val="21"/>
                <w:highlight w:val="none"/>
                <w:u w:val="none"/>
                <w:lang w:val="en-US" w:eastAsia="zh-CN"/>
              </w:rPr>
              <w:t>0.05</w:t>
            </w:r>
          </w:p>
        </w:tc>
        <w:tc>
          <w:tcPr>
            <w:tcW w:w="367" w:type="pct"/>
            <w:tcBorders>
              <w:top w:val="single" w:color="auto" w:sz="4" w:space="0"/>
              <w:left w:val="nil"/>
              <w:bottom w:val="single" w:color="auto" w:sz="4" w:space="0"/>
              <w:right w:val="single" w:color="auto" w:sz="4" w:space="0"/>
            </w:tcBorders>
            <w:noWrap/>
            <w:vAlign w:val="center"/>
          </w:tcPr>
          <w:p w14:paraId="11D52E62">
            <w:pPr>
              <w:autoSpaceDE w:val="0"/>
              <w:spacing w:line="240" w:lineRule="exact"/>
              <w:jc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2"/>
                <w:sz w:val="21"/>
                <w:szCs w:val="21"/>
                <w:highlight w:val="none"/>
                <w:u w:val="none"/>
                <w:lang w:val="en-US" w:eastAsia="zh-CN"/>
              </w:rPr>
              <w:t>6</w:t>
            </w:r>
            <w:r>
              <w:rPr>
                <w:rFonts w:hint="default" w:ascii="Times New Roman" w:hAnsi="Times New Roman" w:eastAsia="宋体" w:cs="Times New Roman"/>
                <w:i w:val="0"/>
                <w:iCs w:val="0"/>
                <w:color w:val="auto"/>
                <w:kern w:val="2"/>
                <w:sz w:val="21"/>
                <w:szCs w:val="21"/>
                <w:highlight w:val="none"/>
                <w:u w:val="none"/>
                <w:lang w:val="en-US" w:eastAsia="zh-CN"/>
              </w:rPr>
              <w:t>×10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w:t>
            </w:r>
            <w:r>
              <w:rPr>
                <w:rFonts w:hint="eastAsia" w:cs="Times New Roman"/>
                <w:i w:val="0"/>
                <w:iCs w:val="0"/>
                <w:color w:val="auto"/>
                <w:kern w:val="2"/>
                <w:sz w:val="21"/>
                <w:szCs w:val="21"/>
                <w:highlight w:val="none"/>
                <w:u w:val="none"/>
                <w:vertAlign w:val="superscript"/>
                <w:lang w:val="en-US" w:eastAsia="zh-CN"/>
              </w:rPr>
              <w:t>4</w:t>
            </w:r>
          </w:p>
        </w:tc>
        <w:tc>
          <w:tcPr>
            <w:tcW w:w="366" w:type="pct"/>
            <w:tcBorders>
              <w:top w:val="single" w:color="auto" w:sz="4" w:space="0"/>
              <w:left w:val="nil"/>
              <w:bottom w:val="single" w:color="auto" w:sz="4" w:space="0"/>
              <w:right w:val="single" w:color="auto" w:sz="4" w:space="0"/>
            </w:tcBorders>
            <w:vAlign w:val="center"/>
          </w:tcPr>
          <w:p w14:paraId="2065701D">
            <w:pPr>
              <w:autoSpaceDE w:val="0"/>
              <w:spacing w:line="240" w:lineRule="exact"/>
              <w:jc w:val="center"/>
              <w:rPr>
                <w:rFonts w:hint="default" w:ascii="Times New Roman" w:hAnsi="Times New Roman" w:eastAsia="宋体" w:cs="Times New Roman"/>
                <w:b/>
                <w:bCs/>
                <w:color w:val="auto"/>
                <w:sz w:val="21"/>
                <w:szCs w:val="21"/>
                <w:highlight w:val="none"/>
              </w:rPr>
            </w:pPr>
            <w:r>
              <w:rPr>
                <w:rFonts w:hint="eastAsia" w:cs="Times New Roman"/>
                <w:i w:val="0"/>
                <w:iCs w:val="0"/>
                <w:color w:val="auto"/>
                <w:kern w:val="2"/>
                <w:sz w:val="21"/>
                <w:szCs w:val="21"/>
                <w:highlight w:val="none"/>
                <w:u w:val="none"/>
                <w:lang w:val="en-US" w:eastAsia="zh-CN"/>
              </w:rPr>
              <w:t>0.05</w:t>
            </w:r>
          </w:p>
        </w:tc>
        <w:tc>
          <w:tcPr>
            <w:tcW w:w="366" w:type="pct"/>
            <w:gridSpan w:val="2"/>
            <w:tcBorders>
              <w:top w:val="single" w:color="auto" w:sz="4" w:space="0"/>
              <w:left w:val="nil"/>
              <w:bottom w:val="single" w:color="auto" w:sz="4" w:space="0"/>
              <w:right w:val="single" w:color="auto" w:sz="4" w:space="0"/>
            </w:tcBorders>
            <w:noWrap/>
            <w:vAlign w:val="center"/>
          </w:tcPr>
          <w:p w14:paraId="3D945F22">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9.7×10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-3</w:t>
            </w:r>
          </w:p>
        </w:tc>
        <w:tc>
          <w:tcPr>
            <w:tcW w:w="366" w:type="pct"/>
            <w:tcBorders>
              <w:top w:val="single" w:color="auto" w:sz="4" w:space="0"/>
              <w:left w:val="nil"/>
              <w:bottom w:val="single" w:color="auto" w:sz="4" w:space="0"/>
              <w:right w:val="single" w:color="auto" w:sz="4" w:space="0"/>
            </w:tcBorders>
            <w:vAlign w:val="center"/>
          </w:tcPr>
          <w:p w14:paraId="155307F1">
            <w:pPr>
              <w:autoSpaceDE w:val="0"/>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0.97</w:t>
            </w:r>
          </w:p>
        </w:tc>
        <w:tc>
          <w:tcPr>
            <w:tcW w:w="366" w:type="pct"/>
            <w:gridSpan w:val="2"/>
            <w:tcBorders>
              <w:top w:val="single" w:color="auto" w:sz="4" w:space="0"/>
              <w:left w:val="nil"/>
              <w:bottom w:val="single" w:color="auto" w:sz="4" w:space="0"/>
              <w:right w:val="single" w:color="auto" w:sz="4" w:space="0"/>
            </w:tcBorders>
            <w:noWrap/>
            <w:vAlign w:val="center"/>
          </w:tcPr>
          <w:p w14:paraId="62BB7FEA">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9.7×10</w:t>
            </w:r>
            <w:r>
              <w:rPr>
                <w:rFonts w:hint="default" w:ascii="Times New Roman" w:hAnsi="Times New Roman" w:eastAsia="宋体" w:cs="Times New Roman"/>
                <w:i w:val="0"/>
                <w:iCs w:val="0"/>
                <w:color w:val="auto"/>
                <w:kern w:val="2"/>
                <w:sz w:val="21"/>
                <w:szCs w:val="21"/>
                <w:highlight w:val="none"/>
                <w:u w:val="none"/>
                <w:vertAlign w:val="superscript"/>
                <w:lang w:val="en-US" w:eastAsia="zh-CN"/>
              </w:rPr>
              <w:t>-3</w:t>
            </w:r>
          </w:p>
        </w:tc>
        <w:tc>
          <w:tcPr>
            <w:tcW w:w="368" w:type="pct"/>
            <w:tcBorders>
              <w:top w:val="single" w:color="auto" w:sz="4" w:space="0"/>
              <w:left w:val="nil"/>
              <w:bottom w:val="single" w:color="auto" w:sz="4" w:space="0"/>
              <w:right w:val="single" w:color="auto" w:sz="4" w:space="0"/>
            </w:tcBorders>
            <w:vAlign w:val="center"/>
          </w:tcPr>
          <w:p w14:paraId="17797DFB">
            <w:pPr>
              <w:autoSpaceDE w:val="0"/>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0.97</w:t>
            </w:r>
          </w:p>
        </w:tc>
        <w:tc>
          <w:tcPr>
            <w:tcW w:w="321" w:type="pct"/>
            <w:tcBorders>
              <w:top w:val="single" w:color="auto" w:sz="4" w:space="0"/>
              <w:left w:val="nil"/>
              <w:bottom w:val="single" w:color="auto" w:sz="4" w:space="0"/>
              <w:right w:val="single" w:color="auto" w:sz="4" w:space="0"/>
            </w:tcBorders>
            <w:noWrap/>
            <w:vAlign w:val="center"/>
          </w:tcPr>
          <w:p w14:paraId="6CAAAD5E">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r>
      <w:tr w14:paraId="4BC0C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2DA1041D">
            <w:pPr>
              <w:keepNext w:val="0"/>
              <w:keepLines w:val="0"/>
              <w:widowControl/>
              <w:suppressLineNumbers w:val="0"/>
              <w:jc w:val="center"/>
              <w:textAlignment w:val="center"/>
              <w:rPr>
                <w:rFonts w:hint="default" w:ascii="Times New Roman" w:hAnsi="Times New Roman" w:eastAsia="宋体" w:cs="Times New Roman"/>
                <w:color w:val="auto"/>
                <w:spacing w:val="4"/>
                <w:positio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549" w:type="pct"/>
            <w:tcBorders>
              <w:top w:val="single" w:color="auto" w:sz="4" w:space="0"/>
              <w:left w:val="single" w:color="auto" w:sz="4" w:space="0"/>
              <w:bottom w:val="single" w:color="auto" w:sz="4" w:space="0"/>
              <w:right w:val="single" w:color="auto" w:sz="4" w:space="0"/>
            </w:tcBorders>
            <w:noWrap/>
            <w:vAlign w:val="center"/>
          </w:tcPr>
          <w:p w14:paraId="7959D2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铬</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六价</w:t>
            </w:r>
            <w:r>
              <w:rPr>
                <w:rFonts w:hint="default" w:ascii="Times New Roman" w:hAnsi="Times New Roman" w:cs="Times New Roman"/>
                <w:i w:val="0"/>
                <w:iCs w:val="0"/>
                <w:color w:val="auto"/>
                <w:kern w:val="0"/>
                <w:sz w:val="21"/>
                <w:szCs w:val="21"/>
                <w:highlight w:val="none"/>
                <w:u w:val="none"/>
                <w:lang w:val="en-US" w:eastAsia="zh-CN" w:bidi="ar"/>
              </w:rPr>
              <w:t>）</w:t>
            </w:r>
          </w:p>
        </w:tc>
        <w:tc>
          <w:tcPr>
            <w:tcW w:w="448" w:type="pct"/>
            <w:tcBorders>
              <w:top w:val="single" w:color="auto" w:sz="4" w:space="0"/>
              <w:left w:val="nil"/>
              <w:bottom w:val="single" w:color="auto" w:sz="4" w:space="0"/>
              <w:right w:val="single" w:color="auto" w:sz="4" w:space="0"/>
            </w:tcBorders>
            <w:noWrap/>
            <w:vAlign w:val="center"/>
          </w:tcPr>
          <w:p w14:paraId="6EF46EB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083ECAA4">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＜0.004</w:t>
            </w:r>
          </w:p>
        </w:tc>
        <w:tc>
          <w:tcPr>
            <w:tcW w:w="291" w:type="pct"/>
            <w:tcBorders>
              <w:top w:val="single" w:color="auto" w:sz="4" w:space="0"/>
              <w:left w:val="nil"/>
              <w:bottom w:val="single" w:color="auto" w:sz="4" w:space="0"/>
              <w:right w:val="single" w:color="auto" w:sz="4" w:space="0"/>
            </w:tcBorders>
            <w:shd w:val="clear" w:color="auto" w:fill="auto"/>
            <w:vAlign w:val="center"/>
          </w:tcPr>
          <w:p w14:paraId="0C67BDB0">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＜0.08</w:t>
            </w:r>
          </w:p>
        </w:tc>
        <w:tc>
          <w:tcPr>
            <w:tcW w:w="370" w:type="pct"/>
            <w:tcBorders>
              <w:top w:val="single" w:color="auto" w:sz="4" w:space="0"/>
              <w:left w:val="nil"/>
              <w:bottom w:val="single" w:color="auto" w:sz="4" w:space="0"/>
              <w:right w:val="single" w:color="auto" w:sz="4" w:space="0"/>
            </w:tcBorders>
            <w:noWrap/>
            <w:vAlign w:val="center"/>
          </w:tcPr>
          <w:p w14:paraId="02BBD5B7">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＜0.004</w:t>
            </w:r>
          </w:p>
        </w:tc>
        <w:tc>
          <w:tcPr>
            <w:tcW w:w="322" w:type="pct"/>
            <w:tcBorders>
              <w:top w:val="single" w:color="auto" w:sz="4" w:space="0"/>
              <w:left w:val="nil"/>
              <w:bottom w:val="single" w:color="auto" w:sz="4" w:space="0"/>
              <w:right w:val="single" w:color="auto" w:sz="4" w:space="0"/>
            </w:tcBorders>
            <w:vAlign w:val="center"/>
          </w:tcPr>
          <w:p w14:paraId="5346B74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＜0.08</w:t>
            </w:r>
          </w:p>
        </w:tc>
        <w:tc>
          <w:tcPr>
            <w:tcW w:w="367" w:type="pct"/>
            <w:tcBorders>
              <w:top w:val="single" w:color="auto" w:sz="4" w:space="0"/>
              <w:left w:val="nil"/>
              <w:bottom w:val="single" w:color="auto" w:sz="4" w:space="0"/>
              <w:right w:val="single" w:color="auto" w:sz="4" w:space="0"/>
            </w:tcBorders>
            <w:noWrap/>
            <w:vAlign w:val="center"/>
          </w:tcPr>
          <w:p w14:paraId="525CD5DF">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＜0.004</w:t>
            </w:r>
          </w:p>
        </w:tc>
        <w:tc>
          <w:tcPr>
            <w:tcW w:w="366" w:type="pct"/>
            <w:tcBorders>
              <w:top w:val="single" w:color="auto" w:sz="4" w:space="0"/>
              <w:left w:val="nil"/>
              <w:bottom w:val="single" w:color="auto" w:sz="4" w:space="0"/>
              <w:right w:val="single" w:color="auto" w:sz="4" w:space="0"/>
            </w:tcBorders>
            <w:vAlign w:val="center"/>
          </w:tcPr>
          <w:p w14:paraId="50F6E1CA">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＜0.08</w:t>
            </w:r>
          </w:p>
        </w:tc>
        <w:tc>
          <w:tcPr>
            <w:tcW w:w="366" w:type="pct"/>
            <w:gridSpan w:val="2"/>
            <w:tcBorders>
              <w:top w:val="single" w:color="auto" w:sz="4" w:space="0"/>
              <w:left w:val="nil"/>
              <w:bottom w:val="single" w:color="auto" w:sz="4" w:space="0"/>
              <w:right w:val="single" w:color="auto" w:sz="4" w:space="0"/>
            </w:tcBorders>
            <w:noWrap/>
            <w:vAlign w:val="center"/>
          </w:tcPr>
          <w:p w14:paraId="3B43F6D1">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＜0.004</w:t>
            </w:r>
          </w:p>
        </w:tc>
        <w:tc>
          <w:tcPr>
            <w:tcW w:w="366" w:type="pct"/>
            <w:tcBorders>
              <w:top w:val="single" w:color="auto" w:sz="4" w:space="0"/>
              <w:left w:val="nil"/>
              <w:bottom w:val="single" w:color="auto" w:sz="4" w:space="0"/>
              <w:right w:val="single" w:color="auto" w:sz="4" w:space="0"/>
            </w:tcBorders>
            <w:vAlign w:val="center"/>
          </w:tcPr>
          <w:p w14:paraId="2A7969AA">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＜0.08</w:t>
            </w:r>
          </w:p>
        </w:tc>
        <w:tc>
          <w:tcPr>
            <w:tcW w:w="366" w:type="pct"/>
            <w:gridSpan w:val="2"/>
            <w:tcBorders>
              <w:top w:val="single" w:color="auto" w:sz="4" w:space="0"/>
              <w:left w:val="nil"/>
              <w:bottom w:val="single" w:color="auto" w:sz="4" w:space="0"/>
              <w:right w:val="single" w:color="auto" w:sz="4" w:space="0"/>
            </w:tcBorders>
            <w:noWrap/>
            <w:vAlign w:val="center"/>
          </w:tcPr>
          <w:p w14:paraId="2244E161">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＜0.004</w:t>
            </w:r>
          </w:p>
        </w:tc>
        <w:tc>
          <w:tcPr>
            <w:tcW w:w="368" w:type="pct"/>
            <w:tcBorders>
              <w:top w:val="single" w:color="auto" w:sz="4" w:space="0"/>
              <w:left w:val="nil"/>
              <w:bottom w:val="single" w:color="auto" w:sz="4" w:space="0"/>
              <w:right w:val="single" w:color="auto" w:sz="4" w:space="0"/>
            </w:tcBorders>
            <w:vAlign w:val="center"/>
          </w:tcPr>
          <w:p w14:paraId="18DB9BF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＜0.08</w:t>
            </w:r>
          </w:p>
        </w:tc>
        <w:tc>
          <w:tcPr>
            <w:tcW w:w="321" w:type="pct"/>
            <w:tcBorders>
              <w:top w:val="single" w:color="auto" w:sz="4" w:space="0"/>
              <w:left w:val="nil"/>
              <w:bottom w:val="single" w:color="auto" w:sz="4" w:space="0"/>
              <w:right w:val="single" w:color="auto" w:sz="4" w:space="0"/>
            </w:tcBorders>
            <w:noWrap/>
            <w:vAlign w:val="center"/>
          </w:tcPr>
          <w:p w14:paraId="6342DC35">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r>
      <w:tr w14:paraId="530113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094C26">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889F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总硬度</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0F26A98C">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2E460DCF">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i w:val="0"/>
                <w:iCs w:val="0"/>
                <w:color w:val="auto"/>
                <w:kern w:val="0"/>
                <w:sz w:val="21"/>
                <w:szCs w:val="21"/>
                <w:highlight w:val="none"/>
                <w:u w:val="none"/>
                <w:lang w:val="en-US" w:eastAsia="zh-CN" w:bidi="ar"/>
              </w:rPr>
              <w:t>3.36</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Times New Roman" w:hAnsi="Times New Roman" w:eastAsia="宋体" w:cs="Times New Roman"/>
                <w:b/>
                <w:bCs/>
                <w:i w:val="0"/>
                <w:iCs w:val="0"/>
                <w:color w:val="auto"/>
                <w:kern w:val="0"/>
                <w:sz w:val="21"/>
                <w:szCs w:val="21"/>
                <w:highlight w:val="none"/>
                <w:u w:val="none"/>
                <w:lang w:val="en-US" w:eastAsia="zh-CN" w:bidi="ar"/>
              </w:rPr>
              <w:t>10</w:t>
            </w:r>
            <w:r>
              <w:rPr>
                <w:rFonts w:hint="eastAsia"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291" w:type="pct"/>
            <w:tcBorders>
              <w:top w:val="single" w:color="auto" w:sz="4" w:space="0"/>
              <w:left w:val="nil"/>
              <w:bottom w:val="single" w:color="auto" w:sz="4" w:space="0"/>
              <w:right w:val="single" w:color="auto" w:sz="4" w:space="0"/>
            </w:tcBorders>
            <w:shd w:val="clear" w:color="auto" w:fill="auto"/>
            <w:vAlign w:val="center"/>
          </w:tcPr>
          <w:p w14:paraId="49847A8B">
            <w:pPr>
              <w:autoSpaceDE w:val="0"/>
              <w:spacing w:line="240" w:lineRule="exact"/>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7.47</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106E7144">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1.76×</w:t>
            </w:r>
            <w:r>
              <w:rPr>
                <w:rFonts w:hint="eastAsia" w:ascii="Times New Roman" w:hAnsi="Times New Roman" w:eastAsia="宋体" w:cs="Times New Roman"/>
                <w:b/>
                <w:bCs/>
                <w:i w:val="0"/>
                <w:iCs w:val="0"/>
                <w:color w:val="auto"/>
                <w:kern w:val="0"/>
                <w:sz w:val="21"/>
                <w:szCs w:val="21"/>
                <w:highlight w:val="none"/>
                <w:u w:val="none"/>
                <w:lang w:val="en-US" w:eastAsia="zh-CN" w:bidi="ar"/>
              </w:rPr>
              <w:t>10</w:t>
            </w:r>
            <w:r>
              <w:rPr>
                <w:rFonts w:hint="eastAsia"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22" w:type="pct"/>
            <w:tcBorders>
              <w:top w:val="single" w:color="auto" w:sz="4" w:space="0"/>
              <w:left w:val="nil"/>
              <w:bottom w:val="single" w:color="auto" w:sz="4" w:space="0"/>
              <w:right w:val="single" w:color="auto" w:sz="4" w:space="0"/>
            </w:tcBorders>
            <w:shd w:val="clear" w:color="auto" w:fill="auto"/>
            <w:vAlign w:val="center"/>
          </w:tcPr>
          <w:p w14:paraId="372FEA73">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3.91</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43AAAC89">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831</w:t>
            </w:r>
          </w:p>
        </w:tc>
        <w:tc>
          <w:tcPr>
            <w:tcW w:w="366" w:type="pct"/>
            <w:tcBorders>
              <w:top w:val="single" w:color="auto" w:sz="4" w:space="0"/>
              <w:left w:val="nil"/>
              <w:bottom w:val="single" w:color="auto" w:sz="4" w:space="0"/>
              <w:right w:val="single" w:color="auto" w:sz="4" w:space="0"/>
            </w:tcBorders>
            <w:shd w:val="clear" w:color="auto" w:fill="auto"/>
            <w:vAlign w:val="center"/>
          </w:tcPr>
          <w:p w14:paraId="6DD4BA64">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1.84</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7F0873C6">
            <w:pPr>
              <w:autoSpaceDE w:val="0"/>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87</w:t>
            </w:r>
          </w:p>
        </w:tc>
        <w:tc>
          <w:tcPr>
            <w:tcW w:w="366" w:type="pct"/>
            <w:tcBorders>
              <w:top w:val="single" w:color="auto" w:sz="4" w:space="0"/>
              <w:left w:val="nil"/>
              <w:bottom w:val="single" w:color="auto" w:sz="4" w:space="0"/>
              <w:right w:val="single" w:color="auto" w:sz="4" w:space="0"/>
            </w:tcBorders>
            <w:shd w:val="clear" w:color="auto" w:fill="auto"/>
            <w:vAlign w:val="center"/>
          </w:tcPr>
          <w:p w14:paraId="0115A7F0">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i w:val="0"/>
                <w:iCs w:val="0"/>
                <w:color w:val="auto"/>
                <w:kern w:val="2"/>
                <w:sz w:val="21"/>
                <w:szCs w:val="21"/>
                <w:highlight w:val="none"/>
                <w:u w:val="none"/>
                <w:lang w:val="en-US" w:eastAsia="zh-CN"/>
              </w:rPr>
              <w:t>0.193</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0D5690F4">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rPr>
            </w:pPr>
            <w:r>
              <w:rPr>
                <w:rFonts w:hint="eastAsia" w:cs="Times New Roman"/>
                <w:b/>
                <w:bCs/>
                <w:i w:val="0"/>
                <w:iCs w:val="0"/>
                <w:color w:val="auto"/>
                <w:kern w:val="0"/>
                <w:sz w:val="21"/>
                <w:szCs w:val="21"/>
                <w:highlight w:val="none"/>
                <w:u w:val="none"/>
                <w:lang w:val="en-US" w:eastAsia="zh-CN" w:bidi="ar"/>
              </w:rPr>
              <w:t>1.99</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Times New Roman" w:hAnsi="Times New Roman" w:eastAsia="宋体" w:cs="Times New Roman"/>
                <w:b/>
                <w:bCs/>
                <w:i w:val="0"/>
                <w:iCs w:val="0"/>
                <w:color w:val="auto"/>
                <w:kern w:val="0"/>
                <w:sz w:val="21"/>
                <w:szCs w:val="21"/>
                <w:highlight w:val="none"/>
                <w:u w:val="none"/>
                <w:lang w:val="en-US" w:eastAsia="zh-CN" w:bidi="ar"/>
              </w:rPr>
              <w:t>10</w:t>
            </w:r>
            <w:r>
              <w:rPr>
                <w:rFonts w:hint="eastAsia"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68" w:type="pct"/>
            <w:tcBorders>
              <w:top w:val="single" w:color="auto" w:sz="4" w:space="0"/>
              <w:left w:val="nil"/>
              <w:bottom w:val="single" w:color="auto" w:sz="4" w:space="0"/>
              <w:right w:val="single" w:color="auto" w:sz="4" w:space="0"/>
            </w:tcBorders>
            <w:shd w:val="clear" w:color="auto" w:fill="auto"/>
            <w:vAlign w:val="center"/>
          </w:tcPr>
          <w:p w14:paraId="3B0E3B23">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rPr>
            </w:pPr>
            <w:r>
              <w:rPr>
                <w:rFonts w:hint="eastAsia" w:cs="Times New Roman"/>
                <w:b/>
                <w:bCs/>
                <w:i w:val="0"/>
                <w:iCs w:val="0"/>
                <w:color w:val="auto"/>
                <w:kern w:val="0"/>
                <w:sz w:val="21"/>
                <w:szCs w:val="21"/>
                <w:highlight w:val="none"/>
                <w:u w:val="none"/>
                <w:lang w:val="en-US" w:eastAsia="zh-CN" w:bidi="ar"/>
              </w:rPr>
              <w:t>4.42</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6B0087FE">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r>
      <w:tr w14:paraId="11CA11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E368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6B24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铅</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309C083B">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48D75B5E">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&lt;2.5×10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291" w:type="pct"/>
            <w:tcBorders>
              <w:top w:val="single" w:color="auto" w:sz="4" w:space="0"/>
              <w:left w:val="nil"/>
              <w:bottom w:val="single" w:color="auto" w:sz="4" w:space="0"/>
              <w:right w:val="single" w:color="auto" w:sz="4" w:space="0"/>
            </w:tcBorders>
            <w:shd w:val="clear" w:color="auto" w:fill="auto"/>
            <w:vAlign w:val="center"/>
          </w:tcPr>
          <w:p w14:paraId="240B7190">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&lt;0.25</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2AA84E44">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&lt;2.5×10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22" w:type="pct"/>
            <w:tcBorders>
              <w:top w:val="single" w:color="auto" w:sz="4" w:space="0"/>
              <w:left w:val="nil"/>
              <w:bottom w:val="single" w:color="auto" w:sz="4" w:space="0"/>
              <w:right w:val="single" w:color="auto" w:sz="4" w:space="0"/>
            </w:tcBorders>
            <w:shd w:val="clear" w:color="auto" w:fill="auto"/>
            <w:vAlign w:val="center"/>
          </w:tcPr>
          <w:p w14:paraId="7CAFAE8E">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&lt;0.25</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7868C2F1">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&lt;2.5×10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66" w:type="pct"/>
            <w:tcBorders>
              <w:top w:val="single" w:color="auto" w:sz="4" w:space="0"/>
              <w:left w:val="nil"/>
              <w:bottom w:val="single" w:color="auto" w:sz="4" w:space="0"/>
              <w:right w:val="single" w:color="auto" w:sz="4" w:space="0"/>
            </w:tcBorders>
            <w:shd w:val="clear" w:color="auto" w:fill="auto"/>
            <w:vAlign w:val="center"/>
          </w:tcPr>
          <w:p w14:paraId="6DE72690">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&lt;0.25</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47F4E1E8">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66" w:type="pct"/>
            <w:tcBorders>
              <w:top w:val="single" w:color="auto" w:sz="4" w:space="0"/>
              <w:left w:val="nil"/>
              <w:bottom w:val="single" w:color="auto" w:sz="4" w:space="0"/>
              <w:right w:val="single" w:color="auto" w:sz="4" w:space="0"/>
            </w:tcBorders>
            <w:shd w:val="clear" w:color="auto" w:fill="auto"/>
            <w:vAlign w:val="center"/>
          </w:tcPr>
          <w:p w14:paraId="455D69C7">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0.52</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27BA02F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68" w:type="pct"/>
            <w:tcBorders>
              <w:top w:val="single" w:color="auto" w:sz="4" w:space="0"/>
              <w:left w:val="nil"/>
              <w:bottom w:val="single" w:color="auto" w:sz="4" w:space="0"/>
              <w:right w:val="single" w:color="auto" w:sz="4" w:space="0"/>
            </w:tcBorders>
            <w:shd w:val="clear" w:color="auto" w:fill="auto"/>
            <w:vAlign w:val="center"/>
          </w:tcPr>
          <w:p w14:paraId="03DA9C4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0.53</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6CD9ADA7">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r>
      <w:tr w14:paraId="648A6B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C177EA">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F793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600D8BF6">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734428E4">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0.23</w:t>
            </w:r>
          </w:p>
        </w:tc>
        <w:tc>
          <w:tcPr>
            <w:tcW w:w="291" w:type="pct"/>
            <w:tcBorders>
              <w:top w:val="single" w:color="auto" w:sz="4" w:space="0"/>
              <w:left w:val="nil"/>
              <w:bottom w:val="single" w:color="auto" w:sz="4" w:space="0"/>
              <w:right w:val="single" w:color="auto" w:sz="4" w:space="0"/>
            </w:tcBorders>
            <w:shd w:val="clear" w:color="auto" w:fill="auto"/>
            <w:vAlign w:val="center"/>
          </w:tcPr>
          <w:p w14:paraId="0DD33EDE">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0.23</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36EDB116">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0.97</w:t>
            </w:r>
          </w:p>
        </w:tc>
        <w:tc>
          <w:tcPr>
            <w:tcW w:w="322" w:type="pct"/>
            <w:tcBorders>
              <w:top w:val="single" w:color="auto" w:sz="4" w:space="0"/>
              <w:left w:val="nil"/>
              <w:bottom w:val="single" w:color="auto" w:sz="4" w:space="0"/>
              <w:right w:val="single" w:color="auto" w:sz="4" w:space="0"/>
            </w:tcBorders>
            <w:shd w:val="clear" w:color="auto" w:fill="auto"/>
            <w:vAlign w:val="center"/>
          </w:tcPr>
          <w:p w14:paraId="4C5BB850">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0.97</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0845FE11">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rPr>
            </w:pPr>
            <w:r>
              <w:rPr>
                <w:rFonts w:hint="default" w:ascii="Times New Roman" w:hAnsi="Times New Roman" w:eastAsia="宋体" w:cs="Times New Roman"/>
                <w:b/>
                <w:bCs/>
                <w:i w:val="0"/>
                <w:iCs w:val="0"/>
                <w:color w:val="auto"/>
                <w:kern w:val="2"/>
                <w:sz w:val="21"/>
                <w:szCs w:val="21"/>
                <w:highlight w:val="none"/>
                <w:u w:val="none"/>
                <w:lang w:val="en-US" w:eastAsia="zh-CN"/>
              </w:rPr>
              <w:t>1.09</w:t>
            </w:r>
          </w:p>
        </w:tc>
        <w:tc>
          <w:tcPr>
            <w:tcW w:w="366" w:type="pct"/>
            <w:tcBorders>
              <w:top w:val="single" w:color="auto" w:sz="4" w:space="0"/>
              <w:left w:val="nil"/>
              <w:bottom w:val="single" w:color="auto" w:sz="4" w:space="0"/>
              <w:right w:val="single" w:color="auto" w:sz="4" w:space="0"/>
            </w:tcBorders>
            <w:shd w:val="clear" w:color="auto" w:fill="auto"/>
            <w:vAlign w:val="center"/>
          </w:tcPr>
          <w:p w14:paraId="18F08ADB">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rPr>
            </w:pPr>
            <w:r>
              <w:rPr>
                <w:rFonts w:hint="default" w:ascii="Times New Roman" w:hAnsi="Times New Roman" w:eastAsia="宋体" w:cs="Times New Roman"/>
                <w:b/>
                <w:bCs/>
                <w:i w:val="0"/>
                <w:iCs w:val="0"/>
                <w:color w:val="auto"/>
                <w:kern w:val="2"/>
                <w:sz w:val="21"/>
                <w:szCs w:val="21"/>
                <w:highlight w:val="none"/>
                <w:u w:val="none"/>
                <w:lang w:val="en-US" w:eastAsia="zh-CN"/>
              </w:rPr>
              <w:t>1.09</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02F3BFC1">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0.50</w:t>
            </w:r>
          </w:p>
        </w:tc>
        <w:tc>
          <w:tcPr>
            <w:tcW w:w="366" w:type="pct"/>
            <w:tcBorders>
              <w:top w:val="single" w:color="auto" w:sz="4" w:space="0"/>
              <w:left w:val="nil"/>
              <w:bottom w:val="single" w:color="auto" w:sz="4" w:space="0"/>
              <w:right w:val="single" w:color="auto" w:sz="4" w:space="0"/>
            </w:tcBorders>
            <w:shd w:val="clear" w:color="auto" w:fill="auto"/>
            <w:vAlign w:val="center"/>
          </w:tcPr>
          <w:p w14:paraId="3AEEF36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i w:val="0"/>
                <w:iCs w:val="0"/>
                <w:color w:val="auto"/>
                <w:kern w:val="2"/>
                <w:sz w:val="21"/>
                <w:szCs w:val="21"/>
                <w:highlight w:val="none"/>
                <w:u w:val="none"/>
                <w:lang w:val="en-US" w:eastAsia="zh-CN"/>
              </w:rPr>
              <w:t>0.5</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1BE1334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0.58</w:t>
            </w:r>
          </w:p>
        </w:tc>
        <w:tc>
          <w:tcPr>
            <w:tcW w:w="368" w:type="pct"/>
            <w:tcBorders>
              <w:top w:val="single" w:color="auto" w:sz="4" w:space="0"/>
              <w:left w:val="nil"/>
              <w:bottom w:val="single" w:color="auto" w:sz="4" w:space="0"/>
              <w:right w:val="single" w:color="auto" w:sz="4" w:space="0"/>
            </w:tcBorders>
            <w:shd w:val="clear" w:color="auto" w:fill="auto"/>
            <w:vAlign w:val="center"/>
          </w:tcPr>
          <w:p w14:paraId="0B7BA1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0.58</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5C0C951C">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5ACFFE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661A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61BF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镉</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65D5649E">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0"/>
                <w:sz w:val="21"/>
                <w:szCs w:val="21"/>
                <w:highlight w:val="none"/>
              </w:rPr>
              <w:t>M</w:t>
            </w:r>
            <w:r>
              <w:rPr>
                <w:rFonts w:hint="default" w:ascii="Times New Roman" w:hAnsi="Times New Roman" w:eastAsia="宋体" w:cs="Times New Roman"/>
                <w:color w:val="auto"/>
                <w:sz w:val="21"/>
                <w:szCs w:val="21"/>
                <w:highlight w:val="none"/>
              </w:rPr>
              <w:t>PN/L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665F08B5">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&lt;5×10</w:t>
            </w:r>
            <w:r>
              <w:rPr>
                <w:rFonts w:hint="eastAsia" w:ascii="Times New Roman" w:hAnsi="Times New Roman" w:eastAsia="宋体" w:cs="Times New Roman"/>
                <w:i w:val="0"/>
                <w:iCs w:val="0"/>
                <w:color w:val="auto"/>
                <w:kern w:val="2"/>
                <w:sz w:val="21"/>
                <w:szCs w:val="21"/>
                <w:highlight w:val="none"/>
                <w:u w:val="none"/>
                <w:vertAlign w:val="superscript"/>
                <w:lang w:val="en-US" w:eastAsia="zh-CN"/>
              </w:rPr>
              <w:t>-4</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35C138DB">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&lt;0.1</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5331C70D">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&lt;5×10</w:t>
            </w:r>
            <w:r>
              <w:rPr>
                <w:rFonts w:hint="eastAsia" w:ascii="Times New Roman" w:hAnsi="Times New Roman" w:eastAsia="宋体" w:cs="Times New Roman"/>
                <w:i w:val="0"/>
                <w:iCs w:val="0"/>
                <w:color w:val="auto"/>
                <w:kern w:val="2"/>
                <w:sz w:val="21"/>
                <w:szCs w:val="21"/>
                <w:highlight w:val="none"/>
                <w:u w:val="none"/>
                <w:vertAlign w:val="superscript"/>
                <w:lang w:val="en-US" w:eastAsia="zh-CN"/>
              </w:rPr>
              <w:t>-4</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53662B61">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&lt;0.1</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2447A81D">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&lt;5×10</w:t>
            </w:r>
            <w:r>
              <w:rPr>
                <w:rFonts w:hint="eastAsia" w:ascii="Times New Roman" w:hAnsi="Times New Roman" w:eastAsia="宋体" w:cs="Times New Roman"/>
                <w:i w:val="0"/>
                <w:iCs w:val="0"/>
                <w:color w:val="auto"/>
                <w:kern w:val="2"/>
                <w:sz w:val="21"/>
                <w:szCs w:val="21"/>
                <w:highlight w:val="none"/>
                <w:u w:val="none"/>
                <w:vertAlign w:val="superscript"/>
                <w:lang w:val="en-US" w:eastAsia="zh-CN"/>
              </w:rPr>
              <w:t>-4</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3AA03592">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&lt;0.1</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6F112692">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4439935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0.16</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790AA26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-4</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7065BF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0.18</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64313F8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r>
      <w:tr w14:paraId="1A513A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8213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8D84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铁</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1C7C8492">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CFU/ml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07ECC44D">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0.06</w:t>
            </w:r>
          </w:p>
        </w:tc>
        <w:tc>
          <w:tcPr>
            <w:tcW w:w="291" w:type="pct"/>
            <w:tcBorders>
              <w:top w:val="single" w:color="auto" w:sz="4" w:space="0"/>
              <w:left w:val="nil"/>
              <w:bottom w:val="single" w:color="auto" w:sz="4" w:space="0"/>
              <w:right w:val="single" w:color="auto" w:sz="4" w:space="0"/>
            </w:tcBorders>
            <w:shd w:val="clear" w:color="auto" w:fill="auto"/>
            <w:vAlign w:val="center"/>
          </w:tcPr>
          <w:p w14:paraId="729BC5F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005C42E0">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0.24</w:t>
            </w:r>
          </w:p>
        </w:tc>
        <w:tc>
          <w:tcPr>
            <w:tcW w:w="322" w:type="pct"/>
            <w:tcBorders>
              <w:top w:val="single" w:color="auto" w:sz="4" w:space="0"/>
              <w:left w:val="nil"/>
              <w:bottom w:val="single" w:color="auto" w:sz="4" w:space="0"/>
              <w:right w:val="single" w:color="auto" w:sz="4" w:space="0"/>
            </w:tcBorders>
            <w:shd w:val="clear" w:color="auto" w:fill="auto"/>
            <w:vAlign w:val="center"/>
          </w:tcPr>
          <w:p w14:paraId="603A322C">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0.8</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238456FC">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0.18</w:t>
            </w:r>
          </w:p>
        </w:tc>
        <w:tc>
          <w:tcPr>
            <w:tcW w:w="366" w:type="pct"/>
            <w:tcBorders>
              <w:top w:val="single" w:color="auto" w:sz="4" w:space="0"/>
              <w:left w:val="nil"/>
              <w:bottom w:val="single" w:color="auto" w:sz="4" w:space="0"/>
              <w:right w:val="single" w:color="auto" w:sz="4" w:space="0"/>
            </w:tcBorders>
            <w:shd w:val="clear" w:color="auto" w:fill="auto"/>
            <w:vAlign w:val="center"/>
          </w:tcPr>
          <w:p w14:paraId="4D219633">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0.6</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1FE162F0">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0.20</w:t>
            </w:r>
          </w:p>
        </w:tc>
        <w:tc>
          <w:tcPr>
            <w:tcW w:w="366" w:type="pct"/>
            <w:tcBorders>
              <w:top w:val="single" w:color="auto" w:sz="4" w:space="0"/>
              <w:left w:val="nil"/>
              <w:bottom w:val="single" w:color="auto" w:sz="4" w:space="0"/>
              <w:right w:val="single" w:color="auto" w:sz="4" w:space="0"/>
            </w:tcBorders>
            <w:shd w:val="clear" w:color="auto" w:fill="auto"/>
            <w:vAlign w:val="center"/>
          </w:tcPr>
          <w:p w14:paraId="6A598A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0.667</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4FDBB1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0.05</w:t>
            </w:r>
          </w:p>
        </w:tc>
        <w:tc>
          <w:tcPr>
            <w:tcW w:w="368" w:type="pct"/>
            <w:tcBorders>
              <w:top w:val="single" w:color="auto" w:sz="4" w:space="0"/>
              <w:left w:val="nil"/>
              <w:bottom w:val="single" w:color="auto" w:sz="4" w:space="0"/>
              <w:right w:val="single" w:color="auto" w:sz="4" w:space="0"/>
            </w:tcBorders>
            <w:shd w:val="clear" w:color="auto" w:fill="auto"/>
            <w:vAlign w:val="center"/>
          </w:tcPr>
          <w:p w14:paraId="20D3C2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0.17</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15F78B91">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r>
      <w:tr w14:paraId="522E72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94B0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9CF8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锰</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581FC3E6">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4BD2BC98">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0.03</w:t>
            </w:r>
          </w:p>
        </w:tc>
        <w:tc>
          <w:tcPr>
            <w:tcW w:w="291" w:type="pct"/>
            <w:tcBorders>
              <w:top w:val="single" w:color="auto" w:sz="4" w:space="0"/>
              <w:left w:val="nil"/>
              <w:bottom w:val="single" w:color="auto" w:sz="4" w:space="0"/>
              <w:right w:val="single" w:color="auto" w:sz="4" w:space="0"/>
            </w:tcBorders>
            <w:shd w:val="clear" w:color="auto" w:fill="auto"/>
            <w:vAlign w:val="center"/>
          </w:tcPr>
          <w:p w14:paraId="79ECCB2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599543C8">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0.07</w:t>
            </w:r>
          </w:p>
        </w:tc>
        <w:tc>
          <w:tcPr>
            <w:tcW w:w="322" w:type="pct"/>
            <w:tcBorders>
              <w:top w:val="single" w:color="auto" w:sz="4" w:space="0"/>
              <w:left w:val="nil"/>
              <w:bottom w:val="single" w:color="auto" w:sz="4" w:space="0"/>
              <w:right w:val="single" w:color="auto" w:sz="4" w:space="0"/>
            </w:tcBorders>
            <w:shd w:val="clear" w:color="auto" w:fill="auto"/>
            <w:vAlign w:val="center"/>
          </w:tcPr>
          <w:p w14:paraId="538BBE80">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0.7</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3E116F99">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0.05</w:t>
            </w:r>
          </w:p>
        </w:tc>
        <w:tc>
          <w:tcPr>
            <w:tcW w:w="366" w:type="pct"/>
            <w:tcBorders>
              <w:top w:val="single" w:color="auto" w:sz="4" w:space="0"/>
              <w:left w:val="nil"/>
              <w:bottom w:val="single" w:color="auto" w:sz="4" w:space="0"/>
              <w:right w:val="single" w:color="auto" w:sz="4" w:space="0"/>
            </w:tcBorders>
            <w:shd w:val="clear" w:color="auto" w:fill="auto"/>
            <w:vAlign w:val="center"/>
          </w:tcPr>
          <w:p w14:paraId="594B2F09">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0.5</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27FAB76D">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366" w:type="pct"/>
            <w:tcBorders>
              <w:top w:val="single" w:color="auto" w:sz="4" w:space="0"/>
              <w:left w:val="nil"/>
              <w:bottom w:val="single" w:color="auto" w:sz="4" w:space="0"/>
              <w:right w:val="single" w:color="auto" w:sz="4" w:space="0"/>
            </w:tcBorders>
            <w:shd w:val="clear" w:color="auto" w:fill="auto"/>
            <w:vAlign w:val="center"/>
          </w:tcPr>
          <w:p w14:paraId="1A60AC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＜0.1</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1F455BE4">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rPr>
            </w:pPr>
            <w:r>
              <w:rPr>
                <w:rFonts w:hint="eastAsia" w:cs="Times New Roman"/>
                <w:b/>
                <w:bCs/>
                <w:i w:val="0"/>
                <w:iCs w:val="0"/>
                <w:color w:val="auto"/>
                <w:kern w:val="0"/>
                <w:sz w:val="21"/>
                <w:szCs w:val="21"/>
                <w:highlight w:val="none"/>
                <w:u w:val="none"/>
                <w:lang w:val="en-US" w:eastAsia="zh-CN" w:bidi="ar"/>
              </w:rPr>
              <w:t>0.32</w:t>
            </w:r>
          </w:p>
        </w:tc>
        <w:tc>
          <w:tcPr>
            <w:tcW w:w="368" w:type="pct"/>
            <w:tcBorders>
              <w:top w:val="single" w:color="auto" w:sz="4" w:space="0"/>
              <w:left w:val="nil"/>
              <w:bottom w:val="single" w:color="auto" w:sz="4" w:space="0"/>
              <w:right w:val="single" w:color="auto" w:sz="4" w:space="0"/>
            </w:tcBorders>
            <w:shd w:val="clear" w:color="auto" w:fill="auto"/>
            <w:vAlign w:val="center"/>
          </w:tcPr>
          <w:p w14:paraId="6E2227CA">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rPr>
            </w:pPr>
            <w:r>
              <w:rPr>
                <w:rFonts w:hint="eastAsia" w:cs="Times New Roman"/>
                <w:b/>
                <w:bCs/>
                <w:i w:val="0"/>
                <w:iCs w:val="0"/>
                <w:color w:val="auto"/>
                <w:kern w:val="0"/>
                <w:sz w:val="21"/>
                <w:szCs w:val="21"/>
                <w:highlight w:val="none"/>
                <w:u w:val="none"/>
                <w:lang w:val="en-US" w:eastAsia="zh-CN" w:bidi="ar"/>
              </w:rPr>
              <w:t>3.2</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4AB3BFB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r>
      <w:tr w14:paraId="593628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4FDB48">
            <w:pPr>
              <w:keepNext w:val="0"/>
              <w:keepLines w:val="0"/>
              <w:widowControl/>
              <w:suppressLineNumbers w:val="0"/>
              <w:jc w:val="center"/>
              <w:textAlignment w:val="center"/>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8EE0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溶解性总固体</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52617509">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45FC5A5C">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i w:val="0"/>
                <w:iCs w:val="0"/>
                <w:color w:val="auto"/>
                <w:kern w:val="2"/>
                <w:sz w:val="21"/>
                <w:szCs w:val="21"/>
                <w:highlight w:val="none"/>
                <w:u w:val="none"/>
                <w:lang w:val="en-US" w:eastAsia="zh-CN"/>
              </w:rPr>
              <w:t>1.3</w:t>
            </w:r>
            <w:r>
              <w:rPr>
                <w:rFonts w:hint="default" w:ascii="Times New Roman" w:hAnsi="Times New Roman" w:eastAsia="宋体" w:cs="Times New Roman"/>
                <w:b/>
                <w:bCs/>
                <w:i w:val="0"/>
                <w:iCs w:val="0"/>
                <w:color w:val="auto"/>
                <w:kern w:val="2"/>
                <w:sz w:val="21"/>
                <w:szCs w:val="21"/>
                <w:highlight w:val="none"/>
                <w:u w:val="none"/>
                <w:lang w:val="en-US" w:eastAsia="zh-CN"/>
              </w:rPr>
              <w:t>×10</w:t>
            </w:r>
            <w:r>
              <w:rPr>
                <w:rFonts w:hint="eastAsia" w:ascii="Times New Roman" w:hAnsi="Times New Roman" w:eastAsia="宋体" w:cs="Times New Roman"/>
                <w:b/>
                <w:bCs/>
                <w:i w:val="0"/>
                <w:iCs w:val="0"/>
                <w:color w:val="auto"/>
                <w:kern w:val="2"/>
                <w:sz w:val="21"/>
                <w:szCs w:val="21"/>
                <w:highlight w:val="none"/>
                <w:u w:val="none"/>
                <w:vertAlign w:val="superscript"/>
                <w:lang w:val="en-US" w:eastAsia="zh-CN"/>
              </w:rPr>
              <w:t>4</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75AC8F0A">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13.0</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146289E4">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rPr>
            </w:pPr>
            <w:r>
              <w:rPr>
                <w:rFonts w:hint="default" w:ascii="Times New Roman" w:hAnsi="Times New Roman" w:eastAsia="宋体" w:cs="Times New Roman"/>
                <w:b/>
                <w:bCs/>
                <w:i w:val="0"/>
                <w:iCs w:val="0"/>
                <w:color w:val="auto"/>
                <w:kern w:val="2"/>
                <w:sz w:val="21"/>
                <w:szCs w:val="21"/>
                <w:highlight w:val="none"/>
                <w:u w:val="none"/>
                <w:lang w:val="en-US" w:eastAsia="zh-CN"/>
              </w:rPr>
              <w:t>7.28×10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322" w:type="pct"/>
            <w:tcBorders>
              <w:top w:val="single" w:color="auto" w:sz="4" w:space="0"/>
              <w:left w:val="nil"/>
              <w:bottom w:val="single" w:color="auto" w:sz="4" w:space="0"/>
              <w:right w:val="single" w:color="auto" w:sz="4" w:space="0"/>
            </w:tcBorders>
            <w:shd w:val="clear" w:color="auto" w:fill="auto"/>
            <w:vAlign w:val="center"/>
          </w:tcPr>
          <w:p w14:paraId="0444B4FA">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rPr>
            </w:pPr>
            <w:r>
              <w:rPr>
                <w:rFonts w:hint="default" w:ascii="Times New Roman" w:hAnsi="Times New Roman" w:eastAsia="宋体" w:cs="Times New Roman"/>
                <w:b/>
                <w:bCs/>
                <w:i w:val="0"/>
                <w:iCs w:val="0"/>
                <w:color w:val="auto"/>
                <w:kern w:val="2"/>
                <w:sz w:val="21"/>
                <w:szCs w:val="21"/>
                <w:highlight w:val="none"/>
                <w:u w:val="none"/>
                <w:lang w:val="en-US" w:eastAsia="zh-CN"/>
              </w:rPr>
              <w:t>7.28</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03FA7EAB">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rPr>
            </w:pPr>
            <w:r>
              <w:rPr>
                <w:rFonts w:hint="default" w:ascii="Times New Roman" w:hAnsi="Times New Roman" w:eastAsia="宋体" w:cs="Times New Roman"/>
                <w:b/>
                <w:bCs/>
                <w:i w:val="0"/>
                <w:iCs w:val="0"/>
                <w:color w:val="auto"/>
                <w:kern w:val="2"/>
                <w:sz w:val="21"/>
                <w:szCs w:val="21"/>
                <w:highlight w:val="none"/>
                <w:u w:val="none"/>
                <w:lang w:val="en-US" w:eastAsia="zh-CN"/>
              </w:rPr>
              <w:t>3.31×10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366" w:type="pct"/>
            <w:tcBorders>
              <w:top w:val="single" w:color="auto" w:sz="4" w:space="0"/>
              <w:left w:val="nil"/>
              <w:bottom w:val="single" w:color="auto" w:sz="4" w:space="0"/>
              <w:right w:val="single" w:color="auto" w:sz="4" w:space="0"/>
            </w:tcBorders>
            <w:shd w:val="clear" w:color="auto" w:fill="auto"/>
            <w:vAlign w:val="center"/>
          </w:tcPr>
          <w:p w14:paraId="75BA17D7">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rPr>
            </w:pPr>
            <w:r>
              <w:rPr>
                <w:rFonts w:hint="default" w:ascii="Times New Roman" w:hAnsi="Times New Roman" w:eastAsia="宋体" w:cs="Times New Roman"/>
                <w:b/>
                <w:bCs/>
                <w:i w:val="0"/>
                <w:iCs w:val="0"/>
                <w:color w:val="auto"/>
                <w:kern w:val="2"/>
                <w:sz w:val="21"/>
                <w:szCs w:val="21"/>
                <w:highlight w:val="none"/>
                <w:u w:val="none"/>
                <w:lang w:val="en-US" w:eastAsia="zh-CN"/>
              </w:rPr>
              <w:t>3.31</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540FA77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514</w:t>
            </w:r>
          </w:p>
        </w:tc>
        <w:tc>
          <w:tcPr>
            <w:tcW w:w="366" w:type="pct"/>
            <w:tcBorders>
              <w:top w:val="single" w:color="auto" w:sz="4" w:space="0"/>
              <w:left w:val="nil"/>
              <w:bottom w:val="single" w:color="auto" w:sz="4" w:space="0"/>
              <w:right w:val="single" w:color="auto" w:sz="4" w:space="0"/>
            </w:tcBorders>
            <w:shd w:val="clear" w:color="auto" w:fill="auto"/>
            <w:vAlign w:val="center"/>
          </w:tcPr>
          <w:p w14:paraId="154F5EA2">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i w:val="0"/>
                <w:iCs w:val="0"/>
                <w:color w:val="auto"/>
                <w:kern w:val="2"/>
                <w:sz w:val="21"/>
                <w:szCs w:val="21"/>
                <w:highlight w:val="none"/>
                <w:u w:val="none"/>
                <w:lang w:val="en-US" w:eastAsia="zh-CN"/>
              </w:rPr>
              <w:t>0.514</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0FF288CC">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i w:val="0"/>
                <w:iCs w:val="0"/>
                <w:color w:val="auto"/>
                <w:kern w:val="2"/>
                <w:sz w:val="21"/>
                <w:szCs w:val="21"/>
                <w:highlight w:val="none"/>
                <w:u w:val="none"/>
                <w:lang w:val="en-US" w:eastAsia="zh-CN"/>
              </w:rPr>
              <w:t>9.62</w:t>
            </w:r>
            <w:r>
              <w:rPr>
                <w:rFonts w:hint="default" w:ascii="Times New Roman" w:hAnsi="Times New Roman" w:eastAsia="宋体" w:cs="Times New Roman"/>
                <w:b/>
                <w:bCs/>
                <w:i w:val="0"/>
                <w:iCs w:val="0"/>
                <w:color w:val="auto"/>
                <w:kern w:val="2"/>
                <w:sz w:val="21"/>
                <w:szCs w:val="21"/>
                <w:highlight w:val="none"/>
                <w:u w:val="none"/>
                <w:lang w:val="en-US" w:eastAsia="zh-CN"/>
              </w:rPr>
              <w:t>×10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544D0EBD">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rPr>
            </w:pPr>
            <w:r>
              <w:rPr>
                <w:rFonts w:hint="eastAsia" w:cs="Times New Roman"/>
                <w:b/>
                <w:bCs/>
                <w:i w:val="0"/>
                <w:iCs w:val="0"/>
                <w:color w:val="auto"/>
                <w:kern w:val="0"/>
                <w:sz w:val="21"/>
                <w:szCs w:val="21"/>
                <w:highlight w:val="none"/>
                <w:u w:val="none"/>
                <w:lang w:val="en-US" w:eastAsia="zh-CN" w:bidi="ar"/>
              </w:rPr>
              <w:t>9.62</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3CF1D89E">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r>
      <w:tr w14:paraId="29B3DB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3CE26F">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3D0059">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ascii="宋体" w:hAnsi="宋体" w:eastAsia="宋体" w:cs="宋体"/>
                <w:color w:val="auto"/>
                <w:spacing w:val="7"/>
                <w:sz w:val="21"/>
                <w:szCs w:val="21"/>
                <w:highlight w:val="none"/>
              </w:rPr>
              <w:t>高锰酸盐指数</w:t>
            </w:r>
            <w:r>
              <w:rPr>
                <w:rFonts w:hint="eastAsia" w:ascii="宋体" w:hAnsi="宋体" w:eastAsia="宋体" w:cs="宋体"/>
                <w:color w:val="auto"/>
                <w:sz w:val="21"/>
                <w:szCs w:val="21"/>
                <w:highlight w:val="none"/>
                <w:lang w:val="en-US" w:eastAsia="zh-CN"/>
              </w:rPr>
              <w:t>(</w:t>
            </w:r>
            <w:r>
              <w:rPr>
                <w:rFonts w:ascii="宋体" w:hAnsi="宋体" w:eastAsia="宋体" w:cs="宋体"/>
                <w:color w:val="auto"/>
                <w:spacing w:val="1"/>
                <w:sz w:val="21"/>
                <w:szCs w:val="21"/>
                <w:highlight w:val="none"/>
              </w:rPr>
              <w:t>以</w:t>
            </w:r>
            <w:r>
              <w:rPr>
                <w:color w:val="auto"/>
                <w:spacing w:val="1"/>
                <w:sz w:val="21"/>
                <w:szCs w:val="21"/>
                <w:highlight w:val="none"/>
              </w:rPr>
              <w:t>O</w:t>
            </w:r>
            <w:r>
              <w:rPr>
                <w:color w:val="auto"/>
                <w:spacing w:val="1"/>
                <w:position w:val="-1"/>
                <w:sz w:val="21"/>
                <w:szCs w:val="21"/>
                <w:highlight w:val="none"/>
                <w:vertAlign w:val="subscript"/>
              </w:rPr>
              <w:t>2</w:t>
            </w:r>
            <w:r>
              <w:rPr>
                <w:rFonts w:ascii="宋体" w:hAnsi="宋体" w:eastAsia="宋体" w:cs="宋体"/>
                <w:color w:val="auto"/>
                <w:spacing w:val="1"/>
                <w:sz w:val="21"/>
                <w:szCs w:val="21"/>
                <w:highlight w:val="none"/>
              </w:rPr>
              <w:t>计</w:t>
            </w:r>
            <w:r>
              <w:rPr>
                <w:rFonts w:hint="eastAsia" w:ascii="宋体" w:hAnsi="宋体" w:eastAsia="宋体" w:cs="宋体"/>
                <w:color w:val="auto"/>
                <w:spacing w:val="1"/>
                <w:sz w:val="21"/>
                <w:szCs w:val="21"/>
                <w:highlight w:val="none"/>
                <w:lang w:val="en-US" w:eastAsia="zh-CN"/>
              </w:rPr>
              <w:t>)</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2A2B6BB0">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4A3A5DC2">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1B88BA55">
            <w:pPr>
              <w:autoSpaceDE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4284A38D">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0.45</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6F8B7F20">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0.12</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2B1F2552">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0.43</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41244C1F">
            <w:pPr>
              <w:autoSpaceDE w:val="0"/>
              <w:spacing w:line="240" w:lineRule="exact"/>
              <w:jc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0.11</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04698286">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0.80</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230E99AB">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rPr>
              <w:t>0.267</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687B7F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1.1</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17542DA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0.37</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7A6CF82F">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r>
      <w:tr w14:paraId="3CB1C8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7FABAF">
            <w:pPr>
              <w:keepNext w:val="0"/>
              <w:keepLines w:val="0"/>
              <w:widowControl/>
              <w:suppressLineNumbers w:val="0"/>
              <w:jc w:val="center"/>
              <w:textAlignment w:val="center"/>
              <w:rPr>
                <w:rFonts w:hint="default" w:ascii="Times New Roman" w:hAnsi="Times New Roman" w:cs="Times New Roman"/>
                <w:color w:val="auto"/>
                <w:spacing w:val="24"/>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2FDED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总大肠菌群</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0AB985DD">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1"/>
                <w:position w:val="2"/>
                <w:sz w:val="21"/>
                <w:szCs w:val="21"/>
                <w:highlight w:val="none"/>
              </w:rPr>
              <w:t>CFU/100mL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2F9CB668">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41F898BD">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2CA65536">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2325D2DB">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43727EAE">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64CA251D">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7BCE612B">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366" w:type="pct"/>
            <w:tcBorders>
              <w:top w:val="single" w:color="auto" w:sz="4" w:space="0"/>
              <w:left w:val="nil"/>
              <w:bottom w:val="single" w:color="auto" w:sz="4" w:space="0"/>
              <w:right w:val="single" w:color="auto" w:sz="4" w:space="0"/>
            </w:tcBorders>
            <w:shd w:val="clear" w:color="auto" w:fill="auto"/>
            <w:vAlign w:val="center"/>
          </w:tcPr>
          <w:p w14:paraId="0A2ED06E">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0</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25491E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w:t>
            </w:r>
          </w:p>
        </w:tc>
        <w:tc>
          <w:tcPr>
            <w:tcW w:w="368" w:type="pct"/>
            <w:tcBorders>
              <w:top w:val="single" w:color="auto" w:sz="4" w:space="0"/>
              <w:left w:val="nil"/>
              <w:bottom w:val="single" w:color="auto" w:sz="4" w:space="0"/>
              <w:right w:val="single" w:color="auto" w:sz="4" w:space="0"/>
            </w:tcBorders>
            <w:shd w:val="clear" w:color="auto" w:fill="auto"/>
            <w:vAlign w:val="center"/>
          </w:tcPr>
          <w:p w14:paraId="6D8DE65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6AECBF60">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3.0</w:t>
            </w:r>
          </w:p>
        </w:tc>
      </w:tr>
      <w:tr w14:paraId="72BE55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B40895">
            <w:pPr>
              <w:keepNext w:val="0"/>
              <w:keepLines w:val="0"/>
              <w:widowControl/>
              <w:suppressLineNumbers w:val="0"/>
              <w:jc w:val="center"/>
              <w:textAlignment w:val="center"/>
              <w:rPr>
                <w:rFonts w:hint="default" w:ascii="Times New Roman" w:hAnsi="Times New Roman" w:cs="Times New Roman"/>
                <w:color w:val="auto"/>
                <w:spacing w:val="24"/>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73F9C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细菌总数</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25C256EB">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2"/>
                <w:sz w:val="21"/>
                <w:szCs w:val="21"/>
                <w:highlight w:val="none"/>
              </w:rPr>
              <w:t>CFU</w:t>
            </w:r>
            <w:r>
              <w:rPr>
                <w:rFonts w:hint="default" w:ascii="Times New Roman" w:hAnsi="Times New Roman" w:eastAsia="宋体" w:cs="Times New Roman"/>
                <w:color w:val="auto"/>
                <w:spacing w:val="26"/>
                <w:position w:val="2"/>
                <w:sz w:val="21"/>
                <w:szCs w:val="21"/>
                <w:highlight w:val="none"/>
              </w:rPr>
              <w:t>/</w:t>
            </w:r>
            <w:r>
              <w:rPr>
                <w:rFonts w:hint="default" w:ascii="Times New Roman" w:hAnsi="Times New Roman" w:eastAsia="宋体" w:cs="Times New Roman"/>
                <w:color w:val="auto"/>
                <w:position w:val="2"/>
                <w:sz w:val="21"/>
                <w:szCs w:val="21"/>
                <w:highlight w:val="none"/>
              </w:rPr>
              <w:t>mL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131C841C">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40</w:t>
            </w:r>
          </w:p>
        </w:tc>
        <w:tc>
          <w:tcPr>
            <w:tcW w:w="291" w:type="pct"/>
            <w:tcBorders>
              <w:top w:val="single" w:color="auto" w:sz="4" w:space="0"/>
              <w:left w:val="nil"/>
              <w:bottom w:val="single" w:color="auto" w:sz="4" w:space="0"/>
              <w:right w:val="single" w:color="auto" w:sz="4" w:space="0"/>
            </w:tcBorders>
            <w:shd w:val="clear" w:color="auto" w:fill="auto"/>
            <w:vAlign w:val="center"/>
          </w:tcPr>
          <w:p w14:paraId="3EBB70EA">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0.4</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19553285">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322" w:type="pct"/>
            <w:tcBorders>
              <w:top w:val="single" w:color="auto" w:sz="4" w:space="0"/>
              <w:left w:val="nil"/>
              <w:bottom w:val="single" w:color="auto" w:sz="4" w:space="0"/>
              <w:right w:val="single" w:color="auto" w:sz="4" w:space="0"/>
            </w:tcBorders>
            <w:shd w:val="clear" w:color="auto" w:fill="auto"/>
            <w:vAlign w:val="center"/>
          </w:tcPr>
          <w:p w14:paraId="02ABB4E0">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0.37</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0E53799B">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366" w:type="pct"/>
            <w:tcBorders>
              <w:top w:val="single" w:color="auto" w:sz="4" w:space="0"/>
              <w:left w:val="nil"/>
              <w:bottom w:val="single" w:color="auto" w:sz="4" w:space="0"/>
              <w:right w:val="single" w:color="auto" w:sz="4" w:space="0"/>
            </w:tcBorders>
            <w:shd w:val="clear" w:color="auto" w:fill="auto"/>
            <w:vAlign w:val="center"/>
          </w:tcPr>
          <w:p w14:paraId="508468C7">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353AFE14">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366" w:type="pct"/>
            <w:tcBorders>
              <w:top w:val="single" w:color="auto" w:sz="4" w:space="0"/>
              <w:left w:val="nil"/>
              <w:bottom w:val="single" w:color="auto" w:sz="4" w:space="0"/>
              <w:right w:val="single" w:color="auto" w:sz="4" w:space="0"/>
            </w:tcBorders>
            <w:shd w:val="clear" w:color="auto" w:fill="auto"/>
            <w:vAlign w:val="center"/>
          </w:tcPr>
          <w:p w14:paraId="2242B76A">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0.58</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70C7A5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74</w:t>
            </w:r>
          </w:p>
        </w:tc>
        <w:tc>
          <w:tcPr>
            <w:tcW w:w="368" w:type="pct"/>
            <w:tcBorders>
              <w:top w:val="single" w:color="auto" w:sz="4" w:space="0"/>
              <w:left w:val="nil"/>
              <w:bottom w:val="single" w:color="auto" w:sz="4" w:space="0"/>
              <w:right w:val="single" w:color="auto" w:sz="4" w:space="0"/>
            </w:tcBorders>
            <w:shd w:val="clear" w:color="auto" w:fill="auto"/>
            <w:vAlign w:val="center"/>
          </w:tcPr>
          <w:p w14:paraId="0A0EB4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0.74</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5A48754C">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100</w:t>
            </w:r>
          </w:p>
        </w:tc>
      </w:tr>
      <w:tr w14:paraId="02DDA2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9FE72D">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938A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硫化物</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0E6B8011">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4"/>
                <w:sz w:val="21"/>
                <w:szCs w:val="21"/>
                <w:highlight w:val="none"/>
              </w:rPr>
              <w:t>mg</w:t>
            </w:r>
            <w:r>
              <w:rPr>
                <w:rFonts w:hint="default" w:ascii="Times New Roman" w:hAnsi="Times New Roman" w:eastAsia="宋体" w:cs="Times New Roman"/>
                <w:color w:val="auto"/>
                <w:spacing w:val="16"/>
                <w:position w:val="4"/>
                <w:sz w:val="21"/>
                <w:szCs w:val="21"/>
                <w:highlight w:val="none"/>
              </w:rPr>
              <w:t>/</w:t>
            </w:r>
            <w:r>
              <w:rPr>
                <w:rFonts w:hint="default" w:ascii="Times New Roman" w:hAnsi="Times New Roman" w:eastAsia="宋体" w:cs="Times New Roman"/>
                <w:color w:val="auto"/>
                <w:position w:val="4"/>
                <w:sz w:val="21"/>
                <w:szCs w:val="21"/>
                <w:highlight w:val="none"/>
              </w:rPr>
              <w:t>L</w:t>
            </w:r>
          </w:p>
        </w:tc>
        <w:tc>
          <w:tcPr>
            <w:tcW w:w="338" w:type="pct"/>
            <w:tcBorders>
              <w:top w:val="single" w:color="auto" w:sz="4" w:space="0"/>
              <w:left w:val="nil"/>
              <w:bottom w:val="single" w:color="auto" w:sz="4" w:space="0"/>
              <w:right w:val="single" w:color="auto" w:sz="4" w:space="0"/>
            </w:tcBorders>
            <w:shd w:val="clear" w:color="auto" w:fill="auto"/>
            <w:noWrap/>
            <w:vAlign w:val="top"/>
          </w:tcPr>
          <w:p w14:paraId="63B290B9">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&lt;0.003</w:t>
            </w:r>
          </w:p>
        </w:tc>
        <w:tc>
          <w:tcPr>
            <w:tcW w:w="291" w:type="pct"/>
            <w:tcBorders>
              <w:top w:val="single" w:color="auto" w:sz="4" w:space="0"/>
              <w:left w:val="nil"/>
              <w:bottom w:val="single" w:color="auto" w:sz="4" w:space="0"/>
              <w:right w:val="single" w:color="auto" w:sz="4" w:space="0"/>
            </w:tcBorders>
            <w:shd w:val="clear" w:color="auto" w:fill="auto"/>
            <w:noWrap/>
            <w:vAlign w:val="top"/>
          </w:tcPr>
          <w:p w14:paraId="46EF3F98">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&lt;0.015</w:t>
            </w:r>
          </w:p>
        </w:tc>
        <w:tc>
          <w:tcPr>
            <w:tcW w:w="370" w:type="pct"/>
            <w:tcBorders>
              <w:top w:val="single" w:color="auto" w:sz="4" w:space="0"/>
              <w:left w:val="nil"/>
              <w:bottom w:val="single" w:color="auto" w:sz="4" w:space="0"/>
              <w:right w:val="single" w:color="auto" w:sz="4" w:space="0"/>
            </w:tcBorders>
            <w:shd w:val="clear" w:color="auto" w:fill="auto"/>
            <w:noWrap/>
            <w:vAlign w:val="top"/>
          </w:tcPr>
          <w:p w14:paraId="3E847AB8">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&lt;0.003</w:t>
            </w:r>
          </w:p>
        </w:tc>
        <w:tc>
          <w:tcPr>
            <w:tcW w:w="322" w:type="pct"/>
            <w:tcBorders>
              <w:top w:val="single" w:color="auto" w:sz="4" w:space="0"/>
              <w:left w:val="nil"/>
              <w:bottom w:val="single" w:color="auto" w:sz="4" w:space="0"/>
              <w:right w:val="single" w:color="auto" w:sz="4" w:space="0"/>
            </w:tcBorders>
            <w:shd w:val="clear" w:color="auto" w:fill="auto"/>
            <w:noWrap/>
            <w:vAlign w:val="top"/>
          </w:tcPr>
          <w:p w14:paraId="49DFE74A">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&lt;0.015</w:t>
            </w:r>
          </w:p>
        </w:tc>
        <w:tc>
          <w:tcPr>
            <w:tcW w:w="367" w:type="pct"/>
            <w:tcBorders>
              <w:top w:val="single" w:color="auto" w:sz="4" w:space="0"/>
              <w:left w:val="nil"/>
              <w:bottom w:val="single" w:color="auto" w:sz="4" w:space="0"/>
              <w:right w:val="single" w:color="auto" w:sz="4" w:space="0"/>
            </w:tcBorders>
            <w:shd w:val="clear" w:color="auto" w:fill="auto"/>
            <w:noWrap/>
            <w:vAlign w:val="top"/>
          </w:tcPr>
          <w:p w14:paraId="469DC191">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&lt;0.003</w:t>
            </w:r>
          </w:p>
        </w:tc>
        <w:tc>
          <w:tcPr>
            <w:tcW w:w="366" w:type="pct"/>
            <w:tcBorders>
              <w:top w:val="single" w:color="auto" w:sz="4" w:space="0"/>
              <w:left w:val="nil"/>
              <w:bottom w:val="single" w:color="auto" w:sz="4" w:space="0"/>
              <w:right w:val="single" w:color="auto" w:sz="4" w:space="0"/>
            </w:tcBorders>
            <w:shd w:val="clear" w:color="auto" w:fill="auto"/>
            <w:noWrap/>
            <w:vAlign w:val="top"/>
          </w:tcPr>
          <w:p w14:paraId="4D816C1F">
            <w:pPr>
              <w:autoSpaceDE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&lt;0.015</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32386DE4">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＜0.01</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6280E33E">
            <w:pPr>
              <w:autoSpaceDE w:val="0"/>
              <w:spacing w:line="240" w:lineRule="exact"/>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＜0.5</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1653ABDD">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＜0.01</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54EE44B4">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＜0.5</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103DA584">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0.02</w:t>
            </w:r>
          </w:p>
        </w:tc>
      </w:tr>
      <w:tr w14:paraId="47D5CE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85CFC0">
            <w:pPr>
              <w:keepNext w:val="0"/>
              <w:keepLines w:val="0"/>
              <w:widowControl/>
              <w:suppressLineNumbers w:val="0"/>
              <w:jc w:val="center"/>
              <w:textAlignment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1AC9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72FC9E1E">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4"/>
                <w:sz w:val="21"/>
                <w:szCs w:val="21"/>
                <w:highlight w:val="none"/>
              </w:rPr>
              <w:t>mg</w:t>
            </w:r>
            <w:r>
              <w:rPr>
                <w:rFonts w:hint="default" w:ascii="Times New Roman" w:hAnsi="Times New Roman" w:eastAsia="宋体" w:cs="Times New Roman"/>
                <w:color w:val="auto"/>
                <w:spacing w:val="16"/>
                <w:position w:val="4"/>
                <w:sz w:val="21"/>
                <w:szCs w:val="21"/>
                <w:highlight w:val="none"/>
              </w:rPr>
              <w:t>/</w:t>
            </w:r>
            <w:r>
              <w:rPr>
                <w:rFonts w:hint="default" w:ascii="Times New Roman" w:hAnsi="Times New Roman" w:eastAsia="宋体" w:cs="Times New Roman"/>
                <w:color w:val="auto"/>
                <w:position w:val="4"/>
                <w:sz w:val="21"/>
                <w:szCs w:val="21"/>
                <w:highlight w:val="none"/>
              </w:rPr>
              <w:t>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78933DF2">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＜0.01</w:t>
            </w:r>
          </w:p>
        </w:tc>
        <w:tc>
          <w:tcPr>
            <w:tcW w:w="291" w:type="pct"/>
            <w:tcBorders>
              <w:top w:val="single" w:color="auto" w:sz="4" w:space="0"/>
              <w:left w:val="nil"/>
              <w:bottom w:val="single" w:color="auto" w:sz="4" w:space="0"/>
              <w:right w:val="single" w:color="auto" w:sz="4" w:space="0"/>
            </w:tcBorders>
            <w:shd w:val="clear" w:color="auto" w:fill="auto"/>
            <w:vAlign w:val="center"/>
          </w:tcPr>
          <w:p w14:paraId="26AE3CBD">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＜0.2</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297DE73E">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＜0.01</w:t>
            </w:r>
          </w:p>
        </w:tc>
        <w:tc>
          <w:tcPr>
            <w:tcW w:w="322" w:type="pct"/>
            <w:tcBorders>
              <w:top w:val="single" w:color="auto" w:sz="4" w:space="0"/>
              <w:left w:val="nil"/>
              <w:bottom w:val="single" w:color="auto" w:sz="4" w:space="0"/>
              <w:right w:val="single" w:color="auto" w:sz="4" w:space="0"/>
            </w:tcBorders>
            <w:shd w:val="clear" w:color="auto" w:fill="auto"/>
            <w:vAlign w:val="center"/>
          </w:tcPr>
          <w:p w14:paraId="2F93E494">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＜0.2</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2806FA30">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＜0.01</w:t>
            </w:r>
          </w:p>
        </w:tc>
        <w:tc>
          <w:tcPr>
            <w:tcW w:w="366" w:type="pct"/>
            <w:tcBorders>
              <w:top w:val="single" w:color="auto" w:sz="4" w:space="0"/>
              <w:left w:val="nil"/>
              <w:bottom w:val="single" w:color="auto" w:sz="4" w:space="0"/>
              <w:right w:val="single" w:color="auto" w:sz="4" w:space="0"/>
            </w:tcBorders>
            <w:shd w:val="clear" w:color="auto" w:fill="auto"/>
            <w:vAlign w:val="center"/>
          </w:tcPr>
          <w:p w14:paraId="79266C5D">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＜0.2</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683EE452">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＜0.01</w:t>
            </w:r>
          </w:p>
        </w:tc>
        <w:tc>
          <w:tcPr>
            <w:tcW w:w="366" w:type="pct"/>
            <w:tcBorders>
              <w:top w:val="single" w:color="auto" w:sz="4" w:space="0"/>
              <w:left w:val="nil"/>
              <w:bottom w:val="single" w:color="auto" w:sz="4" w:space="0"/>
              <w:right w:val="single" w:color="auto" w:sz="4" w:space="0"/>
            </w:tcBorders>
            <w:shd w:val="clear" w:color="auto" w:fill="auto"/>
            <w:vAlign w:val="center"/>
          </w:tcPr>
          <w:p w14:paraId="2EEC034F">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＜0.2</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74929122">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rPr>
              <w:t>＜0.01</w:t>
            </w:r>
          </w:p>
        </w:tc>
        <w:tc>
          <w:tcPr>
            <w:tcW w:w="368" w:type="pct"/>
            <w:tcBorders>
              <w:top w:val="single" w:color="auto" w:sz="4" w:space="0"/>
              <w:left w:val="nil"/>
              <w:bottom w:val="single" w:color="auto" w:sz="4" w:space="0"/>
              <w:right w:val="single" w:color="auto" w:sz="4" w:space="0"/>
            </w:tcBorders>
            <w:shd w:val="clear" w:color="auto" w:fill="auto"/>
            <w:vAlign w:val="center"/>
          </w:tcPr>
          <w:p w14:paraId="029C6EFA">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＜0.2</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661240EC">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r>
      <w:tr w14:paraId="088BA9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D36BE2">
            <w:pPr>
              <w:keepNext w:val="0"/>
              <w:keepLines w:val="0"/>
              <w:widowControl/>
              <w:suppressLineNumbers w:val="0"/>
              <w:jc w:val="center"/>
              <w:textAlignment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FE864A">
            <w:pPr>
              <w:keepNext w:val="0"/>
              <w:keepLines w:val="0"/>
              <w:widowControl/>
              <w:suppressLineNumbers w:val="0"/>
              <w:jc w:val="both"/>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spacing w:val="-6"/>
                <w:kern w:val="0"/>
                <w:sz w:val="21"/>
                <w:szCs w:val="21"/>
                <w:highlight w:val="none"/>
                <w:u w:val="none"/>
                <w:lang w:val="en-US" w:eastAsia="zh-CN" w:bidi="ar"/>
              </w:rPr>
              <w:t>硫酸根</w:t>
            </w:r>
            <w:r>
              <w:rPr>
                <w:rFonts w:hint="eastAsia" w:cs="Times New Roman"/>
                <w:i w:val="0"/>
                <w:iCs w:val="0"/>
                <w:color w:val="auto"/>
                <w:spacing w:val="-6"/>
                <w:kern w:val="0"/>
                <w:sz w:val="21"/>
                <w:szCs w:val="21"/>
                <w:highlight w:val="none"/>
                <w:u w:val="none"/>
                <w:lang w:val="en-US" w:eastAsia="zh-CN" w:bidi="ar"/>
              </w:rPr>
              <w:t>(</w:t>
            </w:r>
            <w:r>
              <w:rPr>
                <w:rFonts w:hint="default" w:ascii="Times New Roman" w:hAnsi="Times New Roman" w:eastAsia="宋体" w:cs="Times New Roman"/>
                <w:i w:val="0"/>
                <w:iCs w:val="0"/>
                <w:color w:val="auto"/>
                <w:spacing w:val="-6"/>
                <w:kern w:val="0"/>
                <w:sz w:val="21"/>
                <w:szCs w:val="21"/>
                <w:highlight w:val="none"/>
                <w:u w:val="none"/>
                <w:lang w:val="en-US" w:eastAsia="zh-CN" w:bidi="ar"/>
              </w:rPr>
              <w:t>硫酸盐</w:t>
            </w:r>
            <w:r>
              <w:rPr>
                <w:rFonts w:hint="eastAsia" w:cs="Times New Roman"/>
                <w:i w:val="0"/>
                <w:iCs w:val="0"/>
                <w:color w:val="auto"/>
                <w:spacing w:val="-6"/>
                <w:kern w:val="0"/>
                <w:sz w:val="21"/>
                <w:szCs w:val="21"/>
                <w:highlight w:val="none"/>
                <w:u w:val="none"/>
                <w:lang w:val="en-US" w:eastAsia="zh-CN" w:bidi="ar"/>
              </w:rPr>
              <w:t>)</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5E1D2E17">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06F1D7C5">
            <w:pPr>
              <w:keepNext w:val="0"/>
              <w:keepLines w:val="0"/>
              <w:pageBreakBefore w:val="0"/>
              <w:widowControl/>
              <w:suppressLineNumbers w:val="0"/>
              <w:kinsoku/>
              <w:wordWrap/>
              <w:overflowPunct/>
              <w:topLinePunct w:val="0"/>
              <w:autoSpaceDE/>
              <w:autoSpaceDN/>
              <w:bidi w:val="0"/>
              <w:adjustRightInd/>
              <w:snapToGrid/>
              <w:spacing w:line="360" w:lineRule="auto"/>
              <w:ind w:left="-120" w:leftChars="-50" w:firstLine="0" w:firstLineChars="0"/>
              <w:jc w:val="center"/>
              <w:textAlignment w:val="bottom"/>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i w:val="0"/>
                <w:iCs w:val="0"/>
                <w:color w:val="auto"/>
                <w:kern w:val="2"/>
                <w:sz w:val="21"/>
                <w:szCs w:val="21"/>
                <w:highlight w:val="none"/>
                <w:u w:val="none"/>
                <w:lang w:val="en-US" w:eastAsia="zh-CN"/>
              </w:rPr>
              <w:t>3.54</w:t>
            </w:r>
            <w:r>
              <w:rPr>
                <w:rFonts w:hint="default" w:ascii="Times New Roman" w:hAnsi="Times New Roman" w:eastAsia="宋体" w:cs="Times New Roman"/>
                <w:b/>
                <w:bCs/>
                <w:i w:val="0"/>
                <w:iCs w:val="0"/>
                <w:color w:val="auto"/>
                <w:kern w:val="2"/>
                <w:sz w:val="21"/>
                <w:szCs w:val="21"/>
                <w:highlight w:val="none"/>
                <w:u w:val="none"/>
                <w:lang w:val="en-US" w:eastAsia="zh-CN"/>
              </w:rPr>
              <w:t>×10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43A4D7FA">
            <w:pPr>
              <w:keepNext w:val="0"/>
              <w:keepLines w:val="0"/>
              <w:pageBreakBefore w:val="0"/>
              <w:widowControl/>
              <w:suppressLineNumbers w:val="0"/>
              <w:kinsoku/>
              <w:wordWrap/>
              <w:overflowPunct/>
              <w:topLinePunct w:val="0"/>
              <w:autoSpaceDE/>
              <w:autoSpaceDN/>
              <w:bidi w:val="0"/>
              <w:adjustRightInd/>
              <w:snapToGrid/>
              <w:spacing w:line="360" w:lineRule="auto"/>
              <w:ind w:left="-120" w:leftChars="-50" w:firstLine="0" w:firstLineChars="0"/>
              <w:jc w:val="center"/>
              <w:textAlignment w:val="bottom"/>
              <w:rPr>
                <w:rFonts w:hint="default" w:ascii="Times New Roman" w:hAnsi="Times New Roman" w:eastAsia="宋体" w:cs="Times New Roman"/>
                <w:b/>
                <w:bCs/>
                <w:color w:val="auto"/>
                <w:sz w:val="21"/>
                <w:szCs w:val="21"/>
                <w:highlight w:val="none"/>
                <w:lang w:val="en-US" w:eastAsia="zh-CN" w:bidi="ar-SA"/>
              </w:rPr>
            </w:pPr>
            <w:r>
              <w:rPr>
                <w:rFonts w:hint="eastAsia" w:cs="Times New Roman"/>
                <w:b/>
                <w:bCs/>
                <w:color w:val="auto"/>
                <w:sz w:val="21"/>
                <w:szCs w:val="21"/>
                <w:highlight w:val="none"/>
                <w:lang w:val="en-US" w:eastAsia="zh-CN" w:bidi="ar-SA"/>
              </w:rPr>
              <w:t>1.42</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5FE83DBB">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2"/>
                <w:sz w:val="21"/>
                <w:szCs w:val="21"/>
                <w:highlight w:val="none"/>
                <w:u w:val="none"/>
                <w:lang w:val="en-US" w:eastAsia="zh-CN"/>
              </w:rPr>
              <w:t>2.11×10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07ED18F9">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2"/>
                <w:sz w:val="21"/>
                <w:szCs w:val="21"/>
                <w:highlight w:val="none"/>
                <w:u w:val="none"/>
                <w:lang w:val="en-US" w:eastAsia="zh-CN"/>
              </w:rPr>
              <w:t>8.44</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54EE0622">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2"/>
                <w:sz w:val="21"/>
                <w:szCs w:val="21"/>
                <w:highlight w:val="none"/>
                <w:u w:val="none"/>
                <w:lang w:val="en-US" w:eastAsia="zh-CN"/>
              </w:rPr>
              <w:t>1.26×10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5E491446">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2"/>
                <w:sz w:val="21"/>
                <w:szCs w:val="21"/>
                <w:highlight w:val="none"/>
                <w:u w:val="none"/>
                <w:lang w:val="en-US" w:eastAsia="zh-CN"/>
              </w:rPr>
              <w:t>5.04</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656B865F">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167</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3B770DBC">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rPr>
              <w:t>0.668</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06EAED8A">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eastAsia" w:ascii="Times New Roman" w:hAnsi="Times New Roman" w:eastAsia="宋体" w:cs="Times New Roman"/>
                <w:b/>
                <w:bCs/>
                <w:i w:val="0"/>
                <w:iCs w:val="0"/>
                <w:color w:val="auto"/>
                <w:kern w:val="2"/>
                <w:sz w:val="21"/>
                <w:szCs w:val="21"/>
                <w:highlight w:val="none"/>
                <w:u w:val="none"/>
                <w:lang w:val="en-US" w:eastAsia="zh-CN"/>
              </w:rPr>
              <w:t>1.66</w:t>
            </w:r>
            <w:r>
              <w:rPr>
                <w:rFonts w:hint="default" w:ascii="Times New Roman" w:hAnsi="Times New Roman" w:eastAsia="宋体" w:cs="Times New Roman"/>
                <w:b/>
                <w:bCs/>
                <w:i w:val="0"/>
                <w:iCs w:val="0"/>
                <w:color w:val="auto"/>
                <w:kern w:val="2"/>
                <w:sz w:val="21"/>
                <w:szCs w:val="21"/>
                <w:highlight w:val="none"/>
                <w:u w:val="none"/>
                <w:lang w:val="en-US" w:eastAsia="zh-CN"/>
              </w:rPr>
              <w:t>×10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47CB9107">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bidi="ar-SA"/>
              </w:rPr>
            </w:pPr>
            <w:r>
              <w:rPr>
                <w:rFonts w:hint="eastAsia" w:cs="Times New Roman"/>
                <w:b/>
                <w:bCs/>
                <w:i w:val="0"/>
                <w:iCs w:val="0"/>
                <w:color w:val="auto"/>
                <w:kern w:val="0"/>
                <w:sz w:val="21"/>
                <w:szCs w:val="21"/>
                <w:highlight w:val="none"/>
                <w:u w:val="none"/>
                <w:lang w:val="en-US" w:eastAsia="zh-CN" w:bidi="ar"/>
              </w:rPr>
              <w:t>6.64</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7D6D8D23">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250</w:t>
            </w:r>
          </w:p>
        </w:tc>
      </w:tr>
      <w:tr w14:paraId="2777CB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322F6663">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3</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F201FF">
            <w:pPr>
              <w:keepNext w:val="0"/>
              <w:keepLines w:val="0"/>
              <w:widowControl/>
              <w:suppressLineNumbers w:val="0"/>
              <w:jc w:val="both"/>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spacing w:val="-6"/>
                <w:kern w:val="0"/>
                <w:sz w:val="21"/>
                <w:szCs w:val="21"/>
                <w:highlight w:val="none"/>
                <w:u w:val="none"/>
                <w:lang w:val="en-US" w:eastAsia="zh-CN" w:bidi="ar"/>
              </w:rPr>
              <w:t>氯离子</w:t>
            </w:r>
            <w:r>
              <w:rPr>
                <w:rFonts w:hint="eastAsia" w:ascii="Times New Roman" w:hAnsi="Times New Roman" w:eastAsia="宋体" w:cs="Times New Roman"/>
                <w:i w:val="0"/>
                <w:iCs w:val="0"/>
                <w:color w:val="auto"/>
                <w:spacing w:val="-6"/>
                <w:kern w:val="0"/>
                <w:sz w:val="21"/>
                <w:szCs w:val="21"/>
                <w:highlight w:val="none"/>
                <w:u w:val="none"/>
                <w:lang w:val="en-US" w:eastAsia="zh-CN" w:bidi="ar"/>
              </w:rPr>
              <w:t>(</w:t>
            </w:r>
            <w:r>
              <w:rPr>
                <w:rFonts w:hint="default" w:ascii="Times New Roman" w:hAnsi="Times New Roman" w:eastAsia="宋体" w:cs="Times New Roman"/>
                <w:i w:val="0"/>
                <w:iCs w:val="0"/>
                <w:color w:val="auto"/>
                <w:spacing w:val="-6"/>
                <w:kern w:val="0"/>
                <w:sz w:val="21"/>
                <w:szCs w:val="21"/>
                <w:highlight w:val="none"/>
                <w:u w:val="none"/>
                <w:lang w:val="en-US" w:eastAsia="zh-CN" w:bidi="ar"/>
              </w:rPr>
              <w:t>氯化物</w:t>
            </w:r>
            <w:r>
              <w:rPr>
                <w:rFonts w:hint="eastAsia" w:ascii="Times New Roman" w:hAnsi="Times New Roman" w:eastAsia="宋体" w:cs="Times New Roman"/>
                <w:i w:val="0"/>
                <w:iCs w:val="0"/>
                <w:color w:val="auto"/>
                <w:spacing w:val="-6"/>
                <w:kern w:val="0"/>
                <w:sz w:val="21"/>
                <w:szCs w:val="21"/>
                <w:highlight w:val="none"/>
                <w:u w:val="none"/>
                <w:lang w:val="en-US" w:eastAsia="zh-CN" w:bidi="ar"/>
              </w:rPr>
              <w:t>)</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55673B47">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4"/>
                <w:sz w:val="21"/>
                <w:szCs w:val="21"/>
                <w:highlight w:val="none"/>
              </w:rPr>
              <w:t>mg</w:t>
            </w:r>
            <w:r>
              <w:rPr>
                <w:rFonts w:hint="default" w:ascii="Times New Roman" w:hAnsi="Times New Roman" w:eastAsia="宋体" w:cs="Times New Roman"/>
                <w:color w:val="auto"/>
                <w:spacing w:val="16"/>
                <w:position w:val="4"/>
                <w:sz w:val="21"/>
                <w:szCs w:val="21"/>
                <w:highlight w:val="none"/>
              </w:rPr>
              <w:t>/</w:t>
            </w:r>
            <w:r>
              <w:rPr>
                <w:rFonts w:hint="default" w:ascii="Times New Roman" w:hAnsi="Times New Roman" w:eastAsia="宋体" w:cs="Times New Roman"/>
                <w:color w:val="auto"/>
                <w:position w:val="4"/>
                <w:sz w:val="21"/>
                <w:szCs w:val="21"/>
                <w:highlight w:val="none"/>
              </w:rPr>
              <w:t>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78B1C39C">
            <w:pPr>
              <w:keepNext w:val="0"/>
              <w:keepLines w:val="0"/>
              <w:pageBreakBefore w:val="0"/>
              <w:widowControl/>
              <w:suppressLineNumbers w:val="0"/>
              <w:kinsoku/>
              <w:wordWrap/>
              <w:overflowPunct/>
              <w:topLinePunct w:val="0"/>
              <w:autoSpaceDE/>
              <w:autoSpaceDN/>
              <w:bidi w:val="0"/>
              <w:adjustRightInd/>
              <w:snapToGrid/>
              <w:spacing w:line="360" w:lineRule="auto"/>
              <w:ind w:left="-120" w:leftChars="-50" w:firstLine="0" w:firstLineChars="0"/>
              <w:jc w:val="center"/>
              <w:textAlignment w:val="bottom"/>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i w:val="0"/>
                <w:iCs w:val="0"/>
                <w:color w:val="auto"/>
                <w:kern w:val="2"/>
                <w:sz w:val="21"/>
                <w:szCs w:val="21"/>
                <w:highlight w:val="none"/>
                <w:u w:val="none"/>
                <w:lang w:val="en-US" w:eastAsia="zh-CN"/>
              </w:rPr>
              <w:t>5.21</w:t>
            </w:r>
            <w:r>
              <w:rPr>
                <w:rFonts w:hint="default" w:ascii="Times New Roman" w:hAnsi="Times New Roman" w:eastAsia="宋体" w:cs="Times New Roman"/>
                <w:b/>
                <w:bCs/>
                <w:i w:val="0"/>
                <w:iCs w:val="0"/>
                <w:color w:val="auto"/>
                <w:kern w:val="2"/>
                <w:sz w:val="21"/>
                <w:szCs w:val="21"/>
                <w:highlight w:val="none"/>
                <w:u w:val="none"/>
                <w:lang w:val="en-US" w:eastAsia="zh-CN"/>
              </w:rPr>
              <w:t>×10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7A44F420">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b/>
                <w:bCs/>
                <w:color w:val="auto"/>
                <w:sz w:val="21"/>
                <w:szCs w:val="21"/>
                <w:highlight w:val="none"/>
                <w:lang w:val="en-US" w:eastAsia="zh-CN" w:bidi="ar-SA"/>
              </w:rPr>
            </w:pPr>
            <w:r>
              <w:rPr>
                <w:rFonts w:hint="eastAsia" w:cs="Times New Roman"/>
                <w:b/>
                <w:bCs/>
                <w:color w:val="auto"/>
                <w:sz w:val="21"/>
                <w:szCs w:val="21"/>
                <w:highlight w:val="none"/>
                <w:lang w:val="en-US" w:eastAsia="zh-CN" w:bidi="ar-SA"/>
              </w:rPr>
              <w:t>20.84</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6489CC76">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2.68×10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22D1E236">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10.72</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7ACA2157">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907</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3BBA9390">
            <w:pPr>
              <w:autoSpaceDE w:val="0"/>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3.628</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73BE72D5">
            <w:pPr>
              <w:autoSpaceDE w:val="0"/>
              <w:spacing w:line="240" w:lineRule="exact"/>
              <w:jc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i w:val="0"/>
                <w:iCs w:val="0"/>
                <w:color w:val="auto"/>
                <w:kern w:val="0"/>
                <w:sz w:val="21"/>
                <w:szCs w:val="21"/>
                <w:highlight w:val="none"/>
                <w:u w:val="none"/>
                <w:lang w:val="en-US" w:eastAsia="zh-CN" w:bidi="ar"/>
              </w:rPr>
              <w:t>420</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153FAE0E">
            <w:pPr>
              <w:autoSpaceDE w:val="0"/>
              <w:spacing w:line="240" w:lineRule="exact"/>
              <w:jc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i w:val="0"/>
                <w:iCs w:val="0"/>
                <w:color w:val="auto"/>
                <w:kern w:val="2"/>
                <w:sz w:val="21"/>
                <w:szCs w:val="21"/>
                <w:highlight w:val="none"/>
                <w:u w:val="none"/>
                <w:lang w:val="en-US" w:eastAsia="zh-CN"/>
              </w:rPr>
              <w:t>1.68</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56DC7F4D">
            <w:pPr>
              <w:autoSpaceDE w:val="0"/>
              <w:spacing w:line="240" w:lineRule="exact"/>
              <w:jc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eastAsia" w:ascii="Times New Roman" w:hAnsi="Times New Roman" w:eastAsia="宋体" w:cs="Times New Roman"/>
                <w:b/>
                <w:bCs/>
                <w:i w:val="0"/>
                <w:iCs w:val="0"/>
                <w:color w:val="auto"/>
                <w:kern w:val="2"/>
                <w:sz w:val="21"/>
                <w:szCs w:val="21"/>
                <w:highlight w:val="none"/>
                <w:u w:val="none"/>
                <w:lang w:val="en-US" w:eastAsia="zh-CN"/>
              </w:rPr>
              <w:t>4.04</w:t>
            </w:r>
            <w:r>
              <w:rPr>
                <w:rFonts w:hint="default" w:ascii="Times New Roman" w:hAnsi="Times New Roman" w:eastAsia="宋体" w:cs="Times New Roman"/>
                <w:b/>
                <w:bCs/>
                <w:i w:val="0"/>
                <w:iCs w:val="0"/>
                <w:color w:val="auto"/>
                <w:kern w:val="2"/>
                <w:sz w:val="21"/>
                <w:szCs w:val="21"/>
                <w:highlight w:val="none"/>
                <w:u w:val="none"/>
                <w:lang w:val="en-US" w:eastAsia="zh-CN"/>
              </w:rPr>
              <w:t>×10</w:t>
            </w:r>
            <w:r>
              <w:rPr>
                <w:rFonts w:hint="default" w:ascii="Times New Roman" w:hAnsi="Times New Roman" w:eastAsia="宋体" w:cs="Times New Roman"/>
                <w:b/>
                <w:bCs/>
                <w:i w:val="0"/>
                <w:iCs w:val="0"/>
                <w:color w:val="auto"/>
                <w:kern w:val="2"/>
                <w:sz w:val="21"/>
                <w:szCs w:val="21"/>
                <w:highlight w:val="none"/>
                <w:u w:val="none"/>
                <w:vertAlign w:val="superscript"/>
                <w:lang w:val="en-US" w:eastAsia="zh-CN"/>
              </w:rPr>
              <w:t>3</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35F3ACA7">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bidi="ar-SA"/>
              </w:rPr>
            </w:pPr>
            <w:r>
              <w:rPr>
                <w:rFonts w:hint="eastAsia" w:cs="Times New Roman"/>
                <w:b/>
                <w:bCs/>
                <w:i w:val="0"/>
                <w:iCs w:val="0"/>
                <w:color w:val="auto"/>
                <w:kern w:val="0"/>
                <w:sz w:val="21"/>
                <w:szCs w:val="21"/>
                <w:highlight w:val="none"/>
                <w:u w:val="none"/>
                <w:lang w:val="en-US" w:eastAsia="zh-CN" w:bidi="ar"/>
              </w:rPr>
              <w:t>16.16</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6A0770C7">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250</w:t>
            </w:r>
          </w:p>
        </w:tc>
      </w:tr>
      <w:tr w14:paraId="30E6B9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268DE0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24</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7DF18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碳酸根</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264C0CB1">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70357198">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00172FAF">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2399EDF1">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35E326C1">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6031A872">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39778B0A">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1DA7B9FF">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1090ADED">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3411F357">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bidi="ar-SA"/>
              </w:rPr>
              <w:t>＜1</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15FF97DF">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22B55B7E">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r>
      <w:tr w14:paraId="12126F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2A038EB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25</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ECB6B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碳酸氢根</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670E59A9">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mg/L</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3A461117">
            <w:pPr>
              <w:keepNext w:val="0"/>
              <w:keepLines w:val="0"/>
              <w:widowControl/>
              <w:suppressLineNumbers w:val="0"/>
              <w:spacing w:line="360" w:lineRule="auto"/>
              <w:ind w:left="0" w:leftChars="0" w:firstLine="0" w:firstLineChars="0"/>
              <w:jc w:val="center"/>
              <w:textAlignment w:val="bottom"/>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252</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229DBA02">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70" w:type="pct"/>
            <w:tcBorders>
              <w:top w:val="single" w:color="auto" w:sz="4" w:space="0"/>
              <w:left w:val="nil"/>
              <w:bottom w:val="single" w:color="auto" w:sz="4" w:space="0"/>
              <w:right w:val="single" w:color="auto" w:sz="4" w:space="0"/>
            </w:tcBorders>
            <w:shd w:val="clear" w:color="auto" w:fill="auto"/>
            <w:noWrap/>
            <w:vAlign w:val="center"/>
          </w:tcPr>
          <w:p w14:paraId="322B7E56">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336</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6214D196">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67" w:type="pct"/>
            <w:tcBorders>
              <w:top w:val="single" w:color="auto" w:sz="4" w:space="0"/>
              <w:left w:val="nil"/>
              <w:bottom w:val="single" w:color="auto" w:sz="4" w:space="0"/>
              <w:right w:val="single" w:color="auto" w:sz="4" w:space="0"/>
            </w:tcBorders>
            <w:shd w:val="clear" w:color="auto" w:fill="auto"/>
            <w:noWrap/>
            <w:vAlign w:val="center"/>
          </w:tcPr>
          <w:p w14:paraId="05800A37">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330</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5E1C962A">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2BCD50F1">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77</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07891C5D">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66" w:type="pct"/>
            <w:gridSpan w:val="2"/>
            <w:tcBorders>
              <w:top w:val="single" w:color="auto" w:sz="4" w:space="0"/>
              <w:left w:val="nil"/>
              <w:bottom w:val="single" w:color="auto" w:sz="4" w:space="0"/>
              <w:right w:val="single" w:color="auto" w:sz="4" w:space="0"/>
            </w:tcBorders>
            <w:shd w:val="clear" w:color="auto" w:fill="auto"/>
            <w:noWrap/>
            <w:vAlign w:val="center"/>
          </w:tcPr>
          <w:p w14:paraId="49CED9B8">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u w:val="none"/>
                <w:lang w:val="en-US" w:eastAsia="zh-CN"/>
              </w:rPr>
              <w:t>250</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2A650181">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21" w:type="pct"/>
            <w:tcBorders>
              <w:top w:val="single" w:color="auto" w:sz="4" w:space="0"/>
              <w:left w:val="nil"/>
              <w:bottom w:val="single" w:color="auto" w:sz="4" w:space="0"/>
              <w:right w:val="single" w:color="auto" w:sz="4" w:space="0"/>
            </w:tcBorders>
            <w:shd w:val="clear" w:color="auto" w:fill="auto"/>
            <w:noWrap/>
            <w:vAlign w:val="center"/>
          </w:tcPr>
          <w:p w14:paraId="03CC3CF2">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r>
      <w:tr w14:paraId="5B070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19EB815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26</w:t>
            </w:r>
          </w:p>
        </w:tc>
        <w:tc>
          <w:tcPr>
            <w:tcW w:w="549" w:type="pct"/>
            <w:tcBorders>
              <w:top w:val="single" w:color="auto" w:sz="4" w:space="0"/>
              <w:left w:val="single" w:color="auto" w:sz="4" w:space="0"/>
              <w:bottom w:val="single" w:color="auto" w:sz="4" w:space="0"/>
              <w:right w:val="single" w:color="auto" w:sz="4" w:space="0"/>
            </w:tcBorders>
            <w:noWrap/>
            <w:vAlign w:val="center"/>
          </w:tcPr>
          <w:p w14:paraId="1342D6F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钾离子</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40EB717D">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38" w:type="pct"/>
            <w:tcBorders>
              <w:top w:val="single" w:color="auto" w:sz="4" w:space="0"/>
              <w:left w:val="nil"/>
              <w:bottom w:val="single" w:color="auto" w:sz="4" w:space="0"/>
              <w:right w:val="single" w:color="auto" w:sz="4" w:space="0"/>
            </w:tcBorders>
            <w:noWrap/>
            <w:vAlign w:val="center"/>
          </w:tcPr>
          <w:p w14:paraId="60063272">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38.5</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7F835D23">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70" w:type="pct"/>
            <w:tcBorders>
              <w:top w:val="single" w:color="auto" w:sz="4" w:space="0"/>
              <w:left w:val="nil"/>
              <w:bottom w:val="single" w:color="auto" w:sz="4" w:space="0"/>
              <w:right w:val="single" w:color="auto" w:sz="4" w:space="0"/>
            </w:tcBorders>
            <w:noWrap/>
            <w:vAlign w:val="center"/>
          </w:tcPr>
          <w:p w14:paraId="2FEF13F8">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17.6</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66CB402A">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7" w:type="pct"/>
            <w:tcBorders>
              <w:top w:val="single" w:color="auto" w:sz="4" w:space="0"/>
              <w:left w:val="nil"/>
              <w:bottom w:val="single" w:color="auto" w:sz="4" w:space="0"/>
              <w:right w:val="single" w:color="auto" w:sz="4" w:space="0"/>
            </w:tcBorders>
            <w:noWrap/>
            <w:vAlign w:val="center"/>
          </w:tcPr>
          <w:p w14:paraId="3086D073">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8.20</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649F1A46">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6" w:type="pct"/>
            <w:gridSpan w:val="2"/>
            <w:tcBorders>
              <w:top w:val="single" w:color="auto" w:sz="4" w:space="0"/>
              <w:left w:val="nil"/>
              <w:bottom w:val="single" w:color="auto" w:sz="4" w:space="0"/>
              <w:right w:val="single" w:color="auto" w:sz="4" w:space="0"/>
            </w:tcBorders>
            <w:noWrap/>
            <w:vAlign w:val="center"/>
          </w:tcPr>
          <w:p w14:paraId="0C461FA8">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7.41</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4ACB8625">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6" w:type="pct"/>
            <w:gridSpan w:val="2"/>
            <w:tcBorders>
              <w:top w:val="single" w:color="auto" w:sz="4" w:space="0"/>
              <w:left w:val="nil"/>
              <w:bottom w:val="single" w:color="auto" w:sz="4" w:space="0"/>
              <w:right w:val="single" w:color="auto" w:sz="4" w:space="0"/>
            </w:tcBorders>
            <w:noWrap/>
            <w:vAlign w:val="center"/>
          </w:tcPr>
          <w:p w14:paraId="15600353">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ascii="Times New Roman" w:hAnsi="Times New Roman" w:eastAsia="宋体" w:cs="Times New Roman"/>
                <w:b w:val="0"/>
                <w:bCs w:val="0"/>
                <w:i w:val="0"/>
                <w:iCs w:val="0"/>
                <w:color w:val="auto"/>
                <w:kern w:val="2"/>
                <w:sz w:val="21"/>
                <w:szCs w:val="21"/>
                <w:highlight w:val="none"/>
                <w:u w:val="none"/>
                <w:lang w:val="en-US" w:eastAsia="zh-CN"/>
              </w:rPr>
              <w:t>20</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18447264">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21" w:type="pct"/>
            <w:tcBorders>
              <w:top w:val="single" w:color="auto" w:sz="4" w:space="0"/>
              <w:left w:val="nil"/>
              <w:bottom w:val="single" w:color="auto" w:sz="4" w:space="0"/>
              <w:right w:val="single" w:color="auto" w:sz="4" w:space="0"/>
            </w:tcBorders>
            <w:noWrap/>
            <w:vAlign w:val="center"/>
          </w:tcPr>
          <w:p w14:paraId="1E31EFB8">
            <w:pPr>
              <w:autoSpaceDE w:val="0"/>
              <w:spacing w:line="240" w:lineRule="exact"/>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250B15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5495387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27</w:t>
            </w:r>
          </w:p>
        </w:tc>
        <w:tc>
          <w:tcPr>
            <w:tcW w:w="549" w:type="pct"/>
            <w:tcBorders>
              <w:top w:val="single" w:color="auto" w:sz="4" w:space="0"/>
              <w:left w:val="single" w:color="auto" w:sz="4" w:space="0"/>
              <w:bottom w:val="single" w:color="auto" w:sz="4" w:space="0"/>
              <w:right w:val="single" w:color="auto" w:sz="4" w:space="0"/>
            </w:tcBorders>
            <w:noWrap/>
            <w:vAlign w:val="center"/>
          </w:tcPr>
          <w:p w14:paraId="57D8248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钠离子</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7EDAE473">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38" w:type="pct"/>
            <w:tcBorders>
              <w:top w:val="single" w:color="auto" w:sz="4" w:space="0"/>
              <w:left w:val="nil"/>
              <w:bottom w:val="single" w:color="auto" w:sz="4" w:space="0"/>
              <w:right w:val="single" w:color="auto" w:sz="4" w:space="0"/>
            </w:tcBorders>
            <w:noWrap/>
            <w:vAlign w:val="center"/>
          </w:tcPr>
          <w:p w14:paraId="5630C4B4">
            <w:pPr>
              <w:keepNext w:val="0"/>
              <w:keepLines w:val="0"/>
              <w:pageBreakBefore w:val="0"/>
              <w:widowControl/>
              <w:kinsoku/>
              <w:wordWrap/>
              <w:overflowPunct/>
              <w:topLinePunct w:val="0"/>
              <w:autoSpaceDE w:val="0"/>
              <w:autoSpaceDN/>
              <w:bidi w:val="0"/>
              <w:adjustRightInd/>
              <w:snapToGrid/>
              <w:spacing w:line="240" w:lineRule="exact"/>
              <w:ind w:left="-120" w:leftChars="-50"/>
              <w:jc w:val="center"/>
              <w:textAlignment w:val="auto"/>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3.42</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2435B7E8">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70" w:type="pct"/>
            <w:tcBorders>
              <w:top w:val="single" w:color="auto" w:sz="4" w:space="0"/>
              <w:left w:val="nil"/>
              <w:bottom w:val="single" w:color="auto" w:sz="4" w:space="0"/>
              <w:right w:val="single" w:color="auto" w:sz="4" w:space="0"/>
            </w:tcBorders>
            <w:noWrap/>
            <w:vAlign w:val="center"/>
          </w:tcPr>
          <w:p w14:paraId="26D06CE4">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5AB4308E">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9</w:t>
            </w:r>
          </w:p>
        </w:tc>
        <w:tc>
          <w:tcPr>
            <w:tcW w:w="367" w:type="pct"/>
            <w:tcBorders>
              <w:top w:val="single" w:color="auto" w:sz="4" w:space="0"/>
              <w:left w:val="nil"/>
              <w:bottom w:val="single" w:color="auto" w:sz="4" w:space="0"/>
              <w:right w:val="single" w:color="auto" w:sz="4" w:space="0"/>
            </w:tcBorders>
            <w:noWrap/>
            <w:vAlign w:val="center"/>
          </w:tcPr>
          <w:p w14:paraId="7B346BA3">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780</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3278DDBD">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3.9</w:t>
            </w:r>
          </w:p>
        </w:tc>
        <w:tc>
          <w:tcPr>
            <w:tcW w:w="366" w:type="pct"/>
            <w:gridSpan w:val="2"/>
            <w:tcBorders>
              <w:top w:val="single" w:color="auto" w:sz="4" w:space="0"/>
              <w:left w:val="nil"/>
              <w:bottom w:val="single" w:color="auto" w:sz="4" w:space="0"/>
              <w:right w:val="single" w:color="auto" w:sz="4" w:space="0"/>
            </w:tcBorders>
            <w:noWrap/>
            <w:vAlign w:val="center"/>
          </w:tcPr>
          <w:p w14:paraId="58E9E3AB">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157</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1D0C15EE">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6" w:type="pct"/>
            <w:gridSpan w:val="2"/>
            <w:tcBorders>
              <w:top w:val="single" w:color="auto" w:sz="4" w:space="0"/>
              <w:left w:val="nil"/>
              <w:bottom w:val="single" w:color="auto" w:sz="4" w:space="0"/>
              <w:right w:val="single" w:color="auto" w:sz="4" w:space="0"/>
            </w:tcBorders>
            <w:noWrap/>
            <w:vAlign w:val="center"/>
          </w:tcPr>
          <w:p w14:paraId="61A3023F">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ascii="Times New Roman" w:hAnsi="Times New Roman" w:eastAsia="宋体" w:cs="Times New Roman"/>
                <w:b w:val="0"/>
                <w:bCs w:val="0"/>
                <w:i w:val="0"/>
                <w:iCs w:val="0"/>
                <w:color w:val="auto"/>
                <w:kern w:val="2"/>
                <w:sz w:val="21"/>
                <w:szCs w:val="21"/>
                <w:highlight w:val="none"/>
                <w:u w:val="none"/>
                <w:lang w:val="en-US" w:eastAsia="zh-CN"/>
              </w:rPr>
              <w:t>3.4</w:t>
            </w:r>
            <w:r>
              <w:rPr>
                <w:rFonts w:hint="default" w:ascii="Times New Roman" w:hAnsi="Times New Roman" w:eastAsia="宋体" w:cs="Times New Roman"/>
                <w:b w:val="0"/>
                <w:bCs w:val="0"/>
                <w:i w:val="0"/>
                <w:iCs w:val="0"/>
                <w:color w:val="auto"/>
                <w:kern w:val="2"/>
                <w:sz w:val="21"/>
                <w:szCs w:val="21"/>
                <w:highlight w:val="none"/>
                <w:u w:val="none"/>
                <w:lang w:val="en-US" w:eastAsia="zh-CN"/>
              </w:rPr>
              <w:t>×10</w:t>
            </w:r>
            <w:r>
              <w:rPr>
                <w:rFonts w:hint="default" w:ascii="Times New Roman" w:hAnsi="Times New Roman" w:eastAsia="宋体" w:cs="Times New Roman"/>
                <w:b w:val="0"/>
                <w:bCs w:val="0"/>
                <w:i w:val="0"/>
                <w:iCs w:val="0"/>
                <w:color w:val="auto"/>
                <w:kern w:val="2"/>
                <w:sz w:val="21"/>
                <w:szCs w:val="21"/>
                <w:highlight w:val="none"/>
                <w:u w:val="none"/>
                <w:vertAlign w:val="superscript"/>
                <w:lang w:val="en-US" w:eastAsia="zh-CN"/>
              </w:rPr>
              <w:t>3</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1A605F9B">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21" w:type="pct"/>
            <w:tcBorders>
              <w:top w:val="single" w:color="auto" w:sz="4" w:space="0"/>
              <w:left w:val="nil"/>
              <w:bottom w:val="single" w:color="auto" w:sz="4" w:space="0"/>
              <w:right w:val="single" w:color="auto" w:sz="4" w:space="0"/>
            </w:tcBorders>
            <w:noWrap/>
            <w:vAlign w:val="center"/>
          </w:tcPr>
          <w:p w14:paraId="40A63F94">
            <w:pPr>
              <w:autoSpaceDE w:val="0"/>
              <w:spacing w:line="240" w:lineRule="exact"/>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r>
      <w:tr w14:paraId="719FB7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72E629B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28</w:t>
            </w:r>
          </w:p>
        </w:tc>
        <w:tc>
          <w:tcPr>
            <w:tcW w:w="549" w:type="pct"/>
            <w:tcBorders>
              <w:top w:val="single" w:color="auto" w:sz="4" w:space="0"/>
              <w:left w:val="single" w:color="auto" w:sz="4" w:space="0"/>
              <w:bottom w:val="single" w:color="auto" w:sz="4" w:space="0"/>
              <w:right w:val="single" w:color="auto" w:sz="4" w:space="0"/>
            </w:tcBorders>
            <w:noWrap/>
            <w:vAlign w:val="center"/>
          </w:tcPr>
          <w:p w14:paraId="75A50B6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钙离子</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4DC3D90A">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mg/L</w:t>
            </w:r>
          </w:p>
        </w:tc>
        <w:tc>
          <w:tcPr>
            <w:tcW w:w="338" w:type="pct"/>
            <w:tcBorders>
              <w:top w:val="single" w:color="auto" w:sz="4" w:space="0"/>
              <w:left w:val="nil"/>
              <w:bottom w:val="single" w:color="auto" w:sz="4" w:space="0"/>
              <w:right w:val="single" w:color="auto" w:sz="4" w:space="0"/>
            </w:tcBorders>
            <w:noWrap/>
            <w:vAlign w:val="center"/>
          </w:tcPr>
          <w:p w14:paraId="6AC54D25">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391</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1481E555">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70" w:type="pct"/>
            <w:tcBorders>
              <w:top w:val="single" w:color="auto" w:sz="4" w:space="0"/>
              <w:left w:val="nil"/>
              <w:bottom w:val="single" w:color="auto" w:sz="4" w:space="0"/>
              <w:right w:val="single" w:color="auto" w:sz="4" w:space="0"/>
            </w:tcBorders>
            <w:noWrap/>
            <w:vAlign w:val="center"/>
          </w:tcPr>
          <w:p w14:paraId="39D6887A">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245</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75C0E994">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7" w:type="pct"/>
            <w:tcBorders>
              <w:top w:val="single" w:color="auto" w:sz="4" w:space="0"/>
              <w:left w:val="nil"/>
              <w:bottom w:val="single" w:color="auto" w:sz="4" w:space="0"/>
              <w:right w:val="single" w:color="auto" w:sz="4" w:space="0"/>
            </w:tcBorders>
            <w:noWrap/>
            <w:vAlign w:val="center"/>
          </w:tcPr>
          <w:p w14:paraId="4356D44B">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113</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1ACB3F09">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6" w:type="pct"/>
            <w:gridSpan w:val="2"/>
            <w:tcBorders>
              <w:top w:val="single" w:color="auto" w:sz="4" w:space="0"/>
              <w:left w:val="nil"/>
              <w:bottom w:val="single" w:color="auto" w:sz="4" w:space="0"/>
              <w:right w:val="single" w:color="auto" w:sz="4" w:space="0"/>
            </w:tcBorders>
            <w:noWrap/>
            <w:vAlign w:val="center"/>
          </w:tcPr>
          <w:p w14:paraId="3C12F720">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19.8</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1B21D46C">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6" w:type="pct"/>
            <w:gridSpan w:val="2"/>
            <w:tcBorders>
              <w:top w:val="single" w:color="auto" w:sz="4" w:space="0"/>
              <w:left w:val="nil"/>
              <w:bottom w:val="single" w:color="auto" w:sz="4" w:space="0"/>
              <w:right w:val="single" w:color="auto" w:sz="4" w:space="0"/>
            </w:tcBorders>
            <w:noWrap/>
            <w:vAlign w:val="center"/>
          </w:tcPr>
          <w:p w14:paraId="7F4B8E29">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ascii="Times New Roman" w:hAnsi="Times New Roman" w:eastAsia="宋体" w:cs="Times New Roman"/>
                <w:b w:val="0"/>
                <w:bCs w:val="0"/>
                <w:i w:val="0"/>
                <w:iCs w:val="0"/>
                <w:color w:val="auto"/>
                <w:kern w:val="2"/>
                <w:sz w:val="21"/>
                <w:szCs w:val="21"/>
                <w:highlight w:val="none"/>
                <w:u w:val="none"/>
                <w:lang w:val="en-US" w:eastAsia="zh-CN"/>
              </w:rPr>
              <w:t>438</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0CD0E310">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21" w:type="pct"/>
            <w:tcBorders>
              <w:top w:val="single" w:color="auto" w:sz="4" w:space="0"/>
              <w:left w:val="nil"/>
              <w:bottom w:val="single" w:color="auto" w:sz="4" w:space="0"/>
              <w:right w:val="single" w:color="auto" w:sz="4" w:space="0"/>
            </w:tcBorders>
            <w:noWrap/>
            <w:vAlign w:val="center"/>
          </w:tcPr>
          <w:p w14:paraId="379C74F7">
            <w:pPr>
              <w:autoSpaceDE w:val="0"/>
              <w:spacing w:line="240" w:lineRule="exact"/>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68B72B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6" w:type="pct"/>
            <w:tcBorders>
              <w:top w:val="single" w:color="auto" w:sz="4" w:space="0"/>
              <w:left w:val="single" w:color="auto" w:sz="4" w:space="0"/>
              <w:bottom w:val="single" w:color="auto" w:sz="4" w:space="0"/>
              <w:right w:val="single" w:color="auto" w:sz="4" w:space="0"/>
            </w:tcBorders>
            <w:noWrap/>
            <w:vAlign w:val="center"/>
          </w:tcPr>
          <w:p w14:paraId="3567209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29</w:t>
            </w:r>
          </w:p>
        </w:tc>
        <w:tc>
          <w:tcPr>
            <w:tcW w:w="549" w:type="pct"/>
            <w:tcBorders>
              <w:top w:val="single" w:color="auto" w:sz="4" w:space="0"/>
              <w:left w:val="single" w:color="auto" w:sz="4" w:space="0"/>
              <w:bottom w:val="single" w:color="auto" w:sz="4" w:space="0"/>
              <w:right w:val="single" w:color="auto" w:sz="4" w:space="0"/>
            </w:tcBorders>
            <w:noWrap/>
            <w:vAlign w:val="center"/>
          </w:tcPr>
          <w:p w14:paraId="5FA8844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镁离子</w:t>
            </w:r>
          </w:p>
        </w:tc>
        <w:tc>
          <w:tcPr>
            <w:tcW w:w="448" w:type="pct"/>
            <w:tcBorders>
              <w:top w:val="single" w:color="auto" w:sz="4" w:space="0"/>
              <w:left w:val="nil"/>
              <w:bottom w:val="single" w:color="auto" w:sz="4" w:space="0"/>
              <w:right w:val="single" w:color="auto" w:sz="4" w:space="0"/>
            </w:tcBorders>
            <w:shd w:val="clear" w:color="auto" w:fill="auto"/>
            <w:noWrap/>
            <w:vAlign w:val="center"/>
          </w:tcPr>
          <w:p w14:paraId="6E082C29">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38" w:type="pct"/>
            <w:tcBorders>
              <w:top w:val="single" w:color="auto" w:sz="4" w:space="0"/>
              <w:left w:val="nil"/>
              <w:bottom w:val="single" w:color="auto" w:sz="4" w:space="0"/>
              <w:right w:val="single" w:color="auto" w:sz="4" w:space="0"/>
            </w:tcBorders>
            <w:noWrap/>
            <w:vAlign w:val="center"/>
          </w:tcPr>
          <w:p w14:paraId="4454F4AE">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568</w:t>
            </w:r>
          </w:p>
        </w:tc>
        <w:tc>
          <w:tcPr>
            <w:tcW w:w="291" w:type="pct"/>
            <w:tcBorders>
              <w:top w:val="single" w:color="auto" w:sz="4" w:space="0"/>
              <w:left w:val="nil"/>
              <w:bottom w:val="single" w:color="auto" w:sz="4" w:space="0"/>
              <w:right w:val="single" w:color="auto" w:sz="4" w:space="0"/>
            </w:tcBorders>
            <w:shd w:val="clear" w:color="auto" w:fill="auto"/>
            <w:noWrap/>
            <w:vAlign w:val="center"/>
          </w:tcPr>
          <w:p w14:paraId="20B4D92F">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70" w:type="pct"/>
            <w:tcBorders>
              <w:top w:val="single" w:color="auto" w:sz="4" w:space="0"/>
              <w:left w:val="nil"/>
              <w:bottom w:val="single" w:color="auto" w:sz="4" w:space="0"/>
              <w:right w:val="single" w:color="auto" w:sz="4" w:space="0"/>
            </w:tcBorders>
            <w:noWrap/>
            <w:vAlign w:val="center"/>
          </w:tcPr>
          <w:p w14:paraId="41E7F411">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296</w:t>
            </w:r>
          </w:p>
        </w:tc>
        <w:tc>
          <w:tcPr>
            <w:tcW w:w="322" w:type="pct"/>
            <w:tcBorders>
              <w:top w:val="single" w:color="auto" w:sz="4" w:space="0"/>
              <w:left w:val="nil"/>
              <w:bottom w:val="single" w:color="auto" w:sz="4" w:space="0"/>
              <w:right w:val="single" w:color="auto" w:sz="4" w:space="0"/>
            </w:tcBorders>
            <w:shd w:val="clear" w:color="auto" w:fill="auto"/>
            <w:noWrap/>
            <w:vAlign w:val="center"/>
          </w:tcPr>
          <w:p w14:paraId="03F49448">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7" w:type="pct"/>
            <w:tcBorders>
              <w:top w:val="single" w:color="auto" w:sz="4" w:space="0"/>
              <w:left w:val="nil"/>
              <w:bottom w:val="single" w:color="auto" w:sz="4" w:space="0"/>
              <w:right w:val="single" w:color="auto" w:sz="4" w:space="0"/>
            </w:tcBorders>
            <w:noWrap/>
            <w:vAlign w:val="center"/>
          </w:tcPr>
          <w:p w14:paraId="76AAE025">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137</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61742088">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6" w:type="pct"/>
            <w:gridSpan w:val="2"/>
            <w:tcBorders>
              <w:top w:val="single" w:color="auto" w:sz="4" w:space="0"/>
              <w:left w:val="nil"/>
              <w:bottom w:val="single" w:color="auto" w:sz="4" w:space="0"/>
              <w:right w:val="single" w:color="auto" w:sz="4" w:space="0"/>
            </w:tcBorders>
            <w:noWrap/>
            <w:vAlign w:val="center"/>
          </w:tcPr>
          <w:p w14:paraId="53FA192B">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cs="Times New Roman"/>
                <w:b w:val="0"/>
                <w:bCs w:val="0"/>
                <w:i w:val="0"/>
                <w:iCs w:val="0"/>
                <w:color w:val="auto"/>
                <w:kern w:val="2"/>
                <w:sz w:val="21"/>
                <w:szCs w:val="21"/>
                <w:highlight w:val="none"/>
                <w:u w:val="none"/>
                <w:lang w:val="en-US" w:eastAsia="zh-CN"/>
              </w:rPr>
              <w:t>8.6</w:t>
            </w:r>
          </w:p>
        </w:tc>
        <w:tc>
          <w:tcPr>
            <w:tcW w:w="366" w:type="pct"/>
            <w:tcBorders>
              <w:top w:val="single" w:color="auto" w:sz="4" w:space="0"/>
              <w:left w:val="nil"/>
              <w:bottom w:val="single" w:color="auto" w:sz="4" w:space="0"/>
              <w:right w:val="single" w:color="auto" w:sz="4" w:space="0"/>
            </w:tcBorders>
            <w:shd w:val="clear" w:color="auto" w:fill="auto"/>
            <w:noWrap/>
            <w:vAlign w:val="center"/>
          </w:tcPr>
          <w:p w14:paraId="0A45771A">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66" w:type="pct"/>
            <w:gridSpan w:val="2"/>
            <w:tcBorders>
              <w:top w:val="single" w:color="auto" w:sz="4" w:space="0"/>
              <w:left w:val="nil"/>
              <w:bottom w:val="single" w:color="auto" w:sz="4" w:space="0"/>
              <w:right w:val="single" w:color="auto" w:sz="4" w:space="0"/>
            </w:tcBorders>
            <w:noWrap/>
            <w:vAlign w:val="center"/>
          </w:tcPr>
          <w:p w14:paraId="7591AFA6">
            <w:pPr>
              <w:autoSpaceDE w:val="0"/>
              <w:spacing w:line="240" w:lineRule="exact"/>
              <w:jc w:val="center"/>
              <w:rPr>
                <w:rFonts w:hint="default" w:ascii="Times New Roman" w:hAnsi="Times New Roman" w:eastAsia="宋体" w:cs="Times New Roman"/>
                <w:b w:val="0"/>
                <w:bCs w:val="0"/>
                <w:i w:val="0"/>
                <w:iCs w:val="0"/>
                <w:color w:val="auto"/>
                <w:kern w:val="2"/>
                <w:sz w:val="21"/>
                <w:szCs w:val="21"/>
                <w:highlight w:val="none"/>
                <w:u w:val="none"/>
                <w:lang w:val="en-US" w:eastAsia="zh-CN"/>
              </w:rPr>
            </w:pPr>
            <w:r>
              <w:rPr>
                <w:rFonts w:hint="eastAsia" w:ascii="Times New Roman" w:hAnsi="Times New Roman" w:eastAsia="宋体" w:cs="Times New Roman"/>
                <w:b w:val="0"/>
                <w:bCs w:val="0"/>
                <w:i w:val="0"/>
                <w:iCs w:val="0"/>
                <w:color w:val="auto"/>
                <w:kern w:val="2"/>
                <w:sz w:val="21"/>
                <w:szCs w:val="21"/>
                <w:highlight w:val="none"/>
                <w:u w:val="none"/>
                <w:lang w:val="en-US" w:eastAsia="zh-CN"/>
              </w:rPr>
              <w:t>196</w:t>
            </w:r>
          </w:p>
        </w:tc>
        <w:tc>
          <w:tcPr>
            <w:tcW w:w="368" w:type="pct"/>
            <w:tcBorders>
              <w:top w:val="single" w:color="auto" w:sz="4" w:space="0"/>
              <w:left w:val="nil"/>
              <w:bottom w:val="single" w:color="auto" w:sz="4" w:space="0"/>
              <w:right w:val="single" w:color="auto" w:sz="4" w:space="0"/>
            </w:tcBorders>
            <w:shd w:val="clear" w:color="auto" w:fill="auto"/>
            <w:noWrap/>
            <w:vAlign w:val="center"/>
          </w:tcPr>
          <w:p w14:paraId="25A768E3">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w:t>
            </w:r>
          </w:p>
        </w:tc>
        <w:tc>
          <w:tcPr>
            <w:tcW w:w="321" w:type="pct"/>
            <w:tcBorders>
              <w:top w:val="single" w:color="auto" w:sz="4" w:space="0"/>
              <w:left w:val="nil"/>
              <w:bottom w:val="single" w:color="auto" w:sz="4" w:space="0"/>
              <w:right w:val="single" w:color="auto" w:sz="4" w:space="0"/>
            </w:tcBorders>
            <w:noWrap/>
            <w:vAlign w:val="center"/>
          </w:tcPr>
          <w:p w14:paraId="10E9DA37">
            <w:pPr>
              <w:autoSpaceDE w:val="0"/>
              <w:spacing w:line="240" w:lineRule="exact"/>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bl>
    <w:p w14:paraId="1A4024A7">
      <w:pPr>
        <w:pStyle w:val="44"/>
        <w:keepNext w:val="0"/>
        <w:keepLines w:val="0"/>
        <w:pageBreakBefore w:val="0"/>
        <w:kinsoku/>
        <w:wordWrap/>
        <w:overflowPunct/>
        <w:topLinePunct w:val="0"/>
        <w:autoSpaceDE/>
        <w:autoSpaceDN/>
        <w:bidi w:val="0"/>
        <w:spacing w:line="240" w:lineRule="auto"/>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表4.3-3地下水水质现状监测及评价结果</w:t>
      </w:r>
    </w:p>
    <w:tbl>
      <w:tblPr>
        <w:tblStyle w:val="3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744"/>
        <w:gridCol w:w="1287"/>
        <w:gridCol w:w="1066"/>
        <w:gridCol w:w="989"/>
        <w:gridCol w:w="1095"/>
        <w:gridCol w:w="1290"/>
        <w:gridCol w:w="1173"/>
        <w:gridCol w:w="1295"/>
        <w:gridCol w:w="1380"/>
        <w:gridCol w:w="1108"/>
        <w:gridCol w:w="1102"/>
      </w:tblGrid>
      <w:tr w14:paraId="7AB1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vMerge w:val="restart"/>
            <w:noWrap/>
            <w:vAlign w:val="center"/>
          </w:tcPr>
          <w:p w14:paraId="0F3D4A0E">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序号</w:t>
            </w:r>
          </w:p>
        </w:tc>
        <w:tc>
          <w:tcPr>
            <w:tcW w:w="615" w:type="pct"/>
            <w:vMerge w:val="restart"/>
            <w:noWrap/>
            <w:vAlign w:val="center"/>
          </w:tcPr>
          <w:p w14:paraId="0EB3F5A7">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检测项目</w:t>
            </w:r>
          </w:p>
        </w:tc>
        <w:tc>
          <w:tcPr>
            <w:tcW w:w="454" w:type="pct"/>
            <w:vMerge w:val="restart"/>
            <w:noWrap/>
            <w:vAlign w:val="center"/>
          </w:tcPr>
          <w:p w14:paraId="38EE0D75">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单位</w:t>
            </w:r>
          </w:p>
        </w:tc>
        <w:tc>
          <w:tcPr>
            <w:tcW w:w="3317" w:type="pct"/>
            <w:gridSpan w:val="8"/>
            <w:vAlign w:val="center"/>
          </w:tcPr>
          <w:p w14:paraId="67C0A962">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监测及评价结果</w:t>
            </w:r>
          </w:p>
        </w:tc>
        <w:tc>
          <w:tcPr>
            <w:tcW w:w="389" w:type="pct"/>
            <w:vMerge w:val="restart"/>
            <w:vAlign w:val="center"/>
          </w:tcPr>
          <w:p w14:paraId="238EA162">
            <w:pPr>
              <w:autoSpaceDE w:val="0"/>
              <w:spacing w:line="24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标准限值</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III类</w:t>
            </w:r>
            <w:r>
              <w:rPr>
                <w:rFonts w:hint="default" w:ascii="Times New Roman" w:hAnsi="Times New Roman" w:cs="Times New Roman"/>
                <w:b w:val="0"/>
                <w:bCs w:val="0"/>
                <w:color w:val="auto"/>
                <w:sz w:val="21"/>
                <w:szCs w:val="21"/>
                <w:highlight w:val="none"/>
                <w:lang w:eastAsia="zh-CN"/>
              </w:rPr>
              <w:t>）</w:t>
            </w:r>
          </w:p>
        </w:tc>
      </w:tr>
      <w:tr w14:paraId="5D87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3" w:type="pct"/>
            <w:vMerge w:val="continue"/>
            <w:vAlign w:val="center"/>
          </w:tcPr>
          <w:p w14:paraId="1715EA4A">
            <w:pPr>
              <w:rPr>
                <w:rFonts w:hint="default" w:ascii="Times New Roman" w:hAnsi="Times New Roman" w:eastAsia="宋体" w:cs="Times New Roman"/>
                <w:b w:val="0"/>
                <w:bCs w:val="0"/>
                <w:color w:val="auto"/>
                <w:sz w:val="21"/>
                <w:szCs w:val="21"/>
                <w:highlight w:val="none"/>
              </w:rPr>
            </w:pPr>
          </w:p>
        </w:tc>
        <w:tc>
          <w:tcPr>
            <w:tcW w:w="615" w:type="pct"/>
            <w:vMerge w:val="continue"/>
            <w:vAlign w:val="center"/>
          </w:tcPr>
          <w:p w14:paraId="5C87DF0A">
            <w:pPr>
              <w:rPr>
                <w:rFonts w:hint="default" w:ascii="Times New Roman" w:hAnsi="Times New Roman" w:eastAsia="宋体" w:cs="Times New Roman"/>
                <w:b w:val="0"/>
                <w:bCs w:val="0"/>
                <w:color w:val="auto"/>
                <w:sz w:val="21"/>
                <w:szCs w:val="21"/>
                <w:highlight w:val="none"/>
              </w:rPr>
            </w:pPr>
          </w:p>
        </w:tc>
        <w:tc>
          <w:tcPr>
            <w:tcW w:w="454" w:type="pct"/>
            <w:vMerge w:val="continue"/>
            <w:vAlign w:val="center"/>
          </w:tcPr>
          <w:p w14:paraId="1128FAA6">
            <w:pPr>
              <w:rPr>
                <w:rFonts w:hint="default" w:ascii="Times New Roman" w:hAnsi="Times New Roman" w:eastAsia="宋体" w:cs="Times New Roman"/>
                <w:b w:val="0"/>
                <w:bCs w:val="0"/>
                <w:color w:val="auto"/>
                <w:sz w:val="21"/>
                <w:szCs w:val="21"/>
                <w:highlight w:val="none"/>
              </w:rPr>
            </w:pPr>
          </w:p>
        </w:tc>
        <w:tc>
          <w:tcPr>
            <w:tcW w:w="725" w:type="pct"/>
            <w:gridSpan w:val="2"/>
            <w:noWrap/>
            <w:vAlign w:val="center"/>
          </w:tcPr>
          <w:p w14:paraId="3CBB776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6#</w:t>
            </w:r>
          </w:p>
        </w:tc>
        <w:tc>
          <w:tcPr>
            <w:tcW w:w="841" w:type="pct"/>
            <w:gridSpan w:val="2"/>
            <w:noWrap/>
            <w:vAlign w:val="center"/>
          </w:tcPr>
          <w:p w14:paraId="3EDF9AF5">
            <w:pPr>
              <w:keepNext w:val="0"/>
              <w:keepLines w:val="0"/>
              <w:widowControl/>
              <w:suppressLineNumbers w:val="0"/>
              <w:jc w:val="center"/>
              <w:textAlignment w:val="center"/>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7#</w:t>
            </w:r>
          </w:p>
        </w:tc>
        <w:tc>
          <w:tcPr>
            <w:tcW w:w="871" w:type="pct"/>
            <w:gridSpan w:val="2"/>
            <w:noWrap/>
            <w:vAlign w:val="center"/>
          </w:tcPr>
          <w:p w14:paraId="1609E36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8#</w:t>
            </w:r>
          </w:p>
        </w:tc>
        <w:tc>
          <w:tcPr>
            <w:tcW w:w="878" w:type="pct"/>
            <w:gridSpan w:val="2"/>
            <w:noWrap/>
            <w:vAlign w:val="center"/>
          </w:tcPr>
          <w:p w14:paraId="22D9C1B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9#</w:t>
            </w:r>
          </w:p>
        </w:tc>
        <w:tc>
          <w:tcPr>
            <w:tcW w:w="389" w:type="pct"/>
            <w:vMerge w:val="continue"/>
            <w:vAlign w:val="center"/>
          </w:tcPr>
          <w:p w14:paraId="2D77423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r>
      <w:tr w14:paraId="1B72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vMerge w:val="continue"/>
            <w:vAlign w:val="center"/>
          </w:tcPr>
          <w:p w14:paraId="474A1CA1">
            <w:pPr>
              <w:rPr>
                <w:rFonts w:hint="default" w:ascii="Times New Roman" w:hAnsi="Times New Roman" w:eastAsia="宋体" w:cs="Times New Roman"/>
                <w:b w:val="0"/>
                <w:bCs w:val="0"/>
                <w:color w:val="auto"/>
                <w:sz w:val="21"/>
                <w:szCs w:val="21"/>
                <w:highlight w:val="none"/>
              </w:rPr>
            </w:pPr>
          </w:p>
        </w:tc>
        <w:tc>
          <w:tcPr>
            <w:tcW w:w="615" w:type="pct"/>
            <w:vMerge w:val="continue"/>
            <w:vAlign w:val="center"/>
          </w:tcPr>
          <w:p w14:paraId="772B0994">
            <w:pPr>
              <w:rPr>
                <w:rFonts w:hint="default" w:ascii="Times New Roman" w:hAnsi="Times New Roman" w:eastAsia="宋体" w:cs="Times New Roman"/>
                <w:b w:val="0"/>
                <w:bCs w:val="0"/>
                <w:color w:val="auto"/>
                <w:sz w:val="21"/>
                <w:szCs w:val="21"/>
                <w:highlight w:val="none"/>
              </w:rPr>
            </w:pPr>
          </w:p>
        </w:tc>
        <w:tc>
          <w:tcPr>
            <w:tcW w:w="454" w:type="pct"/>
            <w:vMerge w:val="continue"/>
            <w:vAlign w:val="center"/>
          </w:tcPr>
          <w:p w14:paraId="02064565">
            <w:pPr>
              <w:rPr>
                <w:rFonts w:hint="default" w:ascii="Times New Roman" w:hAnsi="Times New Roman" w:eastAsia="宋体" w:cs="Times New Roman"/>
                <w:b w:val="0"/>
                <w:bCs w:val="0"/>
                <w:color w:val="auto"/>
                <w:sz w:val="21"/>
                <w:szCs w:val="21"/>
                <w:highlight w:val="none"/>
              </w:rPr>
            </w:pPr>
          </w:p>
        </w:tc>
        <w:tc>
          <w:tcPr>
            <w:tcW w:w="376" w:type="pct"/>
            <w:noWrap/>
            <w:vAlign w:val="center"/>
          </w:tcPr>
          <w:p w14:paraId="5B89DCFB">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监测值</w:t>
            </w:r>
          </w:p>
        </w:tc>
        <w:tc>
          <w:tcPr>
            <w:tcW w:w="349" w:type="pct"/>
            <w:noWrap/>
            <w:vAlign w:val="center"/>
          </w:tcPr>
          <w:p w14:paraId="5E01FC82">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7FE3A78A">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指数</w:t>
            </w:r>
          </w:p>
        </w:tc>
        <w:tc>
          <w:tcPr>
            <w:tcW w:w="386" w:type="pct"/>
            <w:noWrap/>
            <w:vAlign w:val="center"/>
          </w:tcPr>
          <w:p w14:paraId="1A34AA85">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rPr>
              <w:t>监测值</w:t>
            </w:r>
          </w:p>
        </w:tc>
        <w:tc>
          <w:tcPr>
            <w:tcW w:w="455" w:type="pct"/>
            <w:noWrap/>
            <w:vAlign w:val="center"/>
          </w:tcPr>
          <w:p w14:paraId="12E1FD94">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7C7C4E0E">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rPr>
              <w:t>指数</w:t>
            </w:r>
          </w:p>
        </w:tc>
        <w:tc>
          <w:tcPr>
            <w:tcW w:w="414" w:type="pct"/>
            <w:shd w:val="clear" w:color="auto" w:fill="auto"/>
            <w:noWrap/>
            <w:vAlign w:val="center"/>
          </w:tcPr>
          <w:p w14:paraId="31C4E313">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rPr>
              <w:t>监测值</w:t>
            </w:r>
          </w:p>
        </w:tc>
        <w:tc>
          <w:tcPr>
            <w:tcW w:w="457" w:type="pct"/>
            <w:shd w:val="clear" w:color="auto" w:fill="auto"/>
            <w:noWrap/>
            <w:vAlign w:val="center"/>
          </w:tcPr>
          <w:p w14:paraId="5988C44D">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790B8F4D">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rPr>
              <w:t>指数</w:t>
            </w:r>
          </w:p>
        </w:tc>
        <w:tc>
          <w:tcPr>
            <w:tcW w:w="487" w:type="pct"/>
            <w:noWrap/>
            <w:vAlign w:val="center"/>
          </w:tcPr>
          <w:p w14:paraId="7AA7827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监测值</w:t>
            </w:r>
          </w:p>
        </w:tc>
        <w:tc>
          <w:tcPr>
            <w:tcW w:w="391" w:type="pct"/>
            <w:noWrap/>
            <w:vAlign w:val="center"/>
          </w:tcPr>
          <w:p w14:paraId="54727F25">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w:t>
            </w:r>
          </w:p>
          <w:p w14:paraId="3E2167D3">
            <w:pPr>
              <w:autoSpaceDE w:val="0"/>
              <w:spacing w:line="240" w:lineRule="exact"/>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rPr>
              <w:t>指数</w:t>
            </w:r>
          </w:p>
        </w:tc>
        <w:tc>
          <w:tcPr>
            <w:tcW w:w="389" w:type="pct"/>
            <w:vMerge w:val="continue"/>
            <w:vAlign w:val="center"/>
          </w:tcPr>
          <w:p w14:paraId="421786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r>
      <w:tr w14:paraId="68F5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 w:type="pct"/>
            <w:noWrap/>
            <w:vAlign w:val="center"/>
          </w:tcPr>
          <w:p w14:paraId="69229EE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615" w:type="pct"/>
            <w:noWrap/>
            <w:vAlign w:val="center"/>
          </w:tcPr>
          <w:p w14:paraId="44B1F56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pH值</w:t>
            </w:r>
          </w:p>
        </w:tc>
        <w:tc>
          <w:tcPr>
            <w:tcW w:w="454" w:type="pct"/>
            <w:noWrap/>
            <w:vAlign w:val="center"/>
          </w:tcPr>
          <w:p w14:paraId="3C5DA300">
            <w:pPr>
              <w:autoSpaceDE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无量纲</w:t>
            </w:r>
          </w:p>
        </w:tc>
        <w:tc>
          <w:tcPr>
            <w:tcW w:w="376" w:type="pct"/>
            <w:noWrap/>
            <w:vAlign w:val="center"/>
          </w:tcPr>
          <w:p w14:paraId="137CE29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8.1</w:t>
            </w:r>
          </w:p>
        </w:tc>
        <w:tc>
          <w:tcPr>
            <w:tcW w:w="349" w:type="pct"/>
            <w:vAlign w:val="center"/>
          </w:tcPr>
          <w:p w14:paraId="123C1FB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0.73</w:t>
            </w:r>
          </w:p>
        </w:tc>
        <w:tc>
          <w:tcPr>
            <w:tcW w:w="386" w:type="pct"/>
            <w:noWrap/>
            <w:vAlign w:val="top"/>
          </w:tcPr>
          <w:p w14:paraId="5DEB8E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8.2</w:t>
            </w:r>
          </w:p>
        </w:tc>
        <w:tc>
          <w:tcPr>
            <w:tcW w:w="455" w:type="pct"/>
            <w:vAlign w:val="center"/>
          </w:tcPr>
          <w:p w14:paraId="1B1601F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0.8</w:t>
            </w:r>
          </w:p>
        </w:tc>
        <w:tc>
          <w:tcPr>
            <w:tcW w:w="414" w:type="pct"/>
            <w:noWrap/>
            <w:vAlign w:val="center"/>
          </w:tcPr>
          <w:p w14:paraId="52BE28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7.9</w:t>
            </w:r>
          </w:p>
        </w:tc>
        <w:tc>
          <w:tcPr>
            <w:tcW w:w="457" w:type="pct"/>
            <w:noWrap/>
            <w:vAlign w:val="center"/>
          </w:tcPr>
          <w:p w14:paraId="273E8D7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0.6</w:t>
            </w:r>
          </w:p>
        </w:tc>
        <w:tc>
          <w:tcPr>
            <w:tcW w:w="487" w:type="pct"/>
            <w:noWrap/>
            <w:vAlign w:val="center"/>
          </w:tcPr>
          <w:p w14:paraId="15F738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8.0</w:t>
            </w:r>
          </w:p>
        </w:tc>
        <w:tc>
          <w:tcPr>
            <w:tcW w:w="391" w:type="pct"/>
            <w:vAlign w:val="center"/>
          </w:tcPr>
          <w:p w14:paraId="362A7D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0.67</w:t>
            </w:r>
          </w:p>
        </w:tc>
        <w:tc>
          <w:tcPr>
            <w:tcW w:w="389" w:type="pct"/>
            <w:noWrap/>
            <w:vAlign w:val="center"/>
          </w:tcPr>
          <w:p w14:paraId="6D8F45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6.5~8.5</w:t>
            </w:r>
          </w:p>
        </w:tc>
      </w:tr>
      <w:tr w14:paraId="1971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49070B17">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15" w:type="pct"/>
            <w:noWrap/>
            <w:vAlign w:val="center"/>
          </w:tcPr>
          <w:p w14:paraId="468B77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454" w:type="pct"/>
            <w:noWrap/>
            <w:vAlign w:val="center"/>
          </w:tcPr>
          <w:p w14:paraId="21C81D0D">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178B5E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0.191</w:t>
            </w:r>
          </w:p>
        </w:tc>
        <w:tc>
          <w:tcPr>
            <w:tcW w:w="349" w:type="pct"/>
            <w:vAlign w:val="center"/>
          </w:tcPr>
          <w:p w14:paraId="048582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0.382</w:t>
            </w:r>
          </w:p>
        </w:tc>
        <w:tc>
          <w:tcPr>
            <w:tcW w:w="386" w:type="pct"/>
            <w:noWrap/>
            <w:vAlign w:val="top"/>
          </w:tcPr>
          <w:p w14:paraId="1A709C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0.252</w:t>
            </w:r>
          </w:p>
        </w:tc>
        <w:tc>
          <w:tcPr>
            <w:tcW w:w="455" w:type="pct"/>
            <w:vAlign w:val="center"/>
          </w:tcPr>
          <w:p w14:paraId="64E26A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0.504</w:t>
            </w:r>
          </w:p>
        </w:tc>
        <w:tc>
          <w:tcPr>
            <w:tcW w:w="414" w:type="pct"/>
            <w:noWrap/>
            <w:vAlign w:val="center"/>
          </w:tcPr>
          <w:p w14:paraId="477FCA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0.452</w:t>
            </w:r>
          </w:p>
        </w:tc>
        <w:tc>
          <w:tcPr>
            <w:tcW w:w="457" w:type="pct"/>
            <w:noWrap/>
            <w:vAlign w:val="center"/>
          </w:tcPr>
          <w:p w14:paraId="77C4C1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0.904</w:t>
            </w:r>
          </w:p>
        </w:tc>
        <w:tc>
          <w:tcPr>
            <w:tcW w:w="487" w:type="pct"/>
            <w:noWrap/>
            <w:vAlign w:val="center"/>
          </w:tcPr>
          <w:p w14:paraId="7384F1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0.148</w:t>
            </w:r>
          </w:p>
        </w:tc>
        <w:tc>
          <w:tcPr>
            <w:tcW w:w="391" w:type="pct"/>
            <w:vAlign w:val="center"/>
          </w:tcPr>
          <w:p w14:paraId="5F4C06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0.296</w:t>
            </w:r>
          </w:p>
        </w:tc>
        <w:tc>
          <w:tcPr>
            <w:tcW w:w="389" w:type="pct"/>
            <w:noWrap/>
            <w:vAlign w:val="center"/>
          </w:tcPr>
          <w:p w14:paraId="63FA19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r>
      <w:tr w14:paraId="0332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 w:type="pct"/>
            <w:noWrap/>
            <w:vAlign w:val="center"/>
          </w:tcPr>
          <w:p w14:paraId="5E475AF1">
            <w:pPr>
              <w:keepNext w:val="0"/>
              <w:keepLines w:val="0"/>
              <w:widowControl/>
              <w:suppressLineNumbers w:val="0"/>
              <w:jc w:val="center"/>
              <w:textAlignment w:val="center"/>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15" w:type="pct"/>
            <w:noWrap/>
            <w:vAlign w:val="center"/>
          </w:tcPr>
          <w:p w14:paraId="26CE61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亚硝酸盐氮</w:t>
            </w:r>
          </w:p>
        </w:tc>
        <w:tc>
          <w:tcPr>
            <w:tcW w:w="454" w:type="pct"/>
            <w:noWrap/>
            <w:vAlign w:val="center"/>
          </w:tcPr>
          <w:p w14:paraId="6EE39467">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4AA272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49" w:type="pct"/>
            <w:vAlign w:val="center"/>
          </w:tcPr>
          <w:p w14:paraId="43846718">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86" w:type="pct"/>
            <w:noWrap/>
            <w:vAlign w:val="center"/>
          </w:tcPr>
          <w:p w14:paraId="4CDE3B3A">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455" w:type="pct"/>
            <w:vAlign w:val="center"/>
          </w:tcPr>
          <w:p w14:paraId="49E94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414" w:type="pct"/>
            <w:shd w:val="clear" w:color="auto" w:fill="auto"/>
            <w:noWrap/>
            <w:vAlign w:val="center"/>
          </w:tcPr>
          <w:p w14:paraId="1529D7D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457" w:type="pct"/>
            <w:shd w:val="clear" w:color="auto" w:fill="auto"/>
            <w:noWrap/>
            <w:vAlign w:val="center"/>
          </w:tcPr>
          <w:p w14:paraId="061444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487" w:type="pct"/>
            <w:noWrap/>
            <w:vAlign w:val="center"/>
          </w:tcPr>
          <w:p w14:paraId="19990B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0.005</w:t>
            </w:r>
          </w:p>
        </w:tc>
        <w:tc>
          <w:tcPr>
            <w:tcW w:w="391" w:type="pct"/>
            <w:vAlign w:val="center"/>
          </w:tcPr>
          <w:p w14:paraId="44ADDA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0.005</w:t>
            </w:r>
          </w:p>
        </w:tc>
        <w:tc>
          <w:tcPr>
            <w:tcW w:w="389" w:type="pct"/>
            <w:noWrap/>
            <w:vAlign w:val="center"/>
          </w:tcPr>
          <w:p w14:paraId="13A3DE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2F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23" w:type="pct"/>
            <w:noWrap/>
            <w:vAlign w:val="center"/>
          </w:tcPr>
          <w:p w14:paraId="5854A082">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15" w:type="pct"/>
            <w:noWrap/>
            <w:vAlign w:val="center"/>
          </w:tcPr>
          <w:p w14:paraId="72D61A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硝酸盐氮</w:t>
            </w:r>
          </w:p>
        </w:tc>
        <w:tc>
          <w:tcPr>
            <w:tcW w:w="454" w:type="pct"/>
            <w:noWrap/>
            <w:vAlign w:val="center"/>
          </w:tcPr>
          <w:p w14:paraId="2656F1C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5A7F364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0.23</w:t>
            </w:r>
          </w:p>
        </w:tc>
        <w:tc>
          <w:tcPr>
            <w:tcW w:w="349" w:type="pct"/>
            <w:vAlign w:val="center"/>
          </w:tcPr>
          <w:p w14:paraId="413AF3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0.0115</w:t>
            </w:r>
          </w:p>
        </w:tc>
        <w:tc>
          <w:tcPr>
            <w:tcW w:w="386" w:type="pct"/>
            <w:noWrap/>
            <w:vAlign w:val="top"/>
          </w:tcPr>
          <w:p w14:paraId="758F5C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0.37</w:t>
            </w:r>
          </w:p>
        </w:tc>
        <w:tc>
          <w:tcPr>
            <w:tcW w:w="455" w:type="pct"/>
            <w:vAlign w:val="center"/>
          </w:tcPr>
          <w:p w14:paraId="7D5EA2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0.0185</w:t>
            </w:r>
          </w:p>
        </w:tc>
        <w:tc>
          <w:tcPr>
            <w:tcW w:w="414" w:type="pct"/>
            <w:noWrap/>
            <w:vAlign w:val="center"/>
          </w:tcPr>
          <w:p w14:paraId="466EAD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0.41</w:t>
            </w:r>
          </w:p>
        </w:tc>
        <w:tc>
          <w:tcPr>
            <w:tcW w:w="457" w:type="pct"/>
            <w:noWrap/>
            <w:vAlign w:val="center"/>
          </w:tcPr>
          <w:p w14:paraId="333BAB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0.0205</w:t>
            </w:r>
          </w:p>
        </w:tc>
        <w:tc>
          <w:tcPr>
            <w:tcW w:w="487" w:type="pct"/>
            <w:noWrap/>
            <w:vAlign w:val="center"/>
          </w:tcPr>
          <w:p w14:paraId="616C99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w:t>
            </w:r>
          </w:p>
        </w:tc>
        <w:tc>
          <w:tcPr>
            <w:tcW w:w="391" w:type="pct"/>
            <w:vAlign w:val="center"/>
          </w:tcPr>
          <w:p w14:paraId="64CE7F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0.005</w:t>
            </w:r>
          </w:p>
        </w:tc>
        <w:tc>
          <w:tcPr>
            <w:tcW w:w="389" w:type="pct"/>
            <w:noWrap/>
            <w:vAlign w:val="center"/>
          </w:tcPr>
          <w:p w14:paraId="3A3E63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r>
      <w:tr w14:paraId="3481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1D989801">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15" w:type="pct"/>
            <w:noWrap/>
            <w:vAlign w:val="center"/>
          </w:tcPr>
          <w:p w14:paraId="443B3F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氰化物</w:t>
            </w:r>
          </w:p>
        </w:tc>
        <w:tc>
          <w:tcPr>
            <w:tcW w:w="454" w:type="pct"/>
            <w:noWrap/>
            <w:vAlign w:val="center"/>
          </w:tcPr>
          <w:p w14:paraId="129109F3">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2AB17F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349" w:type="pct"/>
            <w:noWrap/>
            <w:vAlign w:val="center"/>
          </w:tcPr>
          <w:p w14:paraId="7E4788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386" w:type="pct"/>
            <w:noWrap/>
            <w:vAlign w:val="center"/>
          </w:tcPr>
          <w:p w14:paraId="163BB3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455" w:type="pct"/>
            <w:noWrap/>
            <w:vAlign w:val="center"/>
          </w:tcPr>
          <w:p w14:paraId="6A8096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＜0.04</w:t>
            </w:r>
          </w:p>
        </w:tc>
        <w:tc>
          <w:tcPr>
            <w:tcW w:w="414" w:type="pct"/>
            <w:shd w:val="clear" w:color="auto" w:fill="auto"/>
            <w:noWrap/>
            <w:vAlign w:val="center"/>
          </w:tcPr>
          <w:p w14:paraId="0D2679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457" w:type="pct"/>
            <w:shd w:val="clear" w:color="auto" w:fill="auto"/>
            <w:noWrap/>
            <w:vAlign w:val="center"/>
          </w:tcPr>
          <w:p w14:paraId="1C765E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＜0.04</w:t>
            </w:r>
          </w:p>
        </w:tc>
        <w:tc>
          <w:tcPr>
            <w:tcW w:w="487" w:type="pct"/>
            <w:noWrap/>
            <w:vAlign w:val="center"/>
          </w:tcPr>
          <w:p w14:paraId="610410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391" w:type="pct"/>
            <w:noWrap/>
            <w:vAlign w:val="center"/>
          </w:tcPr>
          <w:p w14:paraId="7D9527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＜0.04</w:t>
            </w:r>
          </w:p>
        </w:tc>
        <w:tc>
          <w:tcPr>
            <w:tcW w:w="389" w:type="pct"/>
            <w:noWrap/>
            <w:vAlign w:val="center"/>
          </w:tcPr>
          <w:p w14:paraId="6B6BF7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16A3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48AC168F">
            <w:pPr>
              <w:keepNext w:val="0"/>
              <w:keepLines w:val="0"/>
              <w:widowControl/>
              <w:suppressLineNumbers w:val="0"/>
              <w:jc w:val="center"/>
              <w:textAlignment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615" w:type="pct"/>
            <w:noWrap/>
            <w:vAlign w:val="center"/>
          </w:tcPr>
          <w:p w14:paraId="36C5B7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挥发酚</w:t>
            </w:r>
          </w:p>
        </w:tc>
        <w:tc>
          <w:tcPr>
            <w:tcW w:w="454" w:type="pct"/>
            <w:noWrap/>
            <w:vAlign w:val="center"/>
          </w:tcPr>
          <w:p w14:paraId="618873B0">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469479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349" w:type="pct"/>
            <w:noWrap/>
            <w:vAlign w:val="center"/>
          </w:tcPr>
          <w:p w14:paraId="6A21EF7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386" w:type="pct"/>
            <w:noWrap/>
            <w:vAlign w:val="center"/>
          </w:tcPr>
          <w:p w14:paraId="30072E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455" w:type="pct"/>
            <w:noWrap/>
            <w:vAlign w:val="center"/>
          </w:tcPr>
          <w:p w14:paraId="48455A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＜0.15</w:t>
            </w:r>
          </w:p>
        </w:tc>
        <w:tc>
          <w:tcPr>
            <w:tcW w:w="414" w:type="pct"/>
            <w:shd w:val="clear" w:color="auto" w:fill="auto"/>
            <w:noWrap/>
            <w:vAlign w:val="center"/>
          </w:tcPr>
          <w:p w14:paraId="56C70B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457" w:type="pct"/>
            <w:shd w:val="clear" w:color="auto" w:fill="auto"/>
            <w:noWrap/>
            <w:vAlign w:val="center"/>
          </w:tcPr>
          <w:p w14:paraId="26D9778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＜0.15</w:t>
            </w:r>
          </w:p>
        </w:tc>
        <w:tc>
          <w:tcPr>
            <w:tcW w:w="487" w:type="pct"/>
            <w:noWrap/>
            <w:vAlign w:val="center"/>
          </w:tcPr>
          <w:p w14:paraId="526F8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391" w:type="pct"/>
            <w:noWrap/>
            <w:vAlign w:val="center"/>
          </w:tcPr>
          <w:p w14:paraId="6DDA5B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＜0.15</w:t>
            </w:r>
          </w:p>
        </w:tc>
        <w:tc>
          <w:tcPr>
            <w:tcW w:w="389" w:type="pct"/>
            <w:noWrap/>
            <w:vAlign w:val="center"/>
          </w:tcPr>
          <w:p w14:paraId="06D210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r>
      <w:tr w14:paraId="648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6489C1E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615" w:type="pct"/>
            <w:noWrap/>
            <w:vAlign w:val="center"/>
          </w:tcPr>
          <w:p w14:paraId="4EADDC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汞</w:t>
            </w:r>
          </w:p>
        </w:tc>
        <w:tc>
          <w:tcPr>
            <w:tcW w:w="454" w:type="pct"/>
            <w:noWrap/>
            <w:vAlign w:val="center"/>
          </w:tcPr>
          <w:p w14:paraId="2B3D0886">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6B569C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-5</w:t>
            </w:r>
          </w:p>
        </w:tc>
        <w:tc>
          <w:tcPr>
            <w:tcW w:w="349" w:type="pct"/>
            <w:vAlign w:val="center"/>
          </w:tcPr>
          <w:p w14:paraId="67A58D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386" w:type="pct"/>
            <w:noWrap/>
            <w:vAlign w:val="center"/>
          </w:tcPr>
          <w:p w14:paraId="045043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-5</w:t>
            </w:r>
          </w:p>
        </w:tc>
        <w:tc>
          <w:tcPr>
            <w:tcW w:w="455" w:type="pct"/>
            <w:vAlign w:val="center"/>
          </w:tcPr>
          <w:p w14:paraId="1C6CE0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＜0.04</w:t>
            </w:r>
          </w:p>
        </w:tc>
        <w:tc>
          <w:tcPr>
            <w:tcW w:w="414" w:type="pct"/>
            <w:shd w:val="clear" w:color="auto" w:fill="auto"/>
            <w:noWrap/>
            <w:vAlign w:val="center"/>
          </w:tcPr>
          <w:p w14:paraId="04F417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-5</w:t>
            </w:r>
          </w:p>
        </w:tc>
        <w:tc>
          <w:tcPr>
            <w:tcW w:w="457" w:type="pct"/>
            <w:shd w:val="clear" w:color="auto" w:fill="auto"/>
            <w:noWrap/>
            <w:vAlign w:val="center"/>
          </w:tcPr>
          <w:p w14:paraId="568040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＜0.04</w:t>
            </w:r>
          </w:p>
        </w:tc>
        <w:tc>
          <w:tcPr>
            <w:tcW w:w="487" w:type="pct"/>
            <w:shd w:val="clear" w:color="auto" w:fill="auto"/>
            <w:noWrap/>
            <w:vAlign w:val="center"/>
          </w:tcPr>
          <w:p w14:paraId="3CF296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-5</w:t>
            </w:r>
          </w:p>
        </w:tc>
        <w:tc>
          <w:tcPr>
            <w:tcW w:w="391" w:type="pct"/>
            <w:shd w:val="clear" w:color="auto" w:fill="auto"/>
            <w:vAlign w:val="center"/>
          </w:tcPr>
          <w:p w14:paraId="0FB2D8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＜0.04</w:t>
            </w:r>
          </w:p>
        </w:tc>
        <w:tc>
          <w:tcPr>
            <w:tcW w:w="389" w:type="pct"/>
            <w:noWrap/>
            <w:vAlign w:val="center"/>
          </w:tcPr>
          <w:p w14:paraId="5944C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r>
      <w:tr w14:paraId="3330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6021EF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15" w:type="pct"/>
            <w:noWrap/>
            <w:vAlign w:val="center"/>
          </w:tcPr>
          <w:p w14:paraId="7249E3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砷</w:t>
            </w:r>
          </w:p>
        </w:tc>
        <w:tc>
          <w:tcPr>
            <w:tcW w:w="454" w:type="pct"/>
            <w:noWrap/>
            <w:vAlign w:val="center"/>
          </w:tcPr>
          <w:p w14:paraId="2A252970">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7E08A4E1">
            <w:pPr>
              <w:keepNext w:val="0"/>
              <w:keepLines w:val="0"/>
              <w:pageBreakBefore w:val="0"/>
              <w:widowControl/>
              <w:suppressLineNumbers w:val="0"/>
              <w:kinsoku/>
              <w:wordWrap/>
              <w:overflowPunct/>
              <w:topLinePunct w:val="0"/>
              <w:autoSpaceDE/>
              <w:autoSpaceDN/>
              <w:bidi w:val="0"/>
              <w:adjustRightInd/>
              <w:snapToGrid/>
              <w:ind w:left="-120" w:leftChars="-5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＜3.4</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4</w:t>
            </w:r>
          </w:p>
        </w:tc>
        <w:tc>
          <w:tcPr>
            <w:tcW w:w="349" w:type="pct"/>
            <w:vAlign w:val="center"/>
          </w:tcPr>
          <w:p w14:paraId="51369DE9">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val="0"/>
                <w:bCs w:val="0"/>
                <w:color w:val="auto"/>
                <w:sz w:val="21"/>
                <w:szCs w:val="21"/>
                <w:highlight w:val="none"/>
                <w:lang w:val="en-US" w:eastAsia="zh-CN"/>
              </w:rPr>
              <w:t>＜0.034</w:t>
            </w:r>
          </w:p>
        </w:tc>
        <w:tc>
          <w:tcPr>
            <w:tcW w:w="386" w:type="pct"/>
            <w:noWrap/>
            <w:vAlign w:val="center"/>
          </w:tcPr>
          <w:p w14:paraId="2E6723BB">
            <w:pPr>
              <w:keepNext w:val="0"/>
              <w:keepLines w:val="0"/>
              <w:pageBreakBefore w:val="0"/>
              <w:widowControl/>
              <w:suppressLineNumbers w:val="0"/>
              <w:kinsoku/>
              <w:wordWrap/>
              <w:overflowPunct/>
              <w:topLinePunct w:val="0"/>
              <w:autoSpaceDE/>
              <w:autoSpaceDN/>
              <w:bidi w:val="0"/>
              <w:adjustRightInd/>
              <w:snapToGrid/>
              <w:ind w:left="-120" w:leftChars="-5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4</w:t>
            </w:r>
          </w:p>
        </w:tc>
        <w:tc>
          <w:tcPr>
            <w:tcW w:w="455" w:type="pct"/>
            <w:vAlign w:val="center"/>
          </w:tcPr>
          <w:p w14:paraId="15E746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lang w:val="en-US" w:eastAsia="zh-CN"/>
              </w:rPr>
              <w:t>＜0.034</w:t>
            </w:r>
          </w:p>
        </w:tc>
        <w:tc>
          <w:tcPr>
            <w:tcW w:w="414" w:type="pct"/>
            <w:shd w:val="clear" w:color="auto" w:fill="auto"/>
            <w:noWrap/>
            <w:vAlign w:val="center"/>
          </w:tcPr>
          <w:p w14:paraId="7CD047C8">
            <w:pPr>
              <w:keepNext w:val="0"/>
              <w:keepLines w:val="0"/>
              <w:pageBreakBefore w:val="0"/>
              <w:widowControl/>
              <w:suppressLineNumbers w:val="0"/>
              <w:kinsoku/>
              <w:wordWrap/>
              <w:overflowPunct/>
              <w:topLinePunct w:val="0"/>
              <w:autoSpaceDE/>
              <w:autoSpaceDN/>
              <w:bidi w:val="0"/>
              <w:adjustRightInd/>
              <w:snapToGrid/>
              <w:ind w:left="-120" w:leftChars="-5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＜3.4</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4</w:t>
            </w:r>
          </w:p>
        </w:tc>
        <w:tc>
          <w:tcPr>
            <w:tcW w:w="457" w:type="pct"/>
            <w:shd w:val="clear" w:color="auto" w:fill="auto"/>
            <w:noWrap/>
            <w:vAlign w:val="center"/>
          </w:tcPr>
          <w:p w14:paraId="20FE406B">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bidi="ar-SA"/>
              </w:rPr>
            </w:pPr>
            <w:r>
              <w:rPr>
                <w:rFonts w:hint="eastAsia" w:cs="Times New Roman"/>
                <w:b w:val="0"/>
                <w:bCs w:val="0"/>
                <w:color w:val="auto"/>
                <w:sz w:val="21"/>
                <w:szCs w:val="21"/>
                <w:highlight w:val="none"/>
                <w:lang w:val="en-US" w:eastAsia="zh-CN"/>
              </w:rPr>
              <w:t>＜0.034</w:t>
            </w:r>
          </w:p>
        </w:tc>
        <w:tc>
          <w:tcPr>
            <w:tcW w:w="487" w:type="pct"/>
            <w:shd w:val="clear" w:color="auto" w:fill="auto"/>
            <w:noWrap/>
            <w:vAlign w:val="center"/>
          </w:tcPr>
          <w:p w14:paraId="2F230ECC">
            <w:pPr>
              <w:keepNext w:val="0"/>
              <w:keepLines w:val="0"/>
              <w:pageBreakBefore w:val="0"/>
              <w:widowControl/>
              <w:suppressLineNumbers w:val="0"/>
              <w:kinsoku/>
              <w:wordWrap/>
              <w:overflowPunct/>
              <w:topLinePunct w:val="0"/>
              <w:autoSpaceDE/>
              <w:autoSpaceDN/>
              <w:bidi w:val="0"/>
              <w:adjustRightInd/>
              <w:snapToGrid/>
              <w:ind w:left="-120" w:leftChars="-5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4</w:t>
            </w:r>
          </w:p>
        </w:tc>
        <w:tc>
          <w:tcPr>
            <w:tcW w:w="391" w:type="pct"/>
            <w:shd w:val="clear" w:color="auto" w:fill="auto"/>
            <w:vAlign w:val="center"/>
          </w:tcPr>
          <w:p w14:paraId="4B3010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lang w:val="en-US" w:eastAsia="zh-CN"/>
              </w:rPr>
              <w:t>＜0.034</w:t>
            </w:r>
          </w:p>
        </w:tc>
        <w:tc>
          <w:tcPr>
            <w:tcW w:w="389" w:type="pct"/>
            <w:noWrap/>
            <w:vAlign w:val="center"/>
          </w:tcPr>
          <w:p w14:paraId="4B842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497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47FB63B8">
            <w:pPr>
              <w:keepNext w:val="0"/>
              <w:keepLines w:val="0"/>
              <w:widowControl/>
              <w:suppressLineNumbers w:val="0"/>
              <w:jc w:val="center"/>
              <w:textAlignment w:val="center"/>
              <w:rPr>
                <w:rFonts w:hint="default" w:ascii="Times New Roman" w:hAnsi="Times New Roman" w:eastAsia="宋体" w:cs="Times New Roman"/>
                <w:color w:val="auto"/>
                <w:spacing w:val="4"/>
                <w:positio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615" w:type="pct"/>
            <w:noWrap/>
            <w:vAlign w:val="center"/>
          </w:tcPr>
          <w:p w14:paraId="145583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铬</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六价</w:t>
            </w:r>
            <w:r>
              <w:rPr>
                <w:rFonts w:hint="default" w:ascii="Times New Roman" w:hAnsi="Times New Roman" w:cs="Times New Roman"/>
                <w:i w:val="0"/>
                <w:iCs w:val="0"/>
                <w:color w:val="auto"/>
                <w:kern w:val="0"/>
                <w:sz w:val="21"/>
                <w:szCs w:val="21"/>
                <w:highlight w:val="none"/>
                <w:u w:val="none"/>
                <w:lang w:val="en-US" w:eastAsia="zh-CN" w:bidi="ar"/>
              </w:rPr>
              <w:t>）</w:t>
            </w:r>
          </w:p>
        </w:tc>
        <w:tc>
          <w:tcPr>
            <w:tcW w:w="454" w:type="pct"/>
            <w:noWrap/>
            <w:vAlign w:val="center"/>
          </w:tcPr>
          <w:p w14:paraId="7CBCE1A4">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noWrap/>
            <w:vAlign w:val="center"/>
          </w:tcPr>
          <w:p w14:paraId="3CC4C7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349" w:type="pct"/>
            <w:vAlign w:val="center"/>
          </w:tcPr>
          <w:p w14:paraId="10715A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w:t>
            </w:r>
          </w:p>
        </w:tc>
        <w:tc>
          <w:tcPr>
            <w:tcW w:w="386" w:type="pct"/>
            <w:noWrap/>
            <w:vAlign w:val="center"/>
          </w:tcPr>
          <w:p w14:paraId="1E649B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455" w:type="pct"/>
            <w:vAlign w:val="center"/>
          </w:tcPr>
          <w:p w14:paraId="697A0E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＜0.08</w:t>
            </w:r>
          </w:p>
        </w:tc>
        <w:tc>
          <w:tcPr>
            <w:tcW w:w="414" w:type="pct"/>
            <w:shd w:val="clear" w:color="auto" w:fill="auto"/>
            <w:noWrap/>
            <w:vAlign w:val="center"/>
          </w:tcPr>
          <w:p w14:paraId="2FBEDF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457" w:type="pct"/>
            <w:shd w:val="clear" w:color="auto" w:fill="auto"/>
            <w:noWrap/>
            <w:vAlign w:val="center"/>
          </w:tcPr>
          <w:p w14:paraId="179D70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＜0.08</w:t>
            </w:r>
          </w:p>
        </w:tc>
        <w:tc>
          <w:tcPr>
            <w:tcW w:w="487" w:type="pct"/>
            <w:shd w:val="clear" w:color="auto" w:fill="auto"/>
            <w:noWrap/>
            <w:vAlign w:val="center"/>
          </w:tcPr>
          <w:p w14:paraId="3003FF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391" w:type="pct"/>
            <w:shd w:val="clear" w:color="auto" w:fill="auto"/>
            <w:vAlign w:val="center"/>
          </w:tcPr>
          <w:p w14:paraId="767AB5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＜0.08</w:t>
            </w:r>
          </w:p>
        </w:tc>
        <w:tc>
          <w:tcPr>
            <w:tcW w:w="389" w:type="pct"/>
            <w:noWrap/>
            <w:vAlign w:val="center"/>
          </w:tcPr>
          <w:p w14:paraId="3C545F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561F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69A2C7C2">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15" w:type="pct"/>
            <w:shd w:val="clear" w:color="auto" w:fill="auto"/>
            <w:noWrap/>
            <w:vAlign w:val="center"/>
          </w:tcPr>
          <w:p w14:paraId="0F05CA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总硬度</w:t>
            </w:r>
          </w:p>
        </w:tc>
        <w:tc>
          <w:tcPr>
            <w:tcW w:w="454" w:type="pct"/>
            <w:shd w:val="clear" w:color="auto" w:fill="auto"/>
            <w:noWrap/>
            <w:vAlign w:val="center"/>
          </w:tcPr>
          <w:p w14:paraId="3A93997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shd w:val="clear" w:color="auto" w:fill="auto"/>
            <w:noWrap/>
            <w:vAlign w:val="center"/>
          </w:tcPr>
          <w:p w14:paraId="2EBAD4FA">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rPr>
            </w:pPr>
            <w:r>
              <w:rPr>
                <w:rFonts w:hint="eastAsia" w:cs="Times New Roman"/>
                <w:b/>
                <w:bCs/>
                <w:i w:val="0"/>
                <w:iCs w:val="0"/>
                <w:color w:val="auto"/>
                <w:kern w:val="0"/>
                <w:sz w:val="21"/>
                <w:szCs w:val="21"/>
                <w:highlight w:val="none"/>
                <w:u w:val="none"/>
                <w:lang w:val="en-US" w:eastAsia="zh-CN" w:bidi="ar"/>
              </w:rPr>
              <w:t>739</w:t>
            </w:r>
          </w:p>
        </w:tc>
        <w:tc>
          <w:tcPr>
            <w:tcW w:w="349" w:type="pct"/>
            <w:shd w:val="clear" w:color="auto" w:fill="auto"/>
            <w:vAlign w:val="center"/>
          </w:tcPr>
          <w:p w14:paraId="43058EE2">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1.64</w:t>
            </w:r>
          </w:p>
        </w:tc>
        <w:tc>
          <w:tcPr>
            <w:tcW w:w="386" w:type="pct"/>
            <w:shd w:val="clear" w:color="auto" w:fill="auto"/>
            <w:noWrap/>
            <w:vAlign w:val="center"/>
          </w:tcPr>
          <w:p w14:paraId="5CB77AF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2.6</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55" w:type="pct"/>
            <w:shd w:val="clear" w:color="auto" w:fill="auto"/>
            <w:vAlign w:val="center"/>
          </w:tcPr>
          <w:p w14:paraId="49BFF50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5.78</w:t>
            </w:r>
          </w:p>
        </w:tc>
        <w:tc>
          <w:tcPr>
            <w:tcW w:w="414" w:type="pct"/>
            <w:shd w:val="clear" w:color="auto" w:fill="auto"/>
            <w:noWrap/>
            <w:vAlign w:val="center"/>
          </w:tcPr>
          <w:p w14:paraId="0A98BD1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4.28</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57" w:type="pct"/>
            <w:shd w:val="clear" w:color="auto" w:fill="auto"/>
            <w:noWrap/>
            <w:vAlign w:val="center"/>
          </w:tcPr>
          <w:p w14:paraId="5D42A48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9.51</w:t>
            </w:r>
          </w:p>
        </w:tc>
        <w:tc>
          <w:tcPr>
            <w:tcW w:w="487" w:type="pct"/>
            <w:shd w:val="clear" w:color="auto" w:fill="auto"/>
            <w:noWrap/>
            <w:vAlign w:val="center"/>
          </w:tcPr>
          <w:p w14:paraId="5419B31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4.09</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91" w:type="pct"/>
            <w:shd w:val="clear" w:color="auto" w:fill="auto"/>
            <w:vAlign w:val="center"/>
          </w:tcPr>
          <w:p w14:paraId="54F5603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9.09</w:t>
            </w:r>
          </w:p>
        </w:tc>
        <w:tc>
          <w:tcPr>
            <w:tcW w:w="389" w:type="pct"/>
            <w:shd w:val="clear" w:color="auto" w:fill="auto"/>
            <w:noWrap/>
            <w:vAlign w:val="center"/>
          </w:tcPr>
          <w:p w14:paraId="50315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r>
      <w:tr w14:paraId="5C5B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23" w:type="pct"/>
            <w:shd w:val="clear" w:color="auto" w:fill="auto"/>
            <w:noWrap/>
            <w:vAlign w:val="center"/>
          </w:tcPr>
          <w:p w14:paraId="36E91B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615" w:type="pct"/>
            <w:shd w:val="clear" w:color="auto" w:fill="auto"/>
            <w:noWrap/>
            <w:vAlign w:val="center"/>
          </w:tcPr>
          <w:p w14:paraId="7837C1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铅</w:t>
            </w:r>
          </w:p>
        </w:tc>
        <w:tc>
          <w:tcPr>
            <w:tcW w:w="454" w:type="pct"/>
            <w:shd w:val="clear" w:color="auto" w:fill="auto"/>
            <w:noWrap/>
            <w:vAlign w:val="center"/>
          </w:tcPr>
          <w:p w14:paraId="22E11837">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shd w:val="clear" w:color="auto" w:fill="auto"/>
            <w:noWrap/>
            <w:vAlign w:val="center"/>
          </w:tcPr>
          <w:p w14:paraId="02886F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3.6</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49" w:type="pct"/>
            <w:shd w:val="clear" w:color="auto" w:fill="auto"/>
            <w:vAlign w:val="center"/>
          </w:tcPr>
          <w:p w14:paraId="1F1112D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w:t>
            </w:r>
          </w:p>
        </w:tc>
        <w:tc>
          <w:tcPr>
            <w:tcW w:w="386" w:type="pct"/>
            <w:shd w:val="clear" w:color="auto" w:fill="auto"/>
            <w:noWrap/>
            <w:vAlign w:val="center"/>
          </w:tcPr>
          <w:p w14:paraId="5F7244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7.8</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455" w:type="pct"/>
            <w:shd w:val="clear" w:color="auto" w:fill="auto"/>
            <w:vAlign w:val="center"/>
          </w:tcPr>
          <w:p w14:paraId="08C34B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0.78</w:t>
            </w:r>
          </w:p>
        </w:tc>
        <w:tc>
          <w:tcPr>
            <w:tcW w:w="414" w:type="pct"/>
            <w:shd w:val="clear" w:color="auto" w:fill="auto"/>
            <w:noWrap/>
            <w:vAlign w:val="center"/>
          </w:tcPr>
          <w:p w14:paraId="6330C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4.3</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457" w:type="pct"/>
            <w:shd w:val="clear" w:color="auto" w:fill="auto"/>
            <w:noWrap/>
            <w:vAlign w:val="center"/>
          </w:tcPr>
          <w:p w14:paraId="0D4238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0.43</w:t>
            </w:r>
          </w:p>
        </w:tc>
        <w:tc>
          <w:tcPr>
            <w:tcW w:w="487" w:type="pct"/>
            <w:shd w:val="clear" w:color="auto" w:fill="auto"/>
            <w:noWrap/>
            <w:vAlign w:val="center"/>
          </w:tcPr>
          <w:p w14:paraId="0A569C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4.3</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391" w:type="pct"/>
            <w:shd w:val="clear" w:color="auto" w:fill="auto"/>
            <w:vAlign w:val="center"/>
          </w:tcPr>
          <w:p w14:paraId="72BD73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0.43</w:t>
            </w:r>
          </w:p>
        </w:tc>
        <w:tc>
          <w:tcPr>
            <w:tcW w:w="389" w:type="pct"/>
            <w:shd w:val="clear" w:color="auto" w:fill="auto"/>
            <w:noWrap/>
            <w:vAlign w:val="center"/>
          </w:tcPr>
          <w:p w14:paraId="3C2334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5D75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1FB6BF4C">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15" w:type="pct"/>
            <w:shd w:val="clear" w:color="auto" w:fill="auto"/>
            <w:noWrap/>
            <w:vAlign w:val="center"/>
          </w:tcPr>
          <w:p w14:paraId="3804BD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454" w:type="pct"/>
            <w:shd w:val="clear" w:color="auto" w:fill="auto"/>
            <w:noWrap/>
            <w:vAlign w:val="center"/>
          </w:tcPr>
          <w:p w14:paraId="7E5A1F51">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shd w:val="clear" w:color="auto" w:fill="auto"/>
            <w:noWrap/>
            <w:vAlign w:val="center"/>
          </w:tcPr>
          <w:p w14:paraId="29A1EDAC">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rPr>
            </w:pPr>
            <w:r>
              <w:rPr>
                <w:rFonts w:hint="eastAsia" w:cs="Times New Roman"/>
                <w:b/>
                <w:bCs/>
                <w:i w:val="0"/>
                <w:iCs w:val="0"/>
                <w:color w:val="auto"/>
                <w:kern w:val="0"/>
                <w:sz w:val="21"/>
                <w:szCs w:val="21"/>
                <w:highlight w:val="none"/>
                <w:u w:val="none"/>
                <w:lang w:val="en-US" w:eastAsia="zh-CN" w:bidi="ar"/>
              </w:rPr>
              <w:t>1.16</w:t>
            </w:r>
          </w:p>
        </w:tc>
        <w:tc>
          <w:tcPr>
            <w:tcW w:w="349" w:type="pct"/>
            <w:shd w:val="clear" w:color="auto" w:fill="auto"/>
            <w:vAlign w:val="center"/>
          </w:tcPr>
          <w:p w14:paraId="7FA41C95">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1.16</w:t>
            </w:r>
          </w:p>
        </w:tc>
        <w:tc>
          <w:tcPr>
            <w:tcW w:w="386" w:type="pct"/>
            <w:shd w:val="clear" w:color="auto" w:fill="auto"/>
            <w:noWrap/>
            <w:vAlign w:val="top"/>
          </w:tcPr>
          <w:p w14:paraId="33BE9DF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1.14</w:t>
            </w:r>
          </w:p>
        </w:tc>
        <w:tc>
          <w:tcPr>
            <w:tcW w:w="455" w:type="pct"/>
            <w:shd w:val="clear" w:color="auto" w:fill="auto"/>
            <w:vAlign w:val="center"/>
          </w:tcPr>
          <w:p w14:paraId="2A4B343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1.14</w:t>
            </w:r>
          </w:p>
        </w:tc>
        <w:tc>
          <w:tcPr>
            <w:tcW w:w="414" w:type="pct"/>
            <w:shd w:val="clear" w:color="auto" w:fill="auto"/>
            <w:noWrap/>
            <w:vAlign w:val="center"/>
          </w:tcPr>
          <w:p w14:paraId="182FEE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0.35</w:t>
            </w:r>
          </w:p>
        </w:tc>
        <w:tc>
          <w:tcPr>
            <w:tcW w:w="457" w:type="pct"/>
            <w:shd w:val="clear" w:color="auto" w:fill="auto"/>
            <w:noWrap/>
            <w:vAlign w:val="center"/>
          </w:tcPr>
          <w:p w14:paraId="6F4712D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0.35</w:t>
            </w:r>
          </w:p>
        </w:tc>
        <w:tc>
          <w:tcPr>
            <w:tcW w:w="487" w:type="pct"/>
            <w:shd w:val="clear" w:color="auto" w:fill="auto"/>
            <w:noWrap/>
            <w:vAlign w:val="center"/>
          </w:tcPr>
          <w:p w14:paraId="4DA4A8B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1.47</w:t>
            </w:r>
          </w:p>
        </w:tc>
        <w:tc>
          <w:tcPr>
            <w:tcW w:w="391" w:type="pct"/>
            <w:shd w:val="clear" w:color="auto" w:fill="auto"/>
            <w:vAlign w:val="center"/>
          </w:tcPr>
          <w:p w14:paraId="6D354A2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1.47</w:t>
            </w:r>
          </w:p>
        </w:tc>
        <w:tc>
          <w:tcPr>
            <w:tcW w:w="389" w:type="pct"/>
            <w:shd w:val="clear" w:color="auto" w:fill="auto"/>
            <w:noWrap/>
            <w:vAlign w:val="center"/>
          </w:tcPr>
          <w:p w14:paraId="51A47C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14:paraId="7211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6909C2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615" w:type="pct"/>
            <w:shd w:val="clear" w:color="auto" w:fill="auto"/>
            <w:noWrap/>
            <w:vAlign w:val="center"/>
          </w:tcPr>
          <w:p w14:paraId="6F3C935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镉</w:t>
            </w:r>
          </w:p>
        </w:tc>
        <w:tc>
          <w:tcPr>
            <w:tcW w:w="454" w:type="pct"/>
            <w:shd w:val="clear" w:color="auto" w:fill="auto"/>
            <w:noWrap/>
            <w:vAlign w:val="center"/>
          </w:tcPr>
          <w:p w14:paraId="1DB3FBB0">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0"/>
                <w:sz w:val="21"/>
                <w:szCs w:val="21"/>
                <w:highlight w:val="none"/>
              </w:rPr>
              <w:t>M</w:t>
            </w:r>
            <w:r>
              <w:rPr>
                <w:rFonts w:hint="default" w:ascii="Times New Roman" w:hAnsi="Times New Roman" w:eastAsia="宋体" w:cs="Times New Roman"/>
                <w:color w:val="auto"/>
                <w:sz w:val="21"/>
                <w:szCs w:val="21"/>
                <w:highlight w:val="none"/>
              </w:rPr>
              <w:t>PN/L</w:t>
            </w:r>
          </w:p>
        </w:tc>
        <w:tc>
          <w:tcPr>
            <w:tcW w:w="376" w:type="pct"/>
            <w:shd w:val="clear" w:color="auto" w:fill="auto"/>
            <w:noWrap/>
            <w:vAlign w:val="center"/>
          </w:tcPr>
          <w:p w14:paraId="681F596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2.6</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3</w:t>
            </w:r>
          </w:p>
        </w:tc>
        <w:tc>
          <w:tcPr>
            <w:tcW w:w="349" w:type="pct"/>
            <w:shd w:val="clear" w:color="auto" w:fill="auto"/>
            <w:noWrap/>
            <w:vAlign w:val="center"/>
          </w:tcPr>
          <w:p w14:paraId="02AF616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0.52</w:t>
            </w:r>
          </w:p>
        </w:tc>
        <w:tc>
          <w:tcPr>
            <w:tcW w:w="386" w:type="pct"/>
            <w:shd w:val="clear" w:color="auto" w:fill="auto"/>
            <w:noWrap/>
            <w:vAlign w:val="center"/>
          </w:tcPr>
          <w:p w14:paraId="53C27F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3</w:t>
            </w:r>
          </w:p>
        </w:tc>
        <w:tc>
          <w:tcPr>
            <w:tcW w:w="455" w:type="pct"/>
            <w:shd w:val="clear" w:color="auto" w:fill="auto"/>
            <w:noWrap/>
            <w:vAlign w:val="center"/>
          </w:tcPr>
          <w:p w14:paraId="782695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w:t>
            </w:r>
          </w:p>
        </w:tc>
        <w:tc>
          <w:tcPr>
            <w:tcW w:w="414" w:type="pct"/>
            <w:shd w:val="clear" w:color="auto" w:fill="auto"/>
            <w:noWrap/>
            <w:vAlign w:val="center"/>
          </w:tcPr>
          <w:p w14:paraId="72FAB3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457" w:type="pct"/>
            <w:shd w:val="clear" w:color="auto" w:fill="auto"/>
            <w:noWrap/>
            <w:vAlign w:val="center"/>
          </w:tcPr>
          <w:p w14:paraId="6EAACA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0.36</w:t>
            </w:r>
          </w:p>
        </w:tc>
        <w:tc>
          <w:tcPr>
            <w:tcW w:w="487" w:type="pct"/>
            <w:shd w:val="clear" w:color="auto" w:fill="auto"/>
            <w:noWrap/>
            <w:vAlign w:val="center"/>
          </w:tcPr>
          <w:p w14:paraId="7B87B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3</w:t>
            </w:r>
          </w:p>
        </w:tc>
        <w:tc>
          <w:tcPr>
            <w:tcW w:w="391" w:type="pct"/>
            <w:shd w:val="clear" w:color="auto" w:fill="auto"/>
            <w:noWrap/>
            <w:vAlign w:val="center"/>
          </w:tcPr>
          <w:p w14:paraId="56F9E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w:t>
            </w:r>
          </w:p>
        </w:tc>
        <w:tc>
          <w:tcPr>
            <w:tcW w:w="389" w:type="pct"/>
            <w:shd w:val="clear" w:color="auto" w:fill="auto"/>
            <w:noWrap/>
            <w:vAlign w:val="center"/>
          </w:tcPr>
          <w:p w14:paraId="50B5D0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r>
      <w:tr w14:paraId="1CE3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6BE78C4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615" w:type="pct"/>
            <w:shd w:val="clear" w:color="auto" w:fill="auto"/>
            <w:noWrap/>
            <w:vAlign w:val="center"/>
          </w:tcPr>
          <w:p w14:paraId="017744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铁</w:t>
            </w:r>
          </w:p>
        </w:tc>
        <w:tc>
          <w:tcPr>
            <w:tcW w:w="454" w:type="pct"/>
            <w:shd w:val="clear" w:color="auto" w:fill="auto"/>
            <w:noWrap/>
            <w:vAlign w:val="center"/>
          </w:tcPr>
          <w:p w14:paraId="0B93C225">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CFU/ml</w:t>
            </w:r>
          </w:p>
        </w:tc>
        <w:tc>
          <w:tcPr>
            <w:tcW w:w="376" w:type="pct"/>
            <w:shd w:val="clear" w:color="auto" w:fill="auto"/>
            <w:noWrap/>
            <w:vAlign w:val="center"/>
          </w:tcPr>
          <w:p w14:paraId="0B956D5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0.28</w:t>
            </w:r>
          </w:p>
        </w:tc>
        <w:tc>
          <w:tcPr>
            <w:tcW w:w="349" w:type="pct"/>
            <w:shd w:val="clear" w:color="auto" w:fill="auto"/>
            <w:vAlign w:val="center"/>
          </w:tcPr>
          <w:p w14:paraId="6A5A44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0.93</w:t>
            </w:r>
          </w:p>
        </w:tc>
        <w:tc>
          <w:tcPr>
            <w:tcW w:w="386" w:type="pct"/>
            <w:shd w:val="clear" w:color="auto" w:fill="auto"/>
            <w:noWrap/>
            <w:vAlign w:val="top"/>
          </w:tcPr>
          <w:p w14:paraId="4DB693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0.28</w:t>
            </w:r>
          </w:p>
        </w:tc>
        <w:tc>
          <w:tcPr>
            <w:tcW w:w="455" w:type="pct"/>
            <w:shd w:val="clear" w:color="auto" w:fill="auto"/>
            <w:vAlign w:val="center"/>
          </w:tcPr>
          <w:p w14:paraId="2F0167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0.93</w:t>
            </w:r>
          </w:p>
        </w:tc>
        <w:tc>
          <w:tcPr>
            <w:tcW w:w="414" w:type="pct"/>
            <w:shd w:val="clear" w:color="auto" w:fill="auto"/>
            <w:noWrap/>
            <w:vAlign w:val="center"/>
          </w:tcPr>
          <w:p w14:paraId="109F1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w:t>
            </w:r>
          </w:p>
        </w:tc>
        <w:tc>
          <w:tcPr>
            <w:tcW w:w="457" w:type="pct"/>
            <w:shd w:val="clear" w:color="auto" w:fill="auto"/>
            <w:noWrap/>
            <w:vAlign w:val="center"/>
          </w:tcPr>
          <w:p w14:paraId="2CEB9A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w:t>
            </w:r>
          </w:p>
        </w:tc>
        <w:tc>
          <w:tcPr>
            <w:tcW w:w="487" w:type="pct"/>
            <w:shd w:val="clear" w:color="auto" w:fill="auto"/>
            <w:noWrap/>
            <w:vAlign w:val="center"/>
          </w:tcPr>
          <w:p w14:paraId="6C94D7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w:t>
            </w:r>
          </w:p>
        </w:tc>
        <w:tc>
          <w:tcPr>
            <w:tcW w:w="391" w:type="pct"/>
            <w:shd w:val="clear" w:color="auto" w:fill="auto"/>
            <w:vAlign w:val="center"/>
          </w:tcPr>
          <w:p w14:paraId="1C079E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0.37</w:t>
            </w:r>
          </w:p>
        </w:tc>
        <w:tc>
          <w:tcPr>
            <w:tcW w:w="389" w:type="pct"/>
            <w:shd w:val="clear" w:color="auto" w:fill="auto"/>
            <w:noWrap/>
            <w:vAlign w:val="center"/>
          </w:tcPr>
          <w:p w14:paraId="70FCD1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r>
      <w:tr w14:paraId="58E0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7C639E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15" w:type="pct"/>
            <w:shd w:val="clear" w:color="auto" w:fill="auto"/>
            <w:noWrap/>
            <w:vAlign w:val="center"/>
          </w:tcPr>
          <w:p w14:paraId="2A6509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锰</w:t>
            </w:r>
          </w:p>
        </w:tc>
        <w:tc>
          <w:tcPr>
            <w:tcW w:w="454" w:type="pct"/>
            <w:shd w:val="clear" w:color="auto" w:fill="auto"/>
            <w:noWrap/>
            <w:vAlign w:val="center"/>
          </w:tcPr>
          <w:p w14:paraId="457EECFD">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shd w:val="clear" w:color="auto" w:fill="auto"/>
            <w:noWrap/>
            <w:vAlign w:val="center"/>
          </w:tcPr>
          <w:p w14:paraId="38CF10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1.80</w:t>
            </w:r>
          </w:p>
        </w:tc>
        <w:tc>
          <w:tcPr>
            <w:tcW w:w="349" w:type="pct"/>
            <w:shd w:val="clear" w:color="auto" w:fill="auto"/>
            <w:vAlign w:val="center"/>
          </w:tcPr>
          <w:p w14:paraId="0CF0C2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386" w:type="pct"/>
            <w:shd w:val="clear" w:color="auto" w:fill="auto"/>
            <w:noWrap/>
            <w:vAlign w:val="center"/>
          </w:tcPr>
          <w:p w14:paraId="7CD1C4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0.42</w:t>
            </w:r>
          </w:p>
        </w:tc>
        <w:tc>
          <w:tcPr>
            <w:tcW w:w="455" w:type="pct"/>
            <w:shd w:val="clear" w:color="auto" w:fill="auto"/>
            <w:vAlign w:val="center"/>
          </w:tcPr>
          <w:p w14:paraId="63EB66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4.2</w:t>
            </w:r>
          </w:p>
        </w:tc>
        <w:tc>
          <w:tcPr>
            <w:tcW w:w="414" w:type="pct"/>
            <w:shd w:val="clear" w:color="auto" w:fill="auto"/>
            <w:noWrap/>
            <w:vAlign w:val="center"/>
          </w:tcPr>
          <w:p w14:paraId="37A74CF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0.40</w:t>
            </w:r>
          </w:p>
        </w:tc>
        <w:tc>
          <w:tcPr>
            <w:tcW w:w="457" w:type="pct"/>
            <w:shd w:val="clear" w:color="auto" w:fill="auto"/>
            <w:noWrap/>
            <w:vAlign w:val="center"/>
          </w:tcPr>
          <w:p w14:paraId="7D4EA8D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4.0</w:t>
            </w:r>
          </w:p>
        </w:tc>
        <w:tc>
          <w:tcPr>
            <w:tcW w:w="487" w:type="pct"/>
            <w:shd w:val="clear" w:color="auto" w:fill="auto"/>
            <w:noWrap/>
            <w:vAlign w:val="center"/>
          </w:tcPr>
          <w:p w14:paraId="641992B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0.45</w:t>
            </w:r>
          </w:p>
        </w:tc>
        <w:tc>
          <w:tcPr>
            <w:tcW w:w="391" w:type="pct"/>
            <w:shd w:val="clear" w:color="auto" w:fill="auto"/>
            <w:vAlign w:val="center"/>
          </w:tcPr>
          <w:p w14:paraId="5A0D33C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4.5</w:t>
            </w:r>
          </w:p>
        </w:tc>
        <w:tc>
          <w:tcPr>
            <w:tcW w:w="389" w:type="pct"/>
            <w:shd w:val="clear" w:color="auto" w:fill="auto"/>
            <w:noWrap/>
            <w:vAlign w:val="center"/>
          </w:tcPr>
          <w:p w14:paraId="63495A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r>
      <w:tr w14:paraId="2AE2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3928349D">
            <w:pPr>
              <w:keepNext w:val="0"/>
              <w:keepLines w:val="0"/>
              <w:widowControl/>
              <w:suppressLineNumbers w:val="0"/>
              <w:jc w:val="center"/>
              <w:textAlignment w:val="center"/>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15" w:type="pct"/>
            <w:shd w:val="clear" w:color="auto" w:fill="auto"/>
            <w:noWrap/>
            <w:vAlign w:val="center"/>
          </w:tcPr>
          <w:p w14:paraId="5A6925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溶解性总固体</w:t>
            </w:r>
          </w:p>
        </w:tc>
        <w:tc>
          <w:tcPr>
            <w:tcW w:w="454" w:type="pct"/>
            <w:shd w:val="clear" w:color="auto" w:fill="auto"/>
            <w:noWrap/>
            <w:vAlign w:val="center"/>
          </w:tcPr>
          <w:p w14:paraId="7ED8189F">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shd w:val="clear" w:color="auto" w:fill="auto"/>
            <w:noWrap/>
            <w:vAlign w:val="center"/>
          </w:tcPr>
          <w:p w14:paraId="3B8A81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bidi="ar"/>
              </w:rPr>
              <w:t>1.46</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eastAsia" w:ascii="Times New Roman" w:hAnsi="Times New Roman" w:eastAsia="宋体" w:cs="Times New Roman"/>
                <w:b/>
                <w:bCs/>
                <w:i w:val="0"/>
                <w:iCs w:val="0"/>
                <w:color w:val="auto"/>
                <w:kern w:val="0"/>
                <w:sz w:val="21"/>
                <w:szCs w:val="21"/>
                <w:highlight w:val="none"/>
                <w:u w:val="none"/>
                <w:vertAlign w:val="superscript"/>
                <w:lang w:val="en-US" w:eastAsia="zh-CN" w:bidi="ar"/>
              </w:rPr>
              <w:t>4</w:t>
            </w:r>
          </w:p>
        </w:tc>
        <w:tc>
          <w:tcPr>
            <w:tcW w:w="349" w:type="pct"/>
            <w:shd w:val="clear" w:color="auto" w:fill="auto"/>
            <w:noWrap/>
            <w:vAlign w:val="center"/>
          </w:tcPr>
          <w:p w14:paraId="5BFBCD55">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14.6</w:t>
            </w:r>
          </w:p>
        </w:tc>
        <w:tc>
          <w:tcPr>
            <w:tcW w:w="386" w:type="pct"/>
            <w:shd w:val="clear" w:color="auto" w:fill="auto"/>
            <w:noWrap/>
            <w:vAlign w:val="center"/>
          </w:tcPr>
          <w:p w14:paraId="0A40630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1.75</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eastAsia" w:cs="Times New Roman"/>
                <w:b/>
                <w:bCs/>
                <w:i w:val="0"/>
                <w:iCs w:val="0"/>
                <w:color w:val="auto"/>
                <w:kern w:val="0"/>
                <w:sz w:val="21"/>
                <w:szCs w:val="21"/>
                <w:highlight w:val="none"/>
                <w:u w:val="none"/>
                <w:vertAlign w:val="superscript"/>
                <w:lang w:val="en-US" w:eastAsia="zh-CN" w:bidi="ar"/>
              </w:rPr>
              <w:t>4</w:t>
            </w:r>
          </w:p>
        </w:tc>
        <w:tc>
          <w:tcPr>
            <w:tcW w:w="455" w:type="pct"/>
            <w:shd w:val="clear" w:color="auto" w:fill="auto"/>
            <w:vAlign w:val="center"/>
          </w:tcPr>
          <w:p w14:paraId="7A9026B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17.5</w:t>
            </w:r>
          </w:p>
        </w:tc>
        <w:tc>
          <w:tcPr>
            <w:tcW w:w="414" w:type="pct"/>
            <w:shd w:val="clear" w:color="auto" w:fill="auto"/>
            <w:noWrap/>
            <w:vAlign w:val="center"/>
          </w:tcPr>
          <w:p w14:paraId="627861D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4.</w:t>
            </w:r>
            <w:r>
              <w:rPr>
                <w:rFonts w:hint="eastAsia" w:ascii="Times New Roman" w:hAnsi="Times New Roman" w:eastAsia="宋体" w:cs="Times New Roman"/>
                <w:b/>
                <w:bCs/>
                <w:i w:val="0"/>
                <w:iCs w:val="0"/>
                <w:color w:val="auto"/>
                <w:kern w:val="0"/>
                <w:sz w:val="21"/>
                <w:szCs w:val="21"/>
                <w:highlight w:val="none"/>
                <w:u w:val="none"/>
                <w:lang w:val="en-US" w:eastAsia="zh-CN" w:bidi="ar"/>
              </w:rPr>
              <w:t>28</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57" w:type="pct"/>
            <w:shd w:val="clear" w:color="auto" w:fill="auto"/>
            <w:noWrap/>
            <w:vAlign w:val="center"/>
          </w:tcPr>
          <w:p w14:paraId="4A42646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4.28</w:t>
            </w:r>
          </w:p>
        </w:tc>
        <w:tc>
          <w:tcPr>
            <w:tcW w:w="487" w:type="pct"/>
            <w:shd w:val="clear" w:color="auto" w:fill="auto"/>
            <w:noWrap/>
            <w:vAlign w:val="center"/>
          </w:tcPr>
          <w:p w14:paraId="2B4EA8A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4.0</w:t>
            </w:r>
            <w:r>
              <w:rPr>
                <w:rFonts w:hint="eastAsia" w:cs="Times New Roman"/>
                <w:b/>
                <w:bCs/>
                <w:i w:val="0"/>
                <w:iCs w:val="0"/>
                <w:color w:val="auto"/>
                <w:kern w:val="0"/>
                <w:sz w:val="21"/>
                <w:szCs w:val="21"/>
                <w:highlight w:val="none"/>
                <w:u w:val="none"/>
                <w:lang w:val="en-US" w:eastAsia="zh-CN" w:bidi="ar"/>
              </w:rPr>
              <w:t>9</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91" w:type="pct"/>
            <w:shd w:val="clear" w:color="auto" w:fill="auto"/>
            <w:vAlign w:val="center"/>
          </w:tcPr>
          <w:p w14:paraId="3305A39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4.09</w:t>
            </w:r>
          </w:p>
        </w:tc>
        <w:tc>
          <w:tcPr>
            <w:tcW w:w="389" w:type="pct"/>
            <w:shd w:val="clear" w:color="auto" w:fill="auto"/>
            <w:noWrap/>
            <w:vAlign w:val="center"/>
          </w:tcPr>
          <w:p w14:paraId="538020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r>
      <w:tr w14:paraId="0C47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01CF0B6B">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615" w:type="pct"/>
            <w:shd w:val="clear" w:color="auto" w:fill="auto"/>
            <w:noWrap/>
            <w:vAlign w:val="center"/>
          </w:tcPr>
          <w:p w14:paraId="5C8ACFC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ascii="宋体" w:hAnsi="宋体" w:eastAsia="宋体" w:cs="宋体"/>
                <w:color w:val="auto"/>
                <w:spacing w:val="7"/>
                <w:sz w:val="21"/>
                <w:szCs w:val="21"/>
                <w:highlight w:val="none"/>
              </w:rPr>
              <w:t>高锰酸盐指数</w:t>
            </w:r>
            <w:r>
              <w:rPr>
                <w:rFonts w:hint="eastAsia" w:ascii="宋体" w:hAnsi="宋体" w:eastAsia="宋体" w:cs="宋体"/>
                <w:color w:val="auto"/>
                <w:sz w:val="21"/>
                <w:szCs w:val="21"/>
                <w:highlight w:val="none"/>
                <w:lang w:val="en-US" w:eastAsia="zh-CN"/>
              </w:rPr>
              <w:t>(</w:t>
            </w:r>
            <w:r>
              <w:rPr>
                <w:rFonts w:ascii="宋体" w:hAnsi="宋体" w:eastAsia="宋体" w:cs="宋体"/>
                <w:color w:val="auto"/>
                <w:spacing w:val="1"/>
                <w:sz w:val="21"/>
                <w:szCs w:val="21"/>
                <w:highlight w:val="none"/>
              </w:rPr>
              <w:t>以</w:t>
            </w:r>
            <w:r>
              <w:rPr>
                <w:color w:val="auto"/>
                <w:spacing w:val="1"/>
                <w:sz w:val="21"/>
                <w:szCs w:val="21"/>
                <w:highlight w:val="none"/>
              </w:rPr>
              <w:t>O</w:t>
            </w:r>
            <w:r>
              <w:rPr>
                <w:color w:val="auto"/>
                <w:spacing w:val="1"/>
                <w:position w:val="-1"/>
                <w:sz w:val="21"/>
                <w:szCs w:val="21"/>
                <w:highlight w:val="none"/>
                <w:vertAlign w:val="subscript"/>
              </w:rPr>
              <w:t>2</w:t>
            </w:r>
            <w:r>
              <w:rPr>
                <w:rFonts w:ascii="宋体" w:hAnsi="宋体" w:eastAsia="宋体" w:cs="宋体"/>
                <w:color w:val="auto"/>
                <w:spacing w:val="1"/>
                <w:sz w:val="21"/>
                <w:szCs w:val="21"/>
                <w:highlight w:val="none"/>
              </w:rPr>
              <w:t>计</w:t>
            </w:r>
            <w:r>
              <w:rPr>
                <w:rFonts w:hint="eastAsia" w:ascii="宋体" w:hAnsi="宋体" w:eastAsia="宋体" w:cs="宋体"/>
                <w:color w:val="auto"/>
                <w:spacing w:val="1"/>
                <w:sz w:val="21"/>
                <w:szCs w:val="21"/>
                <w:highlight w:val="none"/>
                <w:lang w:val="en-US" w:eastAsia="zh-CN"/>
              </w:rPr>
              <w:t>)</w:t>
            </w:r>
          </w:p>
        </w:tc>
        <w:tc>
          <w:tcPr>
            <w:tcW w:w="454" w:type="pct"/>
            <w:shd w:val="clear" w:color="auto" w:fill="auto"/>
            <w:noWrap/>
            <w:vAlign w:val="center"/>
          </w:tcPr>
          <w:p w14:paraId="6B95C958">
            <w:pPr>
              <w:autoSpaceDE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376" w:type="pct"/>
            <w:shd w:val="clear" w:color="auto" w:fill="auto"/>
            <w:noWrap/>
            <w:vAlign w:val="center"/>
          </w:tcPr>
          <w:p w14:paraId="70F80A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1.80</w:t>
            </w:r>
          </w:p>
        </w:tc>
        <w:tc>
          <w:tcPr>
            <w:tcW w:w="349" w:type="pct"/>
            <w:shd w:val="clear" w:color="auto" w:fill="auto"/>
            <w:noWrap/>
            <w:vAlign w:val="center"/>
          </w:tcPr>
          <w:p w14:paraId="5D8126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386" w:type="pct"/>
            <w:shd w:val="clear" w:color="auto" w:fill="auto"/>
            <w:noWrap/>
            <w:vAlign w:val="center"/>
          </w:tcPr>
          <w:p w14:paraId="462014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0.80</w:t>
            </w:r>
          </w:p>
        </w:tc>
        <w:tc>
          <w:tcPr>
            <w:tcW w:w="455" w:type="pct"/>
            <w:shd w:val="clear" w:color="auto" w:fill="auto"/>
            <w:noWrap/>
            <w:vAlign w:val="center"/>
          </w:tcPr>
          <w:p w14:paraId="2F6402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414" w:type="pct"/>
            <w:shd w:val="clear" w:color="auto" w:fill="auto"/>
            <w:noWrap/>
            <w:vAlign w:val="center"/>
          </w:tcPr>
          <w:p w14:paraId="5E692A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1.37</w:t>
            </w:r>
          </w:p>
        </w:tc>
        <w:tc>
          <w:tcPr>
            <w:tcW w:w="457" w:type="pct"/>
            <w:shd w:val="clear" w:color="auto" w:fill="auto"/>
            <w:noWrap/>
            <w:vAlign w:val="center"/>
          </w:tcPr>
          <w:p w14:paraId="6FB40F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0.46</w:t>
            </w:r>
          </w:p>
        </w:tc>
        <w:tc>
          <w:tcPr>
            <w:tcW w:w="487" w:type="pct"/>
            <w:shd w:val="clear" w:color="auto" w:fill="auto"/>
            <w:noWrap/>
            <w:vAlign w:val="center"/>
          </w:tcPr>
          <w:p w14:paraId="17908D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0.98</w:t>
            </w:r>
          </w:p>
        </w:tc>
        <w:tc>
          <w:tcPr>
            <w:tcW w:w="391" w:type="pct"/>
            <w:shd w:val="clear" w:color="auto" w:fill="auto"/>
            <w:noWrap/>
            <w:vAlign w:val="center"/>
          </w:tcPr>
          <w:p w14:paraId="3B061B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0.33</w:t>
            </w:r>
          </w:p>
        </w:tc>
        <w:tc>
          <w:tcPr>
            <w:tcW w:w="389" w:type="pct"/>
            <w:shd w:val="clear" w:color="auto" w:fill="auto"/>
            <w:noWrap/>
            <w:vAlign w:val="center"/>
          </w:tcPr>
          <w:p w14:paraId="22B8F5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14:paraId="62D9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3" w:type="pct"/>
            <w:shd w:val="clear" w:color="auto" w:fill="auto"/>
            <w:noWrap/>
            <w:vAlign w:val="center"/>
          </w:tcPr>
          <w:p w14:paraId="7A8D53F8">
            <w:pPr>
              <w:keepNext w:val="0"/>
              <w:keepLines w:val="0"/>
              <w:widowControl/>
              <w:suppressLineNumbers w:val="0"/>
              <w:jc w:val="center"/>
              <w:textAlignment w:val="center"/>
              <w:rPr>
                <w:rFonts w:hint="default" w:ascii="Times New Roman" w:hAnsi="Times New Roman" w:cs="Times New Roman"/>
                <w:color w:val="auto"/>
                <w:spacing w:val="24"/>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615" w:type="pct"/>
            <w:shd w:val="clear" w:color="auto" w:fill="auto"/>
            <w:noWrap/>
            <w:vAlign w:val="center"/>
          </w:tcPr>
          <w:p w14:paraId="3AAEA1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总大肠菌群</w:t>
            </w:r>
          </w:p>
        </w:tc>
        <w:tc>
          <w:tcPr>
            <w:tcW w:w="454" w:type="pct"/>
            <w:shd w:val="clear" w:color="auto" w:fill="auto"/>
            <w:noWrap/>
            <w:vAlign w:val="center"/>
          </w:tcPr>
          <w:p w14:paraId="27727C8B">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1"/>
                <w:position w:val="2"/>
                <w:sz w:val="21"/>
                <w:szCs w:val="21"/>
                <w:highlight w:val="none"/>
              </w:rPr>
              <w:t>CFU/100mL</w:t>
            </w:r>
          </w:p>
        </w:tc>
        <w:tc>
          <w:tcPr>
            <w:tcW w:w="376" w:type="pct"/>
            <w:shd w:val="clear" w:color="auto" w:fill="auto"/>
            <w:noWrap/>
            <w:vAlign w:val="center"/>
          </w:tcPr>
          <w:p w14:paraId="364CA5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49" w:type="pct"/>
            <w:shd w:val="clear" w:color="auto" w:fill="auto"/>
            <w:noWrap/>
            <w:vAlign w:val="center"/>
          </w:tcPr>
          <w:p w14:paraId="449C9EF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86" w:type="pct"/>
            <w:shd w:val="clear" w:color="auto" w:fill="auto"/>
            <w:noWrap/>
            <w:vAlign w:val="center"/>
          </w:tcPr>
          <w:p w14:paraId="4A1E7A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55" w:type="pct"/>
            <w:shd w:val="clear" w:color="auto" w:fill="auto"/>
            <w:noWrap/>
            <w:vAlign w:val="center"/>
          </w:tcPr>
          <w:p w14:paraId="129793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14" w:type="pct"/>
            <w:shd w:val="clear" w:color="auto" w:fill="auto"/>
            <w:noWrap/>
            <w:vAlign w:val="center"/>
          </w:tcPr>
          <w:p w14:paraId="08F51A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57" w:type="pct"/>
            <w:shd w:val="clear" w:color="auto" w:fill="auto"/>
            <w:noWrap/>
            <w:vAlign w:val="center"/>
          </w:tcPr>
          <w:p w14:paraId="6A7A09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87" w:type="pct"/>
            <w:shd w:val="clear" w:color="auto" w:fill="auto"/>
            <w:noWrap/>
            <w:vAlign w:val="center"/>
          </w:tcPr>
          <w:p w14:paraId="275126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91" w:type="pct"/>
            <w:shd w:val="clear" w:color="auto" w:fill="auto"/>
            <w:noWrap/>
            <w:vAlign w:val="center"/>
          </w:tcPr>
          <w:p w14:paraId="33DB47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389" w:type="pct"/>
            <w:shd w:val="clear" w:color="auto" w:fill="auto"/>
            <w:noWrap/>
            <w:vAlign w:val="center"/>
          </w:tcPr>
          <w:p w14:paraId="16E714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14:paraId="5B43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2254828A">
            <w:pPr>
              <w:keepNext w:val="0"/>
              <w:keepLines w:val="0"/>
              <w:widowControl/>
              <w:suppressLineNumbers w:val="0"/>
              <w:jc w:val="center"/>
              <w:textAlignment w:val="center"/>
              <w:rPr>
                <w:rFonts w:hint="default" w:ascii="Times New Roman" w:hAnsi="Times New Roman" w:cs="Times New Roman"/>
                <w:color w:val="auto"/>
                <w:spacing w:val="24"/>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615" w:type="pct"/>
            <w:shd w:val="clear" w:color="auto" w:fill="auto"/>
            <w:noWrap/>
            <w:vAlign w:val="center"/>
          </w:tcPr>
          <w:p w14:paraId="2E0A0B8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细菌总数</w:t>
            </w:r>
          </w:p>
        </w:tc>
        <w:tc>
          <w:tcPr>
            <w:tcW w:w="454" w:type="pct"/>
            <w:shd w:val="clear" w:color="auto" w:fill="auto"/>
            <w:noWrap/>
            <w:vAlign w:val="center"/>
          </w:tcPr>
          <w:p w14:paraId="225C1035">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2"/>
                <w:sz w:val="21"/>
                <w:szCs w:val="21"/>
                <w:highlight w:val="none"/>
              </w:rPr>
              <w:t>CFU</w:t>
            </w:r>
            <w:r>
              <w:rPr>
                <w:rFonts w:hint="default" w:ascii="Times New Roman" w:hAnsi="Times New Roman" w:eastAsia="宋体" w:cs="Times New Roman"/>
                <w:color w:val="auto"/>
                <w:spacing w:val="26"/>
                <w:position w:val="2"/>
                <w:sz w:val="21"/>
                <w:szCs w:val="21"/>
                <w:highlight w:val="none"/>
              </w:rPr>
              <w:t>/</w:t>
            </w:r>
            <w:r>
              <w:rPr>
                <w:rFonts w:hint="default" w:ascii="Times New Roman" w:hAnsi="Times New Roman" w:eastAsia="宋体" w:cs="Times New Roman"/>
                <w:color w:val="auto"/>
                <w:position w:val="2"/>
                <w:sz w:val="21"/>
                <w:szCs w:val="21"/>
                <w:highlight w:val="none"/>
              </w:rPr>
              <w:t>mL</w:t>
            </w:r>
          </w:p>
        </w:tc>
        <w:tc>
          <w:tcPr>
            <w:tcW w:w="376" w:type="pct"/>
            <w:shd w:val="clear" w:color="auto" w:fill="auto"/>
            <w:noWrap/>
            <w:vAlign w:val="center"/>
          </w:tcPr>
          <w:p w14:paraId="6009CD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仿宋_GB2312" w:cs="Times New Roman"/>
                <w:i w:val="0"/>
                <w:iCs w:val="0"/>
                <w:color w:val="auto"/>
                <w:kern w:val="0"/>
                <w:sz w:val="21"/>
                <w:szCs w:val="21"/>
                <w:highlight w:val="none"/>
                <w:u w:val="none"/>
                <w:lang w:val="en-US" w:eastAsia="zh-CN" w:bidi="ar"/>
              </w:rPr>
              <w:t>66</w:t>
            </w:r>
          </w:p>
        </w:tc>
        <w:tc>
          <w:tcPr>
            <w:tcW w:w="349" w:type="pct"/>
            <w:shd w:val="clear" w:color="auto" w:fill="auto"/>
            <w:vAlign w:val="center"/>
          </w:tcPr>
          <w:p w14:paraId="65F7D33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0.66</w:t>
            </w:r>
          </w:p>
        </w:tc>
        <w:tc>
          <w:tcPr>
            <w:tcW w:w="386" w:type="pct"/>
            <w:shd w:val="clear" w:color="auto" w:fill="auto"/>
            <w:noWrap/>
            <w:vAlign w:val="top"/>
          </w:tcPr>
          <w:p w14:paraId="2D0F90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74</w:t>
            </w:r>
          </w:p>
        </w:tc>
        <w:tc>
          <w:tcPr>
            <w:tcW w:w="455" w:type="pct"/>
            <w:shd w:val="clear" w:color="auto" w:fill="auto"/>
            <w:vAlign w:val="center"/>
          </w:tcPr>
          <w:p w14:paraId="183834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0.74</w:t>
            </w:r>
          </w:p>
        </w:tc>
        <w:tc>
          <w:tcPr>
            <w:tcW w:w="414" w:type="pct"/>
            <w:shd w:val="clear" w:color="auto" w:fill="auto"/>
            <w:noWrap/>
            <w:vAlign w:val="center"/>
          </w:tcPr>
          <w:p w14:paraId="0A0B4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457" w:type="pct"/>
            <w:shd w:val="clear" w:color="auto" w:fill="auto"/>
            <w:noWrap/>
            <w:vAlign w:val="center"/>
          </w:tcPr>
          <w:p w14:paraId="295805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0.6</w:t>
            </w:r>
          </w:p>
        </w:tc>
        <w:tc>
          <w:tcPr>
            <w:tcW w:w="487" w:type="pct"/>
            <w:shd w:val="clear" w:color="auto" w:fill="auto"/>
            <w:noWrap/>
            <w:vAlign w:val="center"/>
          </w:tcPr>
          <w:p w14:paraId="1B4D14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52</w:t>
            </w:r>
          </w:p>
        </w:tc>
        <w:tc>
          <w:tcPr>
            <w:tcW w:w="391" w:type="pct"/>
            <w:shd w:val="clear" w:color="auto" w:fill="auto"/>
            <w:vAlign w:val="center"/>
          </w:tcPr>
          <w:p w14:paraId="082FFD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0.52</w:t>
            </w:r>
          </w:p>
        </w:tc>
        <w:tc>
          <w:tcPr>
            <w:tcW w:w="389" w:type="pct"/>
            <w:shd w:val="clear" w:color="auto" w:fill="auto"/>
            <w:noWrap/>
            <w:vAlign w:val="center"/>
          </w:tcPr>
          <w:p w14:paraId="3F7B83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14:paraId="1598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 w:type="pct"/>
            <w:shd w:val="clear" w:color="auto" w:fill="auto"/>
            <w:noWrap/>
            <w:vAlign w:val="center"/>
          </w:tcPr>
          <w:p w14:paraId="6788D27C">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15" w:type="pct"/>
            <w:shd w:val="clear" w:color="auto" w:fill="auto"/>
            <w:noWrap/>
            <w:vAlign w:val="center"/>
          </w:tcPr>
          <w:p w14:paraId="564813F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硫化物</w:t>
            </w:r>
          </w:p>
        </w:tc>
        <w:tc>
          <w:tcPr>
            <w:tcW w:w="454" w:type="pct"/>
            <w:shd w:val="clear" w:color="auto" w:fill="auto"/>
            <w:noWrap/>
            <w:vAlign w:val="center"/>
          </w:tcPr>
          <w:p w14:paraId="0CB4CF5C">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4"/>
                <w:sz w:val="21"/>
                <w:szCs w:val="21"/>
                <w:highlight w:val="none"/>
              </w:rPr>
              <w:t>mg</w:t>
            </w:r>
            <w:r>
              <w:rPr>
                <w:rFonts w:hint="default" w:ascii="Times New Roman" w:hAnsi="Times New Roman" w:eastAsia="宋体" w:cs="Times New Roman"/>
                <w:color w:val="auto"/>
                <w:spacing w:val="16"/>
                <w:position w:val="4"/>
                <w:sz w:val="21"/>
                <w:szCs w:val="21"/>
                <w:highlight w:val="none"/>
              </w:rPr>
              <w:t>/</w:t>
            </w:r>
            <w:r>
              <w:rPr>
                <w:rFonts w:hint="default" w:ascii="Times New Roman" w:hAnsi="Times New Roman" w:eastAsia="宋体" w:cs="Times New Roman"/>
                <w:color w:val="auto"/>
                <w:position w:val="4"/>
                <w:sz w:val="21"/>
                <w:szCs w:val="21"/>
                <w:highlight w:val="none"/>
              </w:rPr>
              <w:t>L</w:t>
            </w:r>
          </w:p>
        </w:tc>
        <w:tc>
          <w:tcPr>
            <w:tcW w:w="376" w:type="pct"/>
            <w:shd w:val="clear" w:color="auto" w:fill="auto"/>
            <w:noWrap/>
            <w:vAlign w:val="center"/>
          </w:tcPr>
          <w:p w14:paraId="68A24D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349" w:type="pct"/>
            <w:shd w:val="clear" w:color="auto" w:fill="auto"/>
            <w:noWrap/>
            <w:vAlign w:val="center"/>
          </w:tcPr>
          <w:p w14:paraId="39EC53C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＜0.5</w:t>
            </w:r>
          </w:p>
        </w:tc>
        <w:tc>
          <w:tcPr>
            <w:tcW w:w="386" w:type="pct"/>
            <w:shd w:val="clear" w:color="auto" w:fill="auto"/>
            <w:noWrap/>
            <w:vAlign w:val="center"/>
          </w:tcPr>
          <w:p w14:paraId="5D7BEF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55" w:type="pct"/>
            <w:shd w:val="clear" w:color="auto" w:fill="auto"/>
            <w:noWrap/>
            <w:vAlign w:val="center"/>
          </w:tcPr>
          <w:p w14:paraId="7F873A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bidi="ar-SA"/>
              </w:rPr>
              <w:t>＜0.5</w:t>
            </w:r>
          </w:p>
        </w:tc>
        <w:tc>
          <w:tcPr>
            <w:tcW w:w="414" w:type="pct"/>
            <w:shd w:val="clear" w:color="auto" w:fill="auto"/>
            <w:noWrap/>
            <w:vAlign w:val="center"/>
          </w:tcPr>
          <w:p w14:paraId="042042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57" w:type="pct"/>
            <w:shd w:val="clear" w:color="auto" w:fill="auto"/>
            <w:noWrap/>
            <w:vAlign w:val="center"/>
          </w:tcPr>
          <w:p w14:paraId="26FE72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＜0.5</w:t>
            </w:r>
          </w:p>
        </w:tc>
        <w:tc>
          <w:tcPr>
            <w:tcW w:w="487" w:type="pct"/>
            <w:shd w:val="clear" w:color="auto" w:fill="auto"/>
            <w:noWrap/>
            <w:vAlign w:val="center"/>
          </w:tcPr>
          <w:p w14:paraId="7716B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391" w:type="pct"/>
            <w:shd w:val="clear" w:color="auto" w:fill="auto"/>
            <w:noWrap/>
            <w:vAlign w:val="center"/>
          </w:tcPr>
          <w:p w14:paraId="55872E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bidi="ar-SA"/>
              </w:rPr>
              <w:t>＜0.5</w:t>
            </w:r>
          </w:p>
        </w:tc>
        <w:tc>
          <w:tcPr>
            <w:tcW w:w="389" w:type="pct"/>
            <w:shd w:val="clear" w:color="auto" w:fill="auto"/>
            <w:noWrap/>
            <w:vAlign w:val="center"/>
          </w:tcPr>
          <w:p w14:paraId="572287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10B9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3AD43119">
            <w:pPr>
              <w:keepNext w:val="0"/>
              <w:keepLines w:val="0"/>
              <w:widowControl/>
              <w:suppressLineNumbers w:val="0"/>
              <w:jc w:val="center"/>
              <w:textAlignment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615" w:type="pct"/>
            <w:shd w:val="clear" w:color="auto" w:fill="auto"/>
            <w:noWrap/>
            <w:vAlign w:val="center"/>
          </w:tcPr>
          <w:p w14:paraId="051E53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454" w:type="pct"/>
            <w:shd w:val="clear" w:color="auto" w:fill="auto"/>
            <w:noWrap/>
            <w:vAlign w:val="center"/>
          </w:tcPr>
          <w:p w14:paraId="3D892612">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4"/>
                <w:sz w:val="21"/>
                <w:szCs w:val="21"/>
                <w:highlight w:val="none"/>
              </w:rPr>
              <w:t>mg</w:t>
            </w:r>
            <w:r>
              <w:rPr>
                <w:rFonts w:hint="default" w:ascii="Times New Roman" w:hAnsi="Times New Roman" w:eastAsia="宋体" w:cs="Times New Roman"/>
                <w:color w:val="auto"/>
                <w:spacing w:val="16"/>
                <w:position w:val="4"/>
                <w:sz w:val="21"/>
                <w:szCs w:val="21"/>
                <w:highlight w:val="none"/>
              </w:rPr>
              <w:t>/</w:t>
            </w:r>
            <w:r>
              <w:rPr>
                <w:rFonts w:hint="default" w:ascii="Times New Roman" w:hAnsi="Times New Roman" w:eastAsia="宋体" w:cs="Times New Roman"/>
                <w:color w:val="auto"/>
                <w:position w:val="4"/>
                <w:sz w:val="21"/>
                <w:szCs w:val="21"/>
                <w:highlight w:val="none"/>
              </w:rPr>
              <w:t>L</w:t>
            </w:r>
          </w:p>
        </w:tc>
        <w:tc>
          <w:tcPr>
            <w:tcW w:w="376" w:type="pct"/>
            <w:shd w:val="clear" w:color="auto" w:fill="auto"/>
            <w:noWrap/>
            <w:vAlign w:val="center"/>
          </w:tcPr>
          <w:p w14:paraId="5C329D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349" w:type="pct"/>
            <w:shd w:val="clear" w:color="auto" w:fill="auto"/>
            <w:vAlign w:val="center"/>
          </w:tcPr>
          <w:p w14:paraId="61B57E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＜0.2</w:t>
            </w:r>
          </w:p>
        </w:tc>
        <w:tc>
          <w:tcPr>
            <w:tcW w:w="386" w:type="pct"/>
            <w:shd w:val="clear" w:color="auto" w:fill="auto"/>
            <w:noWrap/>
            <w:vAlign w:val="center"/>
          </w:tcPr>
          <w:p w14:paraId="0C557A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455" w:type="pct"/>
            <w:shd w:val="clear" w:color="auto" w:fill="auto"/>
            <w:vAlign w:val="center"/>
          </w:tcPr>
          <w:p w14:paraId="1D22F2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w:t>
            </w:r>
          </w:p>
        </w:tc>
        <w:tc>
          <w:tcPr>
            <w:tcW w:w="414" w:type="pct"/>
            <w:shd w:val="clear" w:color="auto" w:fill="auto"/>
            <w:noWrap/>
            <w:vAlign w:val="center"/>
          </w:tcPr>
          <w:p w14:paraId="1D7CB2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457" w:type="pct"/>
            <w:shd w:val="clear" w:color="auto" w:fill="auto"/>
            <w:noWrap/>
            <w:vAlign w:val="center"/>
          </w:tcPr>
          <w:p w14:paraId="103CD4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＜0.2</w:t>
            </w:r>
          </w:p>
        </w:tc>
        <w:tc>
          <w:tcPr>
            <w:tcW w:w="487" w:type="pct"/>
            <w:shd w:val="clear" w:color="auto" w:fill="auto"/>
            <w:noWrap/>
            <w:vAlign w:val="center"/>
          </w:tcPr>
          <w:p w14:paraId="078839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391" w:type="pct"/>
            <w:shd w:val="clear" w:color="auto" w:fill="auto"/>
            <w:vAlign w:val="center"/>
          </w:tcPr>
          <w:p w14:paraId="160A2E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w:t>
            </w:r>
          </w:p>
        </w:tc>
        <w:tc>
          <w:tcPr>
            <w:tcW w:w="389" w:type="pct"/>
            <w:shd w:val="clear" w:color="auto" w:fill="auto"/>
            <w:noWrap/>
            <w:vAlign w:val="center"/>
          </w:tcPr>
          <w:p w14:paraId="0C72FF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0.05</w:t>
            </w:r>
          </w:p>
        </w:tc>
      </w:tr>
      <w:tr w14:paraId="291F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shd w:val="clear" w:color="auto" w:fill="auto"/>
            <w:noWrap/>
            <w:vAlign w:val="center"/>
          </w:tcPr>
          <w:p w14:paraId="4E8C9729">
            <w:pPr>
              <w:keepNext w:val="0"/>
              <w:keepLines w:val="0"/>
              <w:widowControl/>
              <w:suppressLineNumbers w:val="0"/>
              <w:jc w:val="center"/>
              <w:textAlignment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615" w:type="pct"/>
            <w:shd w:val="clear" w:color="auto" w:fill="auto"/>
            <w:noWrap/>
            <w:vAlign w:val="center"/>
          </w:tcPr>
          <w:p w14:paraId="6DD69B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硫酸根（硫酸盐）</w:t>
            </w:r>
          </w:p>
        </w:tc>
        <w:tc>
          <w:tcPr>
            <w:tcW w:w="454" w:type="pct"/>
            <w:shd w:val="clear" w:color="auto" w:fill="auto"/>
            <w:noWrap/>
            <w:vAlign w:val="center"/>
          </w:tcPr>
          <w:p w14:paraId="3AE588E9">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376" w:type="pct"/>
            <w:shd w:val="clear" w:color="auto" w:fill="auto"/>
            <w:noWrap/>
            <w:vAlign w:val="center"/>
          </w:tcPr>
          <w:p w14:paraId="266F01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2.</w:t>
            </w:r>
            <w:r>
              <w:rPr>
                <w:rFonts w:hint="eastAsia" w:ascii="Times New Roman" w:hAnsi="Times New Roman" w:eastAsia="宋体" w:cs="Times New Roman"/>
                <w:b/>
                <w:bCs/>
                <w:i w:val="0"/>
                <w:iCs w:val="0"/>
                <w:color w:val="auto"/>
                <w:kern w:val="0"/>
                <w:sz w:val="21"/>
                <w:szCs w:val="21"/>
                <w:highlight w:val="none"/>
                <w:u w:val="none"/>
                <w:lang w:val="en-US" w:eastAsia="zh-CN" w:bidi="ar"/>
              </w:rPr>
              <w:t>71</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49" w:type="pct"/>
            <w:shd w:val="clear" w:color="auto" w:fill="auto"/>
            <w:noWrap/>
            <w:vAlign w:val="center"/>
          </w:tcPr>
          <w:p w14:paraId="4D498B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10.84</w:t>
            </w:r>
          </w:p>
        </w:tc>
        <w:tc>
          <w:tcPr>
            <w:tcW w:w="386" w:type="pct"/>
            <w:shd w:val="clear" w:color="auto" w:fill="auto"/>
            <w:noWrap/>
            <w:vAlign w:val="top"/>
          </w:tcPr>
          <w:p w14:paraId="7CE8A24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4.24</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55" w:type="pct"/>
            <w:shd w:val="clear" w:color="auto" w:fill="auto"/>
            <w:noWrap/>
            <w:vAlign w:val="center"/>
          </w:tcPr>
          <w:p w14:paraId="1D115D1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16.96</w:t>
            </w:r>
          </w:p>
        </w:tc>
        <w:tc>
          <w:tcPr>
            <w:tcW w:w="414" w:type="pct"/>
            <w:shd w:val="clear" w:color="auto" w:fill="auto"/>
            <w:noWrap/>
            <w:vAlign w:val="center"/>
          </w:tcPr>
          <w:p w14:paraId="660D3FA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2.26</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57" w:type="pct"/>
            <w:shd w:val="clear" w:color="auto" w:fill="auto"/>
            <w:noWrap/>
            <w:vAlign w:val="center"/>
          </w:tcPr>
          <w:p w14:paraId="2796CCD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9.04</w:t>
            </w:r>
          </w:p>
        </w:tc>
        <w:tc>
          <w:tcPr>
            <w:tcW w:w="487" w:type="pct"/>
            <w:shd w:val="clear" w:color="auto" w:fill="auto"/>
            <w:noWrap/>
            <w:vAlign w:val="center"/>
          </w:tcPr>
          <w:p w14:paraId="7435464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2.81</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91" w:type="pct"/>
            <w:shd w:val="clear" w:color="auto" w:fill="auto"/>
            <w:noWrap/>
            <w:vAlign w:val="center"/>
          </w:tcPr>
          <w:p w14:paraId="754CCAB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11.24</w:t>
            </w:r>
          </w:p>
        </w:tc>
        <w:tc>
          <w:tcPr>
            <w:tcW w:w="389" w:type="pct"/>
            <w:shd w:val="clear" w:color="auto" w:fill="auto"/>
            <w:noWrap/>
            <w:vAlign w:val="center"/>
          </w:tcPr>
          <w:p w14:paraId="000CD1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14:paraId="1F3E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04A37B63">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3</w:t>
            </w:r>
          </w:p>
        </w:tc>
        <w:tc>
          <w:tcPr>
            <w:tcW w:w="615" w:type="pct"/>
            <w:shd w:val="clear" w:color="auto" w:fill="auto"/>
            <w:noWrap/>
            <w:vAlign w:val="center"/>
          </w:tcPr>
          <w:p w14:paraId="769585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氯离子（氯化物）</w:t>
            </w:r>
          </w:p>
        </w:tc>
        <w:tc>
          <w:tcPr>
            <w:tcW w:w="454" w:type="pct"/>
            <w:shd w:val="clear" w:color="auto" w:fill="auto"/>
            <w:noWrap/>
            <w:vAlign w:val="center"/>
          </w:tcPr>
          <w:p w14:paraId="283C9700">
            <w:pPr>
              <w:autoSpaceDE w:val="0"/>
              <w:spacing w:line="24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position w:val="4"/>
                <w:sz w:val="21"/>
                <w:szCs w:val="21"/>
                <w:highlight w:val="none"/>
              </w:rPr>
              <w:t>mg</w:t>
            </w:r>
            <w:r>
              <w:rPr>
                <w:rFonts w:hint="default" w:ascii="Times New Roman" w:hAnsi="Times New Roman" w:eastAsia="宋体" w:cs="Times New Roman"/>
                <w:color w:val="auto"/>
                <w:spacing w:val="16"/>
                <w:position w:val="4"/>
                <w:sz w:val="21"/>
                <w:szCs w:val="21"/>
                <w:highlight w:val="none"/>
              </w:rPr>
              <w:t>/</w:t>
            </w:r>
            <w:r>
              <w:rPr>
                <w:rFonts w:hint="default" w:ascii="Times New Roman" w:hAnsi="Times New Roman" w:eastAsia="宋体" w:cs="Times New Roman"/>
                <w:color w:val="auto"/>
                <w:position w:val="4"/>
                <w:sz w:val="21"/>
                <w:szCs w:val="21"/>
                <w:highlight w:val="none"/>
              </w:rPr>
              <w:t>L</w:t>
            </w:r>
          </w:p>
        </w:tc>
        <w:tc>
          <w:tcPr>
            <w:tcW w:w="376" w:type="pct"/>
            <w:shd w:val="clear" w:color="auto" w:fill="auto"/>
            <w:noWrap/>
            <w:vAlign w:val="center"/>
          </w:tcPr>
          <w:p w14:paraId="077F86E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
                <w:bCs/>
                <w:i w:val="0"/>
                <w:iCs w:val="0"/>
                <w:color w:val="auto"/>
                <w:kern w:val="0"/>
                <w:sz w:val="21"/>
                <w:szCs w:val="21"/>
                <w:highlight w:val="none"/>
                <w:u w:val="none"/>
                <w:lang w:val="en-US" w:eastAsia="zh-CN" w:bidi="ar"/>
              </w:rPr>
              <w:t>6.02</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49" w:type="pct"/>
            <w:shd w:val="clear" w:color="auto" w:fill="auto"/>
            <w:noWrap/>
            <w:vAlign w:val="center"/>
          </w:tcPr>
          <w:p w14:paraId="0B27C1C2">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24.08</w:t>
            </w:r>
          </w:p>
        </w:tc>
        <w:tc>
          <w:tcPr>
            <w:tcW w:w="386" w:type="pct"/>
            <w:shd w:val="clear" w:color="auto" w:fill="auto"/>
            <w:noWrap/>
            <w:vAlign w:val="center"/>
          </w:tcPr>
          <w:p w14:paraId="50D4BDA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6.16</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55" w:type="pct"/>
            <w:shd w:val="clear" w:color="auto" w:fill="auto"/>
            <w:noWrap/>
            <w:vAlign w:val="center"/>
          </w:tcPr>
          <w:p w14:paraId="7EC2101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24.64</w:t>
            </w:r>
          </w:p>
        </w:tc>
        <w:tc>
          <w:tcPr>
            <w:tcW w:w="414" w:type="pct"/>
            <w:shd w:val="clear" w:color="auto" w:fill="auto"/>
            <w:noWrap/>
            <w:vAlign w:val="center"/>
          </w:tcPr>
          <w:p w14:paraId="5EA9F6C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2.34</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57" w:type="pct"/>
            <w:shd w:val="clear" w:color="auto" w:fill="auto"/>
            <w:noWrap/>
            <w:vAlign w:val="center"/>
          </w:tcPr>
          <w:p w14:paraId="6427C78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9.36</w:t>
            </w:r>
          </w:p>
        </w:tc>
        <w:tc>
          <w:tcPr>
            <w:tcW w:w="487" w:type="pct"/>
            <w:shd w:val="clear" w:color="auto" w:fill="auto"/>
            <w:noWrap/>
            <w:vAlign w:val="center"/>
          </w:tcPr>
          <w:p w14:paraId="2E17871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3.89</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91" w:type="pct"/>
            <w:shd w:val="clear" w:color="auto" w:fill="auto"/>
            <w:noWrap/>
            <w:vAlign w:val="center"/>
          </w:tcPr>
          <w:p w14:paraId="1892386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15.56</w:t>
            </w:r>
          </w:p>
        </w:tc>
        <w:tc>
          <w:tcPr>
            <w:tcW w:w="389" w:type="pct"/>
            <w:shd w:val="clear" w:color="auto" w:fill="auto"/>
            <w:noWrap/>
            <w:vAlign w:val="center"/>
          </w:tcPr>
          <w:p w14:paraId="52205D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14:paraId="0C50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5E1121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w:t>
            </w:r>
          </w:p>
        </w:tc>
        <w:tc>
          <w:tcPr>
            <w:tcW w:w="615" w:type="pct"/>
            <w:shd w:val="clear" w:color="auto" w:fill="auto"/>
            <w:noWrap/>
            <w:vAlign w:val="center"/>
          </w:tcPr>
          <w:p w14:paraId="5F6C574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碳酸根</w:t>
            </w:r>
          </w:p>
        </w:tc>
        <w:tc>
          <w:tcPr>
            <w:tcW w:w="454" w:type="pct"/>
            <w:shd w:val="clear" w:color="auto" w:fill="auto"/>
            <w:noWrap/>
            <w:vAlign w:val="center"/>
          </w:tcPr>
          <w:p w14:paraId="235A2610">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76" w:type="pct"/>
            <w:shd w:val="clear" w:color="auto" w:fill="auto"/>
            <w:noWrap/>
            <w:vAlign w:val="center"/>
          </w:tcPr>
          <w:p w14:paraId="5C0246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c>
          <w:tcPr>
            <w:tcW w:w="349" w:type="pct"/>
            <w:shd w:val="clear" w:color="auto" w:fill="auto"/>
            <w:noWrap/>
            <w:vAlign w:val="center"/>
          </w:tcPr>
          <w:p w14:paraId="5E15CDA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86" w:type="pct"/>
            <w:shd w:val="clear" w:color="auto" w:fill="auto"/>
            <w:noWrap/>
            <w:vAlign w:val="top"/>
          </w:tcPr>
          <w:p w14:paraId="4B63F4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w:t>
            </w:r>
          </w:p>
        </w:tc>
        <w:tc>
          <w:tcPr>
            <w:tcW w:w="455" w:type="pct"/>
            <w:shd w:val="clear" w:color="auto" w:fill="auto"/>
            <w:noWrap/>
            <w:vAlign w:val="center"/>
          </w:tcPr>
          <w:p w14:paraId="162DD83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414" w:type="pct"/>
            <w:shd w:val="clear" w:color="auto" w:fill="auto"/>
            <w:noWrap/>
            <w:vAlign w:val="center"/>
          </w:tcPr>
          <w:p w14:paraId="668206B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＜1</w:t>
            </w:r>
          </w:p>
        </w:tc>
        <w:tc>
          <w:tcPr>
            <w:tcW w:w="457" w:type="pct"/>
            <w:shd w:val="clear" w:color="auto" w:fill="auto"/>
            <w:noWrap/>
            <w:vAlign w:val="center"/>
          </w:tcPr>
          <w:p w14:paraId="20A41CE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487" w:type="pct"/>
            <w:shd w:val="clear" w:color="auto" w:fill="auto"/>
            <w:noWrap/>
            <w:vAlign w:val="top"/>
          </w:tcPr>
          <w:p w14:paraId="32091B2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＜1</w:t>
            </w:r>
          </w:p>
        </w:tc>
        <w:tc>
          <w:tcPr>
            <w:tcW w:w="391" w:type="pct"/>
            <w:shd w:val="clear" w:color="auto" w:fill="auto"/>
            <w:noWrap/>
            <w:vAlign w:val="center"/>
          </w:tcPr>
          <w:p w14:paraId="23744CD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89" w:type="pct"/>
            <w:shd w:val="clear" w:color="auto" w:fill="auto"/>
            <w:noWrap/>
            <w:vAlign w:val="center"/>
          </w:tcPr>
          <w:p w14:paraId="1FB55E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7C69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3A842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w:t>
            </w:r>
          </w:p>
        </w:tc>
        <w:tc>
          <w:tcPr>
            <w:tcW w:w="615" w:type="pct"/>
            <w:shd w:val="clear" w:color="auto" w:fill="auto"/>
            <w:noWrap/>
            <w:vAlign w:val="center"/>
          </w:tcPr>
          <w:p w14:paraId="49224D6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碳酸氢根</w:t>
            </w:r>
          </w:p>
        </w:tc>
        <w:tc>
          <w:tcPr>
            <w:tcW w:w="454" w:type="pct"/>
            <w:shd w:val="clear" w:color="auto" w:fill="auto"/>
            <w:noWrap/>
            <w:vAlign w:val="center"/>
          </w:tcPr>
          <w:p w14:paraId="5326FE6C">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mg/L</w:t>
            </w:r>
          </w:p>
        </w:tc>
        <w:tc>
          <w:tcPr>
            <w:tcW w:w="376" w:type="pct"/>
            <w:shd w:val="clear" w:color="auto" w:fill="auto"/>
            <w:noWrap/>
            <w:vAlign w:val="center"/>
          </w:tcPr>
          <w:p w14:paraId="271DF74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35</w:t>
            </w:r>
          </w:p>
        </w:tc>
        <w:tc>
          <w:tcPr>
            <w:tcW w:w="349" w:type="pct"/>
            <w:shd w:val="clear" w:color="auto" w:fill="auto"/>
            <w:noWrap/>
            <w:vAlign w:val="center"/>
          </w:tcPr>
          <w:p w14:paraId="04125F7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86" w:type="pct"/>
            <w:shd w:val="clear" w:color="auto" w:fill="auto"/>
            <w:noWrap/>
            <w:vAlign w:val="center"/>
          </w:tcPr>
          <w:p w14:paraId="39F09D4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94</w:t>
            </w:r>
          </w:p>
        </w:tc>
        <w:tc>
          <w:tcPr>
            <w:tcW w:w="455" w:type="pct"/>
            <w:shd w:val="clear" w:color="auto" w:fill="auto"/>
            <w:noWrap/>
            <w:vAlign w:val="center"/>
          </w:tcPr>
          <w:p w14:paraId="138B18B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414" w:type="pct"/>
            <w:shd w:val="clear" w:color="auto" w:fill="auto"/>
            <w:noWrap/>
            <w:vAlign w:val="center"/>
          </w:tcPr>
          <w:p w14:paraId="75D526E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109</w:t>
            </w:r>
          </w:p>
        </w:tc>
        <w:tc>
          <w:tcPr>
            <w:tcW w:w="457" w:type="pct"/>
            <w:shd w:val="clear" w:color="auto" w:fill="auto"/>
            <w:noWrap/>
            <w:vAlign w:val="center"/>
          </w:tcPr>
          <w:p w14:paraId="4986F5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487" w:type="pct"/>
            <w:shd w:val="clear" w:color="auto" w:fill="auto"/>
            <w:noWrap/>
            <w:vAlign w:val="center"/>
          </w:tcPr>
          <w:p w14:paraId="6B536FB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242</w:t>
            </w:r>
          </w:p>
        </w:tc>
        <w:tc>
          <w:tcPr>
            <w:tcW w:w="391" w:type="pct"/>
            <w:shd w:val="clear" w:color="auto" w:fill="auto"/>
            <w:noWrap/>
            <w:vAlign w:val="center"/>
          </w:tcPr>
          <w:p w14:paraId="6CFF2F9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389" w:type="pct"/>
            <w:shd w:val="clear" w:color="auto" w:fill="auto"/>
            <w:noWrap/>
            <w:vAlign w:val="center"/>
          </w:tcPr>
          <w:p w14:paraId="60E3E4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2770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5113D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26</w:t>
            </w:r>
          </w:p>
        </w:tc>
        <w:tc>
          <w:tcPr>
            <w:tcW w:w="615" w:type="pct"/>
            <w:shd w:val="clear" w:color="auto" w:fill="auto"/>
            <w:noWrap/>
            <w:vAlign w:val="center"/>
          </w:tcPr>
          <w:p w14:paraId="1DB6122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钾离子</w:t>
            </w:r>
          </w:p>
        </w:tc>
        <w:tc>
          <w:tcPr>
            <w:tcW w:w="454" w:type="pct"/>
            <w:shd w:val="clear" w:color="auto" w:fill="auto"/>
            <w:noWrap/>
            <w:vAlign w:val="center"/>
          </w:tcPr>
          <w:p w14:paraId="7A972FD6">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76" w:type="pct"/>
            <w:shd w:val="clear" w:color="auto" w:fill="auto"/>
            <w:noWrap/>
            <w:vAlign w:val="center"/>
          </w:tcPr>
          <w:p w14:paraId="347BBF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31.0</w:t>
            </w:r>
          </w:p>
        </w:tc>
        <w:tc>
          <w:tcPr>
            <w:tcW w:w="349" w:type="pct"/>
            <w:shd w:val="clear" w:color="auto" w:fill="auto"/>
            <w:noWrap/>
            <w:vAlign w:val="center"/>
          </w:tcPr>
          <w:p w14:paraId="5789912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86" w:type="pct"/>
            <w:shd w:val="clear" w:color="auto" w:fill="auto"/>
            <w:noWrap/>
            <w:vAlign w:val="center"/>
          </w:tcPr>
          <w:p w14:paraId="1242A6B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58.1</w:t>
            </w:r>
          </w:p>
        </w:tc>
        <w:tc>
          <w:tcPr>
            <w:tcW w:w="455" w:type="pct"/>
            <w:shd w:val="clear" w:color="auto" w:fill="auto"/>
            <w:noWrap/>
            <w:vAlign w:val="center"/>
          </w:tcPr>
          <w:p w14:paraId="76C823A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414" w:type="pct"/>
            <w:shd w:val="clear" w:color="auto" w:fill="auto"/>
            <w:noWrap/>
            <w:vAlign w:val="center"/>
          </w:tcPr>
          <w:p w14:paraId="5B016FE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27.4</w:t>
            </w:r>
          </w:p>
        </w:tc>
        <w:tc>
          <w:tcPr>
            <w:tcW w:w="457" w:type="pct"/>
            <w:shd w:val="clear" w:color="auto" w:fill="auto"/>
            <w:noWrap/>
            <w:vAlign w:val="center"/>
          </w:tcPr>
          <w:p w14:paraId="0359166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487" w:type="pct"/>
            <w:shd w:val="clear" w:color="auto" w:fill="auto"/>
            <w:noWrap/>
            <w:vAlign w:val="center"/>
          </w:tcPr>
          <w:p w14:paraId="35EBF14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23.4</w:t>
            </w:r>
          </w:p>
        </w:tc>
        <w:tc>
          <w:tcPr>
            <w:tcW w:w="391" w:type="pct"/>
            <w:shd w:val="clear" w:color="auto" w:fill="auto"/>
            <w:noWrap/>
            <w:vAlign w:val="center"/>
          </w:tcPr>
          <w:p w14:paraId="1533E86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389" w:type="pct"/>
            <w:shd w:val="clear" w:color="auto" w:fill="auto"/>
            <w:noWrap/>
            <w:vAlign w:val="center"/>
          </w:tcPr>
          <w:p w14:paraId="5A0729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32B4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4ACD01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27</w:t>
            </w:r>
          </w:p>
        </w:tc>
        <w:tc>
          <w:tcPr>
            <w:tcW w:w="615" w:type="pct"/>
            <w:shd w:val="clear" w:color="auto" w:fill="auto"/>
            <w:noWrap/>
            <w:vAlign w:val="center"/>
          </w:tcPr>
          <w:p w14:paraId="0E6D8A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钠离子</w:t>
            </w:r>
          </w:p>
        </w:tc>
        <w:tc>
          <w:tcPr>
            <w:tcW w:w="454" w:type="pct"/>
            <w:shd w:val="clear" w:color="auto" w:fill="auto"/>
            <w:noWrap/>
            <w:vAlign w:val="center"/>
          </w:tcPr>
          <w:p w14:paraId="022AC629">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76" w:type="pct"/>
            <w:shd w:val="clear" w:color="auto" w:fill="auto"/>
            <w:noWrap/>
            <w:vAlign w:val="center"/>
          </w:tcPr>
          <w:p w14:paraId="7251F3B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3.62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349" w:type="pct"/>
            <w:shd w:val="clear" w:color="auto" w:fill="auto"/>
            <w:noWrap/>
            <w:vAlign w:val="center"/>
          </w:tcPr>
          <w:p w14:paraId="16C7949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86" w:type="pct"/>
            <w:shd w:val="clear" w:color="auto" w:fill="auto"/>
            <w:noWrap/>
            <w:vAlign w:val="center"/>
          </w:tcPr>
          <w:p w14:paraId="420A1E7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4.63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455" w:type="pct"/>
            <w:shd w:val="clear" w:color="auto" w:fill="auto"/>
            <w:noWrap/>
            <w:vAlign w:val="center"/>
          </w:tcPr>
          <w:p w14:paraId="7CF87CA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414" w:type="pct"/>
            <w:shd w:val="clear" w:color="auto" w:fill="auto"/>
            <w:noWrap/>
            <w:vAlign w:val="center"/>
          </w:tcPr>
          <w:p w14:paraId="604A824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1.76</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457" w:type="pct"/>
            <w:shd w:val="clear" w:color="auto" w:fill="auto"/>
            <w:noWrap/>
            <w:vAlign w:val="center"/>
          </w:tcPr>
          <w:p w14:paraId="787BF3D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487" w:type="pct"/>
            <w:shd w:val="clear" w:color="auto" w:fill="auto"/>
            <w:noWrap/>
            <w:vAlign w:val="center"/>
          </w:tcPr>
          <w:p w14:paraId="221C527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color w:val="auto"/>
                <w:sz w:val="21"/>
                <w:szCs w:val="21"/>
                <w:highlight w:val="none"/>
                <w:lang w:val="en-US" w:eastAsia="zh-CN" w:bidi="ar-SA"/>
              </w:rPr>
              <w:t>2.64</w:t>
            </w: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391" w:type="pct"/>
            <w:shd w:val="clear" w:color="auto" w:fill="auto"/>
            <w:noWrap/>
            <w:vAlign w:val="center"/>
          </w:tcPr>
          <w:p w14:paraId="7DECF3E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389" w:type="pct"/>
            <w:shd w:val="clear" w:color="auto" w:fill="auto"/>
            <w:noWrap/>
            <w:vAlign w:val="center"/>
          </w:tcPr>
          <w:p w14:paraId="6C367D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0B19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08BCC1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28</w:t>
            </w:r>
          </w:p>
        </w:tc>
        <w:tc>
          <w:tcPr>
            <w:tcW w:w="615" w:type="pct"/>
            <w:shd w:val="clear" w:color="auto" w:fill="auto"/>
            <w:noWrap/>
            <w:vAlign w:val="center"/>
          </w:tcPr>
          <w:p w14:paraId="1560F3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钙离子</w:t>
            </w:r>
          </w:p>
        </w:tc>
        <w:tc>
          <w:tcPr>
            <w:tcW w:w="454" w:type="pct"/>
            <w:shd w:val="clear" w:color="auto" w:fill="auto"/>
            <w:noWrap/>
            <w:vAlign w:val="center"/>
          </w:tcPr>
          <w:p w14:paraId="4C2E7B0D">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mg/L</w:t>
            </w:r>
          </w:p>
        </w:tc>
        <w:tc>
          <w:tcPr>
            <w:tcW w:w="376" w:type="pct"/>
            <w:shd w:val="clear" w:color="auto" w:fill="auto"/>
            <w:noWrap/>
            <w:vAlign w:val="center"/>
          </w:tcPr>
          <w:p w14:paraId="42A935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394</w:t>
            </w:r>
          </w:p>
        </w:tc>
        <w:tc>
          <w:tcPr>
            <w:tcW w:w="349" w:type="pct"/>
            <w:shd w:val="clear" w:color="auto" w:fill="auto"/>
            <w:noWrap/>
            <w:vAlign w:val="center"/>
          </w:tcPr>
          <w:p w14:paraId="358E3D2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86" w:type="pct"/>
            <w:shd w:val="clear" w:color="auto" w:fill="auto"/>
            <w:noWrap/>
            <w:vAlign w:val="center"/>
          </w:tcPr>
          <w:p w14:paraId="41A85A7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395</w:t>
            </w:r>
          </w:p>
        </w:tc>
        <w:tc>
          <w:tcPr>
            <w:tcW w:w="455" w:type="pct"/>
            <w:shd w:val="clear" w:color="auto" w:fill="auto"/>
            <w:noWrap/>
            <w:vAlign w:val="center"/>
          </w:tcPr>
          <w:p w14:paraId="35E01E3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414" w:type="pct"/>
            <w:shd w:val="clear" w:color="auto" w:fill="auto"/>
            <w:noWrap/>
            <w:vAlign w:val="center"/>
          </w:tcPr>
          <w:p w14:paraId="41B4E99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141</w:t>
            </w:r>
          </w:p>
        </w:tc>
        <w:tc>
          <w:tcPr>
            <w:tcW w:w="457" w:type="pct"/>
            <w:shd w:val="clear" w:color="auto" w:fill="auto"/>
            <w:noWrap/>
            <w:vAlign w:val="center"/>
          </w:tcPr>
          <w:p w14:paraId="080EFC3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487" w:type="pct"/>
            <w:shd w:val="clear" w:color="auto" w:fill="auto"/>
            <w:noWrap/>
            <w:vAlign w:val="center"/>
          </w:tcPr>
          <w:p w14:paraId="3B1D6C3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96.0</w:t>
            </w:r>
          </w:p>
        </w:tc>
        <w:tc>
          <w:tcPr>
            <w:tcW w:w="391" w:type="pct"/>
            <w:shd w:val="clear" w:color="auto" w:fill="auto"/>
            <w:noWrap/>
            <w:vAlign w:val="center"/>
          </w:tcPr>
          <w:p w14:paraId="051299A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389" w:type="pct"/>
            <w:shd w:val="clear" w:color="auto" w:fill="auto"/>
            <w:noWrap/>
            <w:vAlign w:val="center"/>
          </w:tcPr>
          <w:p w14:paraId="005990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0D4F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 w:type="pct"/>
            <w:noWrap/>
            <w:vAlign w:val="center"/>
          </w:tcPr>
          <w:p w14:paraId="1E547A0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29</w:t>
            </w:r>
          </w:p>
        </w:tc>
        <w:tc>
          <w:tcPr>
            <w:tcW w:w="615" w:type="pct"/>
            <w:shd w:val="clear" w:color="auto" w:fill="auto"/>
            <w:noWrap/>
            <w:vAlign w:val="center"/>
          </w:tcPr>
          <w:p w14:paraId="6402FC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镁离子</w:t>
            </w:r>
          </w:p>
        </w:tc>
        <w:tc>
          <w:tcPr>
            <w:tcW w:w="454" w:type="pct"/>
            <w:shd w:val="clear" w:color="auto" w:fill="auto"/>
            <w:noWrap/>
            <w:vAlign w:val="center"/>
          </w:tcPr>
          <w:p w14:paraId="54FBC88D">
            <w:pPr>
              <w:autoSpaceDE w:val="0"/>
              <w:spacing w:line="240" w:lineRule="exact"/>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position w:val="4"/>
                <w:sz w:val="21"/>
                <w:szCs w:val="21"/>
                <w:highlight w:val="none"/>
              </w:rPr>
              <w:t>mg</w:t>
            </w:r>
            <w:r>
              <w:rPr>
                <w:rFonts w:hint="default" w:ascii="Times New Roman" w:hAnsi="Times New Roman" w:eastAsia="宋体" w:cs="Times New Roman"/>
                <w:b w:val="0"/>
                <w:bCs w:val="0"/>
                <w:color w:val="auto"/>
                <w:spacing w:val="16"/>
                <w:position w:val="4"/>
                <w:sz w:val="21"/>
                <w:szCs w:val="21"/>
                <w:highlight w:val="none"/>
              </w:rPr>
              <w:t>/</w:t>
            </w:r>
            <w:r>
              <w:rPr>
                <w:rFonts w:hint="default" w:ascii="Times New Roman" w:hAnsi="Times New Roman" w:eastAsia="宋体" w:cs="Times New Roman"/>
                <w:b w:val="0"/>
                <w:bCs w:val="0"/>
                <w:color w:val="auto"/>
                <w:position w:val="4"/>
                <w:sz w:val="21"/>
                <w:szCs w:val="21"/>
                <w:highlight w:val="none"/>
              </w:rPr>
              <w:t>L</w:t>
            </w:r>
          </w:p>
        </w:tc>
        <w:tc>
          <w:tcPr>
            <w:tcW w:w="376" w:type="pct"/>
            <w:shd w:val="clear" w:color="auto" w:fill="auto"/>
            <w:noWrap/>
            <w:vAlign w:val="center"/>
          </w:tcPr>
          <w:p w14:paraId="10278F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702</w:t>
            </w:r>
          </w:p>
        </w:tc>
        <w:tc>
          <w:tcPr>
            <w:tcW w:w="349" w:type="pct"/>
            <w:shd w:val="clear" w:color="auto" w:fill="auto"/>
            <w:noWrap/>
            <w:vAlign w:val="center"/>
          </w:tcPr>
          <w:p w14:paraId="599CECD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386" w:type="pct"/>
            <w:shd w:val="clear" w:color="auto" w:fill="auto"/>
            <w:noWrap/>
            <w:vAlign w:val="center"/>
          </w:tcPr>
          <w:p w14:paraId="58C1D4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538</w:t>
            </w:r>
          </w:p>
        </w:tc>
        <w:tc>
          <w:tcPr>
            <w:tcW w:w="455" w:type="pct"/>
            <w:shd w:val="clear" w:color="auto" w:fill="auto"/>
            <w:noWrap/>
            <w:vAlign w:val="center"/>
          </w:tcPr>
          <w:p w14:paraId="20280B4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w:t>
            </w:r>
          </w:p>
        </w:tc>
        <w:tc>
          <w:tcPr>
            <w:tcW w:w="414" w:type="pct"/>
            <w:shd w:val="clear" w:color="auto" w:fill="auto"/>
            <w:noWrap/>
            <w:vAlign w:val="center"/>
          </w:tcPr>
          <w:p w14:paraId="3DA18A9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418</w:t>
            </w:r>
          </w:p>
        </w:tc>
        <w:tc>
          <w:tcPr>
            <w:tcW w:w="457" w:type="pct"/>
            <w:shd w:val="clear" w:color="auto" w:fill="auto"/>
            <w:noWrap/>
            <w:vAlign w:val="center"/>
          </w:tcPr>
          <w:p w14:paraId="29941DF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487" w:type="pct"/>
            <w:shd w:val="clear" w:color="auto" w:fill="auto"/>
            <w:noWrap/>
            <w:vAlign w:val="center"/>
          </w:tcPr>
          <w:p w14:paraId="301238B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406</w:t>
            </w:r>
          </w:p>
        </w:tc>
        <w:tc>
          <w:tcPr>
            <w:tcW w:w="391" w:type="pct"/>
            <w:shd w:val="clear" w:color="auto" w:fill="auto"/>
            <w:noWrap/>
            <w:vAlign w:val="center"/>
          </w:tcPr>
          <w:p w14:paraId="22D7542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bidi="ar-SA"/>
              </w:rPr>
              <w:t>/</w:t>
            </w:r>
          </w:p>
        </w:tc>
        <w:tc>
          <w:tcPr>
            <w:tcW w:w="389" w:type="pct"/>
            <w:shd w:val="clear" w:color="auto" w:fill="auto"/>
            <w:noWrap/>
            <w:vAlign w:val="center"/>
          </w:tcPr>
          <w:p w14:paraId="77969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14:paraId="1F14C211">
      <w:pPr>
        <w:pStyle w:val="25"/>
        <w:jc w:val="center"/>
        <w:rPr>
          <w:rFonts w:hint="default" w:ascii="Times New Roman" w:hAnsi="Times New Roman" w:cs="Times New Roman"/>
          <w:color w:val="auto"/>
          <w:highlight w:val="none"/>
          <w:lang w:val="en-US" w:eastAsia="zh-CN"/>
        </w:rPr>
      </w:pPr>
    </w:p>
    <w:p w14:paraId="4E0A29AA">
      <w:pPr>
        <w:pStyle w:val="9"/>
        <w:jc w:val="center"/>
        <w:rPr>
          <w:rFonts w:hint="default" w:ascii="Times New Roman" w:hAnsi="Times New Roman" w:eastAsia="黑体" w:cs="Times New Roman"/>
          <w:color w:val="auto"/>
          <w:sz w:val="21"/>
          <w:szCs w:val="21"/>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2E3AF05">
      <w:pPr>
        <w:keepLines/>
        <w:pageBreakBefore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val="en-US" w:eastAsia="zh-CN"/>
        </w:rPr>
        <w:t>.2.3包气带污染现状调查与评价</w:t>
      </w:r>
    </w:p>
    <w:p w14:paraId="57843CEA">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地下水环境评价工作等级为二级，根据《环境影响评价技术导则地下水环境》（HJ610-2016），对于评价工作等级为一、二级的改、扩建项目，应开展包气带污染现状调查，分析包气带污染状况。本次对</w:t>
      </w:r>
      <w:r>
        <w:rPr>
          <w:rFonts w:hint="eastAsia" w:ascii="Times New Roman" w:hAnsi="Times New Roman" w:cs="Times New Roman"/>
          <w:color w:val="auto"/>
          <w:sz w:val="24"/>
          <w:szCs w:val="24"/>
          <w:highlight w:val="none"/>
          <w:lang w:val="en-US" w:eastAsia="zh-CN"/>
        </w:rPr>
        <w:t>TH10298</w:t>
      </w:r>
      <w:r>
        <w:rPr>
          <w:rFonts w:hint="eastAsia" w:cs="Times New Roman"/>
          <w:color w:val="auto"/>
          <w:sz w:val="24"/>
          <w:szCs w:val="24"/>
          <w:highlight w:val="none"/>
          <w:lang w:val="en-US" w:eastAsia="zh-CN"/>
        </w:rPr>
        <w:t>CH</w:t>
      </w:r>
      <w:r>
        <w:rPr>
          <w:rFonts w:hint="eastAsia" w:ascii="Times New Roman" w:hAnsi="Times New Roman" w:cs="Times New Roman"/>
          <w:color w:val="auto"/>
          <w:sz w:val="24"/>
          <w:szCs w:val="24"/>
          <w:highlight w:val="none"/>
          <w:lang w:val="en-US" w:eastAsia="zh-CN"/>
        </w:rPr>
        <w:t>井场、TK872</w:t>
      </w:r>
      <w:r>
        <w:rPr>
          <w:rFonts w:hint="eastAsia" w:cs="Times New Roman"/>
          <w:color w:val="auto"/>
          <w:sz w:val="24"/>
          <w:szCs w:val="24"/>
          <w:highlight w:val="none"/>
          <w:lang w:val="en-US" w:eastAsia="zh-CN"/>
        </w:rPr>
        <w:t>CH</w:t>
      </w:r>
      <w:r>
        <w:rPr>
          <w:rFonts w:hint="eastAsia" w:ascii="Times New Roman" w:hAnsi="Times New Roman" w:cs="Times New Roman"/>
          <w:color w:val="auto"/>
          <w:sz w:val="24"/>
          <w:szCs w:val="24"/>
          <w:highlight w:val="none"/>
          <w:lang w:val="en-US" w:eastAsia="zh-CN"/>
        </w:rPr>
        <w:t>井场</w:t>
      </w:r>
      <w:r>
        <w:rPr>
          <w:rFonts w:hint="default" w:ascii="Times New Roman" w:hAnsi="Times New Roman" w:cs="Times New Roman"/>
          <w:color w:val="auto"/>
          <w:sz w:val="24"/>
          <w:szCs w:val="24"/>
          <w:highlight w:val="none"/>
          <w:lang w:val="en-US" w:eastAsia="zh-CN"/>
        </w:rPr>
        <w:t>包气带的环境现状进行调查，以说明</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区包气带环境现状。</w:t>
      </w:r>
    </w:p>
    <w:p w14:paraId="48C8B7F0">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snapToGrid w:val="0"/>
          <w:color w:val="auto"/>
          <w:kern w:val="0"/>
          <w:sz w:val="24"/>
          <w:szCs w:val="20"/>
          <w:highlight w:val="none"/>
          <w:lang w:val="en-US" w:eastAsia="zh-CN"/>
        </w:rPr>
      </w:pPr>
      <w:r>
        <w:rPr>
          <w:rFonts w:hint="default" w:ascii="Times New Roman" w:hAnsi="Times New Roman" w:eastAsia="宋体" w:cs="Times New Roman"/>
          <w:snapToGrid w:val="0"/>
          <w:color w:val="auto"/>
          <w:kern w:val="0"/>
          <w:sz w:val="24"/>
          <w:szCs w:val="20"/>
          <w:highlight w:val="none"/>
          <w:lang w:val="en-US" w:eastAsia="zh-CN"/>
        </w:rPr>
        <w:t>（1）监测点位</w:t>
      </w:r>
    </w:p>
    <w:p w14:paraId="1D7058ED">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snapToGrid w:val="0"/>
          <w:color w:val="auto"/>
          <w:kern w:val="0"/>
          <w:sz w:val="24"/>
          <w:szCs w:val="20"/>
          <w:highlight w:val="none"/>
          <w:lang w:val="en-US" w:eastAsia="zh-CN"/>
        </w:rPr>
      </w:pPr>
      <w:r>
        <w:rPr>
          <w:rFonts w:hint="default" w:ascii="Times New Roman" w:hAnsi="Times New Roman" w:eastAsia="宋体" w:cs="Times New Roman"/>
          <w:snapToGrid w:val="0"/>
          <w:color w:val="auto"/>
          <w:kern w:val="0"/>
          <w:sz w:val="24"/>
          <w:szCs w:val="20"/>
          <w:highlight w:val="none"/>
          <w:lang w:val="en-US" w:eastAsia="zh-CN"/>
        </w:rPr>
        <w:t>监测点位信息见表4.</w:t>
      </w:r>
      <w:r>
        <w:rPr>
          <w:rFonts w:hint="eastAsia" w:ascii="Times New Roman" w:hAnsi="Times New Roman" w:eastAsia="宋体" w:cs="Times New Roman"/>
          <w:snapToGrid w:val="0"/>
          <w:color w:val="auto"/>
          <w:kern w:val="0"/>
          <w:sz w:val="24"/>
          <w:szCs w:val="20"/>
          <w:highlight w:val="none"/>
          <w:lang w:val="en-US" w:eastAsia="zh-CN"/>
        </w:rPr>
        <w:t>3</w:t>
      </w:r>
      <w:r>
        <w:rPr>
          <w:rFonts w:hint="default" w:ascii="Times New Roman" w:hAnsi="Times New Roman" w:eastAsia="宋体" w:cs="Times New Roman"/>
          <w:snapToGrid w:val="0"/>
          <w:color w:val="auto"/>
          <w:kern w:val="0"/>
          <w:sz w:val="24"/>
          <w:szCs w:val="20"/>
          <w:highlight w:val="none"/>
          <w:lang w:val="en-US" w:eastAsia="zh-CN"/>
        </w:rPr>
        <w:t>-4。</w:t>
      </w:r>
    </w:p>
    <w:p w14:paraId="20B766D0">
      <w:pPr>
        <w:shd w:val="clear" w:color="auto" w:fill="auto"/>
        <w:jc w:val="center"/>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rPr>
        <w:t>表4.</w:t>
      </w:r>
      <w:r>
        <w:rPr>
          <w:rFonts w:hint="eastAsia" w:ascii="Times New Roman" w:hAnsi="Times New Roman" w:eastAsia="黑体" w:cs="Times New Roman"/>
          <w:b w:val="0"/>
          <w:bCs/>
          <w:color w:val="auto"/>
          <w:sz w:val="21"/>
          <w:szCs w:val="21"/>
          <w:highlight w:val="none"/>
          <w:lang w:val="en-US" w:eastAsia="zh-CN"/>
        </w:rPr>
        <w:t>3</w:t>
      </w:r>
      <w:r>
        <w:rPr>
          <w:rFonts w:hint="default" w:ascii="Times New Roman" w:hAnsi="Times New Roman" w:eastAsia="黑体" w:cs="Times New Roman"/>
          <w:b w:val="0"/>
          <w:bCs/>
          <w:color w:val="auto"/>
          <w:sz w:val="21"/>
          <w:szCs w:val="21"/>
          <w:highlight w:val="none"/>
        </w:rPr>
        <w:t>-</w:t>
      </w:r>
      <w:r>
        <w:rPr>
          <w:rFonts w:hint="default" w:ascii="Times New Roman" w:hAnsi="Times New Roman" w:eastAsia="黑体" w:cs="Times New Roman"/>
          <w:b w:val="0"/>
          <w:bCs/>
          <w:color w:val="auto"/>
          <w:sz w:val="21"/>
          <w:szCs w:val="21"/>
          <w:highlight w:val="none"/>
          <w:lang w:val="en-US" w:eastAsia="zh-CN"/>
        </w:rPr>
        <w:t>4包气带环境现状调查点位</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3188"/>
        <w:gridCol w:w="1517"/>
        <w:gridCol w:w="1640"/>
      </w:tblGrid>
      <w:tr w14:paraId="7C06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177" w:type="dxa"/>
            <w:noWrap w:val="0"/>
            <w:vAlign w:val="center"/>
          </w:tcPr>
          <w:p w14:paraId="38D15853">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监测点位</w:t>
            </w:r>
          </w:p>
        </w:tc>
        <w:tc>
          <w:tcPr>
            <w:tcW w:w="3188" w:type="dxa"/>
            <w:noWrap w:val="0"/>
            <w:vAlign w:val="center"/>
          </w:tcPr>
          <w:p w14:paraId="0089C088">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eastAsia" w:ascii="Times New Roman" w:hAnsi="Times New Roman" w:eastAsia="宋体" w:cs="Times New Roman"/>
                <w:snapToGrid w:val="0"/>
                <w:color w:val="auto"/>
                <w:kern w:val="0"/>
                <w:sz w:val="21"/>
                <w:szCs w:val="21"/>
                <w:highlight w:val="none"/>
                <w:vertAlign w:val="baseline"/>
                <w:lang w:val="en-US" w:eastAsia="zh-CN"/>
              </w:rPr>
              <w:t>坐标</w:t>
            </w:r>
          </w:p>
        </w:tc>
        <w:tc>
          <w:tcPr>
            <w:tcW w:w="1517" w:type="dxa"/>
            <w:noWrap w:val="0"/>
            <w:vAlign w:val="center"/>
          </w:tcPr>
          <w:p w14:paraId="0A795D98">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采样深度</w:t>
            </w:r>
          </w:p>
        </w:tc>
        <w:tc>
          <w:tcPr>
            <w:tcW w:w="1640" w:type="dxa"/>
            <w:noWrap w:val="0"/>
            <w:vAlign w:val="center"/>
          </w:tcPr>
          <w:p w14:paraId="09414E3B">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监测项目</w:t>
            </w:r>
          </w:p>
        </w:tc>
      </w:tr>
      <w:tr w14:paraId="56CD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7" w:type="dxa"/>
            <w:noWrap w:val="0"/>
            <w:vAlign w:val="center"/>
          </w:tcPr>
          <w:p w14:paraId="417B9B93">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TH10298</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lang w:val="en-US" w:eastAsia="zh-CN"/>
              </w:rPr>
              <w:t>井场</w:t>
            </w:r>
          </w:p>
        </w:tc>
        <w:tc>
          <w:tcPr>
            <w:tcW w:w="3188" w:type="dxa"/>
            <w:noWrap w:val="0"/>
            <w:vAlign w:val="center"/>
          </w:tcPr>
          <w:p w14:paraId="7F70C443">
            <w:pPr>
              <w:pStyle w:val="6"/>
              <w:widowControl w:val="0"/>
              <w:numPr>
                <w:ilvl w:val="2"/>
                <w:numId w:val="0"/>
              </w:numPr>
              <w:ind w:left="0" w:leftChars="0" w:firstLine="0" w:firstLineChars="0"/>
              <w:rPr>
                <w:rFonts w:hint="default" w:ascii="Times New Roman" w:hAnsi="Times New Roman" w:eastAsia="宋体" w:cs="Times New Roman"/>
                <w:snapToGrid w:val="0"/>
                <w:color w:val="auto"/>
                <w:kern w:val="0"/>
                <w:sz w:val="21"/>
                <w:szCs w:val="21"/>
                <w:highlight w:val="none"/>
                <w:vertAlign w:val="baseline"/>
                <w:lang w:val="en-US" w:eastAsia="zh-CN"/>
              </w:rPr>
            </w:pPr>
          </w:p>
        </w:tc>
        <w:tc>
          <w:tcPr>
            <w:tcW w:w="1517" w:type="dxa"/>
            <w:noWrap w:val="0"/>
            <w:vAlign w:val="center"/>
          </w:tcPr>
          <w:p w14:paraId="24162F00">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0~0.2m</w:t>
            </w:r>
          </w:p>
        </w:tc>
        <w:tc>
          <w:tcPr>
            <w:tcW w:w="1640" w:type="dxa"/>
            <w:noWrap w:val="0"/>
            <w:vAlign w:val="center"/>
          </w:tcPr>
          <w:p w14:paraId="20080F6F">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石油类</w:t>
            </w:r>
          </w:p>
        </w:tc>
      </w:tr>
      <w:tr w14:paraId="186E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7" w:type="dxa"/>
            <w:noWrap w:val="0"/>
            <w:vAlign w:val="center"/>
          </w:tcPr>
          <w:p w14:paraId="25BA7338">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TK87</w:t>
            </w:r>
            <w:r>
              <w:rPr>
                <w:rFonts w:hint="eastAsia" w:cs="Times New Roman"/>
                <w:color w:val="auto"/>
                <w:sz w:val="21"/>
                <w:szCs w:val="21"/>
                <w:highlight w:val="none"/>
                <w:lang w:val="en-US" w:eastAsia="zh-CN"/>
              </w:rPr>
              <w:t>2CH</w:t>
            </w:r>
            <w:r>
              <w:rPr>
                <w:rFonts w:hint="default" w:ascii="Times New Roman" w:hAnsi="Times New Roman" w:cs="Times New Roman"/>
                <w:color w:val="auto"/>
                <w:sz w:val="21"/>
                <w:szCs w:val="21"/>
                <w:highlight w:val="none"/>
                <w:lang w:val="en-US" w:eastAsia="zh-CN"/>
              </w:rPr>
              <w:t>井场</w:t>
            </w:r>
          </w:p>
        </w:tc>
        <w:tc>
          <w:tcPr>
            <w:tcW w:w="3188" w:type="dxa"/>
            <w:noWrap w:val="0"/>
            <w:vAlign w:val="center"/>
          </w:tcPr>
          <w:p w14:paraId="034AB81A">
            <w:pPr>
              <w:pStyle w:val="6"/>
              <w:widowControl w:val="0"/>
              <w:numPr>
                <w:ilvl w:val="2"/>
                <w:numId w:val="0"/>
              </w:numPr>
              <w:ind w:left="0" w:leftChars="0" w:firstLine="0" w:firstLineChars="0"/>
              <w:rPr>
                <w:rFonts w:hint="eastAsia" w:ascii="Times New Roman" w:hAnsi="Times New Roman" w:eastAsia="宋体" w:cs="Times New Roman"/>
                <w:snapToGrid w:val="0"/>
                <w:color w:val="auto"/>
                <w:kern w:val="0"/>
                <w:sz w:val="21"/>
                <w:szCs w:val="21"/>
                <w:highlight w:val="none"/>
                <w:vertAlign w:val="baseline"/>
                <w:lang w:val="en-US" w:eastAsia="zh-CN"/>
              </w:rPr>
            </w:pPr>
          </w:p>
        </w:tc>
        <w:tc>
          <w:tcPr>
            <w:tcW w:w="1517" w:type="dxa"/>
            <w:shd w:val="clear" w:color="auto" w:fill="auto"/>
            <w:noWrap w:val="0"/>
            <w:vAlign w:val="center"/>
          </w:tcPr>
          <w:p w14:paraId="78E0300A">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0~0.2m</w:t>
            </w:r>
          </w:p>
        </w:tc>
        <w:tc>
          <w:tcPr>
            <w:tcW w:w="1640" w:type="dxa"/>
            <w:shd w:val="clear" w:color="auto" w:fill="auto"/>
            <w:noWrap w:val="0"/>
            <w:vAlign w:val="center"/>
          </w:tcPr>
          <w:p w14:paraId="470C2745">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0"/>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石油类</w:t>
            </w:r>
          </w:p>
        </w:tc>
      </w:tr>
    </w:tbl>
    <w:p w14:paraId="293CD0E5">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snapToGrid w:val="0"/>
          <w:color w:val="auto"/>
          <w:kern w:val="0"/>
          <w:sz w:val="24"/>
          <w:szCs w:val="20"/>
          <w:highlight w:val="none"/>
          <w:lang w:val="en-US" w:eastAsia="zh-CN"/>
        </w:rPr>
      </w:pPr>
      <w:r>
        <w:rPr>
          <w:rFonts w:hint="default" w:ascii="Times New Roman" w:hAnsi="Times New Roman" w:eastAsia="宋体" w:cs="Times New Roman"/>
          <w:snapToGrid w:val="0"/>
          <w:color w:val="auto"/>
          <w:kern w:val="0"/>
          <w:sz w:val="24"/>
          <w:szCs w:val="20"/>
          <w:highlight w:val="none"/>
          <w:lang w:val="en-US" w:eastAsia="zh-CN"/>
        </w:rPr>
        <w:t>（2）监测方法</w:t>
      </w:r>
    </w:p>
    <w:p w14:paraId="5264C72D">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snapToGrid w:val="0"/>
          <w:color w:val="auto"/>
          <w:kern w:val="0"/>
          <w:sz w:val="24"/>
          <w:szCs w:val="20"/>
          <w:highlight w:val="none"/>
          <w:lang w:val="en-US" w:eastAsia="zh-CN"/>
        </w:rPr>
      </w:pPr>
      <w:r>
        <w:rPr>
          <w:rFonts w:hint="default" w:ascii="Times New Roman" w:hAnsi="Times New Roman" w:eastAsia="宋体" w:cs="Times New Roman"/>
          <w:snapToGrid w:val="0"/>
          <w:color w:val="auto"/>
          <w:kern w:val="0"/>
          <w:sz w:val="24"/>
          <w:szCs w:val="20"/>
          <w:highlight w:val="none"/>
          <w:lang w:val="en-US" w:eastAsia="zh-CN"/>
        </w:rPr>
        <w:t>包气带浸溶液</w:t>
      </w:r>
      <w:r>
        <w:rPr>
          <w:rFonts w:hint="eastAsia" w:cs="Times New Roman"/>
          <w:snapToGrid w:val="0"/>
          <w:color w:val="auto"/>
          <w:kern w:val="0"/>
          <w:sz w:val="24"/>
          <w:szCs w:val="20"/>
          <w:highlight w:val="none"/>
          <w:lang w:val="en-US" w:eastAsia="zh-CN"/>
        </w:rPr>
        <w:t>检测方法</w:t>
      </w:r>
      <w:r>
        <w:rPr>
          <w:rFonts w:hint="default" w:ascii="Times New Roman" w:hAnsi="Times New Roman" w:eastAsia="宋体" w:cs="Times New Roman"/>
          <w:snapToGrid w:val="0"/>
          <w:color w:val="auto"/>
          <w:kern w:val="0"/>
          <w:sz w:val="24"/>
          <w:szCs w:val="20"/>
          <w:highlight w:val="none"/>
          <w:lang w:val="en-US" w:eastAsia="zh-CN"/>
        </w:rPr>
        <w:t>参照地下水</w:t>
      </w:r>
      <w:r>
        <w:rPr>
          <w:rFonts w:hint="eastAsia" w:cs="Times New Roman"/>
          <w:snapToGrid w:val="0"/>
          <w:color w:val="auto"/>
          <w:kern w:val="0"/>
          <w:sz w:val="24"/>
          <w:szCs w:val="20"/>
          <w:highlight w:val="none"/>
          <w:lang w:val="en-US" w:eastAsia="zh-CN"/>
        </w:rPr>
        <w:t>水质检测</w:t>
      </w:r>
      <w:r>
        <w:rPr>
          <w:rFonts w:hint="default" w:ascii="Times New Roman" w:hAnsi="Times New Roman" w:eastAsia="宋体" w:cs="Times New Roman"/>
          <w:snapToGrid w:val="0"/>
          <w:color w:val="auto"/>
          <w:kern w:val="0"/>
          <w:sz w:val="24"/>
          <w:szCs w:val="20"/>
          <w:highlight w:val="none"/>
          <w:lang w:val="en-US" w:eastAsia="zh-CN"/>
        </w:rPr>
        <w:t>分析方法进行。</w:t>
      </w:r>
    </w:p>
    <w:p w14:paraId="0FB37A50">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snapToGrid w:val="0"/>
          <w:color w:val="auto"/>
          <w:kern w:val="0"/>
          <w:sz w:val="24"/>
          <w:szCs w:val="20"/>
          <w:highlight w:val="none"/>
          <w:lang w:val="en-US" w:eastAsia="zh-CN"/>
        </w:rPr>
      </w:pPr>
      <w:r>
        <w:rPr>
          <w:rFonts w:hint="default" w:ascii="Times New Roman" w:hAnsi="Times New Roman" w:eastAsia="宋体" w:cs="Times New Roman"/>
          <w:snapToGrid w:val="0"/>
          <w:color w:val="auto"/>
          <w:kern w:val="0"/>
          <w:sz w:val="24"/>
          <w:szCs w:val="20"/>
          <w:highlight w:val="none"/>
          <w:lang w:val="en-US" w:eastAsia="zh-CN"/>
        </w:rPr>
        <w:t>（3）监测结果</w:t>
      </w:r>
    </w:p>
    <w:p w14:paraId="029FEB53">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黑体" w:cs="Times New Roman"/>
          <w:b/>
          <w:color w:val="auto"/>
          <w:highlight w:val="none"/>
        </w:rPr>
      </w:pPr>
      <w:r>
        <w:rPr>
          <w:rFonts w:hint="default" w:ascii="Times New Roman" w:hAnsi="Times New Roman" w:eastAsia="宋体" w:cs="Times New Roman"/>
          <w:snapToGrid w:val="0"/>
          <w:color w:val="auto"/>
          <w:kern w:val="0"/>
          <w:sz w:val="24"/>
          <w:szCs w:val="20"/>
          <w:highlight w:val="none"/>
          <w:lang w:val="en-US" w:eastAsia="zh-CN"/>
        </w:rPr>
        <w:t>监测结果见表4.4-5。</w:t>
      </w:r>
    </w:p>
    <w:p w14:paraId="16650DCF">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color w:val="auto"/>
          <w:highlight w:val="none"/>
          <w:lang w:val="en-US" w:eastAsia="zh-CN"/>
        </w:rPr>
      </w:pPr>
      <w:r>
        <w:rPr>
          <w:rFonts w:hint="default" w:ascii="Times New Roman" w:hAnsi="Times New Roman" w:eastAsia="黑体" w:cs="Times New Roman"/>
          <w:b w:val="0"/>
          <w:bCs/>
          <w:color w:val="auto"/>
          <w:highlight w:val="none"/>
        </w:rPr>
        <w:t>表4.</w:t>
      </w:r>
      <w:r>
        <w:rPr>
          <w:rFonts w:hint="default" w:ascii="Times New Roman" w:hAnsi="Times New Roman" w:eastAsia="黑体" w:cs="Times New Roman"/>
          <w:b w:val="0"/>
          <w:bCs/>
          <w:color w:val="auto"/>
          <w:highlight w:val="none"/>
          <w:lang w:val="en-US" w:eastAsia="zh-CN"/>
        </w:rPr>
        <w:t>4</w:t>
      </w:r>
      <w:r>
        <w:rPr>
          <w:rFonts w:hint="default" w:ascii="Times New Roman" w:hAnsi="Times New Roman" w:eastAsia="黑体" w:cs="Times New Roman"/>
          <w:b w:val="0"/>
          <w:bCs/>
          <w:color w:val="auto"/>
          <w:highlight w:val="none"/>
        </w:rPr>
        <w:t>-</w:t>
      </w:r>
      <w:r>
        <w:rPr>
          <w:rFonts w:hint="default" w:ascii="Times New Roman" w:hAnsi="Times New Roman" w:eastAsia="黑体" w:cs="Times New Roman"/>
          <w:b w:val="0"/>
          <w:bCs/>
          <w:color w:val="auto"/>
          <w:highlight w:val="none"/>
          <w:lang w:val="en-US" w:eastAsia="zh-CN"/>
        </w:rPr>
        <w:t>5包气带污染源监测点现状监测结果</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70"/>
        <w:gridCol w:w="1270"/>
        <w:gridCol w:w="1085"/>
        <w:gridCol w:w="1023"/>
        <w:gridCol w:w="1023"/>
        <w:gridCol w:w="1737"/>
        <w:gridCol w:w="1754"/>
      </w:tblGrid>
      <w:tr w14:paraId="64C5E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81" w:type="pct"/>
            <w:noWrap w:val="0"/>
            <w:vAlign w:val="center"/>
          </w:tcPr>
          <w:p w14:paraId="161FB329">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序号</w:t>
            </w:r>
          </w:p>
        </w:tc>
        <w:tc>
          <w:tcPr>
            <w:tcW w:w="759" w:type="pct"/>
            <w:noWrap w:val="0"/>
            <w:vAlign w:val="center"/>
          </w:tcPr>
          <w:p w14:paraId="5DE3F41A">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监测点名称</w:t>
            </w:r>
          </w:p>
        </w:tc>
        <w:tc>
          <w:tcPr>
            <w:tcW w:w="648" w:type="pct"/>
            <w:noWrap w:val="0"/>
            <w:vAlign w:val="center"/>
          </w:tcPr>
          <w:p w14:paraId="44923EB8">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采样位置</w:t>
            </w:r>
          </w:p>
        </w:tc>
        <w:tc>
          <w:tcPr>
            <w:tcW w:w="611" w:type="pct"/>
            <w:noWrap w:val="0"/>
            <w:vAlign w:val="center"/>
          </w:tcPr>
          <w:p w14:paraId="2EAE1268">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采样深度</w:t>
            </w:r>
          </w:p>
        </w:tc>
        <w:tc>
          <w:tcPr>
            <w:tcW w:w="611" w:type="pct"/>
            <w:noWrap w:val="0"/>
            <w:vAlign w:val="center"/>
          </w:tcPr>
          <w:p w14:paraId="51551BD7">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采样重量</w:t>
            </w:r>
          </w:p>
        </w:tc>
        <w:tc>
          <w:tcPr>
            <w:tcW w:w="1038" w:type="pct"/>
            <w:noWrap w:val="0"/>
            <w:vAlign w:val="center"/>
          </w:tcPr>
          <w:p w14:paraId="3A917A99">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监测因子</w:t>
            </w:r>
          </w:p>
        </w:tc>
        <w:tc>
          <w:tcPr>
            <w:tcW w:w="1048" w:type="pct"/>
            <w:noWrap w:val="0"/>
            <w:vAlign w:val="center"/>
          </w:tcPr>
          <w:p w14:paraId="59E0028F">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监测值</w:t>
            </w:r>
          </w:p>
        </w:tc>
      </w:tr>
      <w:tr w14:paraId="0D340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47" w:hRule="atLeast"/>
          <w:jc w:val="center"/>
        </w:trPr>
        <w:tc>
          <w:tcPr>
            <w:tcW w:w="281" w:type="pct"/>
            <w:noWrap w:val="0"/>
            <w:vAlign w:val="center"/>
          </w:tcPr>
          <w:p w14:paraId="3EA972A5">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1</w:t>
            </w:r>
          </w:p>
        </w:tc>
        <w:tc>
          <w:tcPr>
            <w:tcW w:w="759" w:type="pct"/>
            <w:noWrap w:val="0"/>
            <w:vAlign w:val="center"/>
          </w:tcPr>
          <w:p w14:paraId="203EF798">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hAnsi="宋体" w:cs="宋体"/>
                <w:color w:val="auto"/>
                <w:spacing w:val="-10"/>
                <w:sz w:val="23"/>
                <w:szCs w:val="23"/>
                <w:highlight w:val="none"/>
                <w:lang w:val="en-US"/>
              </w:rPr>
            </w:pPr>
            <w:r>
              <w:rPr>
                <w:rFonts w:hint="default" w:ascii="Times New Roman" w:hAnsi="Times New Roman" w:cs="Times New Roman"/>
                <w:color w:val="auto"/>
                <w:sz w:val="21"/>
                <w:szCs w:val="21"/>
                <w:highlight w:val="none"/>
                <w:lang w:val="en-US" w:eastAsia="zh-CN"/>
              </w:rPr>
              <w:t>TH10298</w:t>
            </w:r>
            <w:r>
              <w:rPr>
                <w:rFonts w:hint="eastAsia" w:ascii="Times New Roman" w:hAnsi="Times New Roman" w:cs="Times New Roman"/>
                <w:color w:val="auto"/>
                <w:sz w:val="21"/>
                <w:szCs w:val="21"/>
                <w:highlight w:val="none"/>
                <w:lang w:val="en-US" w:eastAsia="zh-CN"/>
              </w:rPr>
              <w:t>CH</w:t>
            </w:r>
            <w:r>
              <w:rPr>
                <w:rFonts w:hint="default" w:ascii="Times New Roman" w:hAnsi="Times New Roman" w:cs="Times New Roman"/>
                <w:color w:val="auto"/>
                <w:sz w:val="21"/>
                <w:szCs w:val="21"/>
                <w:highlight w:val="none"/>
                <w:lang w:val="en-US" w:eastAsia="zh-CN"/>
              </w:rPr>
              <w:t>井场</w:t>
            </w:r>
            <w:r>
              <w:rPr>
                <w:rFonts w:hint="eastAsia" w:ascii="Times New Roman" w:hAnsi="Times New Roman" w:cs="Times New Roman"/>
                <w:color w:val="auto"/>
                <w:sz w:val="21"/>
                <w:szCs w:val="21"/>
                <w:highlight w:val="none"/>
                <w:lang w:val="en-US" w:eastAsia="zh-CN"/>
              </w:rPr>
              <w:t>空地</w:t>
            </w:r>
          </w:p>
        </w:tc>
        <w:tc>
          <w:tcPr>
            <w:tcW w:w="648" w:type="pct"/>
            <w:noWrap w:val="0"/>
            <w:vAlign w:val="center"/>
          </w:tcPr>
          <w:p w14:paraId="6231AC01">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土壤裸露处</w:t>
            </w:r>
          </w:p>
        </w:tc>
        <w:tc>
          <w:tcPr>
            <w:tcW w:w="611" w:type="pct"/>
            <w:noWrap w:val="0"/>
            <w:vAlign w:val="center"/>
          </w:tcPr>
          <w:p w14:paraId="6491E7A5">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0.2m</w:t>
            </w:r>
          </w:p>
        </w:tc>
        <w:tc>
          <w:tcPr>
            <w:tcW w:w="611" w:type="pct"/>
            <w:noWrap w:val="0"/>
            <w:vAlign w:val="center"/>
          </w:tcPr>
          <w:p w14:paraId="65012AF8">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＞500g</w:t>
            </w:r>
          </w:p>
        </w:tc>
        <w:tc>
          <w:tcPr>
            <w:tcW w:w="1038" w:type="pct"/>
            <w:noWrap w:val="0"/>
            <w:vAlign w:val="center"/>
          </w:tcPr>
          <w:p w14:paraId="0A130D50">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石油类</w:t>
            </w:r>
          </w:p>
        </w:tc>
        <w:tc>
          <w:tcPr>
            <w:tcW w:w="1048" w:type="pct"/>
            <w:noWrap w:val="0"/>
            <w:vAlign w:val="center"/>
          </w:tcPr>
          <w:p w14:paraId="5498FD8A">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未检出</w:t>
            </w:r>
          </w:p>
        </w:tc>
      </w:tr>
      <w:tr w14:paraId="7CCD8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47" w:hRule="atLeast"/>
          <w:jc w:val="center"/>
        </w:trPr>
        <w:tc>
          <w:tcPr>
            <w:tcW w:w="281" w:type="pct"/>
            <w:noWrap w:val="0"/>
            <w:vAlign w:val="center"/>
          </w:tcPr>
          <w:p w14:paraId="6B55F74B">
            <w:pPr>
              <w:spacing w:line="0" w:lineRule="atLeast"/>
              <w:jc w:val="center"/>
              <w:rPr>
                <w:rFonts w:hint="eastAsia" w:hAnsi="宋体" w:eastAsia="宋体" w:cs="宋体"/>
                <w:color w:val="auto"/>
                <w:spacing w:val="-10"/>
                <w:sz w:val="23"/>
                <w:szCs w:val="23"/>
                <w:highlight w:val="none"/>
                <w:lang w:val="en-US" w:eastAsia="zh-CN"/>
              </w:rPr>
            </w:pPr>
            <w:r>
              <w:rPr>
                <w:rFonts w:hint="eastAsia" w:hAnsi="宋体" w:cs="宋体"/>
                <w:color w:val="auto"/>
                <w:spacing w:val="-10"/>
                <w:sz w:val="23"/>
                <w:szCs w:val="23"/>
                <w:highlight w:val="none"/>
                <w:lang w:val="en-US" w:eastAsia="zh-CN"/>
              </w:rPr>
              <w:t>2</w:t>
            </w:r>
          </w:p>
        </w:tc>
        <w:tc>
          <w:tcPr>
            <w:tcW w:w="759" w:type="pct"/>
            <w:noWrap w:val="0"/>
            <w:vAlign w:val="center"/>
          </w:tcPr>
          <w:p w14:paraId="16DC3CAF">
            <w:pPr>
              <w:pStyle w:val="63"/>
              <w:keepNext w:val="0"/>
              <w:keepLines w:val="0"/>
              <w:pageBreakBefore w:val="0"/>
              <w:widowControl/>
              <w:shd w:val="clear" w:color="auto" w:fill="auto"/>
              <w:kinsoku/>
              <w:wordWrap/>
              <w:overflowPunct/>
              <w:topLinePunct w:val="0"/>
              <w:autoSpaceDE/>
              <w:autoSpaceDN/>
              <w:bidi w:val="0"/>
              <w:adjustRightInd/>
              <w:snapToGrid/>
              <w:spacing w:after="0" w:line="240" w:lineRule="auto"/>
              <w:ind w:firstLine="0" w:firstLineChars="0"/>
              <w:jc w:val="center"/>
              <w:textAlignment w:val="auto"/>
              <w:rPr>
                <w:rFonts w:hint="default" w:hAnsi="宋体" w:cs="宋体"/>
                <w:color w:val="auto"/>
                <w:spacing w:val="-10"/>
                <w:sz w:val="23"/>
                <w:szCs w:val="23"/>
                <w:highlight w:val="none"/>
                <w:lang w:val="en-US"/>
              </w:rPr>
            </w:pPr>
            <w:r>
              <w:rPr>
                <w:rFonts w:hint="default" w:ascii="Times New Roman" w:hAnsi="Times New Roman" w:cs="Times New Roman"/>
                <w:color w:val="auto"/>
                <w:sz w:val="21"/>
                <w:szCs w:val="21"/>
                <w:highlight w:val="none"/>
                <w:lang w:val="en-US" w:eastAsia="zh-CN"/>
              </w:rPr>
              <w:t>TK872</w:t>
            </w:r>
            <w:r>
              <w:rPr>
                <w:rFonts w:hint="eastAsia" w:ascii="Times New Roman" w:hAnsi="Times New Roman" w:cs="Times New Roman"/>
                <w:color w:val="auto"/>
                <w:sz w:val="21"/>
                <w:szCs w:val="21"/>
                <w:highlight w:val="none"/>
                <w:lang w:val="en-US" w:eastAsia="zh-CN"/>
              </w:rPr>
              <w:t>CH</w:t>
            </w:r>
            <w:r>
              <w:rPr>
                <w:rFonts w:hint="default" w:ascii="Times New Roman" w:hAnsi="Times New Roman" w:cs="Times New Roman"/>
                <w:color w:val="auto"/>
                <w:sz w:val="21"/>
                <w:szCs w:val="21"/>
                <w:highlight w:val="none"/>
                <w:lang w:val="en-US" w:eastAsia="zh-CN"/>
              </w:rPr>
              <w:t>井场</w:t>
            </w:r>
            <w:r>
              <w:rPr>
                <w:rFonts w:hint="eastAsia" w:ascii="Times New Roman" w:hAnsi="Times New Roman" w:cs="Times New Roman"/>
                <w:color w:val="auto"/>
                <w:sz w:val="21"/>
                <w:szCs w:val="21"/>
                <w:highlight w:val="none"/>
                <w:lang w:val="en-US" w:eastAsia="zh-CN"/>
              </w:rPr>
              <w:t>空地</w:t>
            </w:r>
          </w:p>
        </w:tc>
        <w:tc>
          <w:tcPr>
            <w:tcW w:w="648" w:type="pct"/>
            <w:noWrap w:val="0"/>
            <w:vAlign w:val="center"/>
          </w:tcPr>
          <w:p w14:paraId="36A2B253">
            <w:pPr>
              <w:spacing w:line="0" w:lineRule="atLeast"/>
              <w:jc w:val="center"/>
              <w:rPr>
                <w:rFonts w:hint="eastAsia" w:hAnsi="宋体" w:cs="宋体"/>
                <w:color w:val="auto"/>
                <w:spacing w:val="-10"/>
                <w:sz w:val="23"/>
                <w:szCs w:val="23"/>
                <w:highlight w:val="none"/>
              </w:rPr>
            </w:pPr>
            <w:r>
              <w:rPr>
                <w:rFonts w:hint="eastAsia" w:hAnsi="宋体" w:cs="宋体"/>
                <w:color w:val="auto"/>
                <w:spacing w:val="-10"/>
                <w:sz w:val="23"/>
                <w:szCs w:val="23"/>
                <w:highlight w:val="none"/>
              </w:rPr>
              <w:t>土壤裸露处</w:t>
            </w:r>
          </w:p>
        </w:tc>
        <w:tc>
          <w:tcPr>
            <w:tcW w:w="611" w:type="pct"/>
            <w:shd w:val="clear" w:color="auto" w:fill="auto"/>
            <w:noWrap w:val="0"/>
            <w:vAlign w:val="center"/>
          </w:tcPr>
          <w:p w14:paraId="6E0B89C7">
            <w:pPr>
              <w:spacing w:line="0" w:lineRule="atLeast"/>
              <w:jc w:val="center"/>
              <w:rPr>
                <w:rFonts w:hint="eastAsia" w:ascii="Times New Roman" w:hAnsi="宋体" w:eastAsia="宋体" w:cs="宋体"/>
                <w:color w:val="auto"/>
                <w:spacing w:val="-10"/>
                <w:sz w:val="23"/>
                <w:szCs w:val="23"/>
                <w:highlight w:val="none"/>
                <w:lang w:val="en-US" w:eastAsia="zh-CN" w:bidi="ar-SA"/>
              </w:rPr>
            </w:pPr>
            <w:r>
              <w:rPr>
                <w:rFonts w:hint="eastAsia" w:hAnsi="宋体" w:cs="宋体"/>
                <w:color w:val="auto"/>
                <w:spacing w:val="-10"/>
                <w:sz w:val="23"/>
                <w:szCs w:val="23"/>
                <w:highlight w:val="none"/>
              </w:rPr>
              <w:t>0.2m</w:t>
            </w:r>
          </w:p>
        </w:tc>
        <w:tc>
          <w:tcPr>
            <w:tcW w:w="611" w:type="pct"/>
            <w:shd w:val="clear" w:color="auto" w:fill="auto"/>
            <w:noWrap w:val="0"/>
            <w:vAlign w:val="center"/>
          </w:tcPr>
          <w:p w14:paraId="76DC9588">
            <w:pPr>
              <w:spacing w:line="0" w:lineRule="atLeast"/>
              <w:jc w:val="center"/>
              <w:rPr>
                <w:rFonts w:hint="eastAsia" w:ascii="Times New Roman" w:hAnsi="宋体" w:eastAsia="宋体" w:cs="宋体"/>
                <w:color w:val="auto"/>
                <w:spacing w:val="-10"/>
                <w:sz w:val="23"/>
                <w:szCs w:val="23"/>
                <w:highlight w:val="none"/>
                <w:lang w:val="en-US" w:eastAsia="zh-CN" w:bidi="ar-SA"/>
              </w:rPr>
            </w:pPr>
            <w:r>
              <w:rPr>
                <w:rFonts w:hint="eastAsia" w:hAnsi="宋体" w:cs="宋体"/>
                <w:color w:val="auto"/>
                <w:spacing w:val="-10"/>
                <w:sz w:val="23"/>
                <w:szCs w:val="23"/>
                <w:highlight w:val="none"/>
              </w:rPr>
              <w:t>＞500g</w:t>
            </w:r>
          </w:p>
        </w:tc>
        <w:tc>
          <w:tcPr>
            <w:tcW w:w="1038" w:type="pct"/>
            <w:shd w:val="clear" w:color="auto" w:fill="auto"/>
            <w:noWrap w:val="0"/>
            <w:vAlign w:val="center"/>
          </w:tcPr>
          <w:p w14:paraId="6A61151D">
            <w:pPr>
              <w:spacing w:line="0" w:lineRule="atLeast"/>
              <w:jc w:val="center"/>
              <w:rPr>
                <w:rFonts w:hint="eastAsia" w:ascii="Times New Roman" w:hAnsi="宋体" w:eastAsia="宋体" w:cs="宋体"/>
                <w:color w:val="auto"/>
                <w:spacing w:val="-10"/>
                <w:sz w:val="23"/>
                <w:szCs w:val="23"/>
                <w:highlight w:val="none"/>
                <w:lang w:val="en-US" w:eastAsia="zh-CN" w:bidi="ar-SA"/>
              </w:rPr>
            </w:pPr>
            <w:r>
              <w:rPr>
                <w:rFonts w:hint="eastAsia" w:hAnsi="宋体" w:cs="宋体"/>
                <w:color w:val="auto"/>
                <w:spacing w:val="-10"/>
                <w:sz w:val="23"/>
                <w:szCs w:val="23"/>
                <w:highlight w:val="none"/>
              </w:rPr>
              <w:t>石油类</w:t>
            </w:r>
          </w:p>
        </w:tc>
        <w:tc>
          <w:tcPr>
            <w:tcW w:w="1048" w:type="pct"/>
            <w:shd w:val="clear" w:color="auto" w:fill="auto"/>
            <w:noWrap w:val="0"/>
            <w:vAlign w:val="center"/>
          </w:tcPr>
          <w:p w14:paraId="1745B5B9">
            <w:pPr>
              <w:spacing w:line="0" w:lineRule="atLeast"/>
              <w:jc w:val="center"/>
              <w:rPr>
                <w:rFonts w:hint="eastAsia" w:ascii="Times New Roman" w:hAnsi="宋体" w:eastAsia="宋体" w:cs="宋体"/>
                <w:color w:val="auto"/>
                <w:spacing w:val="-10"/>
                <w:sz w:val="23"/>
                <w:szCs w:val="23"/>
                <w:highlight w:val="none"/>
                <w:lang w:val="en-US" w:eastAsia="zh-CN" w:bidi="ar-SA"/>
              </w:rPr>
            </w:pPr>
            <w:r>
              <w:rPr>
                <w:rFonts w:hint="eastAsia" w:hAnsi="宋体" w:cs="宋体"/>
                <w:color w:val="auto"/>
                <w:spacing w:val="-10"/>
                <w:sz w:val="23"/>
                <w:szCs w:val="23"/>
                <w:highlight w:val="none"/>
              </w:rPr>
              <w:t>未检出</w:t>
            </w:r>
          </w:p>
        </w:tc>
      </w:tr>
    </w:tbl>
    <w:p w14:paraId="072242EC">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color w:val="auto"/>
          <w:highlight w:val="none"/>
          <w:lang w:val="en-US" w:eastAsia="zh-CN"/>
        </w:rPr>
      </w:pPr>
    </w:p>
    <w:p w14:paraId="68466D86">
      <w:pPr>
        <w:pStyle w:val="5"/>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408" w:name="_Toc5656"/>
      <w:bookmarkStart w:id="409" w:name="_Toc21079"/>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土壤环境现状调查与评价</w:t>
      </w:r>
      <w:bookmarkEnd w:id="387"/>
      <w:bookmarkEnd w:id="388"/>
      <w:bookmarkEnd w:id="408"/>
      <w:bookmarkEnd w:id="409"/>
    </w:p>
    <w:p w14:paraId="2115A264">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410" w:name="_Toc17428"/>
      <w:bookmarkStart w:id="411" w:name="_Toc20324"/>
      <w:bookmarkStart w:id="412" w:name="_Toc19650"/>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.1土壤类型及分布</w:t>
      </w:r>
      <w:bookmarkEnd w:id="410"/>
      <w:bookmarkEnd w:id="411"/>
      <w:bookmarkEnd w:id="412"/>
    </w:p>
    <w:p w14:paraId="48300A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根据遥感影像图、土壤类型图、《新疆土壤》及现场踏勘结果，项目区土壤类型主要以</w:t>
      </w:r>
      <w:r>
        <w:rPr>
          <w:rFonts w:hint="eastAsia" w:cs="Times New Roman"/>
          <w:color w:val="auto"/>
          <w:highlight w:val="none"/>
          <w:lang w:val="en-US" w:eastAsia="zh-CN"/>
        </w:rPr>
        <w:t>草甸土和</w:t>
      </w:r>
      <w:r>
        <w:rPr>
          <w:rFonts w:hint="default" w:ascii="Times New Roman" w:hAnsi="Times New Roman" w:eastAsia="宋体" w:cs="Times New Roman"/>
          <w:color w:val="auto"/>
          <w:highlight w:val="none"/>
          <w:lang w:val="en-US" w:eastAsia="zh-CN"/>
        </w:rPr>
        <w:t>风沙土</w:t>
      </w:r>
      <w:r>
        <w:rPr>
          <w:rFonts w:hint="default" w:ascii="Times New Roman" w:hAnsi="Times New Roman" w:eastAsia="宋体" w:cs="Times New Roman"/>
          <w:color w:val="auto"/>
          <w:highlight w:val="none"/>
        </w:rPr>
        <w:t>为主。评价区土壤类型见图4.</w:t>
      </w:r>
      <w:r>
        <w:rPr>
          <w:rFonts w:hint="default" w:ascii="Times New Roman" w:hAnsi="Times New Roman" w:eastAsia="宋体" w:cs="Times New Roman"/>
          <w:color w:val="auto"/>
          <w:highlight w:val="none"/>
          <w:lang w:val="en-US" w:eastAsia="zh-CN"/>
        </w:rPr>
        <w:t>4-1。</w:t>
      </w:r>
    </w:p>
    <w:p w14:paraId="63F9E9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）草甸土</w:t>
      </w:r>
    </w:p>
    <w:p w14:paraId="5CA4027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草甸土主要分布在项目区东部及南部，主要是盐化草甸土亚类。盐化草甸土是由地下水直接参与，在其上发育草甸植被并产生一定生物积累过程的半水成土壤。地下水埋深一般在1～3m，矿化度1～3g/l，土壤受地下水浸润。草甸植被发育良好，但类型简单，多见芨芨草和芦苇。盐化草甸土盐分表聚性强，常有0.5～1.0cm的盐结皮。</w:t>
      </w:r>
    </w:p>
    <w:p w14:paraId="65329B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）风沙土</w:t>
      </w:r>
    </w:p>
    <w:p w14:paraId="3D02F10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风沙土零星分布在项目区内，主要为管线临时占地区域，风沙土是在风成沙性母质上发育而成，质地较粗，物理性粘粒很少。因风蚀和风积作用的交替进行，加之植被稀疏，生物作用微弱，有机物质累积很少，成土过程十分微弱，剖面层次分化不明显。地表植被以柽柳为主，植被盖度10~20％。</w:t>
      </w:r>
    </w:p>
    <w:p w14:paraId="0BFF40BE">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413" w:name="_Toc14591"/>
      <w:bookmarkStart w:id="414" w:name="_Toc775"/>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.2土壤理化特性调查</w:t>
      </w:r>
      <w:bookmarkEnd w:id="413"/>
      <w:bookmarkEnd w:id="414"/>
    </w:p>
    <w:p w14:paraId="2FC8EAF4">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10"/>
          <w:sz w:val="24"/>
          <w:szCs w:val="24"/>
          <w:highlight w:val="none"/>
          <w:lang w:val="en-US" w:eastAsia="zh-CN" w:bidi="ar-SA"/>
        </w:rPr>
      </w:pPr>
      <w:r>
        <w:rPr>
          <w:rFonts w:hint="default" w:ascii="Times New Roman" w:hAnsi="Times New Roman" w:cs="Times New Roman"/>
          <w:color w:val="auto"/>
          <w:kern w:val="10"/>
          <w:sz w:val="24"/>
          <w:szCs w:val="24"/>
          <w:highlight w:val="none"/>
          <w:lang w:val="en-US" w:eastAsia="zh-CN" w:bidi="ar-SA"/>
        </w:rPr>
        <w:t>本项目</w:t>
      </w:r>
      <w:r>
        <w:rPr>
          <w:rFonts w:hint="default" w:ascii="Times New Roman" w:hAnsi="Times New Roman" w:eastAsia="宋体" w:cs="Times New Roman"/>
          <w:color w:val="auto"/>
          <w:kern w:val="10"/>
          <w:sz w:val="24"/>
          <w:szCs w:val="24"/>
          <w:highlight w:val="none"/>
          <w:lang w:val="en-US" w:eastAsia="zh-CN" w:bidi="ar-SA"/>
        </w:rPr>
        <w:t>为</w:t>
      </w:r>
      <w:r>
        <w:rPr>
          <w:rFonts w:hint="default" w:ascii="Times New Roman" w:hAnsi="Times New Roman" w:cs="Times New Roman"/>
          <w:color w:val="auto"/>
          <w:kern w:val="10"/>
          <w:sz w:val="24"/>
          <w:szCs w:val="24"/>
          <w:highlight w:val="none"/>
          <w:lang w:val="en-US" w:eastAsia="zh-CN" w:bidi="ar-SA"/>
        </w:rPr>
        <w:t>生态影响型和</w:t>
      </w:r>
      <w:r>
        <w:rPr>
          <w:rFonts w:hint="default" w:ascii="Times New Roman" w:hAnsi="Times New Roman" w:eastAsia="宋体" w:cs="Times New Roman"/>
          <w:color w:val="auto"/>
          <w:kern w:val="10"/>
          <w:sz w:val="24"/>
          <w:szCs w:val="24"/>
          <w:highlight w:val="none"/>
          <w:lang w:val="en-US" w:eastAsia="zh-CN" w:bidi="ar-SA"/>
        </w:rPr>
        <w:t>污染影响型项目，根据项目工程分析情况，针对项目占地的土壤理化性质进行分析，主要包括土体结构、土壤结构、土壤质地、阳离子交换量、</w:t>
      </w:r>
      <w:r>
        <w:rPr>
          <w:rFonts w:hint="eastAsia" w:cs="Times New Roman"/>
          <w:color w:val="auto"/>
          <w:kern w:val="10"/>
          <w:sz w:val="24"/>
          <w:szCs w:val="24"/>
          <w:highlight w:val="none"/>
          <w:lang w:val="en-US" w:eastAsia="zh-CN" w:bidi="ar-SA"/>
        </w:rPr>
        <w:t>氧化还原电位</w:t>
      </w:r>
      <w:r>
        <w:rPr>
          <w:rFonts w:hint="default" w:ascii="Times New Roman" w:hAnsi="Times New Roman" w:eastAsia="宋体" w:cs="Times New Roman"/>
          <w:color w:val="auto"/>
          <w:kern w:val="10"/>
          <w:sz w:val="24"/>
          <w:szCs w:val="24"/>
          <w:highlight w:val="none"/>
          <w:lang w:val="en-US" w:eastAsia="zh-CN" w:bidi="ar-SA"/>
        </w:rPr>
        <w:t>、饱和导水率、土壤容重、孔隙度等。取样点位为项目</w:t>
      </w:r>
      <w:r>
        <w:rPr>
          <w:rFonts w:hint="default" w:ascii="Times New Roman" w:hAnsi="Times New Roman" w:cs="Times New Roman"/>
          <w:color w:val="auto"/>
          <w:kern w:val="10"/>
          <w:sz w:val="24"/>
          <w:szCs w:val="24"/>
          <w:highlight w:val="none"/>
          <w:lang w:val="en-US" w:eastAsia="zh-CN" w:bidi="ar-SA"/>
        </w:rPr>
        <w:t>本项目</w:t>
      </w:r>
      <w:r>
        <w:rPr>
          <w:rFonts w:hint="default" w:ascii="Times New Roman" w:hAnsi="Times New Roman" w:eastAsia="宋体" w:cs="Times New Roman"/>
          <w:color w:val="auto"/>
          <w:kern w:val="10"/>
          <w:sz w:val="24"/>
          <w:szCs w:val="24"/>
          <w:highlight w:val="none"/>
          <w:lang w:val="en-US" w:eastAsia="zh-CN" w:bidi="ar-SA"/>
        </w:rPr>
        <w:t>附近土壤表层样</w:t>
      </w:r>
      <w:r>
        <w:rPr>
          <w:rFonts w:hint="default" w:ascii="Times New Roman" w:hAnsi="Times New Roman" w:cs="Times New Roman"/>
          <w:color w:val="auto"/>
          <w:kern w:val="10"/>
          <w:sz w:val="24"/>
          <w:szCs w:val="24"/>
          <w:highlight w:val="none"/>
          <w:lang w:val="en-US" w:eastAsia="zh-CN" w:bidi="ar-SA"/>
        </w:rPr>
        <w:t>（</w:t>
      </w:r>
      <w:r>
        <w:rPr>
          <w:rFonts w:hint="default" w:ascii="Times New Roman" w:hAnsi="Times New Roman" w:eastAsia="宋体" w:cs="Times New Roman"/>
          <w:color w:val="auto"/>
          <w:kern w:val="10"/>
          <w:sz w:val="24"/>
          <w:szCs w:val="24"/>
          <w:highlight w:val="none"/>
          <w:lang w:val="en-US" w:eastAsia="zh-CN" w:bidi="ar-SA"/>
        </w:rPr>
        <w:t>0-0.2m</w:t>
      </w:r>
      <w:r>
        <w:rPr>
          <w:rFonts w:hint="default" w:ascii="Times New Roman" w:hAnsi="Times New Roman" w:cs="Times New Roman"/>
          <w:color w:val="auto"/>
          <w:kern w:val="10"/>
          <w:sz w:val="24"/>
          <w:szCs w:val="24"/>
          <w:highlight w:val="none"/>
          <w:lang w:val="en-US" w:eastAsia="zh-CN" w:bidi="ar-SA"/>
        </w:rPr>
        <w:t>）</w:t>
      </w:r>
      <w:r>
        <w:rPr>
          <w:rFonts w:hint="default" w:ascii="Times New Roman" w:hAnsi="Times New Roman" w:eastAsia="宋体" w:cs="Times New Roman"/>
          <w:color w:val="auto"/>
          <w:kern w:val="10"/>
          <w:sz w:val="24"/>
          <w:szCs w:val="24"/>
          <w:highlight w:val="none"/>
          <w:lang w:val="en-US" w:eastAsia="zh-CN" w:bidi="ar-SA"/>
        </w:rPr>
        <w:t>。分析结果如表4.</w:t>
      </w:r>
      <w:r>
        <w:rPr>
          <w:rFonts w:hint="default" w:ascii="Times New Roman" w:hAnsi="Times New Roman" w:cs="Times New Roman"/>
          <w:color w:val="auto"/>
          <w:kern w:val="10"/>
          <w:sz w:val="24"/>
          <w:szCs w:val="24"/>
          <w:highlight w:val="none"/>
          <w:lang w:val="en-US" w:eastAsia="zh-CN" w:bidi="ar-SA"/>
        </w:rPr>
        <w:t>4</w:t>
      </w:r>
      <w:r>
        <w:rPr>
          <w:rFonts w:hint="default" w:ascii="Times New Roman" w:hAnsi="Times New Roman" w:eastAsia="宋体" w:cs="Times New Roman"/>
          <w:color w:val="auto"/>
          <w:kern w:val="10"/>
          <w:sz w:val="24"/>
          <w:szCs w:val="24"/>
          <w:highlight w:val="none"/>
          <w:lang w:val="en-US" w:eastAsia="zh-CN" w:bidi="ar-SA"/>
        </w:rPr>
        <w:t>-1所示。</w:t>
      </w:r>
    </w:p>
    <w:p w14:paraId="2D4D802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color w:val="auto"/>
          <w:kern w:val="10"/>
          <w:sz w:val="21"/>
          <w:szCs w:val="21"/>
          <w:highlight w:val="none"/>
          <w:lang w:val="en-US" w:eastAsia="zh-CN" w:bidi="ar-SA"/>
        </w:rPr>
      </w:pPr>
      <w:r>
        <w:rPr>
          <w:rFonts w:hint="default" w:ascii="Times New Roman" w:hAnsi="Times New Roman" w:eastAsia="黑体" w:cs="Times New Roman"/>
          <w:b w:val="0"/>
          <w:bCs w:val="0"/>
          <w:color w:val="auto"/>
          <w:kern w:val="10"/>
          <w:sz w:val="21"/>
          <w:szCs w:val="21"/>
          <w:highlight w:val="none"/>
          <w:lang w:val="en-US" w:eastAsia="zh-CN" w:bidi="ar-SA"/>
        </w:rPr>
        <w:t>表4.4-1</w:t>
      </w:r>
      <w:r>
        <w:rPr>
          <w:rFonts w:hint="eastAsia" w:eastAsia="黑体" w:cs="Times New Roman"/>
          <w:b w:val="0"/>
          <w:bCs w:val="0"/>
          <w:color w:val="auto"/>
          <w:kern w:val="10"/>
          <w:sz w:val="21"/>
          <w:szCs w:val="21"/>
          <w:highlight w:val="none"/>
          <w:lang w:val="en-US" w:eastAsia="zh-CN" w:bidi="ar-SA"/>
        </w:rPr>
        <w:t xml:space="preserve"> </w:t>
      </w:r>
      <w:r>
        <w:rPr>
          <w:rFonts w:hint="default" w:ascii="Times New Roman" w:hAnsi="Times New Roman" w:eastAsia="黑体" w:cs="Times New Roman"/>
          <w:b w:val="0"/>
          <w:bCs w:val="0"/>
          <w:color w:val="auto"/>
          <w:kern w:val="10"/>
          <w:sz w:val="21"/>
          <w:szCs w:val="21"/>
          <w:highlight w:val="none"/>
          <w:lang w:val="en-US" w:eastAsia="zh-CN" w:bidi="ar-SA"/>
        </w:rPr>
        <w:t>土壤理化性质表</w:t>
      </w:r>
    </w:p>
    <w:tbl>
      <w:tblPr>
        <w:tblStyle w:val="35"/>
        <w:tblW w:w="51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78"/>
        <w:gridCol w:w="1454"/>
        <w:gridCol w:w="893"/>
        <w:gridCol w:w="2896"/>
        <w:gridCol w:w="2901"/>
      </w:tblGrid>
      <w:tr w14:paraId="1F9C3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4" w:hRule="atLeast"/>
          <w:tblHeader/>
          <w:jc w:val="center"/>
        </w:trPr>
        <w:tc>
          <w:tcPr>
            <w:tcW w:w="1120" w:type="pct"/>
            <w:gridSpan w:val="2"/>
            <w:vMerge w:val="restart"/>
            <w:tcBorders>
              <w:tl2br w:val="nil"/>
              <w:tr2bl w:val="nil"/>
            </w:tcBorders>
            <w:noWrap w:val="0"/>
            <w:vAlign w:val="center"/>
          </w:tcPr>
          <w:p w14:paraId="0A4DE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w:t>
            </w:r>
          </w:p>
        </w:tc>
        <w:tc>
          <w:tcPr>
            <w:tcW w:w="518" w:type="pct"/>
            <w:vMerge w:val="restart"/>
            <w:tcBorders>
              <w:tl2br w:val="nil"/>
              <w:tr2bl w:val="nil"/>
            </w:tcBorders>
            <w:noWrap w:val="0"/>
            <w:vAlign w:val="center"/>
          </w:tcPr>
          <w:p w14:paraId="29E10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单位</w:t>
            </w:r>
          </w:p>
        </w:tc>
        <w:tc>
          <w:tcPr>
            <w:tcW w:w="1679" w:type="pct"/>
            <w:tcBorders>
              <w:tl2br w:val="nil"/>
              <w:tr2bl w:val="nil"/>
            </w:tcBorders>
            <w:noWrap w:val="0"/>
            <w:vAlign w:val="center"/>
          </w:tcPr>
          <w:p w14:paraId="4551D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TH10298CH井场</w:t>
            </w:r>
          </w:p>
        </w:tc>
        <w:tc>
          <w:tcPr>
            <w:tcW w:w="1682" w:type="pct"/>
            <w:tcBorders>
              <w:tl2br w:val="nil"/>
              <w:tr2bl w:val="nil"/>
            </w:tcBorders>
            <w:noWrap w:val="0"/>
            <w:vAlign w:val="center"/>
          </w:tcPr>
          <w:p w14:paraId="1EF44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TK872CH井场</w:t>
            </w:r>
          </w:p>
        </w:tc>
      </w:tr>
      <w:tr w14:paraId="48C48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4" w:hRule="atLeast"/>
          <w:tblHeader/>
          <w:jc w:val="center"/>
        </w:trPr>
        <w:tc>
          <w:tcPr>
            <w:tcW w:w="1120" w:type="pct"/>
            <w:gridSpan w:val="2"/>
            <w:vMerge w:val="continue"/>
            <w:tcBorders>
              <w:tl2br w:val="nil"/>
              <w:tr2bl w:val="nil"/>
            </w:tcBorders>
            <w:noWrap w:val="0"/>
            <w:vAlign w:val="center"/>
          </w:tcPr>
          <w:p w14:paraId="367C7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518" w:type="pct"/>
            <w:vMerge w:val="continue"/>
            <w:tcBorders>
              <w:tl2br w:val="nil"/>
              <w:tr2bl w:val="nil"/>
            </w:tcBorders>
            <w:noWrap w:val="0"/>
            <w:vAlign w:val="center"/>
          </w:tcPr>
          <w:p w14:paraId="4F829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679" w:type="pct"/>
            <w:tcBorders>
              <w:tl2br w:val="nil"/>
              <w:tr2bl w:val="nil"/>
            </w:tcBorders>
            <w:noWrap w:val="0"/>
            <w:vAlign w:val="center"/>
          </w:tcPr>
          <w:p w14:paraId="273D4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682" w:type="pct"/>
            <w:tcBorders>
              <w:tl2br w:val="nil"/>
              <w:tr2bl w:val="nil"/>
            </w:tcBorders>
            <w:noWrap w:val="0"/>
            <w:vAlign w:val="center"/>
          </w:tcPr>
          <w:p w14:paraId="35C6F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75F62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120" w:type="pct"/>
            <w:gridSpan w:val="2"/>
            <w:vMerge w:val="continue"/>
            <w:tcBorders>
              <w:tl2br w:val="nil"/>
              <w:tr2bl w:val="nil"/>
            </w:tcBorders>
            <w:noWrap w:val="0"/>
            <w:vAlign w:val="center"/>
          </w:tcPr>
          <w:p w14:paraId="0669A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518" w:type="pct"/>
            <w:vMerge w:val="continue"/>
            <w:tcBorders>
              <w:tl2br w:val="nil"/>
              <w:tr2bl w:val="nil"/>
            </w:tcBorders>
            <w:noWrap w:val="0"/>
            <w:vAlign w:val="center"/>
          </w:tcPr>
          <w:p w14:paraId="08C7D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679" w:type="pct"/>
            <w:tcBorders>
              <w:tl2br w:val="nil"/>
              <w:tr2bl w:val="nil"/>
            </w:tcBorders>
            <w:noWrap w:val="0"/>
            <w:vAlign w:val="center"/>
          </w:tcPr>
          <w:p w14:paraId="360F3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表层</w:t>
            </w:r>
          </w:p>
        </w:tc>
        <w:tc>
          <w:tcPr>
            <w:tcW w:w="1682" w:type="pct"/>
            <w:tcBorders>
              <w:tl2br w:val="nil"/>
              <w:tr2bl w:val="nil"/>
            </w:tcBorders>
            <w:noWrap w:val="0"/>
            <w:vAlign w:val="center"/>
          </w:tcPr>
          <w:p w14:paraId="57005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表层</w:t>
            </w:r>
          </w:p>
        </w:tc>
      </w:tr>
      <w:tr w14:paraId="5F0F9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tblHeader/>
          <w:jc w:val="center"/>
        </w:trPr>
        <w:tc>
          <w:tcPr>
            <w:tcW w:w="277" w:type="pct"/>
            <w:vMerge w:val="restart"/>
            <w:tcBorders>
              <w:tl2br w:val="nil"/>
              <w:tr2bl w:val="nil"/>
            </w:tcBorders>
            <w:noWrap w:val="0"/>
            <w:vAlign w:val="center"/>
          </w:tcPr>
          <w:p w14:paraId="5597D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现</w:t>
            </w:r>
          </w:p>
          <w:p w14:paraId="7D3D0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场</w:t>
            </w:r>
          </w:p>
          <w:p w14:paraId="6F1C4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记</w:t>
            </w:r>
          </w:p>
          <w:p w14:paraId="02DA4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录</w:t>
            </w:r>
          </w:p>
        </w:tc>
        <w:tc>
          <w:tcPr>
            <w:tcW w:w="842" w:type="pct"/>
            <w:tcBorders>
              <w:tl2br w:val="nil"/>
              <w:tr2bl w:val="nil"/>
            </w:tcBorders>
            <w:noWrap w:val="0"/>
            <w:vAlign w:val="center"/>
          </w:tcPr>
          <w:p w14:paraId="0C6B5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颜色</w:t>
            </w:r>
          </w:p>
        </w:tc>
        <w:tc>
          <w:tcPr>
            <w:tcW w:w="518" w:type="pct"/>
            <w:tcBorders>
              <w:tl2br w:val="nil"/>
              <w:tr2bl w:val="nil"/>
            </w:tcBorders>
            <w:noWrap w:val="0"/>
            <w:vAlign w:val="center"/>
          </w:tcPr>
          <w:p w14:paraId="0BA2C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79" w:type="pct"/>
            <w:tcBorders>
              <w:tl2br w:val="nil"/>
              <w:tr2bl w:val="nil"/>
            </w:tcBorders>
            <w:noWrap w:val="0"/>
            <w:vAlign w:val="center"/>
          </w:tcPr>
          <w:p w14:paraId="41DB8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浅黄色</w:t>
            </w:r>
          </w:p>
        </w:tc>
        <w:tc>
          <w:tcPr>
            <w:tcW w:w="1682" w:type="pct"/>
            <w:tcBorders>
              <w:tl2br w:val="nil"/>
              <w:tr2bl w:val="nil"/>
            </w:tcBorders>
            <w:noWrap w:val="0"/>
            <w:vAlign w:val="center"/>
          </w:tcPr>
          <w:p w14:paraId="31AE9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浅黄色</w:t>
            </w:r>
          </w:p>
        </w:tc>
      </w:tr>
      <w:tr w14:paraId="36735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4" w:hRule="atLeast"/>
          <w:tblHeader/>
          <w:jc w:val="center"/>
        </w:trPr>
        <w:tc>
          <w:tcPr>
            <w:tcW w:w="277" w:type="pct"/>
            <w:vMerge w:val="continue"/>
            <w:tcBorders>
              <w:tl2br w:val="nil"/>
              <w:tr2bl w:val="nil"/>
            </w:tcBorders>
            <w:noWrap w:val="0"/>
            <w:vAlign w:val="center"/>
          </w:tcPr>
          <w:p w14:paraId="2B3D8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4B390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结构</w:t>
            </w:r>
          </w:p>
        </w:tc>
        <w:tc>
          <w:tcPr>
            <w:tcW w:w="518" w:type="pct"/>
            <w:tcBorders>
              <w:tl2br w:val="nil"/>
              <w:tr2bl w:val="nil"/>
            </w:tcBorders>
            <w:noWrap w:val="0"/>
            <w:vAlign w:val="center"/>
          </w:tcPr>
          <w:p w14:paraId="251CC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79" w:type="pct"/>
            <w:tcBorders>
              <w:tl2br w:val="nil"/>
              <w:tr2bl w:val="nil"/>
            </w:tcBorders>
            <w:noWrap w:val="0"/>
            <w:vAlign w:val="center"/>
          </w:tcPr>
          <w:p w14:paraId="1CBB90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疏粒状</w:t>
            </w:r>
          </w:p>
        </w:tc>
        <w:tc>
          <w:tcPr>
            <w:tcW w:w="1682" w:type="pct"/>
            <w:tcBorders>
              <w:tl2br w:val="nil"/>
              <w:tr2bl w:val="nil"/>
            </w:tcBorders>
            <w:noWrap w:val="0"/>
            <w:vAlign w:val="center"/>
          </w:tcPr>
          <w:p w14:paraId="26FC3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疏粒状</w:t>
            </w:r>
          </w:p>
        </w:tc>
      </w:tr>
      <w:tr w14:paraId="4F3CC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9" w:hRule="atLeast"/>
          <w:tblHeader/>
          <w:jc w:val="center"/>
        </w:trPr>
        <w:tc>
          <w:tcPr>
            <w:tcW w:w="277" w:type="pct"/>
            <w:vMerge w:val="continue"/>
            <w:tcBorders>
              <w:tl2br w:val="nil"/>
              <w:tr2bl w:val="nil"/>
            </w:tcBorders>
            <w:noWrap w:val="0"/>
            <w:vAlign w:val="center"/>
          </w:tcPr>
          <w:p w14:paraId="59977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154EEF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质地</w:t>
            </w:r>
          </w:p>
        </w:tc>
        <w:tc>
          <w:tcPr>
            <w:tcW w:w="518" w:type="pct"/>
            <w:tcBorders>
              <w:tl2br w:val="nil"/>
              <w:tr2bl w:val="nil"/>
            </w:tcBorders>
            <w:noWrap w:val="0"/>
            <w:vAlign w:val="center"/>
          </w:tcPr>
          <w:p w14:paraId="104ED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79" w:type="pct"/>
            <w:tcBorders>
              <w:tl2br w:val="nil"/>
              <w:tr2bl w:val="nil"/>
            </w:tcBorders>
            <w:noWrap w:val="0"/>
            <w:vAlign w:val="center"/>
          </w:tcPr>
          <w:p w14:paraId="394A3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砂壤土</w:t>
            </w:r>
          </w:p>
        </w:tc>
        <w:tc>
          <w:tcPr>
            <w:tcW w:w="1682" w:type="pct"/>
            <w:tcBorders>
              <w:tl2br w:val="nil"/>
              <w:tr2bl w:val="nil"/>
            </w:tcBorders>
            <w:noWrap w:val="0"/>
            <w:vAlign w:val="center"/>
          </w:tcPr>
          <w:p w14:paraId="385C7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砂壤土</w:t>
            </w:r>
          </w:p>
        </w:tc>
      </w:tr>
      <w:tr w14:paraId="23117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5" w:hRule="atLeast"/>
          <w:tblHeader/>
          <w:jc w:val="center"/>
        </w:trPr>
        <w:tc>
          <w:tcPr>
            <w:tcW w:w="277" w:type="pct"/>
            <w:vMerge w:val="continue"/>
            <w:tcBorders>
              <w:tl2br w:val="nil"/>
              <w:tr2bl w:val="nil"/>
            </w:tcBorders>
            <w:noWrap w:val="0"/>
            <w:vAlign w:val="center"/>
          </w:tcPr>
          <w:p w14:paraId="728F5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09938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砂砾含量</w:t>
            </w:r>
          </w:p>
        </w:tc>
        <w:tc>
          <w:tcPr>
            <w:tcW w:w="518" w:type="pct"/>
            <w:tcBorders>
              <w:tl2br w:val="nil"/>
              <w:tr2bl w:val="nil"/>
            </w:tcBorders>
            <w:noWrap w:val="0"/>
            <w:vAlign w:val="center"/>
          </w:tcPr>
          <w:p w14:paraId="41F0B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79" w:type="pct"/>
            <w:tcBorders>
              <w:tl2br w:val="nil"/>
              <w:tr2bl w:val="nil"/>
            </w:tcBorders>
            <w:noWrap w:val="0"/>
            <w:vAlign w:val="center"/>
          </w:tcPr>
          <w:p w14:paraId="729A0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1682" w:type="pct"/>
            <w:tcBorders>
              <w:tl2br w:val="nil"/>
              <w:tr2bl w:val="nil"/>
            </w:tcBorders>
            <w:noWrap w:val="0"/>
            <w:vAlign w:val="center"/>
          </w:tcPr>
          <w:p w14:paraId="40350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r>
      <w:tr w14:paraId="2737C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0" w:hRule="atLeast"/>
          <w:tblHeader/>
          <w:jc w:val="center"/>
        </w:trPr>
        <w:tc>
          <w:tcPr>
            <w:tcW w:w="277" w:type="pct"/>
            <w:vMerge w:val="continue"/>
            <w:tcBorders>
              <w:tl2br w:val="nil"/>
              <w:tr2bl w:val="nil"/>
            </w:tcBorders>
            <w:noWrap w:val="0"/>
            <w:vAlign w:val="center"/>
          </w:tcPr>
          <w:p w14:paraId="34076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52257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其他异物</w:t>
            </w:r>
          </w:p>
        </w:tc>
        <w:tc>
          <w:tcPr>
            <w:tcW w:w="518" w:type="pct"/>
            <w:tcBorders>
              <w:tl2br w:val="nil"/>
              <w:tr2bl w:val="nil"/>
            </w:tcBorders>
            <w:noWrap w:val="0"/>
            <w:vAlign w:val="center"/>
          </w:tcPr>
          <w:p w14:paraId="52E5C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79" w:type="pct"/>
            <w:tcBorders>
              <w:tl2br w:val="nil"/>
              <w:tr2bl w:val="nil"/>
            </w:tcBorders>
            <w:noWrap w:val="0"/>
            <w:vAlign w:val="center"/>
          </w:tcPr>
          <w:p w14:paraId="1A0E8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w:t>
            </w:r>
          </w:p>
        </w:tc>
        <w:tc>
          <w:tcPr>
            <w:tcW w:w="1682" w:type="pct"/>
            <w:tcBorders>
              <w:tl2br w:val="nil"/>
              <w:tr2bl w:val="nil"/>
            </w:tcBorders>
            <w:noWrap w:val="0"/>
            <w:vAlign w:val="center"/>
          </w:tcPr>
          <w:p w14:paraId="43FF76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w:t>
            </w:r>
          </w:p>
        </w:tc>
      </w:tr>
      <w:tr w14:paraId="4C097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9" w:hRule="atLeast"/>
          <w:tblHeader/>
          <w:jc w:val="center"/>
        </w:trPr>
        <w:tc>
          <w:tcPr>
            <w:tcW w:w="277" w:type="pct"/>
            <w:vMerge w:val="restart"/>
            <w:tcBorders>
              <w:tl2br w:val="nil"/>
              <w:tr2bl w:val="nil"/>
            </w:tcBorders>
            <w:noWrap w:val="0"/>
            <w:vAlign w:val="center"/>
          </w:tcPr>
          <w:p w14:paraId="60ACE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实</w:t>
            </w:r>
          </w:p>
          <w:p w14:paraId="44A12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验</w:t>
            </w:r>
          </w:p>
          <w:p w14:paraId="64EDB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室</w:t>
            </w:r>
          </w:p>
          <w:p w14:paraId="65D5C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测</w:t>
            </w:r>
          </w:p>
          <w:p w14:paraId="73CEC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定</w:t>
            </w:r>
          </w:p>
        </w:tc>
        <w:tc>
          <w:tcPr>
            <w:tcW w:w="842" w:type="pct"/>
            <w:tcBorders>
              <w:tl2br w:val="nil"/>
              <w:tr2bl w:val="nil"/>
            </w:tcBorders>
            <w:noWrap w:val="0"/>
            <w:vAlign w:val="center"/>
          </w:tcPr>
          <w:p w14:paraId="61BC2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pH值</w:t>
            </w:r>
          </w:p>
        </w:tc>
        <w:tc>
          <w:tcPr>
            <w:tcW w:w="518" w:type="pct"/>
            <w:tcBorders>
              <w:tl2br w:val="nil"/>
              <w:tr2bl w:val="nil"/>
            </w:tcBorders>
            <w:noWrap w:val="0"/>
            <w:vAlign w:val="center"/>
          </w:tcPr>
          <w:p w14:paraId="06CF5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无量纲</w:t>
            </w:r>
          </w:p>
        </w:tc>
        <w:tc>
          <w:tcPr>
            <w:tcW w:w="1679" w:type="pct"/>
            <w:tcBorders>
              <w:tl2br w:val="nil"/>
              <w:tr2bl w:val="nil"/>
            </w:tcBorders>
            <w:noWrap w:val="0"/>
            <w:vAlign w:val="center"/>
          </w:tcPr>
          <w:p w14:paraId="77E50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7.78</w:t>
            </w:r>
          </w:p>
        </w:tc>
        <w:tc>
          <w:tcPr>
            <w:tcW w:w="1682" w:type="pct"/>
            <w:tcBorders>
              <w:tl2br w:val="nil"/>
              <w:tr2bl w:val="nil"/>
            </w:tcBorders>
            <w:noWrap w:val="0"/>
            <w:vAlign w:val="center"/>
          </w:tcPr>
          <w:p w14:paraId="26AB5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8.47</w:t>
            </w:r>
          </w:p>
        </w:tc>
      </w:tr>
      <w:tr w14:paraId="64A0A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9" w:hRule="atLeast"/>
          <w:tblHeader/>
          <w:jc w:val="center"/>
        </w:trPr>
        <w:tc>
          <w:tcPr>
            <w:tcW w:w="277" w:type="pct"/>
            <w:vMerge w:val="continue"/>
            <w:tcBorders>
              <w:tl2br w:val="nil"/>
              <w:tr2bl w:val="nil"/>
            </w:tcBorders>
            <w:noWrap w:val="0"/>
            <w:vAlign w:val="center"/>
          </w:tcPr>
          <w:p w14:paraId="7E5A1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640B6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阳离子交换量</w:t>
            </w:r>
          </w:p>
        </w:tc>
        <w:tc>
          <w:tcPr>
            <w:tcW w:w="518" w:type="pct"/>
            <w:tcBorders>
              <w:tl2br w:val="nil"/>
              <w:tr2bl w:val="nil"/>
            </w:tcBorders>
            <w:noWrap w:val="0"/>
            <w:vAlign w:val="center"/>
          </w:tcPr>
          <w:p w14:paraId="2912A1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cmol+/kg</w:t>
            </w:r>
          </w:p>
        </w:tc>
        <w:tc>
          <w:tcPr>
            <w:tcW w:w="1679" w:type="pct"/>
            <w:tcBorders>
              <w:tl2br w:val="nil"/>
              <w:tr2bl w:val="nil"/>
            </w:tcBorders>
            <w:noWrap w:val="0"/>
            <w:vAlign w:val="center"/>
          </w:tcPr>
          <w:p w14:paraId="78E7B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0.8L</w:t>
            </w:r>
          </w:p>
        </w:tc>
        <w:tc>
          <w:tcPr>
            <w:tcW w:w="1682" w:type="pct"/>
            <w:tcBorders>
              <w:tl2br w:val="nil"/>
              <w:tr2bl w:val="nil"/>
            </w:tcBorders>
            <w:noWrap w:val="0"/>
            <w:vAlign w:val="center"/>
          </w:tcPr>
          <w:p w14:paraId="0D00A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0.8L</w:t>
            </w:r>
          </w:p>
        </w:tc>
      </w:tr>
      <w:tr w14:paraId="23A31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9" w:hRule="atLeast"/>
          <w:tblHeader/>
          <w:jc w:val="center"/>
        </w:trPr>
        <w:tc>
          <w:tcPr>
            <w:tcW w:w="277" w:type="pct"/>
            <w:vMerge w:val="continue"/>
            <w:tcBorders>
              <w:tl2br w:val="nil"/>
              <w:tr2bl w:val="nil"/>
            </w:tcBorders>
            <w:noWrap w:val="0"/>
            <w:vAlign w:val="center"/>
          </w:tcPr>
          <w:p w14:paraId="60EE6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127C1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氧化还原电位</w:t>
            </w:r>
          </w:p>
        </w:tc>
        <w:tc>
          <w:tcPr>
            <w:tcW w:w="518" w:type="pct"/>
            <w:tcBorders>
              <w:tl2br w:val="nil"/>
              <w:tr2bl w:val="nil"/>
            </w:tcBorders>
            <w:noWrap w:val="0"/>
            <w:vAlign w:val="center"/>
          </w:tcPr>
          <w:p w14:paraId="0EA4B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mv</w:t>
            </w:r>
          </w:p>
        </w:tc>
        <w:tc>
          <w:tcPr>
            <w:tcW w:w="1679" w:type="pct"/>
            <w:tcBorders>
              <w:tl2br w:val="nil"/>
              <w:tr2bl w:val="nil"/>
            </w:tcBorders>
            <w:noWrap w:val="0"/>
            <w:vAlign w:val="center"/>
          </w:tcPr>
          <w:p w14:paraId="0CCA6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375</w:t>
            </w:r>
          </w:p>
        </w:tc>
        <w:tc>
          <w:tcPr>
            <w:tcW w:w="1682" w:type="pct"/>
            <w:tcBorders>
              <w:tl2br w:val="nil"/>
              <w:tr2bl w:val="nil"/>
            </w:tcBorders>
            <w:noWrap w:val="0"/>
            <w:vAlign w:val="center"/>
          </w:tcPr>
          <w:p w14:paraId="7F0DE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385</w:t>
            </w:r>
          </w:p>
        </w:tc>
      </w:tr>
      <w:tr w14:paraId="7B28D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9" w:hRule="atLeast"/>
          <w:tblHeader/>
          <w:jc w:val="center"/>
        </w:trPr>
        <w:tc>
          <w:tcPr>
            <w:tcW w:w="277" w:type="pct"/>
            <w:vMerge w:val="continue"/>
            <w:tcBorders>
              <w:tl2br w:val="nil"/>
              <w:tr2bl w:val="nil"/>
            </w:tcBorders>
            <w:noWrap w:val="0"/>
            <w:vAlign w:val="center"/>
          </w:tcPr>
          <w:p w14:paraId="29FA3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00522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饱和导水率</w:t>
            </w:r>
          </w:p>
        </w:tc>
        <w:tc>
          <w:tcPr>
            <w:tcW w:w="518" w:type="pct"/>
            <w:tcBorders>
              <w:tl2br w:val="nil"/>
              <w:tr2bl w:val="nil"/>
            </w:tcBorders>
            <w:noWrap w:val="0"/>
            <w:vAlign w:val="center"/>
          </w:tcPr>
          <w:p w14:paraId="64696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mm/min</w:t>
            </w:r>
          </w:p>
        </w:tc>
        <w:tc>
          <w:tcPr>
            <w:tcW w:w="1679" w:type="pct"/>
            <w:tcBorders>
              <w:tl2br w:val="nil"/>
              <w:tr2bl w:val="nil"/>
            </w:tcBorders>
            <w:noWrap w:val="0"/>
            <w:vAlign w:val="center"/>
          </w:tcPr>
          <w:p w14:paraId="462F5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1.96</w:t>
            </w:r>
          </w:p>
        </w:tc>
        <w:tc>
          <w:tcPr>
            <w:tcW w:w="1682" w:type="pct"/>
            <w:tcBorders>
              <w:tl2br w:val="nil"/>
              <w:tr2bl w:val="nil"/>
            </w:tcBorders>
            <w:noWrap w:val="0"/>
            <w:vAlign w:val="center"/>
          </w:tcPr>
          <w:p w14:paraId="10069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w:t>
            </w:r>
          </w:p>
        </w:tc>
      </w:tr>
      <w:tr w14:paraId="63258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tblHeader/>
          <w:jc w:val="center"/>
        </w:trPr>
        <w:tc>
          <w:tcPr>
            <w:tcW w:w="277" w:type="pct"/>
            <w:vMerge w:val="continue"/>
            <w:tcBorders>
              <w:tl2br w:val="nil"/>
              <w:tr2bl w:val="nil"/>
            </w:tcBorders>
            <w:noWrap w:val="0"/>
            <w:vAlign w:val="center"/>
          </w:tcPr>
          <w:p w14:paraId="223B7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741C7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土壤容重</w:t>
            </w:r>
          </w:p>
        </w:tc>
        <w:tc>
          <w:tcPr>
            <w:tcW w:w="518" w:type="pct"/>
            <w:tcBorders>
              <w:tl2br w:val="nil"/>
              <w:tr2bl w:val="nil"/>
            </w:tcBorders>
            <w:noWrap w:val="0"/>
            <w:vAlign w:val="center"/>
          </w:tcPr>
          <w:p w14:paraId="2129FD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g/cm³</w:t>
            </w:r>
          </w:p>
        </w:tc>
        <w:tc>
          <w:tcPr>
            <w:tcW w:w="1679" w:type="pct"/>
            <w:tcBorders>
              <w:tl2br w:val="nil"/>
              <w:tr2bl w:val="nil"/>
            </w:tcBorders>
            <w:noWrap w:val="0"/>
            <w:vAlign w:val="center"/>
          </w:tcPr>
          <w:p w14:paraId="3E87F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1682" w:type="pct"/>
            <w:tcBorders>
              <w:tl2br w:val="nil"/>
              <w:tr2bl w:val="nil"/>
            </w:tcBorders>
            <w:noWrap w:val="0"/>
            <w:vAlign w:val="center"/>
          </w:tcPr>
          <w:p w14:paraId="7F3CD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r>
      <w:tr w14:paraId="720B9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9" w:hRule="atLeast"/>
          <w:tblHeader/>
          <w:jc w:val="center"/>
        </w:trPr>
        <w:tc>
          <w:tcPr>
            <w:tcW w:w="277" w:type="pct"/>
            <w:vMerge w:val="continue"/>
            <w:tcBorders>
              <w:tl2br w:val="nil"/>
              <w:tr2bl w:val="nil"/>
            </w:tcBorders>
            <w:noWrap w:val="0"/>
            <w:vAlign w:val="center"/>
          </w:tcPr>
          <w:p w14:paraId="6976A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68D34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孔隙度</w:t>
            </w:r>
          </w:p>
        </w:tc>
        <w:tc>
          <w:tcPr>
            <w:tcW w:w="518" w:type="pct"/>
            <w:tcBorders>
              <w:tl2br w:val="nil"/>
              <w:tr2bl w:val="nil"/>
            </w:tcBorders>
            <w:noWrap w:val="0"/>
            <w:vAlign w:val="center"/>
          </w:tcPr>
          <w:p w14:paraId="0137E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79" w:type="pct"/>
            <w:tcBorders>
              <w:tl2br w:val="nil"/>
              <w:tr2bl w:val="nil"/>
            </w:tcBorders>
            <w:noWrap w:val="0"/>
            <w:vAlign w:val="center"/>
          </w:tcPr>
          <w:p w14:paraId="79AF9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55</w:t>
            </w:r>
          </w:p>
        </w:tc>
        <w:tc>
          <w:tcPr>
            <w:tcW w:w="1682" w:type="pct"/>
            <w:tcBorders>
              <w:tl2br w:val="nil"/>
              <w:tr2bl w:val="nil"/>
            </w:tcBorders>
            <w:noWrap w:val="0"/>
            <w:vAlign w:val="center"/>
          </w:tcPr>
          <w:p w14:paraId="7C046C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58</w:t>
            </w:r>
          </w:p>
        </w:tc>
      </w:tr>
      <w:tr w14:paraId="4895C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4" w:hRule="atLeast"/>
          <w:tblHeader/>
          <w:jc w:val="center"/>
        </w:trPr>
        <w:tc>
          <w:tcPr>
            <w:tcW w:w="277" w:type="pct"/>
            <w:vMerge w:val="continue"/>
            <w:tcBorders>
              <w:tl2br w:val="nil"/>
              <w:tr2bl w:val="nil"/>
            </w:tcBorders>
            <w:noWrap w:val="0"/>
            <w:vAlign w:val="center"/>
          </w:tcPr>
          <w:p w14:paraId="71C7D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2" w:type="pct"/>
            <w:tcBorders>
              <w:tl2br w:val="nil"/>
              <w:tr2bl w:val="nil"/>
            </w:tcBorders>
            <w:noWrap w:val="0"/>
            <w:vAlign w:val="center"/>
          </w:tcPr>
          <w:p w14:paraId="3AE89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含水率</w:t>
            </w:r>
          </w:p>
        </w:tc>
        <w:tc>
          <w:tcPr>
            <w:tcW w:w="518" w:type="pct"/>
            <w:tcBorders>
              <w:tl2br w:val="nil"/>
              <w:tr2bl w:val="nil"/>
            </w:tcBorders>
            <w:noWrap w:val="0"/>
            <w:vAlign w:val="center"/>
          </w:tcPr>
          <w:p w14:paraId="23F01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1679" w:type="pct"/>
            <w:tcBorders>
              <w:tl2br w:val="nil"/>
              <w:tr2bl w:val="nil"/>
            </w:tcBorders>
            <w:noWrap w:val="0"/>
            <w:vAlign w:val="center"/>
          </w:tcPr>
          <w:p w14:paraId="016D2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11.6</w:t>
            </w:r>
          </w:p>
        </w:tc>
        <w:tc>
          <w:tcPr>
            <w:tcW w:w="1682" w:type="pct"/>
            <w:tcBorders>
              <w:tl2br w:val="nil"/>
              <w:tr2bl w:val="nil"/>
            </w:tcBorders>
            <w:noWrap w:val="0"/>
            <w:vAlign w:val="center"/>
          </w:tcPr>
          <w:p w14:paraId="7C928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5.4</w:t>
            </w:r>
          </w:p>
        </w:tc>
      </w:tr>
    </w:tbl>
    <w:p w14:paraId="0775A590">
      <w:pPr>
        <w:pStyle w:val="6"/>
        <w:pageBreakBefore w:val="0"/>
        <w:widowControl w:val="0"/>
        <w:kinsoku/>
        <w:wordWrap/>
        <w:overflowPunct/>
        <w:topLinePunct w:val="0"/>
        <w:bidi w:val="0"/>
        <w:adjustRightInd w:val="0"/>
        <w:snapToGrid w:val="0"/>
        <w:spacing w:beforeLines="0" w:afterLines="0"/>
        <w:textAlignment w:val="auto"/>
        <w:rPr>
          <w:rFonts w:hint="default" w:ascii="Times New Roman" w:hAnsi="Times New Roman" w:cs="Times New Roman"/>
          <w:color w:val="auto"/>
          <w:highlight w:val="none"/>
        </w:rPr>
      </w:pPr>
      <w:bookmarkStart w:id="415" w:name="_Toc19935"/>
      <w:bookmarkStart w:id="416" w:name="_Toc10791"/>
      <w:bookmarkStart w:id="417" w:name="_Toc214"/>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土壤环境质量现状监测与评价</w:t>
      </w:r>
      <w:bookmarkEnd w:id="415"/>
      <w:bookmarkEnd w:id="416"/>
      <w:bookmarkEnd w:id="417"/>
    </w:p>
    <w:p w14:paraId="0B58BC97">
      <w:pPr>
        <w:pStyle w:val="81"/>
        <w:keepNext w:val="0"/>
        <w:pageBreakBefore w:val="0"/>
        <w:widowControl w:val="0"/>
        <w:kinsoku/>
        <w:wordWrap/>
        <w:overflowPunct/>
        <w:topLinePunct w:val="0"/>
        <w:autoSpaceDE/>
        <w:autoSpaceDN/>
        <w:bidi w:val="0"/>
        <w:spacing w:line="360" w:lineRule="auto"/>
        <w:textAlignment w:val="auto"/>
        <w:rPr>
          <w:rFonts w:hint="default" w:eastAsia="宋体"/>
          <w:color w:val="auto"/>
          <w:highlight w:val="none"/>
          <w:lang w:val="en-US" w:eastAsia="zh-CN"/>
        </w:rPr>
      </w:pPr>
      <w:r>
        <w:rPr>
          <w:rFonts w:hint="eastAsia"/>
          <w:color w:val="auto"/>
          <w:highlight w:val="none"/>
        </w:rPr>
        <w:t>4.</w:t>
      </w:r>
      <w:r>
        <w:rPr>
          <w:rFonts w:hint="eastAsia"/>
          <w:color w:val="auto"/>
          <w:highlight w:val="none"/>
          <w:lang w:val="en-US" w:eastAsia="zh-CN"/>
        </w:rPr>
        <w:t>4.3.1监测点位</w:t>
      </w:r>
    </w:p>
    <w:p w14:paraId="2341703E">
      <w:pPr>
        <w:pStyle w:val="16"/>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rPr>
        <w:t>根据《环境影响评价技术导则土壤环境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HJ964-2018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和《环境影响评价技术导则陆地石油天然气开发建设项目》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HJ349-2023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，工程所在区域属于土壤盐化地区，</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类别同时按照生态影响型项目和污染影响型项目考虑。根据项目位置和HJ964-2018布点要求，本次评价监测点位共有</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其中15个点本次评价委托监测，1个点数据引用</w:t>
      </w:r>
      <w:r>
        <w:rPr>
          <w:rFonts w:hint="default" w:ascii="Times New Roman" w:hAnsi="Times New Roman" w:cs="Times New Roman"/>
          <w:color w:val="auto"/>
          <w:highlight w:val="none"/>
        </w:rPr>
        <w:t>。本评价在占地范围内设置</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个表层样和</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个柱状样，占地范围外设置</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个表层样；土壤类型</w:t>
      </w:r>
      <w:r>
        <w:rPr>
          <w:rFonts w:hint="eastAsia" w:ascii="Times New Roman" w:hAnsi="Times New Roman" w:cs="Times New Roman"/>
          <w:color w:val="auto"/>
          <w:highlight w:val="none"/>
          <w:lang w:val="en-US" w:eastAsia="zh-CN"/>
        </w:rPr>
        <w:t>主要</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风沙土</w:t>
      </w:r>
      <w:r>
        <w:rPr>
          <w:rFonts w:hint="default" w:ascii="Times New Roman" w:hAnsi="Times New Roman" w:cs="Times New Roman"/>
          <w:color w:val="auto"/>
          <w:highlight w:val="none"/>
        </w:rPr>
        <w:t>、草甸土。土壤监测布点符合</w:t>
      </w:r>
      <w:r>
        <w:rPr>
          <w:rFonts w:hint="default" w:ascii="Times New Roman" w:hAnsi="Times New Roman" w:cs="Times New Roman"/>
          <w:color w:val="auto"/>
          <w:highlight w:val="none"/>
          <w:lang w:eastAsia="zh-CN"/>
        </w:rPr>
        <w:t>《环境影响评价技术导则土壤环境（</w:t>
      </w:r>
      <w:r>
        <w:rPr>
          <w:rFonts w:hint="default" w:ascii="Times New Roman" w:hAnsi="Times New Roman" w:cs="Times New Roman"/>
          <w:color w:val="auto"/>
          <w:highlight w:val="none"/>
          <w:lang w:val="en-US" w:eastAsia="zh-CN"/>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HJ964-2018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《环境影响评价技术导则陆地石油天然气开发建设项目》（</w:t>
      </w:r>
      <w:r>
        <w:rPr>
          <w:rFonts w:hint="default" w:ascii="Times New Roman" w:hAnsi="Times New Roman" w:cs="Times New Roman"/>
          <w:color w:val="auto"/>
          <w:highlight w:val="none"/>
        </w:rPr>
        <w:t>HJ349-2023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中污染影响型和生态影响型项目布点要求</w:t>
      </w:r>
      <w:r>
        <w:rPr>
          <w:rFonts w:hint="default" w:ascii="Times New Roman" w:hAnsi="Times New Roman" w:cs="Times New Roman"/>
          <w:color w:val="auto"/>
          <w:highlight w:val="none"/>
          <w:lang w:eastAsia="zh-CN"/>
        </w:rPr>
        <w:t>。本项目引用监测点监测时间均在近三年之内，符合监测点引用时间要求。</w:t>
      </w:r>
    </w:p>
    <w:p w14:paraId="1F731F05">
      <w:pPr>
        <w:pStyle w:val="1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根据项目区域土壤类型的特点，以及土地利用方式，分为建设用地和农用地进行评价。本次评价土壤</w:t>
      </w:r>
      <w:r>
        <w:rPr>
          <w:rFonts w:hint="eastAsia" w:ascii="Times New Roman" w:hAnsi="Times New Roman" w:cs="Times New Roman"/>
          <w:color w:val="auto"/>
          <w:sz w:val="24"/>
          <w:szCs w:val="24"/>
          <w:highlight w:val="none"/>
          <w:lang w:eastAsia="zh-CN"/>
        </w:rPr>
        <w:t>监测</w:t>
      </w:r>
      <w:r>
        <w:rPr>
          <w:rFonts w:hint="default" w:ascii="Times New Roman" w:hAnsi="Times New Roman" w:cs="Times New Roman"/>
          <w:color w:val="auto"/>
          <w:sz w:val="24"/>
          <w:szCs w:val="24"/>
          <w:highlight w:val="none"/>
        </w:rPr>
        <w:t>委托新疆广宇众联环境监测有限公司对土壤环境质量现状进行了监测，监测</w:t>
      </w:r>
      <w:r>
        <w:rPr>
          <w:rFonts w:hint="eastAsia" w:ascii="Times New Roman" w:hAnsi="Times New Roman" w:cs="Times New Roman"/>
          <w:color w:val="auto"/>
          <w:sz w:val="24"/>
          <w:szCs w:val="24"/>
          <w:highlight w:val="none"/>
          <w:lang w:val="en-US" w:eastAsia="zh-CN"/>
        </w:rPr>
        <w:t>采样</w:t>
      </w:r>
      <w:r>
        <w:rPr>
          <w:rFonts w:hint="default" w:ascii="Times New Roman" w:hAnsi="Times New Roman" w:cs="Times New Roman"/>
          <w:color w:val="auto"/>
          <w:sz w:val="24"/>
          <w:szCs w:val="24"/>
          <w:highlight w:val="none"/>
        </w:rPr>
        <w:t>时间为202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月。监测</w:t>
      </w:r>
      <w:r>
        <w:rPr>
          <w:rFonts w:hint="default" w:ascii="Times New Roman" w:hAnsi="Times New Roman" w:cs="Times New Roman"/>
          <w:color w:val="auto"/>
          <w:sz w:val="24"/>
          <w:szCs w:val="24"/>
          <w:highlight w:val="none"/>
          <w:lang w:val="en-US" w:eastAsia="zh-CN"/>
        </w:rPr>
        <w:t>点位</w:t>
      </w:r>
      <w:r>
        <w:rPr>
          <w:rFonts w:hint="default" w:ascii="Times New Roman" w:hAnsi="Times New Roman" w:cs="Times New Roman"/>
          <w:color w:val="auto"/>
          <w:sz w:val="24"/>
          <w:szCs w:val="24"/>
          <w:highlight w:val="none"/>
        </w:rPr>
        <w:t>图</w:t>
      </w:r>
      <w:r>
        <w:rPr>
          <w:rFonts w:hint="default" w:ascii="Times New Roman" w:hAnsi="Times New Roman" w:cs="Times New Roman"/>
          <w:color w:val="auto"/>
          <w:sz w:val="24"/>
          <w:szCs w:val="24"/>
          <w:highlight w:val="none"/>
          <w:lang w:val="en-US" w:eastAsia="zh-CN"/>
        </w:rPr>
        <w:t>见图4.</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p>
    <w:p w14:paraId="45CFDA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color w:val="auto"/>
          <w:kern w:val="10"/>
          <w:sz w:val="21"/>
          <w:szCs w:val="21"/>
          <w:highlight w:val="none"/>
          <w:lang w:val="en-US" w:eastAsia="zh-CN" w:bidi="ar-SA"/>
        </w:rPr>
      </w:pPr>
      <w:r>
        <w:rPr>
          <w:rFonts w:hint="default" w:ascii="Times New Roman" w:hAnsi="Times New Roman" w:eastAsia="黑体" w:cs="Times New Roman"/>
          <w:b w:val="0"/>
          <w:bCs w:val="0"/>
          <w:color w:val="auto"/>
          <w:kern w:val="10"/>
          <w:sz w:val="21"/>
          <w:szCs w:val="21"/>
          <w:highlight w:val="none"/>
          <w:lang w:val="en-US" w:eastAsia="zh-CN" w:bidi="ar-SA"/>
        </w:rPr>
        <w:t>表4.4-</w:t>
      </w:r>
      <w:r>
        <w:rPr>
          <w:rFonts w:hint="eastAsia" w:eastAsia="黑体" w:cs="Times New Roman"/>
          <w:b w:val="0"/>
          <w:bCs w:val="0"/>
          <w:color w:val="auto"/>
          <w:kern w:val="10"/>
          <w:sz w:val="21"/>
          <w:szCs w:val="21"/>
          <w:highlight w:val="none"/>
          <w:lang w:val="en-US" w:eastAsia="zh-CN" w:bidi="ar-SA"/>
        </w:rPr>
        <w:t>2土壤环境质量</w:t>
      </w:r>
      <w:r>
        <w:rPr>
          <w:rFonts w:hint="default" w:ascii="Times New Roman" w:hAnsi="Times New Roman" w:eastAsia="黑体" w:cs="Times New Roman"/>
          <w:b w:val="0"/>
          <w:bCs w:val="0"/>
          <w:color w:val="auto"/>
          <w:kern w:val="10"/>
          <w:sz w:val="21"/>
          <w:szCs w:val="21"/>
          <w:highlight w:val="none"/>
          <w:lang w:val="en-US" w:eastAsia="zh-CN" w:bidi="ar-SA"/>
        </w:rPr>
        <w:t>监测点位基本信息</w:t>
      </w:r>
    </w:p>
    <w:tbl>
      <w:tblPr>
        <w:tblStyle w:val="35"/>
        <w:tblW w:w="526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904"/>
        <w:gridCol w:w="705"/>
        <w:gridCol w:w="2205"/>
        <w:gridCol w:w="2160"/>
        <w:gridCol w:w="2824"/>
      </w:tblGrid>
      <w:tr w14:paraId="48D0D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noWrap w:val="0"/>
            <w:vAlign w:val="center"/>
          </w:tcPr>
          <w:p w14:paraId="37244FC6">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分类</w:t>
            </w:r>
          </w:p>
        </w:tc>
        <w:tc>
          <w:tcPr>
            <w:tcW w:w="705" w:type="dxa"/>
            <w:noWrap w:val="0"/>
            <w:vAlign w:val="center"/>
          </w:tcPr>
          <w:p w14:paraId="214766CD">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编号</w:t>
            </w:r>
          </w:p>
        </w:tc>
        <w:tc>
          <w:tcPr>
            <w:tcW w:w="2205" w:type="dxa"/>
            <w:noWrap w:val="0"/>
            <w:vAlign w:val="center"/>
          </w:tcPr>
          <w:p w14:paraId="6D5C8C57">
            <w:pPr>
              <w:pStyle w:val="6"/>
              <w:pageBreakBefore w:val="0"/>
              <w:widowControl/>
              <w:numPr>
                <w:ilvl w:val="2"/>
                <w:numId w:val="0"/>
              </w:numPr>
              <w:kinsoku/>
              <w:wordWrap/>
              <w:overflowPunct/>
              <w:topLinePunct w:val="0"/>
              <w:autoSpaceDE/>
              <w:autoSpaceDN/>
              <w:bidi w:val="0"/>
              <w:spacing w:before="0" w:beforeLines="0" w:after="0" w:afterLines="0" w:line="300" w:lineRule="exact"/>
              <w:ind w:lef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eastAsia" w:ascii="Times New Roman" w:hAnsi="Times New Roman" w:cs="Times New Roman"/>
                <w:b w:val="0"/>
                <w:bCs w:val="0"/>
                <w:color w:val="auto"/>
                <w:sz w:val="21"/>
                <w:szCs w:val="21"/>
                <w:highlight w:val="none"/>
                <w:u w:val="none"/>
                <w:vertAlign w:val="baseline"/>
                <w:lang w:val="en-US" w:eastAsia="zh-CN"/>
              </w:rPr>
              <w:t>监测点位</w:t>
            </w:r>
          </w:p>
        </w:tc>
        <w:tc>
          <w:tcPr>
            <w:tcW w:w="2160" w:type="dxa"/>
            <w:noWrap w:val="0"/>
            <w:vAlign w:val="center"/>
          </w:tcPr>
          <w:p w14:paraId="56308EFE">
            <w:pPr>
              <w:pageBreakBefore w:val="0"/>
              <w:widowControl/>
              <w:kinsoku/>
              <w:wordWrap/>
              <w:overflowPunct/>
              <w:topLinePunct w:val="0"/>
              <w:autoSpaceDE/>
              <w:autoSpaceDN/>
              <w:bidi w:val="0"/>
              <w:spacing w:line="300" w:lineRule="exact"/>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监测层位</w:t>
            </w:r>
          </w:p>
        </w:tc>
        <w:tc>
          <w:tcPr>
            <w:tcW w:w="2824" w:type="dxa"/>
            <w:noWrap w:val="0"/>
            <w:vAlign w:val="center"/>
          </w:tcPr>
          <w:p w14:paraId="36B33E7F">
            <w:pPr>
              <w:pageBreakBefore w:val="0"/>
              <w:widowControl/>
              <w:kinsoku/>
              <w:wordWrap/>
              <w:overflowPunct/>
              <w:topLinePunct w:val="0"/>
              <w:autoSpaceDE/>
              <w:autoSpaceDN/>
              <w:bidi w:val="0"/>
              <w:spacing w:line="300" w:lineRule="exact"/>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监测因子</w:t>
            </w:r>
          </w:p>
        </w:tc>
      </w:tr>
      <w:tr w14:paraId="463CDC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restart"/>
            <w:noWrap w:val="0"/>
            <w:vAlign w:val="center"/>
          </w:tcPr>
          <w:p w14:paraId="2C61191F">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占地范围内</w:t>
            </w:r>
          </w:p>
        </w:tc>
        <w:tc>
          <w:tcPr>
            <w:tcW w:w="705" w:type="dxa"/>
            <w:noWrap w:val="0"/>
            <w:vAlign w:val="center"/>
          </w:tcPr>
          <w:p w14:paraId="7C3F62BD">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T1</w:t>
            </w:r>
          </w:p>
          <w:p w14:paraId="13ABE449">
            <w:pPr>
              <w:pageBreakBefore w:val="0"/>
              <w:widowControl/>
              <w:kinsoku/>
              <w:wordWrap/>
              <w:overflowPunct/>
              <w:topLinePunct w:val="0"/>
              <w:autoSpaceDE/>
              <w:autoSpaceDN/>
              <w:bidi w:val="0"/>
              <w:spacing w:line="300" w:lineRule="exact"/>
              <w:jc w:val="center"/>
              <w:textAlignment w:val="auto"/>
              <w:rPr>
                <w:rFonts w:hint="default" w:ascii="Times New Roman" w:hAnsi="Times New Roman" w:eastAsia="宋体"/>
                <w:color w:val="auto"/>
                <w:sz w:val="21"/>
                <w:szCs w:val="21"/>
                <w:highlight w:val="none"/>
                <w:lang w:val="en-US" w:eastAsia="zh-CN"/>
              </w:rPr>
            </w:pPr>
          </w:p>
        </w:tc>
        <w:tc>
          <w:tcPr>
            <w:tcW w:w="2205" w:type="dxa"/>
            <w:noWrap w:val="0"/>
            <w:vAlign w:val="center"/>
          </w:tcPr>
          <w:p w14:paraId="3F2A8430">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TH10294</w:t>
            </w:r>
            <w:r>
              <w:rPr>
                <w:rFonts w:hint="eastAsia"/>
                <w:color w:val="auto"/>
                <w:sz w:val="21"/>
                <w:szCs w:val="21"/>
                <w:highlight w:val="none"/>
                <w:lang w:val="en-US" w:eastAsia="zh-CN"/>
              </w:rPr>
              <w:t>CH</w:t>
            </w:r>
            <w:r>
              <w:rPr>
                <w:rFonts w:hint="eastAsia" w:ascii="Times New Roman" w:hAnsi="Times New Roman"/>
                <w:color w:val="auto"/>
                <w:sz w:val="21"/>
                <w:szCs w:val="21"/>
                <w:highlight w:val="none"/>
                <w:lang w:val="en-US" w:eastAsia="zh-CN"/>
              </w:rPr>
              <w:t>井场</w:t>
            </w:r>
          </w:p>
          <w:p w14:paraId="646B0758">
            <w:pPr>
              <w:pageBreakBefore w:val="0"/>
              <w:widowControl/>
              <w:kinsoku/>
              <w:wordWrap/>
              <w:overflowPunct/>
              <w:topLinePunct w:val="0"/>
              <w:autoSpaceDE/>
              <w:autoSpaceDN/>
              <w:bidi w:val="0"/>
              <w:spacing w:line="300" w:lineRule="exact"/>
              <w:jc w:val="center"/>
              <w:textAlignment w:val="auto"/>
              <w:rPr>
                <w:rFonts w:hint="default"/>
                <w:b w:val="0"/>
                <w:bCs w:val="0"/>
                <w:color w:val="auto"/>
                <w:sz w:val="21"/>
                <w:szCs w:val="21"/>
                <w:highlight w:val="none"/>
                <w:lang w:val="en-US" w:eastAsia="zh-CN"/>
              </w:rPr>
            </w:pPr>
          </w:p>
        </w:tc>
        <w:tc>
          <w:tcPr>
            <w:tcW w:w="2160" w:type="dxa"/>
            <w:noWrap w:val="0"/>
            <w:vAlign w:val="center"/>
          </w:tcPr>
          <w:p w14:paraId="23BD01B0">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表层样：0-0.2m；</w:t>
            </w:r>
          </w:p>
          <w:p w14:paraId="725E34D7">
            <w:pPr>
              <w:pageBreakBefore w:val="0"/>
              <w:widowControl/>
              <w:kinsoku/>
              <w:wordWrap/>
              <w:overflowPunct/>
              <w:topLinePunct w:val="0"/>
              <w:autoSpaceDE/>
              <w:autoSpaceDN/>
              <w:bidi w:val="0"/>
              <w:spacing w:line="300" w:lineRule="exact"/>
              <w:jc w:val="left"/>
              <w:textAlignment w:val="auto"/>
              <w:rPr>
                <w:rFonts w:ascii="Times New Roman" w:hAnsi="Times New Roman"/>
                <w:color w:val="auto"/>
                <w:sz w:val="21"/>
                <w:szCs w:val="21"/>
                <w:highlight w:val="none"/>
              </w:rPr>
            </w:pPr>
          </w:p>
        </w:tc>
        <w:tc>
          <w:tcPr>
            <w:tcW w:w="2824" w:type="dxa"/>
            <w:noWrap w:val="0"/>
            <w:vAlign w:val="center"/>
          </w:tcPr>
          <w:p w14:paraId="4F7C9EC6">
            <w:pPr>
              <w:pageBreakBefore w:val="0"/>
              <w:widowControl/>
              <w:kinsoku/>
              <w:wordWrap/>
              <w:overflowPunct/>
              <w:topLinePunct w:val="0"/>
              <w:autoSpaceDE/>
              <w:autoSpaceDN/>
              <w:bidi w:val="0"/>
              <w:spacing w:line="300" w:lineRule="exact"/>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rPr>
              <w:t>《土壤环境质量建设用地土壤污染风险管控标准(试行)》(GB36600-2018)中表1第二类用地中45项基本因子+</w:t>
            </w:r>
            <w:r>
              <w:rPr>
                <w:rFonts w:hint="eastAsia" w:ascii="Times New Roman" w:hAnsi="Times New Roman"/>
                <w:color w:val="auto"/>
                <w:sz w:val="21"/>
                <w:szCs w:val="21"/>
                <w:highlight w:val="none"/>
                <w:lang w:val="en-US" w:eastAsia="zh-CN"/>
              </w:rPr>
              <w:t>pH、全盐量、石油烃（C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24AE19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1465C63D">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p>
        </w:tc>
        <w:tc>
          <w:tcPr>
            <w:tcW w:w="705" w:type="dxa"/>
            <w:noWrap w:val="0"/>
            <w:vAlign w:val="center"/>
          </w:tcPr>
          <w:p w14:paraId="13B436C7">
            <w:pPr>
              <w:pageBreakBefore w:val="0"/>
              <w:widowControl/>
              <w:kinsoku/>
              <w:wordWrap/>
              <w:overflowPunct/>
              <w:topLinePunct w:val="0"/>
              <w:autoSpaceDE/>
              <w:autoSpaceDN/>
              <w:bidi w:val="0"/>
              <w:spacing w:line="300" w:lineRule="exact"/>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T2</w:t>
            </w:r>
          </w:p>
        </w:tc>
        <w:tc>
          <w:tcPr>
            <w:tcW w:w="2205" w:type="dxa"/>
            <w:noWrap w:val="0"/>
            <w:vAlign w:val="center"/>
          </w:tcPr>
          <w:p w14:paraId="33294920">
            <w:pPr>
              <w:pageBreakBefore w:val="0"/>
              <w:widowControl/>
              <w:kinsoku/>
              <w:wordWrap/>
              <w:overflowPunct/>
              <w:topLinePunct w:val="0"/>
              <w:autoSpaceDE/>
              <w:autoSpaceDN/>
              <w:bidi w:val="0"/>
              <w:spacing w:line="300" w:lineRule="exact"/>
              <w:jc w:val="center"/>
              <w:textAlignment w:val="auto"/>
              <w:rPr>
                <w:b w:val="0"/>
                <w:bCs w:val="0"/>
                <w:color w:val="auto"/>
                <w:sz w:val="21"/>
                <w:szCs w:val="21"/>
                <w:highlight w:val="none"/>
              </w:rPr>
            </w:pPr>
            <w:r>
              <w:rPr>
                <w:rFonts w:hint="eastAsia" w:ascii="Times New Roman" w:hAnsi="Times New Roman"/>
                <w:color w:val="auto"/>
                <w:sz w:val="21"/>
                <w:szCs w:val="21"/>
                <w:highlight w:val="none"/>
                <w:lang w:val="en-US" w:eastAsia="zh-CN"/>
              </w:rPr>
              <w:t>TH10298</w:t>
            </w:r>
            <w:r>
              <w:rPr>
                <w:rFonts w:hint="eastAsia"/>
                <w:color w:val="auto"/>
                <w:sz w:val="21"/>
                <w:szCs w:val="21"/>
                <w:highlight w:val="none"/>
                <w:lang w:val="en-US" w:eastAsia="zh-CN"/>
              </w:rPr>
              <w:t>CH</w:t>
            </w:r>
            <w:r>
              <w:rPr>
                <w:rFonts w:hint="eastAsia" w:ascii="Times New Roman" w:hAnsi="Times New Roman" w:eastAsia="宋体" w:cs="Times New Roman"/>
                <w:color w:val="auto"/>
                <w:sz w:val="21"/>
                <w:szCs w:val="21"/>
                <w:highlight w:val="none"/>
                <w:lang w:val="en-US" w:eastAsia="zh-CN"/>
              </w:rPr>
              <w:t>井场</w:t>
            </w:r>
          </w:p>
        </w:tc>
        <w:tc>
          <w:tcPr>
            <w:tcW w:w="2160" w:type="dxa"/>
            <w:noWrap w:val="0"/>
            <w:vAlign w:val="center"/>
          </w:tcPr>
          <w:p w14:paraId="69043EBA">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表层样：0-0.2m；</w:t>
            </w:r>
          </w:p>
        </w:tc>
        <w:tc>
          <w:tcPr>
            <w:tcW w:w="2824" w:type="dxa"/>
            <w:noWrap w:val="0"/>
            <w:vAlign w:val="center"/>
          </w:tcPr>
          <w:p w14:paraId="66D2032F">
            <w:pPr>
              <w:pageBreakBefore w:val="0"/>
              <w:widowControl/>
              <w:kinsoku/>
              <w:wordWrap/>
              <w:overflowPunct/>
              <w:topLinePunct w:val="0"/>
              <w:autoSpaceDE/>
              <w:autoSpaceDN/>
              <w:bidi w:val="0"/>
              <w:spacing w:line="300" w:lineRule="exact"/>
              <w:jc w:val="both"/>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pH、全盐量、石油烃（C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63A80B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2D3AE3C6">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p>
        </w:tc>
        <w:tc>
          <w:tcPr>
            <w:tcW w:w="705" w:type="dxa"/>
            <w:noWrap w:val="0"/>
            <w:vAlign w:val="center"/>
          </w:tcPr>
          <w:p w14:paraId="530DDCD5">
            <w:pPr>
              <w:pageBreakBefore w:val="0"/>
              <w:widowControl/>
              <w:kinsoku/>
              <w:wordWrap/>
              <w:overflowPunct/>
              <w:topLinePunct w:val="0"/>
              <w:autoSpaceDE/>
              <w:autoSpaceDN/>
              <w:bidi w:val="0"/>
              <w:spacing w:line="300" w:lineRule="exact"/>
              <w:jc w:val="center"/>
              <w:textAlignment w:val="auto"/>
              <w:rPr>
                <w:rFonts w:hint="eastAsia" w:ascii="Calibri" w:hAnsi="Calibri" w:eastAsia="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T3</w:t>
            </w:r>
          </w:p>
        </w:tc>
        <w:tc>
          <w:tcPr>
            <w:tcW w:w="2205" w:type="dxa"/>
            <w:noWrap w:val="0"/>
            <w:vAlign w:val="center"/>
          </w:tcPr>
          <w:p w14:paraId="23DA6EC2">
            <w:pPr>
              <w:pageBreakBefore w:val="0"/>
              <w:widowControl/>
              <w:kinsoku/>
              <w:wordWrap/>
              <w:overflowPunct/>
              <w:topLinePunct w:val="0"/>
              <w:autoSpaceDE/>
              <w:autoSpaceDN/>
              <w:bidi w:val="0"/>
              <w:spacing w:line="300" w:lineRule="exact"/>
              <w:jc w:val="center"/>
              <w:textAlignment w:val="auto"/>
              <w:rPr>
                <w:rFonts w:hint="eastAsia"/>
                <w:b w:val="0"/>
                <w:bCs w:val="0"/>
                <w:color w:val="auto"/>
                <w:sz w:val="21"/>
                <w:szCs w:val="21"/>
                <w:highlight w:val="none"/>
                <w:lang w:val="en-US" w:eastAsia="zh-CN"/>
              </w:rPr>
            </w:pPr>
            <w:r>
              <w:rPr>
                <w:rFonts w:hint="eastAsia" w:ascii="Times New Roman" w:hAnsi="Times New Roman"/>
                <w:color w:val="auto"/>
                <w:sz w:val="21"/>
                <w:szCs w:val="21"/>
                <w:highlight w:val="none"/>
                <w:lang w:val="en-US" w:eastAsia="zh-CN"/>
              </w:rPr>
              <w:t>TH10250</w:t>
            </w:r>
            <w:r>
              <w:rPr>
                <w:rFonts w:hint="eastAsia"/>
                <w:color w:val="auto"/>
                <w:sz w:val="21"/>
                <w:szCs w:val="21"/>
                <w:highlight w:val="none"/>
                <w:lang w:val="en-US" w:eastAsia="zh-CN"/>
              </w:rPr>
              <w:t>CH</w:t>
            </w:r>
            <w:r>
              <w:rPr>
                <w:rFonts w:hint="eastAsia" w:ascii="Times New Roman" w:hAnsi="Times New Roman" w:eastAsia="宋体" w:cs="Times New Roman"/>
                <w:color w:val="auto"/>
                <w:sz w:val="21"/>
                <w:szCs w:val="21"/>
                <w:highlight w:val="none"/>
                <w:lang w:val="en-US" w:eastAsia="zh-CN"/>
              </w:rPr>
              <w:t>井场</w:t>
            </w:r>
          </w:p>
        </w:tc>
        <w:tc>
          <w:tcPr>
            <w:tcW w:w="2160" w:type="dxa"/>
            <w:noWrap w:val="0"/>
            <w:vAlign w:val="center"/>
          </w:tcPr>
          <w:p w14:paraId="7F3658A9">
            <w:pPr>
              <w:pageBreakBefore w:val="0"/>
              <w:widowControl/>
              <w:kinsoku/>
              <w:wordWrap/>
              <w:overflowPunct/>
              <w:topLinePunct w:val="0"/>
              <w:autoSpaceDE/>
              <w:autoSpaceDN/>
              <w:bidi w:val="0"/>
              <w:spacing w:line="300" w:lineRule="exact"/>
              <w:jc w:val="left"/>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表层样：0-0.2m；</w:t>
            </w:r>
          </w:p>
        </w:tc>
        <w:tc>
          <w:tcPr>
            <w:tcW w:w="2824" w:type="dxa"/>
            <w:noWrap w:val="0"/>
            <w:vAlign w:val="center"/>
          </w:tcPr>
          <w:p w14:paraId="58222842">
            <w:pPr>
              <w:pageBreakBefore w:val="0"/>
              <w:widowControl/>
              <w:kinsoku/>
              <w:wordWrap/>
              <w:overflowPunct/>
              <w:topLinePunct w:val="0"/>
              <w:autoSpaceDE/>
              <w:autoSpaceDN/>
              <w:bidi w:val="0"/>
              <w:spacing w:line="300" w:lineRule="exact"/>
              <w:jc w:val="both"/>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pH、全盐量</w:t>
            </w:r>
          </w:p>
        </w:tc>
      </w:tr>
      <w:tr w14:paraId="56BE31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dxa"/>
            <w:vMerge w:val="continue"/>
            <w:noWrap w:val="0"/>
            <w:vAlign w:val="center"/>
          </w:tcPr>
          <w:p w14:paraId="7B279BBE">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333F8B22">
            <w:pPr>
              <w:pageBreakBefore w:val="0"/>
              <w:widowControl/>
              <w:kinsoku/>
              <w:wordWrap/>
              <w:overflowPunct/>
              <w:topLinePunct w:val="0"/>
              <w:autoSpaceDE/>
              <w:autoSpaceDN/>
              <w:bidi w:val="0"/>
              <w:spacing w:line="300" w:lineRule="exact"/>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T4</w:t>
            </w:r>
          </w:p>
        </w:tc>
        <w:tc>
          <w:tcPr>
            <w:tcW w:w="2205" w:type="dxa"/>
            <w:noWrap w:val="0"/>
            <w:vAlign w:val="center"/>
          </w:tcPr>
          <w:p w14:paraId="20FB3ECF">
            <w:pPr>
              <w:pageBreakBefore w:val="0"/>
              <w:widowControl/>
              <w:kinsoku/>
              <w:wordWrap/>
              <w:overflowPunct/>
              <w:topLinePunct w:val="0"/>
              <w:autoSpaceDE/>
              <w:autoSpaceDN/>
              <w:bidi w:val="0"/>
              <w:spacing w:line="300" w:lineRule="exact"/>
              <w:jc w:val="center"/>
              <w:textAlignment w:val="auto"/>
              <w:rPr>
                <w:rFonts w:ascii="Times New Roman" w:hAnsi="Times New Roman"/>
                <w:b w:val="0"/>
                <w:bCs w:val="0"/>
                <w:color w:val="auto"/>
                <w:sz w:val="21"/>
                <w:szCs w:val="21"/>
                <w:highlight w:val="none"/>
              </w:rPr>
            </w:pPr>
            <w:r>
              <w:rPr>
                <w:rFonts w:hint="eastAsia" w:ascii="Times New Roman" w:hAnsi="Times New Roman"/>
                <w:color w:val="auto"/>
                <w:sz w:val="21"/>
                <w:szCs w:val="21"/>
                <w:highlight w:val="none"/>
                <w:lang w:val="en-US" w:eastAsia="zh-CN"/>
              </w:rPr>
              <w:t>TK872</w:t>
            </w:r>
            <w:r>
              <w:rPr>
                <w:rFonts w:hint="eastAsia"/>
                <w:color w:val="auto"/>
                <w:sz w:val="21"/>
                <w:szCs w:val="21"/>
                <w:highlight w:val="none"/>
                <w:lang w:val="en-US" w:eastAsia="zh-CN"/>
              </w:rPr>
              <w:t>CH</w:t>
            </w:r>
            <w:r>
              <w:rPr>
                <w:rFonts w:hint="eastAsia" w:ascii="Times New Roman" w:hAnsi="Times New Roman"/>
                <w:color w:val="auto"/>
                <w:sz w:val="21"/>
                <w:szCs w:val="21"/>
                <w:highlight w:val="none"/>
                <w:lang w:val="en-US" w:eastAsia="zh-CN"/>
              </w:rPr>
              <w:t>井场</w:t>
            </w:r>
          </w:p>
        </w:tc>
        <w:tc>
          <w:tcPr>
            <w:tcW w:w="2160" w:type="dxa"/>
            <w:noWrap w:val="0"/>
            <w:vAlign w:val="center"/>
          </w:tcPr>
          <w:p w14:paraId="63ED021A">
            <w:pPr>
              <w:pageBreakBefore w:val="0"/>
              <w:widowControl/>
              <w:kinsoku/>
              <w:wordWrap/>
              <w:overflowPunct/>
              <w:topLinePunct w:val="0"/>
              <w:autoSpaceDE/>
              <w:autoSpaceDN/>
              <w:bidi w:val="0"/>
              <w:spacing w:line="300" w:lineRule="exact"/>
              <w:jc w:val="left"/>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表层样：0-0.2m；</w:t>
            </w:r>
          </w:p>
        </w:tc>
        <w:tc>
          <w:tcPr>
            <w:tcW w:w="2824" w:type="dxa"/>
            <w:noWrap w:val="0"/>
            <w:vAlign w:val="center"/>
          </w:tcPr>
          <w:p w14:paraId="4D8C1733">
            <w:pPr>
              <w:pageBreakBefore w:val="0"/>
              <w:widowControl/>
              <w:kinsoku/>
              <w:wordWrap/>
              <w:overflowPunct/>
              <w:topLinePunct w:val="0"/>
              <w:autoSpaceDE/>
              <w:autoSpaceDN/>
              <w:bidi w:val="0"/>
              <w:spacing w:line="300" w:lineRule="exact"/>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pH、全盐量</w:t>
            </w:r>
          </w:p>
        </w:tc>
      </w:tr>
      <w:tr w14:paraId="063A35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51" w:hRule="atLeast"/>
          <w:jc w:val="center"/>
        </w:trPr>
        <w:tc>
          <w:tcPr>
            <w:tcW w:w="904" w:type="dxa"/>
            <w:vMerge w:val="continue"/>
            <w:noWrap w:val="0"/>
            <w:vAlign w:val="center"/>
          </w:tcPr>
          <w:p w14:paraId="12C66A92">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6B84C022">
            <w:pPr>
              <w:pageBreakBefore w:val="0"/>
              <w:widowControl/>
              <w:kinsoku/>
              <w:wordWrap/>
              <w:overflowPunct/>
              <w:topLinePunct w:val="0"/>
              <w:autoSpaceDE/>
              <w:autoSpaceDN/>
              <w:bidi w:val="0"/>
              <w:spacing w:line="300" w:lineRule="exact"/>
              <w:jc w:val="center"/>
              <w:textAlignment w:val="auto"/>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T5</w:t>
            </w:r>
          </w:p>
        </w:tc>
        <w:tc>
          <w:tcPr>
            <w:tcW w:w="2205" w:type="dxa"/>
            <w:noWrap w:val="0"/>
            <w:vAlign w:val="center"/>
          </w:tcPr>
          <w:p w14:paraId="4F28FF2F">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olor w:val="auto"/>
                <w:kern w:val="2"/>
                <w:sz w:val="21"/>
                <w:szCs w:val="21"/>
                <w:highlight w:val="none"/>
                <w:lang w:val="en-US" w:eastAsia="zh-CN" w:bidi="ar-SA"/>
              </w:rPr>
            </w:pPr>
            <w:r>
              <w:rPr>
                <w:rFonts w:hint="eastAsia" w:hAnsi="宋体" w:cs="仿宋"/>
                <w:color w:val="auto"/>
                <w:spacing w:val="-20"/>
                <w:sz w:val="21"/>
                <w:szCs w:val="21"/>
                <w:highlight w:val="none"/>
              </w:rPr>
              <w:t>TH102117</w:t>
            </w:r>
            <w:r>
              <w:rPr>
                <w:rFonts w:hint="eastAsia" w:hAnsi="宋体" w:cs="仿宋"/>
                <w:color w:val="auto"/>
                <w:spacing w:val="-20"/>
                <w:sz w:val="21"/>
                <w:szCs w:val="21"/>
                <w:highlight w:val="none"/>
                <w:lang w:val="en-US" w:eastAsia="zh-CN"/>
              </w:rPr>
              <w:t>CH</w:t>
            </w:r>
            <w:r>
              <w:rPr>
                <w:rFonts w:hint="eastAsia" w:hAnsi="宋体" w:cs="仿宋"/>
                <w:color w:val="auto"/>
                <w:spacing w:val="-20"/>
                <w:sz w:val="21"/>
                <w:szCs w:val="21"/>
                <w:highlight w:val="none"/>
              </w:rPr>
              <w:t>井管线接口处</w:t>
            </w:r>
          </w:p>
        </w:tc>
        <w:tc>
          <w:tcPr>
            <w:tcW w:w="2160" w:type="dxa"/>
            <w:noWrap w:val="0"/>
            <w:vAlign w:val="center"/>
          </w:tcPr>
          <w:p w14:paraId="4B3AC828">
            <w:pPr>
              <w:pageBreakBefore w:val="0"/>
              <w:widowControl/>
              <w:kinsoku/>
              <w:wordWrap/>
              <w:overflowPunct/>
              <w:topLinePunct w:val="0"/>
              <w:autoSpaceDE/>
              <w:autoSpaceDN/>
              <w:bidi w:val="0"/>
              <w:spacing w:line="300" w:lineRule="exact"/>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表层样</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0-0.2m；</w:t>
            </w:r>
          </w:p>
          <w:p w14:paraId="23741BC9">
            <w:pPr>
              <w:pageBreakBefore w:val="0"/>
              <w:widowControl/>
              <w:kinsoku/>
              <w:wordWrap/>
              <w:overflowPunct/>
              <w:topLinePunct w:val="0"/>
              <w:autoSpaceDE/>
              <w:autoSpaceDN/>
              <w:bidi w:val="0"/>
              <w:spacing w:line="300" w:lineRule="exact"/>
              <w:jc w:val="left"/>
              <w:textAlignment w:val="auto"/>
              <w:rPr>
                <w:rFonts w:ascii="Times New Roman" w:hAnsi="Times New Roman" w:eastAsia="宋体"/>
                <w:color w:val="auto"/>
                <w:kern w:val="2"/>
                <w:sz w:val="21"/>
                <w:szCs w:val="21"/>
                <w:highlight w:val="none"/>
                <w:lang w:val="en-US" w:eastAsia="zh-CN" w:bidi="ar-SA"/>
              </w:rPr>
            </w:pPr>
          </w:p>
        </w:tc>
        <w:tc>
          <w:tcPr>
            <w:tcW w:w="2824" w:type="dxa"/>
            <w:noWrap w:val="0"/>
            <w:vAlign w:val="center"/>
          </w:tcPr>
          <w:p w14:paraId="2738867D">
            <w:pPr>
              <w:pageBreakBefore w:val="0"/>
              <w:widowControl/>
              <w:kinsoku/>
              <w:wordWrap/>
              <w:overflowPunct/>
              <w:topLinePunct w:val="0"/>
              <w:autoSpaceDE/>
              <w:autoSpaceDN/>
              <w:bidi w:val="0"/>
              <w:spacing w:line="300" w:lineRule="exact"/>
              <w:jc w:val="both"/>
              <w:textAlignment w:val="auto"/>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pH、全盐量</w:t>
            </w:r>
          </w:p>
        </w:tc>
      </w:tr>
      <w:tr w14:paraId="51FFDA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51" w:hRule="atLeast"/>
          <w:jc w:val="center"/>
        </w:trPr>
        <w:tc>
          <w:tcPr>
            <w:tcW w:w="904" w:type="dxa"/>
            <w:vMerge w:val="continue"/>
            <w:noWrap w:val="0"/>
            <w:vAlign w:val="center"/>
          </w:tcPr>
          <w:p w14:paraId="36DCFAE0">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41CD6A80">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T6</w:t>
            </w:r>
          </w:p>
        </w:tc>
        <w:tc>
          <w:tcPr>
            <w:tcW w:w="2205" w:type="dxa"/>
            <w:noWrap w:val="0"/>
            <w:vAlign w:val="center"/>
          </w:tcPr>
          <w:p w14:paraId="208B4EEA">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TH10294</w:t>
            </w:r>
            <w:r>
              <w:rPr>
                <w:rFonts w:hint="eastAsia"/>
                <w:color w:val="auto"/>
                <w:sz w:val="21"/>
                <w:szCs w:val="21"/>
                <w:highlight w:val="none"/>
                <w:lang w:val="en-US" w:eastAsia="zh-CN"/>
              </w:rPr>
              <w:t>CH</w:t>
            </w:r>
            <w:r>
              <w:rPr>
                <w:rFonts w:hint="eastAsia" w:ascii="Times New Roman" w:hAnsi="Times New Roman"/>
                <w:color w:val="auto"/>
                <w:sz w:val="21"/>
                <w:szCs w:val="21"/>
                <w:highlight w:val="none"/>
                <w:lang w:val="en-US" w:eastAsia="zh-CN"/>
              </w:rPr>
              <w:t>井场</w:t>
            </w:r>
          </w:p>
        </w:tc>
        <w:tc>
          <w:tcPr>
            <w:tcW w:w="2160" w:type="dxa"/>
            <w:noWrap w:val="0"/>
            <w:vAlign w:val="center"/>
          </w:tcPr>
          <w:p w14:paraId="302E9AAC">
            <w:pPr>
              <w:pageBreakBefore w:val="0"/>
              <w:widowControl/>
              <w:kinsoku/>
              <w:wordWrap/>
              <w:overflowPunct/>
              <w:topLinePunct w:val="0"/>
              <w:autoSpaceDE/>
              <w:autoSpaceDN/>
              <w:bidi w:val="0"/>
              <w:spacing w:line="300" w:lineRule="exact"/>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柱状样：0-0.5m、0.5-1.5m、1.5-3m</w:t>
            </w:r>
          </w:p>
        </w:tc>
        <w:tc>
          <w:tcPr>
            <w:tcW w:w="2824" w:type="dxa"/>
            <w:noWrap w:val="0"/>
            <w:vAlign w:val="center"/>
          </w:tcPr>
          <w:p w14:paraId="744F9CB1">
            <w:pPr>
              <w:pageBreakBefore w:val="0"/>
              <w:widowControl/>
              <w:kinsoku/>
              <w:wordWrap/>
              <w:overflowPunct/>
              <w:topLinePunct w:val="0"/>
              <w:autoSpaceDE/>
              <w:autoSpaceDN/>
              <w:bidi w:val="0"/>
              <w:spacing w:line="300" w:lineRule="exact"/>
              <w:jc w:val="both"/>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5A8274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6" w:hRule="atLeast"/>
          <w:jc w:val="center"/>
        </w:trPr>
        <w:tc>
          <w:tcPr>
            <w:tcW w:w="904" w:type="dxa"/>
            <w:vMerge w:val="continue"/>
            <w:noWrap w:val="0"/>
            <w:vAlign w:val="center"/>
          </w:tcPr>
          <w:p w14:paraId="1AB29636">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p>
        </w:tc>
        <w:tc>
          <w:tcPr>
            <w:tcW w:w="705" w:type="dxa"/>
            <w:noWrap w:val="0"/>
            <w:vAlign w:val="center"/>
          </w:tcPr>
          <w:p w14:paraId="632395A9">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7</w:t>
            </w:r>
          </w:p>
          <w:p w14:paraId="387686D0">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olor w:val="auto"/>
                <w:kern w:val="2"/>
                <w:sz w:val="21"/>
                <w:szCs w:val="21"/>
                <w:highlight w:val="none"/>
                <w:lang w:val="en-US" w:eastAsia="zh-CN" w:bidi="ar-SA"/>
              </w:rPr>
            </w:pPr>
          </w:p>
        </w:tc>
        <w:tc>
          <w:tcPr>
            <w:tcW w:w="2205" w:type="dxa"/>
            <w:noWrap w:val="0"/>
            <w:vAlign w:val="center"/>
          </w:tcPr>
          <w:p w14:paraId="572A2D76">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TH10298</w:t>
            </w:r>
            <w:r>
              <w:rPr>
                <w:rFonts w:hint="eastAsia"/>
                <w:color w:val="auto"/>
                <w:sz w:val="21"/>
                <w:szCs w:val="21"/>
                <w:highlight w:val="none"/>
                <w:lang w:val="en-US" w:eastAsia="zh-CN"/>
              </w:rPr>
              <w:t>CH</w:t>
            </w:r>
            <w:r>
              <w:rPr>
                <w:rFonts w:hint="eastAsia" w:ascii="Times New Roman" w:hAnsi="Times New Roman" w:eastAsia="宋体" w:cs="Times New Roman"/>
                <w:color w:val="auto"/>
                <w:sz w:val="21"/>
                <w:szCs w:val="21"/>
                <w:highlight w:val="none"/>
                <w:lang w:val="en-US" w:eastAsia="zh-CN"/>
              </w:rPr>
              <w:t>井场</w:t>
            </w:r>
          </w:p>
          <w:p w14:paraId="20106828">
            <w:pPr>
              <w:pageBreakBefore w:val="0"/>
              <w:widowControl/>
              <w:kinsoku/>
              <w:wordWrap/>
              <w:overflowPunct/>
              <w:topLinePunct w:val="0"/>
              <w:autoSpaceDE/>
              <w:autoSpaceDN/>
              <w:bidi w:val="0"/>
              <w:spacing w:line="30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160" w:type="dxa"/>
            <w:noWrap w:val="0"/>
            <w:vAlign w:val="center"/>
          </w:tcPr>
          <w:p w14:paraId="5A018122">
            <w:pPr>
              <w:pageBreakBefore w:val="0"/>
              <w:widowControl/>
              <w:kinsoku/>
              <w:wordWrap/>
              <w:overflowPunct/>
              <w:topLinePunct w:val="0"/>
              <w:autoSpaceDE/>
              <w:autoSpaceDN/>
              <w:bidi w:val="0"/>
              <w:spacing w:line="300" w:lineRule="exact"/>
              <w:jc w:val="left"/>
              <w:textAlignment w:val="auto"/>
              <w:rPr>
                <w:rFonts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rPr>
              <w:t>柱状样：0-0.5m、0.5-1.5m、1.5-3m</w:t>
            </w:r>
          </w:p>
        </w:tc>
        <w:tc>
          <w:tcPr>
            <w:tcW w:w="2824" w:type="dxa"/>
            <w:noWrap w:val="0"/>
            <w:vAlign w:val="center"/>
          </w:tcPr>
          <w:p w14:paraId="35EC25F0">
            <w:pPr>
              <w:pageBreakBefore w:val="0"/>
              <w:widowControl/>
              <w:kinsoku/>
              <w:wordWrap/>
              <w:overflowPunct/>
              <w:topLinePunct w:val="0"/>
              <w:autoSpaceDE/>
              <w:autoSpaceDN/>
              <w:bidi w:val="0"/>
              <w:spacing w:line="300" w:lineRule="exact"/>
              <w:jc w:val="both"/>
              <w:textAlignment w:val="auto"/>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696928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5F999BE2">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p>
        </w:tc>
        <w:tc>
          <w:tcPr>
            <w:tcW w:w="705" w:type="dxa"/>
            <w:noWrap w:val="0"/>
            <w:vAlign w:val="center"/>
          </w:tcPr>
          <w:p w14:paraId="49051874">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8</w:t>
            </w:r>
          </w:p>
          <w:p w14:paraId="06540218">
            <w:pPr>
              <w:pageBreakBefore w:val="0"/>
              <w:widowControl/>
              <w:kinsoku/>
              <w:wordWrap/>
              <w:overflowPunct/>
              <w:topLinePunct w:val="0"/>
              <w:autoSpaceDE/>
              <w:autoSpaceDN/>
              <w:bidi w:val="0"/>
              <w:spacing w:line="300" w:lineRule="exact"/>
              <w:jc w:val="center"/>
              <w:textAlignment w:val="auto"/>
              <w:rPr>
                <w:rFonts w:hint="default" w:ascii="Times New Roman" w:hAnsi="Times New Roman" w:eastAsia="宋体"/>
                <w:color w:val="auto"/>
                <w:sz w:val="21"/>
                <w:szCs w:val="21"/>
                <w:highlight w:val="none"/>
                <w:lang w:val="en-US" w:eastAsia="zh-CN"/>
              </w:rPr>
            </w:pPr>
          </w:p>
        </w:tc>
        <w:tc>
          <w:tcPr>
            <w:tcW w:w="2205" w:type="dxa"/>
            <w:noWrap w:val="0"/>
            <w:vAlign w:val="center"/>
          </w:tcPr>
          <w:p w14:paraId="539F2839">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TH10250</w:t>
            </w:r>
            <w:r>
              <w:rPr>
                <w:rFonts w:hint="eastAsia"/>
                <w:color w:val="auto"/>
                <w:sz w:val="21"/>
                <w:szCs w:val="21"/>
                <w:highlight w:val="none"/>
                <w:lang w:val="en-US" w:eastAsia="zh-CN"/>
              </w:rPr>
              <w:t>CH</w:t>
            </w:r>
            <w:r>
              <w:rPr>
                <w:rFonts w:hint="eastAsia" w:ascii="Times New Roman" w:hAnsi="Times New Roman" w:eastAsia="宋体" w:cs="Times New Roman"/>
                <w:color w:val="auto"/>
                <w:sz w:val="21"/>
                <w:szCs w:val="21"/>
                <w:highlight w:val="none"/>
                <w:lang w:val="en-US" w:eastAsia="zh-CN"/>
              </w:rPr>
              <w:t>井场</w:t>
            </w:r>
          </w:p>
          <w:p w14:paraId="61D34957">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rPr>
            </w:pPr>
          </w:p>
        </w:tc>
        <w:tc>
          <w:tcPr>
            <w:tcW w:w="2160" w:type="dxa"/>
            <w:noWrap w:val="0"/>
            <w:vAlign w:val="center"/>
          </w:tcPr>
          <w:p w14:paraId="2B901BA4">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柱状样：0-0.5m、0.5-1.5m、1.5-3m</w:t>
            </w:r>
          </w:p>
        </w:tc>
        <w:tc>
          <w:tcPr>
            <w:tcW w:w="2824" w:type="dxa"/>
            <w:noWrap w:val="0"/>
            <w:vAlign w:val="center"/>
          </w:tcPr>
          <w:p w14:paraId="2C49DC45">
            <w:pPr>
              <w:pageBreakBefore w:val="0"/>
              <w:widowControl/>
              <w:kinsoku/>
              <w:wordWrap/>
              <w:overflowPunct/>
              <w:topLinePunct w:val="0"/>
              <w:autoSpaceDE/>
              <w:autoSpaceDN/>
              <w:bidi w:val="0"/>
              <w:spacing w:line="300" w:lineRule="exact"/>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40F39F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07B3B2E5">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70874FF6">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T9</w:t>
            </w:r>
          </w:p>
          <w:p w14:paraId="6CDFCDE3">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2205" w:type="dxa"/>
            <w:noWrap w:val="0"/>
            <w:vAlign w:val="center"/>
          </w:tcPr>
          <w:p w14:paraId="2F9D503A">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TK872</w:t>
            </w:r>
            <w:r>
              <w:rPr>
                <w:rFonts w:hint="eastAsia"/>
                <w:color w:val="auto"/>
                <w:sz w:val="21"/>
                <w:szCs w:val="21"/>
                <w:highlight w:val="none"/>
                <w:lang w:val="en-US" w:eastAsia="zh-CN"/>
              </w:rPr>
              <w:t>CH</w:t>
            </w:r>
            <w:r>
              <w:rPr>
                <w:rFonts w:hint="eastAsia" w:ascii="Times New Roman" w:hAnsi="Times New Roman"/>
                <w:color w:val="auto"/>
                <w:sz w:val="21"/>
                <w:szCs w:val="21"/>
                <w:highlight w:val="none"/>
                <w:lang w:val="en-US" w:eastAsia="zh-CN"/>
              </w:rPr>
              <w:t>井场</w:t>
            </w:r>
          </w:p>
          <w:p w14:paraId="7AA196DF">
            <w:pPr>
              <w:pageBreakBefore w:val="0"/>
              <w:widowControl/>
              <w:kinsoku/>
              <w:wordWrap/>
              <w:overflowPunct/>
              <w:topLinePunct w:val="0"/>
              <w:autoSpaceDE/>
              <w:autoSpaceDN/>
              <w:bidi w:val="0"/>
              <w:spacing w:line="300" w:lineRule="exact"/>
              <w:jc w:val="center"/>
              <w:textAlignment w:val="auto"/>
              <w:rPr>
                <w:rFonts w:hint="default"/>
                <w:color w:val="auto"/>
                <w:sz w:val="21"/>
                <w:szCs w:val="21"/>
                <w:highlight w:val="none"/>
                <w:lang w:val="en-US" w:eastAsia="zh-CN"/>
              </w:rPr>
            </w:pPr>
          </w:p>
        </w:tc>
        <w:tc>
          <w:tcPr>
            <w:tcW w:w="2160" w:type="dxa"/>
            <w:noWrap w:val="0"/>
            <w:vAlign w:val="center"/>
          </w:tcPr>
          <w:p w14:paraId="7820967A">
            <w:pPr>
              <w:pageBreakBefore w:val="0"/>
              <w:widowControl/>
              <w:kinsoku/>
              <w:wordWrap/>
              <w:overflowPunct/>
              <w:topLinePunct w:val="0"/>
              <w:autoSpaceDE/>
              <w:autoSpaceDN/>
              <w:bidi w:val="0"/>
              <w:spacing w:line="300" w:lineRule="exact"/>
              <w:jc w:val="left"/>
              <w:textAlignment w:val="auto"/>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rPr>
              <w:t>柱状样：0-0.5m、0.5-1.5m、1.5-3m</w:t>
            </w:r>
          </w:p>
        </w:tc>
        <w:tc>
          <w:tcPr>
            <w:tcW w:w="2824" w:type="dxa"/>
            <w:noWrap w:val="0"/>
            <w:vAlign w:val="center"/>
          </w:tcPr>
          <w:p w14:paraId="639781F1">
            <w:pPr>
              <w:pageBreakBefore w:val="0"/>
              <w:widowControl/>
              <w:kinsoku/>
              <w:wordWrap/>
              <w:overflowPunct/>
              <w:topLinePunct w:val="0"/>
              <w:autoSpaceDE/>
              <w:autoSpaceDN/>
              <w:bidi w:val="0"/>
              <w:spacing w:line="300" w:lineRule="exact"/>
              <w:jc w:val="both"/>
              <w:textAlignment w:val="auto"/>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5D5BE1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12323604">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48F71974">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T10</w:t>
            </w:r>
          </w:p>
        </w:tc>
        <w:tc>
          <w:tcPr>
            <w:tcW w:w="2205" w:type="dxa"/>
            <w:noWrap w:val="0"/>
            <w:vAlign w:val="center"/>
          </w:tcPr>
          <w:p w14:paraId="5F31C639">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s="Times New Roman"/>
                <w:b w:val="0"/>
                <w:bCs w:val="0"/>
                <w:color w:val="auto"/>
                <w:sz w:val="21"/>
                <w:szCs w:val="21"/>
                <w:highlight w:val="none"/>
                <w:u w:val="none"/>
                <w:vertAlign w:val="baseline"/>
                <w:lang w:val="en-US" w:eastAsia="zh-CN"/>
              </w:rPr>
            </w:pPr>
            <w:r>
              <w:rPr>
                <w:rFonts w:hint="eastAsia" w:hAnsi="宋体" w:cs="仿宋"/>
                <w:color w:val="auto"/>
                <w:spacing w:val="-20"/>
                <w:sz w:val="21"/>
                <w:szCs w:val="21"/>
                <w:highlight w:val="none"/>
              </w:rPr>
              <w:t>TH102117X井管线接口处</w:t>
            </w:r>
          </w:p>
        </w:tc>
        <w:tc>
          <w:tcPr>
            <w:tcW w:w="2160" w:type="dxa"/>
            <w:noWrap w:val="0"/>
            <w:vAlign w:val="center"/>
          </w:tcPr>
          <w:p w14:paraId="1F897613">
            <w:pPr>
              <w:pageBreakBefore w:val="0"/>
              <w:widowControl/>
              <w:kinsoku/>
              <w:wordWrap/>
              <w:overflowPunct/>
              <w:topLinePunct w:val="0"/>
              <w:autoSpaceDE/>
              <w:autoSpaceDN/>
              <w:bidi w:val="0"/>
              <w:spacing w:line="300" w:lineRule="exact"/>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柱状样：0-0.5m、0.5-1.5m、1.5-3m</w:t>
            </w:r>
          </w:p>
        </w:tc>
        <w:tc>
          <w:tcPr>
            <w:tcW w:w="2824" w:type="dxa"/>
            <w:noWrap w:val="0"/>
            <w:vAlign w:val="center"/>
          </w:tcPr>
          <w:p w14:paraId="3D6A57AB">
            <w:pPr>
              <w:pageBreakBefore w:val="0"/>
              <w:widowControl/>
              <w:kinsoku/>
              <w:wordWrap/>
              <w:overflowPunct/>
              <w:topLinePunct w:val="0"/>
              <w:autoSpaceDE/>
              <w:autoSpaceDN/>
              <w:bidi w:val="0"/>
              <w:spacing w:line="30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216634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87" w:hRule="atLeast"/>
          <w:jc w:val="center"/>
        </w:trPr>
        <w:tc>
          <w:tcPr>
            <w:tcW w:w="904" w:type="dxa"/>
            <w:vMerge w:val="restart"/>
            <w:noWrap w:val="0"/>
            <w:vAlign w:val="center"/>
          </w:tcPr>
          <w:p w14:paraId="06215C04">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占地范围外</w:t>
            </w:r>
          </w:p>
        </w:tc>
        <w:tc>
          <w:tcPr>
            <w:tcW w:w="705" w:type="dxa"/>
            <w:noWrap w:val="0"/>
            <w:vAlign w:val="center"/>
          </w:tcPr>
          <w:p w14:paraId="0AAD558B">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T11</w:t>
            </w:r>
          </w:p>
        </w:tc>
        <w:tc>
          <w:tcPr>
            <w:tcW w:w="2205" w:type="dxa"/>
            <w:noWrap w:val="0"/>
            <w:vAlign w:val="center"/>
          </w:tcPr>
          <w:p w14:paraId="654BB6C0">
            <w:pPr>
              <w:pageBreakBefore w:val="0"/>
              <w:widowControl/>
              <w:kinsoku/>
              <w:wordWrap/>
              <w:overflowPunct/>
              <w:topLinePunct w:val="0"/>
              <w:autoSpaceDE/>
              <w:autoSpaceDN/>
              <w:bidi w:val="0"/>
              <w:spacing w:line="300" w:lineRule="exact"/>
              <w:jc w:val="center"/>
              <w:textAlignment w:val="auto"/>
              <w:rPr>
                <w:rFonts w:hint="default"/>
                <w:color w:val="auto"/>
                <w:sz w:val="21"/>
                <w:szCs w:val="21"/>
                <w:highlight w:val="none"/>
                <w:lang w:val="en-US" w:eastAsia="zh-CN"/>
              </w:rPr>
            </w:pPr>
            <w:r>
              <w:rPr>
                <w:rFonts w:hint="eastAsia" w:ascii="Times New Roman" w:hAnsi="Times New Roman"/>
                <w:color w:val="auto"/>
                <w:sz w:val="21"/>
                <w:szCs w:val="21"/>
                <w:highlight w:val="none"/>
                <w:lang w:val="en-US" w:eastAsia="zh-CN"/>
              </w:rPr>
              <w:t>TH10298</w:t>
            </w:r>
            <w:r>
              <w:rPr>
                <w:rFonts w:hint="eastAsia"/>
                <w:color w:val="auto"/>
                <w:sz w:val="21"/>
                <w:szCs w:val="21"/>
                <w:highlight w:val="none"/>
                <w:lang w:val="en-US" w:eastAsia="zh-CN"/>
              </w:rPr>
              <w:t>CH</w:t>
            </w:r>
            <w:r>
              <w:rPr>
                <w:rFonts w:hint="eastAsia" w:ascii="Times New Roman" w:hAnsi="Times New Roman" w:eastAsia="宋体" w:cs="Times New Roman"/>
                <w:color w:val="auto"/>
                <w:sz w:val="21"/>
                <w:szCs w:val="21"/>
                <w:highlight w:val="none"/>
                <w:lang w:val="en-US" w:eastAsia="zh-CN"/>
              </w:rPr>
              <w:t>井场</w:t>
            </w:r>
            <w:r>
              <w:rPr>
                <w:rFonts w:hint="eastAsia" w:ascii="Times New Roman" w:hAnsi="Times New Roman"/>
                <w:color w:val="auto"/>
                <w:sz w:val="21"/>
                <w:szCs w:val="21"/>
                <w:highlight w:val="none"/>
                <w:lang w:val="en-US" w:eastAsia="zh-CN"/>
              </w:rPr>
              <w:t>外北侧200m、（草地）</w:t>
            </w:r>
          </w:p>
        </w:tc>
        <w:tc>
          <w:tcPr>
            <w:tcW w:w="2160" w:type="dxa"/>
            <w:noWrap w:val="0"/>
            <w:vAlign w:val="center"/>
          </w:tcPr>
          <w:p w14:paraId="2E712A42">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表层样：0-0.2m；</w:t>
            </w:r>
          </w:p>
          <w:p w14:paraId="62D63A82">
            <w:pPr>
              <w:pageBreakBefore w:val="0"/>
              <w:widowControl/>
              <w:kinsoku/>
              <w:wordWrap/>
              <w:overflowPunct/>
              <w:topLinePunct w:val="0"/>
              <w:autoSpaceDE/>
              <w:autoSpaceDN/>
              <w:bidi w:val="0"/>
              <w:spacing w:line="300" w:lineRule="exact"/>
              <w:jc w:val="left"/>
              <w:textAlignment w:val="auto"/>
              <w:rPr>
                <w:rFonts w:hint="eastAsia" w:ascii="Times New Roman" w:hAnsi="Times New Roman" w:eastAsia="宋体"/>
                <w:color w:val="auto"/>
                <w:kern w:val="2"/>
                <w:sz w:val="21"/>
                <w:szCs w:val="21"/>
                <w:highlight w:val="none"/>
                <w:lang w:val="en-US" w:eastAsia="zh-CN" w:bidi="ar-SA"/>
              </w:rPr>
            </w:pPr>
          </w:p>
        </w:tc>
        <w:tc>
          <w:tcPr>
            <w:tcW w:w="2824" w:type="dxa"/>
            <w:noWrap w:val="0"/>
            <w:vAlign w:val="center"/>
          </w:tcPr>
          <w:p w14:paraId="7B2F6868">
            <w:pPr>
              <w:pStyle w:val="52"/>
              <w:pageBreakBefore w:val="0"/>
              <w:widowControl/>
              <w:kinsoku/>
              <w:wordWrap/>
              <w:overflowPunct/>
              <w:topLinePunct w:val="0"/>
              <w:autoSpaceDE/>
              <w:autoSpaceDN/>
              <w:bidi w:val="0"/>
              <w:spacing w:line="300" w:lineRule="exact"/>
              <w:textAlignment w:val="auto"/>
              <w:rPr>
                <w:rFonts w:hint="eastAsia" w:ascii="Calibri" w:hAnsi="Calibri" w:eastAsia="宋体" w:cs="Times New Roman"/>
                <w:color w:val="auto"/>
                <w:kern w:val="2"/>
                <w:sz w:val="21"/>
                <w:szCs w:val="21"/>
                <w:highlight w:val="none"/>
                <w:lang w:val="en-US" w:eastAsia="zh-CN" w:bidi="ar-SA"/>
              </w:rPr>
            </w:pPr>
            <w:r>
              <w:rPr>
                <w:rFonts w:hint="eastAsia"/>
                <w:color w:val="auto"/>
                <w:sz w:val="21"/>
                <w:szCs w:val="21"/>
                <w:highlight w:val="none"/>
              </w:rPr>
              <w:t>pH、</w:t>
            </w:r>
            <w:r>
              <w:rPr>
                <w:color w:val="auto"/>
                <w:sz w:val="21"/>
                <w:szCs w:val="21"/>
                <w:highlight w:val="none"/>
              </w:rPr>
              <w:t>镉、汞、砷、铅、铬、铜、镍、锌、</w:t>
            </w:r>
            <w:r>
              <w:rPr>
                <w:rFonts w:hint="eastAsia"/>
                <w:color w:val="auto"/>
                <w:sz w:val="21"/>
                <w:szCs w:val="21"/>
                <w:highlight w:val="none"/>
                <w:lang w:val="en-US" w:eastAsia="zh-CN"/>
              </w:rPr>
              <w:t>全盐量</w:t>
            </w:r>
            <w:r>
              <w:rPr>
                <w:rFonts w:hint="eastAsia"/>
                <w:color w:val="auto"/>
                <w:sz w:val="21"/>
                <w:szCs w:val="21"/>
                <w:highlight w:val="none"/>
              </w:rPr>
              <w:t>、石油烃</w:t>
            </w:r>
          </w:p>
        </w:tc>
      </w:tr>
      <w:tr w14:paraId="22F7DA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5DDE42D8">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4132DB6A">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T12</w:t>
            </w:r>
          </w:p>
        </w:tc>
        <w:tc>
          <w:tcPr>
            <w:tcW w:w="2205" w:type="dxa"/>
            <w:noWrap w:val="0"/>
            <w:vAlign w:val="center"/>
          </w:tcPr>
          <w:p w14:paraId="2C08BFFB">
            <w:pPr>
              <w:pageBreakBefore w:val="0"/>
              <w:widowControl/>
              <w:kinsoku/>
              <w:wordWrap/>
              <w:overflowPunct/>
              <w:topLinePunct w:val="0"/>
              <w:autoSpaceDE/>
              <w:autoSpaceDN/>
              <w:bidi w:val="0"/>
              <w:spacing w:line="300" w:lineRule="exact"/>
              <w:jc w:val="center"/>
              <w:textAlignment w:val="auto"/>
              <w:rPr>
                <w:rFonts w:hint="eastAsia" w:ascii="宋体" w:hAnsi="Calibri" w:eastAsia="宋体"/>
                <w:bCs/>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TH10294</w:t>
            </w:r>
            <w:r>
              <w:rPr>
                <w:rFonts w:hint="eastAsia"/>
                <w:color w:val="auto"/>
                <w:sz w:val="21"/>
                <w:szCs w:val="21"/>
                <w:highlight w:val="none"/>
                <w:lang w:val="en-US" w:eastAsia="zh-CN"/>
              </w:rPr>
              <w:t>CH</w:t>
            </w:r>
            <w:r>
              <w:rPr>
                <w:rFonts w:hint="eastAsia" w:ascii="Times New Roman" w:hAnsi="Times New Roman"/>
                <w:color w:val="auto"/>
                <w:sz w:val="21"/>
                <w:szCs w:val="21"/>
                <w:highlight w:val="none"/>
                <w:lang w:val="en-US" w:eastAsia="zh-CN"/>
              </w:rPr>
              <w:t>井场外南侧200m、（草地）</w:t>
            </w:r>
          </w:p>
        </w:tc>
        <w:tc>
          <w:tcPr>
            <w:tcW w:w="2160" w:type="dxa"/>
            <w:noWrap w:val="0"/>
            <w:vAlign w:val="center"/>
          </w:tcPr>
          <w:p w14:paraId="175C4E01">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表层样：0-0.2m；</w:t>
            </w:r>
          </w:p>
          <w:p w14:paraId="2C3AEA8B">
            <w:pPr>
              <w:pageBreakBefore w:val="0"/>
              <w:widowControl/>
              <w:kinsoku/>
              <w:wordWrap/>
              <w:overflowPunct/>
              <w:topLinePunct w:val="0"/>
              <w:autoSpaceDE/>
              <w:autoSpaceDN/>
              <w:bidi w:val="0"/>
              <w:spacing w:line="300" w:lineRule="exact"/>
              <w:jc w:val="left"/>
              <w:textAlignment w:val="auto"/>
              <w:rPr>
                <w:rFonts w:hint="eastAsia" w:ascii="Times New Roman" w:hAnsi="Times New Roman" w:eastAsia="宋体"/>
                <w:color w:val="auto"/>
                <w:kern w:val="2"/>
                <w:sz w:val="21"/>
                <w:szCs w:val="21"/>
                <w:highlight w:val="none"/>
                <w:lang w:val="en-US" w:eastAsia="zh-CN" w:bidi="ar-SA"/>
              </w:rPr>
            </w:pPr>
          </w:p>
        </w:tc>
        <w:tc>
          <w:tcPr>
            <w:tcW w:w="2824" w:type="dxa"/>
            <w:noWrap w:val="0"/>
            <w:vAlign w:val="center"/>
          </w:tcPr>
          <w:p w14:paraId="53D1B366">
            <w:pPr>
              <w:pStyle w:val="52"/>
              <w:pageBreakBefore w:val="0"/>
              <w:widowControl/>
              <w:kinsoku/>
              <w:wordWrap/>
              <w:overflowPunct/>
              <w:topLinePunct w:val="0"/>
              <w:autoSpaceDE/>
              <w:autoSpaceDN/>
              <w:bidi w:val="0"/>
              <w:spacing w:line="300" w:lineRule="exact"/>
              <w:textAlignment w:val="auto"/>
              <w:rPr>
                <w:rFonts w:hint="eastAsia" w:ascii="Calibri" w:hAnsi="Calibri" w:eastAsia="宋体" w:cs="Calibri"/>
                <w:color w:val="auto"/>
                <w:kern w:val="2"/>
                <w:sz w:val="21"/>
                <w:szCs w:val="21"/>
                <w:highlight w:val="none"/>
                <w:lang w:val="en-US" w:eastAsia="zh-CN" w:bidi="ar-SA"/>
              </w:rPr>
            </w:pPr>
            <w:r>
              <w:rPr>
                <w:rFonts w:hint="eastAsia" w:ascii="TimesNewRomanPSMT" w:hAnsi="TimesNewRomanPSMT" w:eastAsia="TimesNewRomanPSMT"/>
                <w:color w:val="auto"/>
                <w:sz w:val="21"/>
                <w:szCs w:val="21"/>
                <w:highlight w:val="none"/>
              </w:rPr>
              <w:t>pH</w:t>
            </w:r>
            <w:r>
              <w:rPr>
                <w:rFonts w:hint="eastAsia" w:ascii="宋体" w:hAnsi="宋体" w:eastAsia="宋体"/>
                <w:color w:val="auto"/>
                <w:sz w:val="21"/>
                <w:szCs w:val="21"/>
                <w:highlight w:val="none"/>
              </w:rPr>
              <w:t>、</w:t>
            </w:r>
            <w:r>
              <w:rPr>
                <w:rFonts w:hint="eastAsia" w:ascii="宋体" w:hAnsi="宋体"/>
                <w:color w:val="auto"/>
                <w:sz w:val="21"/>
                <w:szCs w:val="21"/>
                <w:highlight w:val="none"/>
                <w:lang w:val="en-US" w:eastAsia="zh-CN"/>
              </w:rPr>
              <w:t>全盐量、</w:t>
            </w:r>
            <w:r>
              <w:rPr>
                <w:rFonts w:hint="eastAsia" w:ascii="Times New Roman" w:hAnsi="Times New Roman"/>
                <w:color w:val="auto"/>
                <w:sz w:val="21"/>
                <w:szCs w:val="21"/>
                <w:highlight w:val="none"/>
                <w:lang w:val="en-US" w:eastAsia="zh-CN"/>
              </w:rPr>
              <w:t>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337EE4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1F1F6B4E">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39DBDA59">
            <w:pPr>
              <w:pageBreakBefore w:val="0"/>
              <w:widowControl/>
              <w:kinsoku/>
              <w:wordWrap/>
              <w:overflowPunct/>
              <w:topLinePunct w:val="0"/>
              <w:autoSpaceDE/>
              <w:autoSpaceDN/>
              <w:bidi w:val="0"/>
              <w:spacing w:line="300" w:lineRule="exact"/>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T13</w:t>
            </w:r>
          </w:p>
        </w:tc>
        <w:tc>
          <w:tcPr>
            <w:tcW w:w="2205" w:type="dxa"/>
            <w:noWrap w:val="0"/>
            <w:vAlign w:val="center"/>
          </w:tcPr>
          <w:p w14:paraId="794D4000">
            <w:pPr>
              <w:pageBreakBefore w:val="0"/>
              <w:widowControl/>
              <w:kinsoku/>
              <w:wordWrap/>
              <w:overflowPunct/>
              <w:topLinePunct w:val="0"/>
              <w:autoSpaceDE/>
              <w:autoSpaceDN/>
              <w:bidi w:val="0"/>
              <w:spacing w:line="300" w:lineRule="exact"/>
              <w:jc w:val="center"/>
              <w:textAlignment w:val="auto"/>
              <w:rPr>
                <w:color w:val="auto"/>
                <w:sz w:val="21"/>
                <w:szCs w:val="21"/>
                <w:highlight w:val="none"/>
              </w:rPr>
            </w:pPr>
            <w:r>
              <w:rPr>
                <w:rFonts w:hint="eastAsia" w:ascii="Times New Roman" w:hAnsi="Times New Roman"/>
                <w:color w:val="auto"/>
                <w:sz w:val="21"/>
                <w:szCs w:val="21"/>
                <w:highlight w:val="none"/>
                <w:lang w:val="en-US" w:eastAsia="zh-CN"/>
              </w:rPr>
              <w:t>TH10250</w:t>
            </w:r>
            <w:r>
              <w:rPr>
                <w:rFonts w:hint="eastAsia"/>
                <w:color w:val="auto"/>
                <w:sz w:val="21"/>
                <w:szCs w:val="21"/>
                <w:highlight w:val="none"/>
                <w:lang w:val="en-US" w:eastAsia="zh-CN"/>
              </w:rPr>
              <w:t>CH</w:t>
            </w:r>
            <w:r>
              <w:rPr>
                <w:rFonts w:hint="eastAsia" w:ascii="Times New Roman" w:hAnsi="Times New Roman"/>
                <w:color w:val="auto"/>
                <w:sz w:val="21"/>
                <w:szCs w:val="21"/>
                <w:highlight w:val="none"/>
                <w:lang w:val="en-US" w:eastAsia="zh-CN"/>
              </w:rPr>
              <w:t>井场外东北侧200m（林地）</w:t>
            </w:r>
          </w:p>
        </w:tc>
        <w:tc>
          <w:tcPr>
            <w:tcW w:w="2160" w:type="dxa"/>
            <w:noWrap w:val="0"/>
            <w:vAlign w:val="center"/>
          </w:tcPr>
          <w:p w14:paraId="6EA9BC0B">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表层样：0-0.2m；</w:t>
            </w:r>
          </w:p>
          <w:p w14:paraId="07F69F79">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监测1次</w:t>
            </w:r>
          </w:p>
        </w:tc>
        <w:tc>
          <w:tcPr>
            <w:tcW w:w="2824" w:type="dxa"/>
            <w:noWrap w:val="0"/>
            <w:vAlign w:val="center"/>
          </w:tcPr>
          <w:p w14:paraId="1903BB42">
            <w:pPr>
              <w:pageBreakBefore w:val="0"/>
              <w:widowControl/>
              <w:kinsoku/>
              <w:wordWrap/>
              <w:overflowPunct/>
              <w:topLinePunct w:val="0"/>
              <w:autoSpaceDE/>
              <w:autoSpaceDN/>
              <w:bidi w:val="0"/>
              <w:spacing w:line="300" w:lineRule="exact"/>
              <w:jc w:val="both"/>
              <w:textAlignment w:val="auto"/>
              <w:rPr>
                <w:rFonts w:hint="eastAsia" w:ascii="Times New Roman" w:hAnsi="Times New Roman"/>
                <w:color w:val="auto"/>
                <w:sz w:val="21"/>
                <w:szCs w:val="21"/>
                <w:highlight w:val="none"/>
              </w:rPr>
            </w:pPr>
            <w:r>
              <w:rPr>
                <w:rFonts w:hint="eastAsia" w:ascii="TimesNewRomanPSMT" w:hAnsi="TimesNewRomanPSMT" w:eastAsia="TimesNewRomanPSMT"/>
                <w:color w:val="auto"/>
                <w:sz w:val="21"/>
                <w:szCs w:val="21"/>
                <w:highlight w:val="none"/>
              </w:rPr>
              <w:t>pH</w:t>
            </w:r>
            <w:r>
              <w:rPr>
                <w:rFonts w:hint="eastAsia" w:ascii="宋体" w:hAnsi="宋体" w:eastAsia="宋体"/>
                <w:color w:val="auto"/>
                <w:sz w:val="21"/>
                <w:szCs w:val="21"/>
                <w:highlight w:val="none"/>
              </w:rPr>
              <w:t>、</w:t>
            </w:r>
            <w:r>
              <w:rPr>
                <w:rFonts w:hint="eastAsia" w:ascii="宋体" w:hAnsi="宋体"/>
                <w:color w:val="auto"/>
                <w:sz w:val="21"/>
                <w:szCs w:val="21"/>
                <w:highlight w:val="none"/>
                <w:lang w:val="en-US" w:eastAsia="zh-CN"/>
              </w:rPr>
              <w:t>全盐量、</w:t>
            </w:r>
            <w:r>
              <w:rPr>
                <w:rFonts w:hint="eastAsia" w:ascii="Times New Roman" w:hAnsi="Times New Roman"/>
                <w:color w:val="auto"/>
                <w:sz w:val="21"/>
                <w:szCs w:val="21"/>
                <w:highlight w:val="none"/>
                <w:lang w:val="en-US" w:eastAsia="zh-CN"/>
              </w:rPr>
              <w:t>石油烃（C</w:t>
            </w:r>
            <w:r>
              <w:rPr>
                <w:rFonts w:hint="eastAsia" w:ascii="Times New Roman" w:hAnsi="Times New Roman"/>
                <w:color w:val="auto"/>
                <w:sz w:val="21"/>
                <w:szCs w:val="21"/>
                <w:highlight w:val="none"/>
                <w:vertAlign w:val="subscript"/>
                <w:lang w:val="en-US" w:eastAsia="zh-CN"/>
              </w:rPr>
              <w:t>10</w:t>
            </w:r>
            <w:r>
              <w:rPr>
                <w:rFonts w:hint="eastAsia" w:ascii="Times New Roman" w:hAnsi="Times New Roman"/>
                <w:color w:val="auto"/>
                <w:sz w:val="21"/>
                <w:szCs w:val="21"/>
                <w:highlight w:val="none"/>
                <w:lang w:val="en-US" w:eastAsia="zh-CN"/>
              </w:rPr>
              <w:t>~C</w:t>
            </w:r>
            <w:r>
              <w:rPr>
                <w:rFonts w:hint="eastAsia" w:ascii="Times New Roman" w:hAnsi="Times New Roman"/>
                <w:color w:val="auto"/>
                <w:sz w:val="21"/>
                <w:szCs w:val="21"/>
                <w:highlight w:val="none"/>
                <w:vertAlign w:val="subscript"/>
                <w:lang w:val="en-US" w:eastAsia="zh-CN"/>
              </w:rPr>
              <w:t>40</w:t>
            </w:r>
            <w:r>
              <w:rPr>
                <w:rFonts w:hint="eastAsia" w:ascii="Times New Roman" w:hAnsi="Times New Roman"/>
                <w:color w:val="auto"/>
                <w:sz w:val="21"/>
                <w:szCs w:val="21"/>
                <w:highlight w:val="none"/>
                <w:lang w:val="en-US" w:eastAsia="zh-CN"/>
              </w:rPr>
              <w:t>）</w:t>
            </w:r>
          </w:p>
        </w:tc>
      </w:tr>
      <w:tr w14:paraId="33EA4F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603AA6EA">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46F02EAD">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T14</w:t>
            </w:r>
          </w:p>
        </w:tc>
        <w:tc>
          <w:tcPr>
            <w:tcW w:w="2205" w:type="dxa"/>
            <w:noWrap w:val="0"/>
            <w:vAlign w:val="center"/>
          </w:tcPr>
          <w:p w14:paraId="5486FC6D">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TK872</w:t>
            </w:r>
            <w:r>
              <w:rPr>
                <w:rFonts w:hint="eastAsia"/>
                <w:color w:val="auto"/>
                <w:sz w:val="21"/>
                <w:szCs w:val="21"/>
                <w:highlight w:val="none"/>
                <w:lang w:val="en-US" w:eastAsia="zh-CN"/>
              </w:rPr>
              <w:t>CH</w:t>
            </w:r>
            <w:r>
              <w:rPr>
                <w:rFonts w:hint="eastAsia" w:ascii="Times New Roman" w:hAnsi="Times New Roman"/>
                <w:color w:val="auto"/>
                <w:sz w:val="21"/>
                <w:szCs w:val="21"/>
                <w:highlight w:val="none"/>
                <w:lang w:val="en-US" w:eastAsia="zh-CN"/>
              </w:rPr>
              <w:t>井场外西侧200m、（农田）</w:t>
            </w:r>
          </w:p>
        </w:tc>
        <w:tc>
          <w:tcPr>
            <w:tcW w:w="2160" w:type="dxa"/>
            <w:noWrap w:val="0"/>
            <w:vAlign w:val="center"/>
          </w:tcPr>
          <w:p w14:paraId="245C7933">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表层样：0-0.2m；</w:t>
            </w:r>
          </w:p>
          <w:p w14:paraId="7DBE5059">
            <w:pPr>
              <w:pageBreakBefore w:val="0"/>
              <w:widowControl/>
              <w:kinsoku/>
              <w:wordWrap/>
              <w:overflowPunct/>
              <w:topLinePunct w:val="0"/>
              <w:autoSpaceDE/>
              <w:autoSpaceDN/>
              <w:bidi w:val="0"/>
              <w:spacing w:line="300" w:lineRule="exact"/>
              <w:jc w:val="left"/>
              <w:textAlignment w:val="auto"/>
              <w:rPr>
                <w:rFonts w:hint="eastAsia" w:ascii="Times New Roman" w:hAnsi="Times New Roman" w:eastAsia="宋体" w:cs="Times New Roman"/>
                <w:color w:val="auto"/>
                <w:kern w:val="2"/>
                <w:sz w:val="21"/>
                <w:szCs w:val="21"/>
                <w:highlight w:val="none"/>
                <w:lang w:val="en-US" w:eastAsia="zh-CN" w:bidi="ar-SA"/>
              </w:rPr>
            </w:pPr>
          </w:p>
        </w:tc>
        <w:tc>
          <w:tcPr>
            <w:tcW w:w="2824" w:type="dxa"/>
            <w:noWrap w:val="0"/>
            <w:vAlign w:val="center"/>
          </w:tcPr>
          <w:p w14:paraId="4546DF97">
            <w:pPr>
              <w:pageBreakBefore w:val="0"/>
              <w:widowControl/>
              <w:kinsoku/>
              <w:wordWrap/>
              <w:overflowPunct/>
              <w:topLinePunct w:val="0"/>
              <w:autoSpaceDE/>
              <w:autoSpaceDN/>
              <w:bidi w:val="0"/>
              <w:spacing w:line="300" w:lineRule="exact"/>
              <w:jc w:val="both"/>
              <w:textAlignment w:val="auto"/>
              <w:rPr>
                <w:rFonts w:hint="eastAsia" w:ascii="TimesNewRomanPSMT" w:hAnsi="TimesNewRomanPSMT" w:eastAsia="TimesNewRomanPSMT" w:cs="Times New Roman"/>
                <w:color w:val="auto"/>
                <w:kern w:val="2"/>
                <w:sz w:val="21"/>
                <w:szCs w:val="21"/>
                <w:highlight w:val="none"/>
                <w:lang w:val="en-US" w:eastAsia="zh-CN" w:bidi="ar-SA"/>
              </w:rPr>
            </w:pPr>
            <w:r>
              <w:rPr>
                <w:rFonts w:hint="eastAsia" w:ascii="TimesNewRomanPSMT" w:hAnsi="TimesNewRomanPSMT" w:eastAsia="TimesNewRomanPSMT"/>
                <w:color w:val="auto"/>
                <w:sz w:val="21"/>
                <w:szCs w:val="21"/>
                <w:highlight w:val="none"/>
              </w:rPr>
              <w:t>pH</w:t>
            </w:r>
            <w:r>
              <w:rPr>
                <w:rFonts w:hint="eastAsia" w:ascii="宋体" w:hAnsi="宋体" w:eastAsia="宋体"/>
                <w:color w:val="auto"/>
                <w:sz w:val="21"/>
                <w:szCs w:val="21"/>
                <w:highlight w:val="none"/>
              </w:rPr>
              <w:t>、</w:t>
            </w:r>
            <w:r>
              <w:rPr>
                <w:rFonts w:hint="eastAsia" w:ascii="宋体" w:hAnsi="宋体"/>
                <w:color w:val="auto"/>
                <w:sz w:val="21"/>
                <w:szCs w:val="21"/>
                <w:highlight w:val="none"/>
                <w:lang w:val="en-US" w:eastAsia="zh-CN"/>
              </w:rPr>
              <w:t>全盐量</w:t>
            </w:r>
          </w:p>
        </w:tc>
      </w:tr>
      <w:tr w14:paraId="67FEF1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024267C9">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1C5AE5A5">
            <w:pPr>
              <w:pageBreakBefore w:val="0"/>
              <w:widowControl/>
              <w:kinsoku/>
              <w:wordWrap/>
              <w:overflowPunct/>
              <w:topLinePunct w:val="0"/>
              <w:autoSpaceDE/>
              <w:autoSpaceDN/>
              <w:bidi w:val="0"/>
              <w:spacing w:line="300" w:lineRule="exact"/>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T15</w:t>
            </w:r>
          </w:p>
        </w:tc>
        <w:tc>
          <w:tcPr>
            <w:tcW w:w="2205" w:type="dxa"/>
            <w:noWrap w:val="0"/>
            <w:vAlign w:val="center"/>
          </w:tcPr>
          <w:p w14:paraId="77CEE8EC">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TH102117X井至T707CH集输管道侧向200m</w:t>
            </w:r>
          </w:p>
        </w:tc>
        <w:tc>
          <w:tcPr>
            <w:tcW w:w="2160" w:type="dxa"/>
            <w:noWrap w:val="0"/>
            <w:vAlign w:val="center"/>
          </w:tcPr>
          <w:p w14:paraId="496569A4">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表层样：0-0.2m；</w:t>
            </w:r>
          </w:p>
          <w:p w14:paraId="637AE984">
            <w:pPr>
              <w:pageBreakBefore w:val="0"/>
              <w:widowControl/>
              <w:kinsoku/>
              <w:wordWrap/>
              <w:overflowPunct/>
              <w:topLinePunct w:val="0"/>
              <w:autoSpaceDE/>
              <w:autoSpaceDN/>
              <w:bidi w:val="0"/>
              <w:spacing w:line="300" w:lineRule="exact"/>
              <w:jc w:val="left"/>
              <w:textAlignment w:val="auto"/>
              <w:rPr>
                <w:rFonts w:hint="eastAsia" w:ascii="Times New Roman" w:hAnsi="Times New Roman"/>
                <w:color w:val="auto"/>
                <w:sz w:val="21"/>
                <w:szCs w:val="21"/>
                <w:highlight w:val="none"/>
              </w:rPr>
            </w:pPr>
          </w:p>
        </w:tc>
        <w:tc>
          <w:tcPr>
            <w:tcW w:w="2824" w:type="dxa"/>
            <w:noWrap w:val="0"/>
            <w:vAlign w:val="center"/>
          </w:tcPr>
          <w:p w14:paraId="3C0A0226">
            <w:pPr>
              <w:pageBreakBefore w:val="0"/>
              <w:widowControl/>
              <w:kinsoku/>
              <w:wordWrap/>
              <w:overflowPunct/>
              <w:topLinePunct w:val="0"/>
              <w:autoSpaceDE/>
              <w:autoSpaceDN/>
              <w:bidi w:val="0"/>
              <w:spacing w:line="300" w:lineRule="exact"/>
              <w:jc w:val="both"/>
              <w:textAlignment w:val="auto"/>
              <w:rPr>
                <w:rFonts w:hint="eastAsia" w:ascii="TimesNewRomanPSMT" w:hAnsi="TimesNewRomanPSMT" w:eastAsia="TimesNewRomanPSMT"/>
                <w:color w:val="auto"/>
                <w:sz w:val="21"/>
                <w:szCs w:val="21"/>
                <w:highlight w:val="none"/>
              </w:rPr>
            </w:pPr>
            <w:r>
              <w:rPr>
                <w:rFonts w:hint="eastAsia" w:ascii="TimesNewRomanPSMT" w:hAnsi="TimesNewRomanPSMT" w:eastAsia="TimesNewRomanPSMT"/>
                <w:color w:val="auto"/>
                <w:sz w:val="21"/>
                <w:szCs w:val="21"/>
                <w:highlight w:val="none"/>
              </w:rPr>
              <w:t>pH</w:t>
            </w:r>
            <w:r>
              <w:rPr>
                <w:rFonts w:hint="eastAsia" w:ascii="宋体" w:hAnsi="宋体" w:eastAsia="宋体"/>
                <w:color w:val="auto"/>
                <w:sz w:val="21"/>
                <w:szCs w:val="21"/>
                <w:highlight w:val="none"/>
              </w:rPr>
              <w:t>、</w:t>
            </w:r>
            <w:r>
              <w:rPr>
                <w:rFonts w:hint="eastAsia" w:ascii="宋体" w:hAnsi="宋体"/>
                <w:color w:val="auto"/>
                <w:sz w:val="21"/>
                <w:szCs w:val="21"/>
                <w:highlight w:val="none"/>
                <w:lang w:val="en-US" w:eastAsia="zh-CN"/>
              </w:rPr>
              <w:t>全盐量</w:t>
            </w:r>
          </w:p>
        </w:tc>
      </w:tr>
      <w:tr w14:paraId="5B898B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904" w:type="dxa"/>
            <w:vMerge w:val="continue"/>
            <w:noWrap w:val="0"/>
            <w:vAlign w:val="center"/>
          </w:tcPr>
          <w:p w14:paraId="71D9B720">
            <w:pPr>
              <w:pageBreakBefore w:val="0"/>
              <w:widowControl/>
              <w:kinsoku/>
              <w:wordWrap/>
              <w:overflowPunct/>
              <w:topLinePunct w:val="0"/>
              <w:autoSpaceDE/>
              <w:autoSpaceDN/>
              <w:bidi w:val="0"/>
              <w:spacing w:line="300" w:lineRule="exact"/>
              <w:jc w:val="center"/>
              <w:textAlignment w:val="auto"/>
              <w:rPr>
                <w:rFonts w:hint="eastAsia" w:ascii="Times New Roman" w:hAnsi="Times New Roman"/>
                <w:color w:val="auto"/>
                <w:sz w:val="21"/>
                <w:szCs w:val="21"/>
                <w:highlight w:val="none"/>
                <w:lang w:val="en-US" w:eastAsia="zh-CN"/>
              </w:rPr>
            </w:pPr>
          </w:p>
        </w:tc>
        <w:tc>
          <w:tcPr>
            <w:tcW w:w="705" w:type="dxa"/>
            <w:noWrap w:val="0"/>
            <w:vAlign w:val="center"/>
          </w:tcPr>
          <w:p w14:paraId="5891B666">
            <w:pPr>
              <w:pageBreakBefore w:val="0"/>
              <w:widowControl/>
              <w:kinsoku/>
              <w:wordWrap/>
              <w:overflowPunct/>
              <w:topLinePunct w:val="0"/>
              <w:autoSpaceDE/>
              <w:autoSpaceDN/>
              <w:bidi w:val="0"/>
              <w:spacing w:line="300" w:lineRule="exact"/>
              <w:jc w:val="center"/>
              <w:textAlignment w:val="auto"/>
              <w:rPr>
                <w:rFonts w:hint="default" w:ascii="Times New Roman" w:hAnsi="Times New Roman"/>
                <w:b w:val="0"/>
                <w:bCs w:val="0"/>
                <w:color w:val="auto"/>
                <w:sz w:val="21"/>
                <w:szCs w:val="21"/>
                <w:highlight w:val="none"/>
                <w:lang w:val="en-US" w:eastAsia="zh-CN"/>
              </w:rPr>
            </w:pPr>
            <w:r>
              <w:rPr>
                <w:rFonts w:hint="eastAsia"/>
                <w:b w:val="0"/>
                <w:bCs w:val="0"/>
                <w:color w:val="auto"/>
                <w:sz w:val="21"/>
                <w:szCs w:val="21"/>
                <w:highlight w:val="none"/>
                <w:lang w:val="en-US" w:eastAsia="zh-CN"/>
              </w:rPr>
              <w:t>T16</w:t>
            </w:r>
          </w:p>
        </w:tc>
        <w:tc>
          <w:tcPr>
            <w:tcW w:w="2205" w:type="dxa"/>
            <w:noWrap w:val="0"/>
            <w:vAlign w:val="center"/>
          </w:tcPr>
          <w:p w14:paraId="6EE02C8F">
            <w:pPr>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b w:val="0"/>
                <w:bCs w:val="0"/>
                <w:color w:val="auto"/>
                <w:sz w:val="21"/>
                <w:szCs w:val="21"/>
                <w:highlight w:val="none"/>
                <w:lang w:val="en-US" w:eastAsia="zh-CN"/>
              </w:rPr>
            </w:pPr>
            <w:r>
              <w:rPr>
                <w:rFonts w:ascii="Times New Roman" w:hAnsi="Times New Roman" w:eastAsia="Times New Roman" w:cs="Times New Roman"/>
                <w:b w:val="0"/>
                <w:bCs w:val="0"/>
                <w:color w:val="auto"/>
                <w:sz w:val="21"/>
                <w:szCs w:val="21"/>
                <w:highlight w:val="none"/>
              </w:rPr>
              <w:t>TH</w:t>
            </w:r>
            <w:r>
              <w:rPr>
                <w:rFonts w:ascii="Times New Roman" w:hAnsi="Times New Roman" w:eastAsia="Times New Roman" w:cs="Times New Roman"/>
                <w:b w:val="0"/>
                <w:bCs w:val="0"/>
                <w:color w:val="auto"/>
                <w:spacing w:val="1"/>
                <w:sz w:val="21"/>
                <w:szCs w:val="21"/>
                <w:highlight w:val="none"/>
              </w:rPr>
              <w:t>102117X</w:t>
            </w:r>
            <w:r>
              <w:rPr>
                <w:rFonts w:hint="eastAsia" w:eastAsia="宋体" w:cs="Times New Roman"/>
                <w:b w:val="0"/>
                <w:bCs w:val="0"/>
                <w:color w:val="auto"/>
                <w:spacing w:val="18"/>
                <w:sz w:val="21"/>
                <w:szCs w:val="21"/>
                <w:highlight w:val="none"/>
                <w:lang w:val="en-US" w:eastAsia="zh-CN"/>
              </w:rPr>
              <w:t>井场</w:t>
            </w:r>
            <w:r>
              <w:rPr>
                <w:rFonts w:ascii="宋体" w:hAnsi="宋体" w:eastAsia="宋体" w:cs="宋体"/>
                <w:b w:val="0"/>
                <w:bCs w:val="0"/>
                <w:color w:val="auto"/>
                <w:spacing w:val="1"/>
                <w:sz w:val="21"/>
                <w:szCs w:val="21"/>
                <w:highlight w:val="none"/>
              </w:rPr>
              <w:t>北部</w:t>
            </w:r>
            <w:r>
              <w:rPr>
                <w:rFonts w:hint="eastAsia" w:ascii="宋体" w:hAnsi="宋体" w:cs="宋体"/>
                <w:b w:val="0"/>
                <w:bCs w:val="0"/>
                <w:color w:val="auto"/>
                <w:spacing w:val="1"/>
                <w:sz w:val="21"/>
                <w:szCs w:val="21"/>
                <w:highlight w:val="none"/>
                <w:lang w:eastAsia="zh-CN"/>
              </w:rPr>
              <w:t>（</w:t>
            </w:r>
            <w:r>
              <w:rPr>
                <w:rFonts w:ascii="宋体" w:hAnsi="宋体" w:eastAsia="宋体" w:cs="宋体"/>
                <w:b w:val="0"/>
                <w:bCs w:val="0"/>
                <w:color w:val="auto"/>
                <w:spacing w:val="1"/>
                <w:sz w:val="21"/>
                <w:szCs w:val="21"/>
                <w:highlight w:val="none"/>
              </w:rPr>
              <w:t>农田</w:t>
            </w:r>
            <w:r>
              <w:rPr>
                <w:rFonts w:hint="eastAsia" w:ascii="宋体" w:hAnsi="宋体" w:cs="宋体"/>
                <w:b w:val="0"/>
                <w:bCs w:val="0"/>
                <w:color w:val="auto"/>
                <w:spacing w:val="1"/>
                <w:sz w:val="21"/>
                <w:szCs w:val="21"/>
                <w:highlight w:val="none"/>
                <w:lang w:val="en-US" w:eastAsia="zh-CN"/>
              </w:rPr>
              <w:t>)</w:t>
            </w:r>
          </w:p>
        </w:tc>
        <w:tc>
          <w:tcPr>
            <w:tcW w:w="2160" w:type="dxa"/>
            <w:shd w:val="clear" w:color="auto" w:fill="auto"/>
            <w:noWrap w:val="0"/>
            <w:vAlign w:val="center"/>
          </w:tcPr>
          <w:p w14:paraId="34963F7A">
            <w:pPr>
              <w:pageBreakBefore w:val="0"/>
              <w:widowControl/>
              <w:kinsoku/>
              <w:wordWrap/>
              <w:overflowPunct/>
              <w:topLinePunct w:val="0"/>
              <w:autoSpaceDE/>
              <w:autoSpaceDN/>
              <w:bidi w:val="0"/>
              <w:spacing w:line="300" w:lineRule="exact"/>
              <w:jc w:val="left"/>
              <w:textAlignment w:val="auto"/>
              <w:rPr>
                <w:rFonts w:hint="eastAsia" w:ascii="Times New Roman" w:hAnsi="Times New Roman"/>
                <w:b w:val="0"/>
                <w:bCs w:val="0"/>
                <w:color w:val="auto"/>
                <w:sz w:val="21"/>
                <w:szCs w:val="21"/>
                <w:highlight w:val="none"/>
              </w:rPr>
            </w:pPr>
            <w:r>
              <w:rPr>
                <w:rFonts w:ascii="Times New Roman" w:hAnsi="Times New Roman"/>
                <w:b w:val="0"/>
                <w:bCs w:val="0"/>
                <w:color w:val="auto"/>
                <w:sz w:val="21"/>
                <w:szCs w:val="21"/>
                <w:highlight w:val="none"/>
              </w:rPr>
              <w:t>表层样：0-0.2m；</w:t>
            </w:r>
          </w:p>
          <w:p w14:paraId="674A2887">
            <w:pPr>
              <w:pageBreakBefore w:val="0"/>
              <w:widowControl/>
              <w:kinsoku/>
              <w:wordWrap/>
              <w:overflowPunct/>
              <w:topLinePunct w:val="0"/>
              <w:autoSpaceDE/>
              <w:autoSpaceDN/>
              <w:bidi w:val="0"/>
              <w:spacing w:line="300" w:lineRule="exact"/>
              <w:jc w:val="left"/>
              <w:textAlignment w:val="auto"/>
              <w:rPr>
                <w:rFonts w:hint="eastAsia" w:ascii="Times New Roman" w:hAnsi="Times New Roman" w:eastAsia="宋体" w:cs="宋体"/>
                <w:b w:val="0"/>
                <w:bCs w:val="0"/>
                <w:color w:val="auto"/>
                <w:sz w:val="21"/>
                <w:szCs w:val="21"/>
                <w:highlight w:val="none"/>
                <w:lang w:val="en-US" w:eastAsia="zh-CN" w:bidi="ar-SA"/>
              </w:rPr>
            </w:pPr>
          </w:p>
        </w:tc>
        <w:tc>
          <w:tcPr>
            <w:tcW w:w="2824" w:type="dxa"/>
            <w:shd w:val="clear" w:color="auto" w:fill="auto"/>
            <w:noWrap w:val="0"/>
            <w:vAlign w:val="center"/>
          </w:tcPr>
          <w:p w14:paraId="553D119C">
            <w:pPr>
              <w:pageBreakBefore w:val="0"/>
              <w:widowControl/>
              <w:kinsoku/>
              <w:wordWrap/>
              <w:overflowPunct/>
              <w:topLinePunct w:val="0"/>
              <w:autoSpaceDE/>
              <w:autoSpaceDN/>
              <w:bidi w:val="0"/>
              <w:spacing w:line="300" w:lineRule="exact"/>
              <w:jc w:val="both"/>
              <w:textAlignment w:val="auto"/>
              <w:rPr>
                <w:rFonts w:hint="eastAsia" w:ascii="TimesNewRomanPSMT" w:hAnsi="TimesNewRomanPSMT" w:eastAsia="TimesNewRomanPSMT" w:cs="宋体"/>
                <w:b w:val="0"/>
                <w:bCs w:val="0"/>
                <w:color w:val="auto"/>
                <w:sz w:val="21"/>
                <w:szCs w:val="21"/>
                <w:highlight w:val="none"/>
                <w:lang w:val="en-US" w:eastAsia="zh-CN" w:bidi="ar-SA"/>
              </w:rPr>
            </w:pPr>
            <w:r>
              <w:rPr>
                <w:rFonts w:hint="eastAsia"/>
                <w:b w:val="0"/>
                <w:bCs w:val="0"/>
                <w:color w:val="auto"/>
                <w:sz w:val="21"/>
                <w:szCs w:val="21"/>
                <w:highlight w:val="none"/>
              </w:rPr>
              <w:t>pH、</w:t>
            </w:r>
            <w:r>
              <w:rPr>
                <w:b w:val="0"/>
                <w:bCs w:val="0"/>
                <w:color w:val="auto"/>
                <w:sz w:val="21"/>
                <w:szCs w:val="21"/>
                <w:highlight w:val="none"/>
              </w:rPr>
              <w:t>镉、汞、砷、铅、铬、铜、镍、锌、</w:t>
            </w:r>
            <w:r>
              <w:rPr>
                <w:rFonts w:hint="eastAsia"/>
                <w:b w:val="0"/>
                <w:bCs w:val="0"/>
                <w:color w:val="auto"/>
                <w:sz w:val="21"/>
                <w:szCs w:val="21"/>
                <w:highlight w:val="none"/>
                <w:lang w:val="en-US" w:eastAsia="zh-CN"/>
              </w:rPr>
              <w:t>全盐量</w:t>
            </w:r>
            <w:r>
              <w:rPr>
                <w:rFonts w:hint="eastAsia"/>
                <w:b w:val="0"/>
                <w:bCs w:val="0"/>
                <w:color w:val="auto"/>
                <w:sz w:val="21"/>
                <w:szCs w:val="21"/>
                <w:highlight w:val="none"/>
              </w:rPr>
              <w:t>、石油烃</w:t>
            </w:r>
          </w:p>
        </w:tc>
      </w:tr>
    </w:tbl>
    <w:p w14:paraId="7CD420F1">
      <w:pPr>
        <w:pStyle w:val="81"/>
        <w:keepNext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4.4.3.2监测时间及单位</w:t>
      </w:r>
    </w:p>
    <w:p w14:paraId="11BB45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auto"/>
          <w:sz w:val="24"/>
          <w:szCs w:val="24"/>
          <w:highlight w:val="none"/>
        </w:rPr>
      </w:pPr>
      <w:r>
        <w:rPr>
          <w:rFonts w:hint="default" w:ascii="Times New Roman" w:hAnsi="Times New Roman" w:cs="Times New Roman"/>
          <w:color w:val="auto"/>
          <w:sz w:val="24"/>
          <w:szCs w:val="24"/>
          <w:highlight w:val="none"/>
        </w:rPr>
        <w:t>土壤监测采样日期为</w:t>
      </w: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7</w:t>
      </w:r>
      <w:r>
        <w:rPr>
          <w:rFonts w:hint="eastAsia" w:ascii="Times New Roman" w:hAnsi="Times New Roman" w:cs="Times New Roman"/>
          <w:color w:val="auto"/>
          <w:sz w:val="24"/>
          <w:szCs w:val="24"/>
          <w:highlight w:val="none"/>
          <w:lang w:val="en-US" w:eastAsia="zh-CN"/>
        </w:rPr>
        <w:t>日</w:t>
      </w:r>
      <w:r>
        <w:rPr>
          <w:rFonts w:hint="default" w:ascii="Times New Roman" w:hAnsi="Times New Roman" w:cs="Times New Roman"/>
          <w:color w:val="auto"/>
          <w:sz w:val="24"/>
          <w:szCs w:val="24"/>
          <w:highlight w:val="none"/>
        </w:rPr>
        <w:t>，</w:t>
      </w:r>
      <w:r>
        <w:rPr>
          <w:rFonts w:hint="eastAsia" w:ascii="宋体" w:hAnsi="宋体"/>
          <w:color w:val="auto"/>
          <w:sz w:val="24"/>
          <w:szCs w:val="24"/>
          <w:highlight w:val="none"/>
        </w:rPr>
        <w:t>监测单位为</w:t>
      </w:r>
      <w:r>
        <w:rPr>
          <w:rFonts w:hint="default" w:ascii="Times New Roman" w:hAnsi="Times New Roman" w:eastAsia="宋体" w:cs="Times New Roman"/>
          <w:b w:val="0"/>
          <w:bCs w:val="0"/>
          <w:color w:val="auto"/>
          <w:sz w:val="24"/>
          <w:szCs w:val="24"/>
          <w:highlight w:val="none"/>
        </w:rPr>
        <w:t>新疆广宇众联环境监测有限公司</w:t>
      </w:r>
      <w:r>
        <w:rPr>
          <w:rFonts w:hint="eastAsia" w:ascii="宋体" w:hAnsi="宋体"/>
          <w:color w:val="auto"/>
          <w:sz w:val="24"/>
          <w:szCs w:val="24"/>
          <w:highlight w:val="none"/>
        </w:rPr>
        <w:t>。</w:t>
      </w:r>
    </w:p>
    <w:p w14:paraId="49C01102">
      <w:pPr>
        <w:pStyle w:val="81"/>
        <w:keepNext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rPr>
        <w:t>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3</w:t>
      </w:r>
      <w:r>
        <w:rPr>
          <w:rFonts w:hint="eastAsia"/>
          <w:color w:val="auto"/>
          <w:highlight w:val="none"/>
        </w:rPr>
        <w:t>监测及分析方法</w:t>
      </w:r>
    </w:p>
    <w:p w14:paraId="2B894DED">
      <w:pPr>
        <w:spacing w:line="360" w:lineRule="auto"/>
        <w:ind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土壤监测方法参照《土壤环境监测技术规范》(HJ/T166-2004)、《建设用地土壤污染状况调查技术导则》(HJ25.1-2019)、《建设用地土壤污染风险管控和修复监测技术导则》</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HJ25.2-2019</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要求进行。分析方法参照《土壤环境质量建设用地土壤污染风险管控标准</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试行</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GB36600-2018</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及《土壤环境质量农用地土壤污染风险管控标准</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试行</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GB15618-2018</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中有关要求进行</w:t>
      </w:r>
      <w:r>
        <w:rPr>
          <w:rFonts w:ascii="Times New Roman" w:hAnsi="Times New Roman" w:cs="Times New Roman"/>
          <w:color w:val="auto"/>
          <w:highlight w:val="none"/>
        </w:rPr>
        <w:t>。</w:t>
      </w:r>
    </w:p>
    <w:p w14:paraId="5EBDB4C0">
      <w:pPr>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检测分析方法及检出限见表</w:t>
      </w:r>
      <w:r>
        <w:rPr>
          <w:rFonts w:hint="eastAsia" w:ascii="Times New Roman" w:hAnsi="Times New Roman" w:cs="Times New Roman"/>
          <w:color w:val="auto"/>
          <w:highlight w:val="none"/>
        </w:rPr>
        <w:t>4.</w:t>
      </w: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w:t>
      </w:r>
    </w:p>
    <w:p w14:paraId="3E640C43">
      <w:pPr>
        <w:topLinePunct/>
        <w:ind w:firstLine="420" w:firstLineChars="200"/>
        <w:jc w:val="center"/>
        <w:textAlignment w:val="center"/>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表4.</w:t>
      </w:r>
      <w:r>
        <w:rPr>
          <w:rFonts w:hint="eastAsia" w:ascii="黑体" w:hAnsi="黑体" w:eastAsia="黑体" w:cs="黑体"/>
          <w:b w:val="0"/>
          <w:bCs/>
          <w:color w:val="auto"/>
          <w:sz w:val="21"/>
          <w:szCs w:val="21"/>
          <w:highlight w:val="none"/>
          <w:lang w:val="en-US" w:eastAsia="zh-CN"/>
        </w:rPr>
        <w:t>4-3   土壤检测</w:t>
      </w:r>
      <w:r>
        <w:rPr>
          <w:rFonts w:hint="eastAsia" w:ascii="黑体" w:hAnsi="黑体" w:eastAsia="黑体" w:cs="黑体"/>
          <w:b w:val="0"/>
          <w:bCs/>
          <w:color w:val="auto"/>
          <w:sz w:val="21"/>
          <w:szCs w:val="21"/>
          <w:highlight w:val="none"/>
        </w:rPr>
        <w:t>因子检测方法及检出限一览表</w:t>
      </w:r>
    </w:p>
    <w:tbl>
      <w:tblPr>
        <w:tblStyle w:val="60"/>
        <w:tblW w:w="84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848"/>
        <w:gridCol w:w="4520"/>
        <w:gridCol w:w="1390"/>
      </w:tblGrid>
      <w:tr w14:paraId="4CFD2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117DB6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eastAsia" w:ascii="Times New Roman" w:hAnsi="Times New Roman" w:eastAsia="宋体" w:cs="Times New Roman"/>
                <w:snapToGrid/>
                <w:color w:val="auto"/>
                <w:spacing w:val="0"/>
                <w:kern w:val="0"/>
                <w:sz w:val="21"/>
                <w:szCs w:val="21"/>
                <w:highlight w:val="none"/>
                <w:lang w:val="en-US" w:eastAsia="zh-CN" w:bidi="ar-SA"/>
              </w:rPr>
              <w:t>序号</w:t>
            </w:r>
          </w:p>
        </w:tc>
        <w:tc>
          <w:tcPr>
            <w:tcW w:w="1848" w:type="dxa"/>
            <w:noWrap w:val="0"/>
            <w:vAlign w:val="center"/>
          </w:tcPr>
          <w:p w14:paraId="05050C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监测项目</w:t>
            </w:r>
          </w:p>
        </w:tc>
        <w:tc>
          <w:tcPr>
            <w:tcW w:w="4520" w:type="dxa"/>
            <w:noWrap w:val="0"/>
            <w:vAlign w:val="center"/>
          </w:tcPr>
          <w:p w14:paraId="76844C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分析方法及依据</w:t>
            </w:r>
          </w:p>
        </w:tc>
        <w:tc>
          <w:tcPr>
            <w:tcW w:w="1390" w:type="dxa"/>
            <w:noWrap w:val="0"/>
            <w:vAlign w:val="center"/>
          </w:tcPr>
          <w:p w14:paraId="615FC9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检出限</w:t>
            </w:r>
          </w:p>
        </w:tc>
      </w:tr>
      <w:tr w14:paraId="048D1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182742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w:t>
            </w:r>
          </w:p>
        </w:tc>
        <w:tc>
          <w:tcPr>
            <w:tcW w:w="1848" w:type="dxa"/>
            <w:noWrap w:val="0"/>
            <w:vAlign w:val="center"/>
          </w:tcPr>
          <w:p w14:paraId="02CE50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铜</w:t>
            </w:r>
          </w:p>
        </w:tc>
        <w:tc>
          <w:tcPr>
            <w:tcW w:w="4520" w:type="dxa"/>
            <w:vMerge w:val="restart"/>
            <w:tcBorders>
              <w:bottom w:val="nil"/>
            </w:tcBorders>
            <w:noWrap w:val="0"/>
            <w:vAlign w:val="center"/>
          </w:tcPr>
          <w:p w14:paraId="59C19F8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《土壤和沉积物铜、锌、铅、镍、铬的测定火焰原子吸收分光光度法》</w:t>
            </w:r>
          </w:p>
          <w:p w14:paraId="5C5384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（HJ491-2019）</w:t>
            </w:r>
          </w:p>
        </w:tc>
        <w:tc>
          <w:tcPr>
            <w:tcW w:w="1390" w:type="dxa"/>
            <w:noWrap w:val="0"/>
            <w:vAlign w:val="center"/>
          </w:tcPr>
          <w:p w14:paraId="7E4A731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1mg/kg</w:t>
            </w:r>
          </w:p>
        </w:tc>
      </w:tr>
      <w:tr w14:paraId="1DAA0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355C6F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w:t>
            </w:r>
          </w:p>
        </w:tc>
        <w:tc>
          <w:tcPr>
            <w:tcW w:w="1848" w:type="dxa"/>
            <w:noWrap w:val="0"/>
            <w:vAlign w:val="center"/>
          </w:tcPr>
          <w:p w14:paraId="4D9FF3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镍</w:t>
            </w:r>
          </w:p>
        </w:tc>
        <w:tc>
          <w:tcPr>
            <w:tcW w:w="4520" w:type="dxa"/>
            <w:vMerge w:val="continue"/>
            <w:tcBorders>
              <w:top w:val="nil"/>
              <w:bottom w:val="nil"/>
            </w:tcBorders>
            <w:noWrap w:val="0"/>
            <w:vAlign w:val="center"/>
          </w:tcPr>
          <w:p w14:paraId="32A2AA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55C8DE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3mg/kg</w:t>
            </w:r>
          </w:p>
        </w:tc>
      </w:tr>
      <w:tr w14:paraId="09D30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C4C25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w:t>
            </w:r>
          </w:p>
        </w:tc>
        <w:tc>
          <w:tcPr>
            <w:tcW w:w="1848" w:type="dxa"/>
            <w:noWrap w:val="0"/>
            <w:vAlign w:val="center"/>
          </w:tcPr>
          <w:p w14:paraId="2CB1C5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铅</w:t>
            </w:r>
          </w:p>
        </w:tc>
        <w:tc>
          <w:tcPr>
            <w:tcW w:w="4520" w:type="dxa"/>
            <w:vMerge w:val="continue"/>
            <w:tcBorders>
              <w:top w:val="nil"/>
            </w:tcBorders>
            <w:noWrap w:val="0"/>
            <w:vAlign w:val="center"/>
          </w:tcPr>
          <w:p w14:paraId="7E4DA4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5CBA86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10mg/kg</w:t>
            </w:r>
          </w:p>
        </w:tc>
      </w:tr>
      <w:tr w14:paraId="7250D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3A5FC1C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w:t>
            </w:r>
          </w:p>
        </w:tc>
        <w:tc>
          <w:tcPr>
            <w:tcW w:w="1848" w:type="dxa"/>
            <w:noWrap w:val="0"/>
            <w:vAlign w:val="center"/>
          </w:tcPr>
          <w:p w14:paraId="0A4C63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镉</w:t>
            </w:r>
          </w:p>
        </w:tc>
        <w:tc>
          <w:tcPr>
            <w:tcW w:w="4520" w:type="dxa"/>
            <w:noWrap w:val="0"/>
            <w:vAlign w:val="center"/>
          </w:tcPr>
          <w:p w14:paraId="4F0F26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《土壤质量铅、镉的测定石墨炉原子吸收分光光度法》（GB/T17141-1997）</w:t>
            </w:r>
          </w:p>
        </w:tc>
        <w:tc>
          <w:tcPr>
            <w:tcW w:w="1390" w:type="dxa"/>
            <w:noWrap w:val="0"/>
            <w:vAlign w:val="center"/>
          </w:tcPr>
          <w:p w14:paraId="156D20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0.01mg/kg</w:t>
            </w:r>
          </w:p>
        </w:tc>
      </w:tr>
      <w:tr w14:paraId="20AC9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48E65D7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5</w:t>
            </w:r>
          </w:p>
        </w:tc>
        <w:tc>
          <w:tcPr>
            <w:tcW w:w="1848" w:type="dxa"/>
            <w:noWrap w:val="0"/>
            <w:vAlign w:val="center"/>
          </w:tcPr>
          <w:p w14:paraId="455D67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汞</w:t>
            </w:r>
          </w:p>
        </w:tc>
        <w:tc>
          <w:tcPr>
            <w:tcW w:w="4520" w:type="dxa"/>
            <w:vMerge w:val="restart"/>
            <w:noWrap w:val="0"/>
            <w:vAlign w:val="center"/>
          </w:tcPr>
          <w:p w14:paraId="6B7F4C1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eastAsia" w:ascii="Calibri" w:hAnsi="Calibri" w:cs="Times New Roman" w:eastAsiaTheme="minorEastAsia"/>
                <w:color w:val="auto"/>
                <w:kern w:val="0"/>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土壤和沉积物汞、砷、硒、铋、锑的测定微波消解</w:t>
            </w:r>
            <w:r>
              <w:rPr>
                <w:rFonts w:hint="eastAsia" w:ascii="Calibri" w:hAnsi="Calibri" w:cs="Times New Roman" w:eastAsiaTheme="minorEastAsia"/>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原子荧光法</w:t>
            </w:r>
            <w:r>
              <w:rPr>
                <w:rFonts w:hint="eastAsia" w:ascii="Calibri" w:hAnsi="Calibri" w:cs="Times New Roman" w:eastAsiaTheme="minorEastAsia"/>
                <w:color w:val="auto"/>
                <w:kern w:val="0"/>
                <w:sz w:val="21"/>
                <w:szCs w:val="21"/>
                <w:highlight w:val="none"/>
                <w:lang w:val="en-US" w:eastAsia="zh-CN" w:bidi="ar-SA"/>
              </w:rPr>
              <w:t>》（</w:t>
            </w:r>
            <w:r>
              <w:rPr>
                <w:rFonts w:hint="eastAsia" w:ascii="Times New Roman" w:hAnsi="Times New Roman" w:cs="Times New Roman" w:eastAsiaTheme="minorEastAsia"/>
                <w:color w:val="auto"/>
                <w:kern w:val="0"/>
                <w:sz w:val="21"/>
                <w:szCs w:val="21"/>
                <w:highlight w:val="none"/>
                <w:lang w:val="en-US" w:eastAsia="en-US" w:bidi="ar-SA"/>
              </w:rPr>
              <w:t>HJ680-2013</w:t>
            </w:r>
            <w:r>
              <w:rPr>
                <w:rFonts w:hint="eastAsia" w:ascii="Calibri" w:hAnsi="Calibri" w:cs="Times New Roman" w:eastAsiaTheme="minorEastAsia"/>
                <w:color w:val="auto"/>
                <w:kern w:val="0"/>
                <w:sz w:val="21"/>
                <w:szCs w:val="21"/>
                <w:highlight w:val="none"/>
                <w:lang w:val="en-US" w:eastAsia="zh-CN" w:bidi="ar-SA"/>
              </w:rPr>
              <w:t>）</w:t>
            </w:r>
          </w:p>
        </w:tc>
        <w:tc>
          <w:tcPr>
            <w:tcW w:w="1390" w:type="dxa"/>
            <w:noWrap w:val="0"/>
            <w:vAlign w:val="center"/>
          </w:tcPr>
          <w:p w14:paraId="68F0947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0.002mg/kg</w:t>
            </w:r>
          </w:p>
        </w:tc>
      </w:tr>
      <w:tr w14:paraId="43CDE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3DC31BA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6</w:t>
            </w:r>
          </w:p>
        </w:tc>
        <w:tc>
          <w:tcPr>
            <w:tcW w:w="1848" w:type="dxa"/>
            <w:noWrap w:val="0"/>
            <w:vAlign w:val="center"/>
          </w:tcPr>
          <w:p w14:paraId="07098F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砷</w:t>
            </w:r>
          </w:p>
        </w:tc>
        <w:tc>
          <w:tcPr>
            <w:tcW w:w="4520" w:type="dxa"/>
            <w:vMerge w:val="continue"/>
            <w:noWrap w:val="0"/>
            <w:vAlign w:val="center"/>
          </w:tcPr>
          <w:p w14:paraId="713CD8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60A9773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0.01mg/kg</w:t>
            </w:r>
          </w:p>
        </w:tc>
      </w:tr>
      <w:tr w14:paraId="37ACA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C3CB2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7</w:t>
            </w:r>
          </w:p>
        </w:tc>
        <w:tc>
          <w:tcPr>
            <w:tcW w:w="1848" w:type="dxa"/>
            <w:noWrap w:val="0"/>
            <w:vAlign w:val="center"/>
          </w:tcPr>
          <w:p w14:paraId="16B66F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pH</w:t>
            </w:r>
          </w:p>
        </w:tc>
        <w:tc>
          <w:tcPr>
            <w:tcW w:w="4520" w:type="dxa"/>
            <w:noWrap w:val="0"/>
            <w:vAlign w:val="center"/>
          </w:tcPr>
          <w:p w14:paraId="5EFB14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《土壤检测第2部分：土壤pH的测定》</w:t>
            </w:r>
          </w:p>
          <w:p w14:paraId="1B1C81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（NY/T1121.2-2006）</w:t>
            </w:r>
          </w:p>
        </w:tc>
        <w:tc>
          <w:tcPr>
            <w:tcW w:w="1390" w:type="dxa"/>
            <w:noWrap w:val="0"/>
            <w:vAlign w:val="center"/>
          </w:tcPr>
          <w:p w14:paraId="5BAFDB6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w:t>
            </w:r>
          </w:p>
        </w:tc>
      </w:tr>
      <w:tr w14:paraId="4C2A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45AE2C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8</w:t>
            </w:r>
          </w:p>
        </w:tc>
        <w:tc>
          <w:tcPr>
            <w:tcW w:w="1848" w:type="dxa"/>
            <w:noWrap w:val="0"/>
            <w:vAlign w:val="center"/>
          </w:tcPr>
          <w:p w14:paraId="65934D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石油烃（C10~C40）</w:t>
            </w:r>
          </w:p>
        </w:tc>
        <w:tc>
          <w:tcPr>
            <w:tcW w:w="4520" w:type="dxa"/>
            <w:noWrap w:val="0"/>
            <w:vAlign w:val="center"/>
          </w:tcPr>
          <w:p w14:paraId="24CC7F3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《土壤和沉积物石油烃（C10-C40）的测定气相色谱法》（HJ1021-2019）</w:t>
            </w:r>
          </w:p>
        </w:tc>
        <w:tc>
          <w:tcPr>
            <w:tcW w:w="1390" w:type="dxa"/>
            <w:noWrap w:val="0"/>
            <w:vAlign w:val="center"/>
          </w:tcPr>
          <w:p w14:paraId="5EFC6B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6mg/kg</w:t>
            </w:r>
          </w:p>
        </w:tc>
      </w:tr>
      <w:tr w14:paraId="705DE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1" w:type="dxa"/>
            <w:noWrap w:val="0"/>
            <w:vAlign w:val="center"/>
          </w:tcPr>
          <w:p w14:paraId="130673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9</w:t>
            </w:r>
          </w:p>
        </w:tc>
        <w:tc>
          <w:tcPr>
            <w:tcW w:w="1848" w:type="dxa"/>
            <w:noWrap w:val="0"/>
            <w:vAlign w:val="center"/>
          </w:tcPr>
          <w:p w14:paraId="7BB7B9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水溶性盐总量</w:t>
            </w:r>
          </w:p>
        </w:tc>
        <w:tc>
          <w:tcPr>
            <w:tcW w:w="4520" w:type="dxa"/>
            <w:noWrap w:val="0"/>
            <w:vAlign w:val="center"/>
          </w:tcPr>
          <w:p w14:paraId="6DC4A4E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《土壤检测第16部分：土壤水溶性盐总量的测定》（NY/T1121.16-2006）</w:t>
            </w:r>
          </w:p>
        </w:tc>
        <w:tc>
          <w:tcPr>
            <w:tcW w:w="1390" w:type="dxa"/>
            <w:noWrap w:val="0"/>
            <w:vAlign w:val="center"/>
          </w:tcPr>
          <w:p w14:paraId="6D4D13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w:t>
            </w:r>
          </w:p>
        </w:tc>
      </w:tr>
      <w:tr w14:paraId="1A2D4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145EBB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10</w:t>
            </w:r>
          </w:p>
        </w:tc>
        <w:tc>
          <w:tcPr>
            <w:tcW w:w="1848" w:type="dxa"/>
            <w:noWrap w:val="0"/>
            <w:vAlign w:val="center"/>
          </w:tcPr>
          <w:p w14:paraId="20BA6E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铬（六价）</w:t>
            </w:r>
          </w:p>
        </w:tc>
        <w:tc>
          <w:tcPr>
            <w:tcW w:w="4520" w:type="dxa"/>
            <w:noWrap w:val="0"/>
            <w:vAlign w:val="center"/>
          </w:tcPr>
          <w:p w14:paraId="51398C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《土壤和沉积物六价铬的测定碱溶液提取-火焰原子吸收分光光度法》（HJ1082-2019）</w:t>
            </w:r>
          </w:p>
        </w:tc>
        <w:tc>
          <w:tcPr>
            <w:tcW w:w="1390" w:type="dxa"/>
            <w:noWrap w:val="0"/>
            <w:vAlign w:val="center"/>
          </w:tcPr>
          <w:p w14:paraId="3715BE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0.5mg/kg</w:t>
            </w:r>
          </w:p>
        </w:tc>
      </w:tr>
      <w:tr w14:paraId="154F6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4DBB020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w:t>
            </w:r>
          </w:p>
        </w:tc>
        <w:tc>
          <w:tcPr>
            <w:tcW w:w="1848" w:type="dxa"/>
            <w:noWrap w:val="0"/>
            <w:vAlign w:val="center"/>
          </w:tcPr>
          <w:p w14:paraId="2F56A6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氯乙烯</w:t>
            </w:r>
          </w:p>
        </w:tc>
        <w:tc>
          <w:tcPr>
            <w:tcW w:w="4520" w:type="dxa"/>
            <w:vMerge w:val="restart"/>
            <w:tcBorders>
              <w:bottom w:val="nil"/>
            </w:tcBorders>
            <w:noWrap w:val="0"/>
            <w:vAlign w:val="center"/>
          </w:tcPr>
          <w:p w14:paraId="2FC006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《土壤和沉积物挥发性有机物的测定吹扫捕集/气相色谱-质谱法》</w:t>
            </w:r>
          </w:p>
          <w:p w14:paraId="75AD05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（HJ605-2011）</w:t>
            </w:r>
          </w:p>
        </w:tc>
        <w:tc>
          <w:tcPr>
            <w:tcW w:w="1390" w:type="dxa"/>
            <w:noWrap w:val="0"/>
            <w:vAlign w:val="center"/>
          </w:tcPr>
          <w:p w14:paraId="7AFDEA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1.0μg/kg</w:t>
            </w:r>
          </w:p>
        </w:tc>
      </w:tr>
      <w:tr w14:paraId="69628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7A407F9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w:t>
            </w:r>
          </w:p>
        </w:tc>
        <w:tc>
          <w:tcPr>
            <w:tcW w:w="1848" w:type="dxa"/>
            <w:noWrap w:val="0"/>
            <w:vAlign w:val="center"/>
          </w:tcPr>
          <w:p w14:paraId="5BD3936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1，1-二氯乙烯</w:t>
            </w:r>
          </w:p>
        </w:tc>
        <w:tc>
          <w:tcPr>
            <w:tcW w:w="4520" w:type="dxa"/>
            <w:vMerge w:val="continue"/>
            <w:tcBorders>
              <w:top w:val="nil"/>
              <w:bottom w:val="nil"/>
            </w:tcBorders>
            <w:noWrap w:val="0"/>
            <w:vAlign w:val="center"/>
          </w:tcPr>
          <w:p w14:paraId="3E9E8F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6F0FE61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1.0μg/kg</w:t>
            </w:r>
          </w:p>
        </w:tc>
      </w:tr>
      <w:tr w14:paraId="00F15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24A5A4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13</w:t>
            </w:r>
          </w:p>
        </w:tc>
        <w:tc>
          <w:tcPr>
            <w:tcW w:w="1848" w:type="dxa"/>
            <w:noWrap w:val="0"/>
            <w:vAlign w:val="center"/>
          </w:tcPr>
          <w:p w14:paraId="7AC20F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二氯甲烷</w:t>
            </w:r>
          </w:p>
        </w:tc>
        <w:tc>
          <w:tcPr>
            <w:tcW w:w="4520" w:type="dxa"/>
            <w:vMerge w:val="continue"/>
            <w:tcBorders>
              <w:top w:val="nil"/>
              <w:bottom w:val="nil"/>
            </w:tcBorders>
            <w:noWrap w:val="0"/>
            <w:vAlign w:val="center"/>
          </w:tcPr>
          <w:p w14:paraId="498495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0D8A53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1.5μg/kg</w:t>
            </w:r>
          </w:p>
        </w:tc>
      </w:tr>
      <w:tr w14:paraId="44018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4C85A3F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14</w:t>
            </w:r>
          </w:p>
        </w:tc>
        <w:tc>
          <w:tcPr>
            <w:tcW w:w="1848" w:type="dxa"/>
            <w:noWrap w:val="0"/>
            <w:vAlign w:val="center"/>
          </w:tcPr>
          <w:p w14:paraId="212055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反-1,2-二氯乙烯</w:t>
            </w:r>
          </w:p>
        </w:tc>
        <w:tc>
          <w:tcPr>
            <w:tcW w:w="4520" w:type="dxa"/>
            <w:vMerge w:val="continue"/>
            <w:tcBorders>
              <w:top w:val="nil"/>
              <w:bottom w:val="nil"/>
            </w:tcBorders>
            <w:noWrap w:val="0"/>
            <w:vAlign w:val="center"/>
          </w:tcPr>
          <w:p w14:paraId="4D1C64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782388D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1.4μg/kg</w:t>
            </w:r>
          </w:p>
        </w:tc>
      </w:tr>
      <w:tr w14:paraId="13DA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EFB75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15</w:t>
            </w:r>
          </w:p>
        </w:tc>
        <w:tc>
          <w:tcPr>
            <w:tcW w:w="1848" w:type="dxa"/>
            <w:noWrap w:val="0"/>
            <w:vAlign w:val="center"/>
          </w:tcPr>
          <w:p w14:paraId="588510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1,1-二氯乙烷</w:t>
            </w:r>
          </w:p>
        </w:tc>
        <w:tc>
          <w:tcPr>
            <w:tcW w:w="4520" w:type="dxa"/>
            <w:vMerge w:val="continue"/>
            <w:tcBorders>
              <w:top w:val="nil"/>
              <w:bottom w:val="nil"/>
            </w:tcBorders>
            <w:noWrap w:val="0"/>
            <w:vAlign w:val="center"/>
          </w:tcPr>
          <w:p w14:paraId="18D7CE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77323F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2ECBC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73A11B2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16</w:t>
            </w:r>
          </w:p>
        </w:tc>
        <w:tc>
          <w:tcPr>
            <w:tcW w:w="1848" w:type="dxa"/>
            <w:noWrap w:val="0"/>
            <w:vAlign w:val="center"/>
          </w:tcPr>
          <w:p w14:paraId="60DA64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顺-1,2-二氯乙烯</w:t>
            </w:r>
          </w:p>
        </w:tc>
        <w:tc>
          <w:tcPr>
            <w:tcW w:w="4520" w:type="dxa"/>
            <w:vMerge w:val="continue"/>
            <w:tcBorders>
              <w:top w:val="nil"/>
            </w:tcBorders>
            <w:noWrap w:val="0"/>
            <w:vAlign w:val="center"/>
          </w:tcPr>
          <w:p w14:paraId="65419F1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00983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1.3μg/kg</w:t>
            </w:r>
          </w:p>
        </w:tc>
      </w:tr>
      <w:tr w14:paraId="14449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52D623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17</w:t>
            </w:r>
          </w:p>
        </w:tc>
        <w:tc>
          <w:tcPr>
            <w:tcW w:w="1848" w:type="dxa"/>
            <w:noWrap w:val="0"/>
            <w:vAlign w:val="center"/>
          </w:tcPr>
          <w:p w14:paraId="1E355A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氯仿</w:t>
            </w:r>
          </w:p>
        </w:tc>
        <w:tc>
          <w:tcPr>
            <w:tcW w:w="4520" w:type="dxa"/>
            <w:vMerge w:val="restart"/>
            <w:tcBorders>
              <w:bottom w:val="nil"/>
            </w:tcBorders>
            <w:noWrap w:val="0"/>
            <w:vAlign w:val="center"/>
          </w:tcPr>
          <w:p w14:paraId="1745CCF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《土壤和沉积物挥发性有机物的测定吹扫捕集/</w:t>
            </w:r>
          </w:p>
          <w:p w14:paraId="0E4815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气相色谱-质谱法》</w:t>
            </w:r>
          </w:p>
          <w:p w14:paraId="58F0C4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（HJ605-2011）</w:t>
            </w:r>
          </w:p>
        </w:tc>
        <w:tc>
          <w:tcPr>
            <w:tcW w:w="1390" w:type="dxa"/>
            <w:noWrap w:val="0"/>
            <w:vAlign w:val="center"/>
          </w:tcPr>
          <w:p w14:paraId="0CD151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1.1μg/kg</w:t>
            </w:r>
          </w:p>
        </w:tc>
      </w:tr>
      <w:tr w14:paraId="661AD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F18ED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18</w:t>
            </w:r>
          </w:p>
        </w:tc>
        <w:tc>
          <w:tcPr>
            <w:tcW w:w="1848" w:type="dxa"/>
            <w:noWrap w:val="0"/>
            <w:vAlign w:val="center"/>
          </w:tcPr>
          <w:p w14:paraId="0BD20D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1,1,1-三氯乙烷</w:t>
            </w:r>
          </w:p>
        </w:tc>
        <w:tc>
          <w:tcPr>
            <w:tcW w:w="4520" w:type="dxa"/>
            <w:vMerge w:val="continue"/>
            <w:tcBorders>
              <w:top w:val="nil"/>
              <w:bottom w:val="nil"/>
            </w:tcBorders>
            <w:noWrap w:val="0"/>
            <w:vAlign w:val="center"/>
          </w:tcPr>
          <w:p w14:paraId="32EAA6C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07D31B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1.3μg/kg</w:t>
            </w:r>
          </w:p>
        </w:tc>
      </w:tr>
      <w:tr w14:paraId="73B4A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58B0FB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19</w:t>
            </w:r>
          </w:p>
        </w:tc>
        <w:tc>
          <w:tcPr>
            <w:tcW w:w="1848" w:type="dxa"/>
            <w:noWrap w:val="0"/>
            <w:vAlign w:val="center"/>
          </w:tcPr>
          <w:p w14:paraId="4DBC6E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四氯化碳</w:t>
            </w:r>
          </w:p>
        </w:tc>
        <w:tc>
          <w:tcPr>
            <w:tcW w:w="4520" w:type="dxa"/>
            <w:vMerge w:val="continue"/>
            <w:tcBorders>
              <w:top w:val="nil"/>
              <w:bottom w:val="nil"/>
            </w:tcBorders>
            <w:noWrap w:val="0"/>
            <w:vAlign w:val="center"/>
          </w:tcPr>
          <w:p w14:paraId="33F0A0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27BE02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1.3μg/kg</w:t>
            </w:r>
          </w:p>
        </w:tc>
      </w:tr>
      <w:tr w14:paraId="0BB81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5F4CC0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20</w:t>
            </w:r>
          </w:p>
        </w:tc>
        <w:tc>
          <w:tcPr>
            <w:tcW w:w="1848" w:type="dxa"/>
            <w:noWrap w:val="0"/>
            <w:vAlign w:val="center"/>
          </w:tcPr>
          <w:p w14:paraId="524536D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苯</w:t>
            </w:r>
          </w:p>
        </w:tc>
        <w:tc>
          <w:tcPr>
            <w:tcW w:w="4520" w:type="dxa"/>
            <w:vMerge w:val="continue"/>
            <w:tcBorders>
              <w:top w:val="nil"/>
              <w:bottom w:val="nil"/>
            </w:tcBorders>
            <w:noWrap w:val="0"/>
            <w:vAlign w:val="center"/>
          </w:tcPr>
          <w:p w14:paraId="492FBE4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50C27C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1.9μg/kg</w:t>
            </w:r>
          </w:p>
        </w:tc>
      </w:tr>
      <w:tr w14:paraId="58082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400769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21</w:t>
            </w:r>
          </w:p>
        </w:tc>
        <w:tc>
          <w:tcPr>
            <w:tcW w:w="1848" w:type="dxa"/>
            <w:noWrap w:val="0"/>
            <w:vAlign w:val="center"/>
          </w:tcPr>
          <w:p w14:paraId="246FA2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1,2-二氯乙烷</w:t>
            </w:r>
          </w:p>
        </w:tc>
        <w:tc>
          <w:tcPr>
            <w:tcW w:w="4520" w:type="dxa"/>
            <w:vMerge w:val="continue"/>
            <w:tcBorders>
              <w:top w:val="nil"/>
              <w:bottom w:val="nil"/>
            </w:tcBorders>
            <w:noWrap w:val="0"/>
            <w:vAlign w:val="center"/>
          </w:tcPr>
          <w:p w14:paraId="6E3597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40CFF7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1.3μg/kg</w:t>
            </w:r>
          </w:p>
        </w:tc>
      </w:tr>
      <w:tr w14:paraId="4F42F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6F881B5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22</w:t>
            </w:r>
          </w:p>
        </w:tc>
        <w:tc>
          <w:tcPr>
            <w:tcW w:w="1848" w:type="dxa"/>
            <w:noWrap w:val="0"/>
            <w:vAlign w:val="center"/>
          </w:tcPr>
          <w:p w14:paraId="0398F1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三氯乙烯</w:t>
            </w:r>
          </w:p>
        </w:tc>
        <w:tc>
          <w:tcPr>
            <w:tcW w:w="4520" w:type="dxa"/>
            <w:vMerge w:val="continue"/>
            <w:tcBorders>
              <w:top w:val="nil"/>
              <w:bottom w:val="nil"/>
            </w:tcBorders>
            <w:noWrap w:val="0"/>
            <w:vAlign w:val="center"/>
          </w:tcPr>
          <w:p w14:paraId="44800A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149AFB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5D2A9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79967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23</w:t>
            </w:r>
          </w:p>
        </w:tc>
        <w:tc>
          <w:tcPr>
            <w:tcW w:w="1848" w:type="dxa"/>
            <w:noWrap w:val="0"/>
            <w:vAlign w:val="center"/>
          </w:tcPr>
          <w:p w14:paraId="704C73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甲苯</w:t>
            </w:r>
          </w:p>
        </w:tc>
        <w:tc>
          <w:tcPr>
            <w:tcW w:w="4520" w:type="dxa"/>
            <w:vMerge w:val="continue"/>
            <w:tcBorders>
              <w:top w:val="nil"/>
              <w:bottom w:val="nil"/>
            </w:tcBorders>
            <w:noWrap w:val="0"/>
            <w:vAlign w:val="center"/>
          </w:tcPr>
          <w:p w14:paraId="5659FE9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7C6B6B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1.3μg/kg</w:t>
            </w:r>
          </w:p>
        </w:tc>
      </w:tr>
      <w:tr w14:paraId="04663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411890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24</w:t>
            </w:r>
          </w:p>
        </w:tc>
        <w:tc>
          <w:tcPr>
            <w:tcW w:w="1848" w:type="dxa"/>
            <w:noWrap w:val="0"/>
            <w:vAlign w:val="center"/>
          </w:tcPr>
          <w:p w14:paraId="58EF92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四氯乙烯</w:t>
            </w:r>
          </w:p>
        </w:tc>
        <w:tc>
          <w:tcPr>
            <w:tcW w:w="4520" w:type="dxa"/>
            <w:vMerge w:val="continue"/>
            <w:tcBorders>
              <w:top w:val="nil"/>
              <w:bottom w:val="nil"/>
            </w:tcBorders>
            <w:noWrap w:val="0"/>
            <w:vAlign w:val="center"/>
          </w:tcPr>
          <w:p w14:paraId="03950B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7D62EF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1.4μg/kg</w:t>
            </w:r>
          </w:p>
        </w:tc>
      </w:tr>
      <w:tr w14:paraId="1A616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43A56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25</w:t>
            </w:r>
          </w:p>
        </w:tc>
        <w:tc>
          <w:tcPr>
            <w:tcW w:w="1848" w:type="dxa"/>
            <w:noWrap w:val="0"/>
            <w:vAlign w:val="center"/>
          </w:tcPr>
          <w:p w14:paraId="748FA5D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1,2-二氯丙烷</w:t>
            </w:r>
          </w:p>
        </w:tc>
        <w:tc>
          <w:tcPr>
            <w:tcW w:w="4520" w:type="dxa"/>
            <w:vMerge w:val="continue"/>
            <w:tcBorders>
              <w:top w:val="nil"/>
              <w:bottom w:val="nil"/>
            </w:tcBorders>
            <w:noWrap w:val="0"/>
            <w:vAlign w:val="center"/>
          </w:tcPr>
          <w:p w14:paraId="2677FB9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424DE1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1.1μg/kg</w:t>
            </w:r>
          </w:p>
        </w:tc>
      </w:tr>
      <w:tr w14:paraId="13B7B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15E57C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26</w:t>
            </w:r>
          </w:p>
        </w:tc>
        <w:tc>
          <w:tcPr>
            <w:tcW w:w="1848" w:type="dxa"/>
            <w:noWrap w:val="0"/>
            <w:vAlign w:val="center"/>
          </w:tcPr>
          <w:p w14:paraId="6F3715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1,1,2-三氯乙烷</w:t>
            </w:r>
          </w:p>
        </w:tc>
        <w:tc>
          <w:tcPr>
            <w:tcW w:w="4520" w:type="dxa"/>
            <w:vMerge w:val="continue"/>
            <w:tcBorders>
              <w:top w:val="nil"/>
              <w:bottom w:val="nil"/>
            </w:tcBorders>
            <w:noWrap w:val="0"/>
            <w:vAlign w:val="center"/>
          </w:tcPr>
          <w:p w14:paraId="7DBFAC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705381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37AA7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62551E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27</w:t>
            </w:r>
          </w:p>
        </w:tc>
        <w:tc>
          <w:tcPr>
            <w:tcW w:w="1848" w:type="dxa"/>
            <w:noWrap w:val="0"/>
            <w:vAlign w:val="center"/>
          </w:tcPr>
          <w:p w14:paraId="679A855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氯苯</w:t>
            </w:r>
          </w:p>
        </w:tc>
        <w:tc>
          <w:tcPr>
            <w:tcW w:w="4520" w:type="dxa"/>
            <w:vMerge w:val="continue"/>
            <w:tcBorders>
              <w:top w:val="nil"/>
              <w:bottom w:val="nil"/>
            </w:tcBorders>
            <w:noWrap w:val="0"/>
            <w:vAlign w:val="center"/>
          </w:tcPr>
          <w:p w14:paraId="26F835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19E438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5C9C8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DD27A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28</w:t>
            </w:r>
          </w:p>
        </w:tc>
        <w:tc>
          <w:tcPr>
            <w:tcW w:w="1848" w:type="dxa"/>
            <w:noWrap w:val="0"/>
            <w:vAlign w:val="center"/>
          </w:tcPr>
          <w:p w14:paraId="20308D7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1,1,1,2-四氯乙烷</w:t>
            </w:r>
          </w:p>
        </w:tc>
        <w:tc>
          <w:tcPr>
            <w:tcW w:w="4520" w:type="dxa"/>
            <w:vMerge w:val="continue"/>
            <w:tcBorders>
              <w:top w:val="nil"/>
              <w:bottom w:val="nil"/>
            </w:tcBorders>
            <w:noWrap w:val="0"/>
            <w:vAlign w:val="center"/>
          </w:tcPr>
          <w:p w14:paraId="2DA4F57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2E9DDB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147DE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634839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29</w:t>
            </w:r>
          </w:p>
        </w:tc>
        <w:tc>
          <w:tcPr>
            <w:tcW w:w="1848" w:type="dxa"/>
            <w:noWrap w:val="0"/>
            <w:vAlign w:val="center"/>
          </w:tcPr>
          <w:p w14:paraId="58D80D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乙苯</w:t>
            </w:r>
          </w:p>
        </w:tc>
        <w:tc>
          <w:tcPr>
            <w:tcW w:w="4520" w:type="dxa"/>
            <w:vMerge w:val="continue"/>
            <w:tcBorders>
              <w:top w:val="nil"/>
              <w:bottom w:val="nil"/>
            </w:tcBorders>
            <w:noWrap w:val="0"/>
            <w:vAlign w:val="center"/>
          </w:tcPr>
          <w:p w14:paraId="75996E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4D8E74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2C687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42ED62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30</w:t>
            </w:r>
          </w:p>
        </w:tc>
        <w:tc>
          <w:tcPr>
            <w:tcW w:w="1848" w:type="dxa"/>
            <w:noWrap w:val="0"/>
            <w:vAlign w:val="center"/>
          </w:tcPr>
          <w:p w14:paraId="2E43DD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间二甲苯+对二甲苯</w:t>
            </w:r>
          </w:p>
        </w:tc>
        <w:tc>
          <w:tcPr>
            <w:tcW w:w="4520" w:type="dxa"/>
            <w:vMerge w:val="continue"/>
            <w:tcBorders>
              <w:top w:val="nil"/>
              <w:bottom w:val="nil"/>
            </w:tcBorders>
            <w:noWrap w:val="0"/>
            <w:vAlign w:val="center"/>
          </w:tcPr>
          <w:p w14:paraId="607581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1A75BA9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173F2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5E8E488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31</w:t>
            </w:r>
          </w:p>
        </w:tc>
        <w:tc>
          <w:tcPr>
            <w:tcW w:w="1848" w:type="dxa"/>
            <w:noWrap w:val="0"/>
            <w:vAlign w:val="center"/>
          </w:tcPr>
          <w:p w14:paraId="698804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邻二甲苯</w:t>
            </w:r>
          </w:p>
        </w:tc>
        <w:tc>
          <w:tcPr>
            <w:tcW w:w="4520" w:type="dxa"/>
            <w:vMerge w:val="continue"/>
            <w:tcBorders>
              <w:top w:val="nil"/>
              <w:bottom w:val="nil"/>
            </w:tcBorders>
            <w:noWrap w:val="0"/>
            <w:vAlign w:val="center"/>
          </w:tcPr>
          <w:p w14:paraId="5E837F9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2176D7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36A93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17BD79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32</w:t>
            </w:r>
          </w:p>
        </w:tc>
        <w:tc>
          <w:tcPr>
            <w:tcW w:w="1848" w:type="dxa"/>
            <w:noWrap w:val="0"/>
            <w:vAlign w:val="center"/>
          </w:tcPr>
          <w:p w14:paraId="08056E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苯乙烯</w:t>
            </w:r>
          </w:p>
        </w:tc>
        <w:tc>
          <w:tcPr>
            <w:tcW w:w="4520" w:type="dxa"/>
            <w:vMerge w:val="continue"/>
            <w:tcBorders>
              <w:top w:val="nil"/>
              <w:bottom w:val="nil"/>
            </w:tcBorders>
            <w:noWrap w:val="0"/>
            <w:vAlign w:val="center"/>
          </w:tcPr>
          <w:p w14:paraId="7DEEF8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68BDFD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1.1μg/kg</w:t>
            </w:r>
          </w:p>
        </w:tc>
      </w:tr>
      <w:tr w14:paraId="7F021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DBA91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33</w:t>
            </w:r>
          </w:p>
        </w:tc>
        <w:tc>
          <w:tcPr>
            <w:tcW w:w="1848" w:type="dxa"/>
            <w:noWrap w:val="0"/>
            <w:vAlign w:val="center"/>
          </w:tcPr>
          <w:p w14:paraId="480E7F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1,1,2,2-四氯乙烷</w:t>
            </w:r>
          </w:p>
        </w:tc>
        <w:tc>
          <w:tcPr>
            <w:tcW w:w="4520" w:type="dxa"/>
            <w:vMerge w:val="continue"/>
            <w:tcBorders>
              <w:top w:val="nil"/>
              <w:bottom w:val="nil"/>
            </w:tcBorders>
            <w:noWrap w:val="0"/>
            <w:vAlign w:val="center"/>
          </w:tcPr>
          <w:p w14:paraId="29EB05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21C2A9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63471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E1F03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34</w:t>
            </w:r>
          </w:p>
        </w:tc>
        <w:tc>
          <w:tcPr>
            <w:tcW w:w="1848" w:type="dxa"/>
            <w:noWrap w:val="0"/>
            <w:vAlign w:val="center"/>
          </w:tcPr>
          <w:p w14:paraId="400E94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1,2,3-三氯丙烷</w:t>
            </w:r>
          </w:p>
        </w:tc>
        <w:tc>
          <w:tcPr>
            <w:tcW w:w="4520" w:type="dxa"/>
            <w:vMerge w:val="continue"/>
            <w:tcBorders>
              <w:top w:val="nil"/>
              <w:bottom w:val="nil"/>
            </w:tcBorders>
            <w:noWrap w:val="0"/>
            <w:vAlign w:val="center"/>
          </w:tcPr>
          <w:p w14:paraId="533542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103EF65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1.2μg/kg</w:t>
            </w:r>
          </w:p>
        </w:tc>
      </w:tr>
      <w:tr w14:paraId="1E6A4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1A3FE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35</w:t>
            </w:r>
          </w:p>
        </w:tc>
        <w:tc>
          <w:tcPr>
            <w:tcW w:w="1848" w:type="dxa"/>
            <w:noWrap w:val="0"/>
            <w:vAlign w:val="center"/>
          </w:tcPr>
          <w:p w14:paraId="22057F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1,4-二氯苯</w:t>
            </w:r>
          </w:p>
        </w:tc>
        <w:tc>
          <w:tcPr>
            <w:tcW w:w="4520" w:type="dxa"/>
            <w:vMerge w:val="continue"/>
            <w:tcBorders>
              <w:top w:val="nil"/>
              <w:bottom w:val="nil"/>
            </w:tcBorders>
            <w:noWrap w:val="0"/>
            <w:vAlign w:val="center"/>
          </w:tcPr>
          <w:p w14:paraId="258508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0061AE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1.5μg/kg</w:t>
            </w:r>
          </w:p>
        </w:tc>
      </w:tr>
      <w:tr w14:paraId="43473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78BBC8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36</w:t>
            </w:r>
          </w:p>
        </w:tc>
        <w:tc>
          <w:tcPr>
            <w:tcW w:w="1848" w:type="dxa"/>
            <w:noWrap w:val="0"/>
            <w:vAlign w:val="center"/>
          </w:tcPr>
          <w:p w14:paraId="4D6486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1,2-二氯苯</w:t>
            </w:r>
          </w:p>
        </w:tc>
        <w:tc>
          <w:tcPr>
            <w:tcW w:w="4520" w:type="dxa"/>
            <w:vMerge w:val="continue"/>
            <w:tcBorders>
              <w:top w:val="nil"/>
              <w:bottom w:val="nil"/>
            </w:tcBorders>
            <w:noWrap w:val="0"/>
            <w:vAlign w:val="center"/>
          </w:tcPr>
          <w:p w14:paraId="4B0F05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D4A9D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1.5μg/kg</w:t>
            </w:r>
          </w:p>
        </w:tc>
      </w:tr>
      <w:tr w14:paraId="52F5E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AFE5B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37</w:t>
            </w:r>
          </w:p>
        </w:tc>
        <w:tc>
          <w:tcPr>
            <w:tcW w:w="1848" w:type="dxa"/>
            <w:noWrap w:val="0"/>
            <w:vAlign w:val="center"/>
          </w:tcPr>
          <w:p w14:paraId="514A36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氯甲烷</w:t>
            </w:r>
          </w:p>
        </w:tc>
        <w:tc>
          <w:tcPr>
            <w:tcW w:w="4520" w:type="dxa"/>
            <w:vMerge w:val="continue"/>
            <w:tcBorders>
              <w:top w:val="nil"/>
            </w:tcBorders>
            <w:noWrap w:val="0"/>
            <w:vAlign w:val="center"/>
          </w:tcPr>
          <w:p w14:paraId="2EF729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226777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1.0μg/kg</w:t>
            </w:r>
          </w:p>
        </w:tc>
      </w:tr>
      <w:tr w14:paraId="2D01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595ED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38</w:t>
            </w:r>
          </w:p>
        </w:tc>
        <w:tc>
          <w:tcPr>
            <w:tcW w:w="1848" w:type="dxa"/>
            <w:noWrap w:val="0"/>
            <w:vAlign w:val="center"/>
          </w:tcPr>
          <w:p w14:paraId="7D0C7F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苯并[a]蒽</w:t>
            </w:r>
          </w:p>
        </w:tc>
        <w:tc>
          <w:tcPr>
            <w:tcW w:w="4520" w:type="dxa"/>
            <w:vMerge w:val="restart"/>
            <w:tcBorders>
              <w:bottom w:val="nil"/>
            </w:tcBorders>
            <w:noWrap w:val="0"/>
            <w:vAlign w:val="center"/>
          </w:tcPr>
          <w:p w14:paraId="4D399D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《土壤和沉积物半挥发性有机物的测定气相色</w:t>
            </w:r>
          </w:p>
          <w:p w14:paraId="2F06A79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谱-质谱法》</w:t>
            </w:r>
          </w:p>
          <w:p w14:paraId="3F527F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（HJ834-2017）</w:t>
            </w:r>
          </w:p>
        </w:tc>
        <w:tc>
          <w:tcPr>
            <w:tcW w:w="1390" w:type="dxa"/>
            <w:noWrap w:val="0"/>
            <w:vAlign w:val="center"/>
          </w:tcPr>
          <w:p w14:paraId="7AA0AD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0.1mg/kg</w:t>
            </w:r>
          </w:p>
        </w:tc>
      </w:tr>
      <w:tr w14:paraId="4A9CE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E67EF7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39</w:t>
            </w:r>
          </w:p>
        </w:tc>
        <w:tc>
          <w:tcPr>
            <w:tcW w:w="1848" w:type="dxa"/>
            <w:noWrap w:val="0"/>
            <w:vAlign w:val="center"/>
          </w:tcPr>
          <w:p w14:paraId="538247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䓛</w:t>
            </w:r>
          </w:p>
        </w:tc>
        <w:tc>
          <w:tcPr>
            <w:tcW w:w="4520" w:type="dxa"/>
            <w:vMerge w:val="continue"/>
            <w:tcBorders>
              <w:top w:val="nil"/>
              <w:bottom w:val="nil"/>
            </w:tcBorders>
            <w:noWrap w:val="0"/>
            <w:vAlign w:val="center"/>
          </w:tcPr>
          <w:p w14:paraId="017B857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7B331B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0.1mg/kg</w:t>
            </w:r>
          </w:p>
        </w:tc>
      </w:tr>
      <w:tr w14:paraId="2FCB9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6BAC68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40</w:t>
            </w:r>
          </w:p>
        </w:tc>
        <w:tc>
          <w:tcPr>
            <w:tcW w:w="1848" w:type="dxa"/>
            <w:noWrap w:val="0"/>
            <w:vAlign w:val="center"/>
          </w:tcPr>
          <w:p w14:paraId="57763F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苯并[b]荧蒽</w:t>
            </w:r>
          </w:p>
        </w:tc>
        <w:tc>
          <w:tcPr>
            <w:tcW w:w="4520" w:type="dxa"/>
            <w:vMerge w:val="continue"/>
            <w:tcBorders>
              <w:top w:val="nil"/>
              <w:bottom w:val="nil"/>
            </w:tcBorders>
            <w:noWrap w:val="0"/>
            <w:vAlign w:val="center"/>
          </w:tcPr>
          <w:p w14:paraId="78DE1DC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1574AF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0.2mg/kg</w:t>
            </w:r>
          </w:p>
        </w:tc>
      </w:tr>
      <w:tr w14:paraId="342B4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12A71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41</w:t>
            </w:r>
          </w:p>
        </w:tc>
        <w:tc>
          <w:tcPr>
            <w:tcW w:w="1848" w:type="dxa"/>
            <w:noWrap w:val="0"/>
            <w:vAlign w:val="center"/>
          </w:tcPr>
          <w:p w14:paraId="1F3C5F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苯并[k]荧蒽</w:t>
            </w:r>
          </w:p>
        </w:tc>
        <w:tc>
          <w:tcPr>
            <w:tcW w:w="4520" w:type="dxa"/>
            <w:vMerge w:val="continue"/>
            <w:tcBorders>
              <w:top w:val="nil"/>
              <w:bottom w:val="nil"/>
            </w:tcBorders>
            <w:noWrap w:val="0"/>
            <w:vAlign w:val="center"/>
          </w:tcPr>
          <w:p w14:paraId="096B53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9B6CB5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0.1mg/kg</w:t>
            </w:r>
          </w:p>
        </w:tc>
      </w:tr>
      <w:tr w14:paraId="47C43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5951D8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42</w:t>
            </w:r>
          </w:p>
        </w:tc>
        <w:tc>
          <w:tcPr>
            <w:tcW w:w="1848" w:type="dxa"/>
            <w:noWrap w:val="0"/>
            <w:vAlign w:val="center"/>
          </w:tcPr>
          <w:p w14:paraId="7262A5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苯并[a]芘</w:t>
            </w:r>
          </w:p>
        </w:tc>
        <w:tc>
          <w:tcPr>
            <w:tcW w:w="4520" w:type="dxa"/>
            <w:vMerge w:val="continue"/>
            <w:tcBorders>
              <w:top w:val="nil"/>
              <w:bottom w:val="nil"/>
            </w:tcBorders>
            <w:noWrap w:val="0"/>
            <w:vAlign w:val="center"/>
          </w:tcPr>
          <w:p w14:paraId="366218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34310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0.1mg/kg</w:t>
            </w:r>
          </w:p>
        </w:tc>
      </w:tr>
      <w:tr w14:paraId="23D96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1DAB5A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43</w:t>
            </w:r>
          </w:p>
        </w:tc>
        <w:tc>
          <w:tcPr>
            <w:tcW w:w="1848" w:type="dxa"/>
            <w:noWrap w:val="0"/>
            <w:vAlign w:val="center"/>
          </w:tcPr>
          <w:p w14:paraId="03026D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茚并[1、2、3-cd]芘</w:t>
            </w:r>
          </w:p>
        </w:tc>
        <w:tc>
          <w:tcPr>
            <w:tcW w:w="4520" w:type="dxa"/>
            <w:vMerge w:val="continue"/>
            <w:tcBorders>
              <w:top w:val="nil"/>
              <w:bottom w:val="nil"/>
            </w:tcBorders>
            <w:noWrap w:val="0"/>
            <w:vAlign w:val="center"/>
          </w:tcPr>
          <w:p w14:paraId="2F1583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360F7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0.1mg/kg</w:t>
            </w:r>
          </w:p>
        </w:tc>
      </w:tr>
      <w:tr w14:paraId="34C17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94918A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44</w:t>
            </w:r>
          </w:p>
        </w:tc>
        <w:tc>
          <w:tcPr>
            <w:tcW w:w="1848" w:type="dxa"/>
            <w:noWrap w:val="0"/>
            <w:vAlign w:val="center"/>
          </w:tcPr>
          <w:p w14:paraId="007848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二苯并[a，h]蒽</w:t>
            </w:r>
          </w:p>
        </w:tc>
        <w:tc>
          <w:tcPr>
            <w:tcW w:w="4520" w:type="dxa"/>
            <w:vMerge w:val="continue"/>
            <w:tcBorders>
              <w:top w:val="nil"/>
              <w:bottom w:val="nil"/>
            </w:tcBorders>
            <w:noWrap w:val="0"/>
            <w:vAlign w:val="center"/>
          </w:tcPr>
          <w:p w14:paraId="436CC7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4219C1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0.1mg/kg</w:t>
            </w:r>
          </w:p>
        </w:tc>
      </w:tr>
      <w:tr w14:paraId="7F82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7264F6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45</w:t>
            </w:r>
          </w:p>
        </w:tc>
        <w:tc>
          <w:tcPr>
            <w:tcW w:w="1848" w:type="dxa"/>
            <w:noWrap w:val="0"/>
            <w:vAlign w:val="center"/>
          </w:tcPr>
          <w:p w14:paraId="546C32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苯胺</w:t>
            </w:r>
          </w:p>
        </w:tc>
        <w:tc>
          <w:tcPr>
            <w:tcW w:w="4520" w:type="dxa"/>
            <w:vMerge w:val="continue"/>
            <w:tcBorders>
              <w:top w:val="nil"/>
              <w:bottom w:val="nil"/>
            </w:tcBorders>
            <w:noWrap w:val="0"/>
            <w:vAlign w:val="center"/>
          </w:tcPr>
          <w:p w14:paraId="2C7E4F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601AD1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0.1mg/kg</w:t>
            </w:r>
          </w:p>
        </w:tc>
      </w:tr>
      <w:tr w14:paraId="79BB8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39918D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46</w:t>
            </w:r>
          </w:p>
        </w:tc>
        <w:tc>
          <w:tcPr>
            <w:tcW w:w="1848" w:type="dxa"/>
            <w:noWrap w:val="0"/>
            <w:vAlign w:val="center"/>
          </w:tcPr>
          <w:p w14:paraId="5278A9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2-氯酚</w:t>
            </w:r>
          </w:p>
        </w:tc>
        <w:tc>
          <w:tcPr>
            <w:tcW w:w="4520" w:type="dxa"/>
            <w:vMerge w:val="continue"/>
            <w:tcBorders>
              <w:top w:val="nil"/>
              <w:bottom w:val="nil"/>
            </w:tcBorders>
            <w:noWrap w:val="0"/>
            <w:vAlign w:val="center"/>
          </w:tcPr>
          <w:p w14:paraId="3D8F8B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3A34EC3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0.06mg/kg</w:t>
            </w:r>
          </w:p>
        </w:tc>
      </w:tr>
      <w:tr w14:paraId="7619A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27A131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47</w:t>
            </w:r>
          </w:p>
        </w:tc>
        <w:tc>
          <w:tcPr>
            <w:tcW w:w="1848" w:type="dxa"/>
            <w:noWrap w:val="0"/>
            <w:vAlign w:val="center"/>
          </w:tcPr>
          <w:p w14:paraId="69163A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硝基苯</w:t>
            </w:r>
          </w:p>
        </w:tc>
        <w:tc>
          <w:tcPr>
            <w:tcW w:w="4520" w:type="dxa"/>
            <w:vMerge w:val="continue"/>
            <w:tcBorders>
              <w:top w:val="nil"/>
              <w:bottom w:val="nil"/>
            </w:tcBorders>
            <w:noWrap w:val="0"/>
            <w:vAlign w:val="center"/>
          </w:tcPr>
          <w:p w14:paraId="37BFF8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0941D14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0.09mg/kg</w:t>
            </w:r>
          </w:p>
        </w:tc>
      </w:tr>
      <w:tr w14:paraId="46DD7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1" w:type="dxa"/>
            <w:noWrap w:val="0"/>
            <w:vAlign w:val="center"/>
          </w:tcPr>
          <w:p w14:paraId="05D2C5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48</w:t>
            </w:r>
          </w:p>
        </w:tc>
        <w:tc>
          <w:tcPr>
            <w:tcW w:w="1848" w:type="dxa"/>
            <w:noWrap w:val="0"/>
            <w:vAlign w:val="center"/>
          </w:tcPr>
          <w:p w14:paraId="040E0E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萘</w:t>
            </w:r>
          </w:p>
        </w:tc>
        <w:tc>
          <w:tcPr>
            <w:tcW w:w="4520" w:type="dxa"/>
            <w:vMerge w:val="continue"/>
            <w:tcBorders>
              <w:top w:val="nil"/>
            </w:tcBorders>
            <w:noWrap w:val="0"/>
            <w:vAlign w:val="center"/>
          </w:tcPr>
          <w:p w14:paraId="615518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p>
        </w:tc>
        <w:tc>
          <w:tcPr>
            <w:tcW w:w="1390" w:type="dxa"/>
            <w:noWrap w:val="0"/>
            <w:vAlign w:val="center"/>
          </w:tcPr>
          <w:p w14:paraId="7B6349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snapToGrid/>
                <w:color w:val="auto"/>
                <w:spacing w:val="0"/>
                <w:kern w:val="0"/>
                <w:sz w:val="21"/>
                <w:szCs w:val="21"/>
                <w:highlight w:val="none"/>
                <w:lang w:val="en-US" w:eastAsia="zh-CN" w:bidi="ar-SA"/>
              </w:rPr>
              <w:t>0.09mg/kg</w:t>
            </w:r>
          </w:p>
        </w:tc>
      </w:tr>
    </w:tbl>
    <w:p w14:paraId="1F146D56">
      <w:pPr>
        <w:pStyle w:val="81"/>
        <w:keepNext w:val="0"/>
        <w:keepLines/>
        <w:pageBreakBefore w:val="0"/>
        <w:widowControl w:val="0"/>
        <w:kinsoku/>
        <w:wordWrap/>
        <w:overflowPunct/>
        <w:topLinePunct w:val="0"/>
        <w:autoSpaceDE/>
        <w:autoSpaceDN/>
        <w:bidi w:val="0"/>
        <w:adjustRightInd w:val="0"/>
        <w:snapToGrid w:val="0"/>
        <w:spacing w:before="164" w:beforeLines="50" w:line="360" w:lineRule="auto"/>
        <w:textAlignment w:val="auto"/>
        <w:rPr>
          <w:rFonts w:hint="eastAsia"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4.</w:t>
      </w:r>
      <w:r>
        <w:rPr>
          <w:rFonts w:hint="eastAsia" w:ascii="Times New Roman" w:hAnsi="Times New Roman" w:eastAsia="宋体" w:cs="Times New Roman"/>
          <w:b/>
          <w:color w:val="auto"/>
          <w:highlight w:val="none"/>
          <w:lang w:val="en-US" w:eastAsia="zh-CN"/>
        </w:rPr>
        <w:t>4</w:t>
      </w:r>
      <w:r>
        <w:rPr>
          <w:rFonts w:hint="eastAsia" w:ascii="Times New Roman" w:hAnsi="Times New Roman" w:eastAsia="宋体" w:cs="Times New Roman"/>
          <w:b/>
          <w:color w:val="auto"/>
          <w:highlight w:val="none"/>
        </w:rPr>
        <w:t>.</w:t>
      </w:r>
      <w:r>
        <w:rPr>
          <w:rFonts w:hint="eastAsia" w:eastAsia="宋体" w:cs="Times New Roman"/>
          <w:b/>
          <w:color w:val="auto"/>
          <w:highlight w:val="none"/>
          <w:lang w:val="en-US" w:eastAsia="zh-CN"/>
        </w:rPr>
        <w:t>3</w:t>
      </w:r>
      <w:r>
        <w:rPr>
          <w:rFonts w:hint="eastAsia" w:ascii="Times New Roman" w:hAnsi="Times New Roman" w:eastAsia="宋体" w:cs="Times New Roman"/>
          <w:b/>
          <w:color w:val="auto"/>
          <w:highlight w:val="none"/>
        </w:rPr>
        <w:t>.</w:t>
      </w:r>
      <w:r>
        <w:rPr>
          <w:rFonts w:hint="eastAsia" w:cs="Times New Roman"/>
          <w:b/>
          <w:color w:val="auto"/>
          <w:highlight w:val="none"/>
          <w:lang w:val="en-US" w:eastAsia="zh-CN"/>
        </w:rPr>
        <w:t>4</w:t>
      </w:r>
      <w:r>
        <w:rPr>
          <w:rFonts w:hint="eastAsia" w:ascii="Times New Roman" w:hAnsi="Times New Roman" w:eastAsia="宋体" w:cs="Times New Roman"/>
          <w:b/>
          <w:color w:val="auto"/>
          <w:highlight w:val="none"/>
        </w:rPr>
        <w:t>评价标准</w:t>
      </w:r>
    </w:p>
    <w:p w14:paraId="0EF8097D">
      <w:pPr>
        <w:keepNext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auto"/>
          <w:highlight w:val="none"/>
        </w:rPr>
      </w:pPr>
      <w:r>
        <w:rPr>
          <w:rFonts w:hint="eastAsia" w:ascii="Times New Roman" w:hAnsi="Times New Roman" w:cs="Times New Roman"/>
          <w:color w:val="auto"/>
          <w:sz w:val="24"/>
          <w:szCs w:val="24"/>
          <w:highlight w:val="none"/>
          <w:lang w:val="en-US" w:eastAsia="zh-CN"/>
        </w:rPr>
        <w:t>占地范围内土壤</w:t>
      </w:r>
      <w:r>
        <w:rPr>
          <w:rFonts w:hint="default" w:ascii="Times New Roman" w:hAnsi="Times New Roman" w:cs="Times New Roman"/>
          <w:color w:val="auto"/>
          <w:sz w:val="24"/>
          <w:szCs w:val="24"/>
          <w:highlight w:val="none"/>
        </w:rPr>
        <w:t>执行《土壤环境质量建设用地土壤污染风险管控标准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试行</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》（GB36600-2018）第二类用地筛选值</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占地范围外耕地、草地等执行</w:t>
      </w:r>
      <w:r>
        <w:rPr>
          <w:rFonts w:hint="default" w:ascii="Times New Roman" w:hAnsi="Times New Roman" w:cs="Times New Roman"/>
          <w:color w:val="auto"/>
          <w:sz w:val="24"/>
          <w:szCs w:val="24"/>
          <w:highlight w:val="none"/>
        </w:rPr>
        <w:t>《土壤环境质量农用地土壤污染风险管控标准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试行</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GB15618-2018</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相关标准要求</w:t>
      </w:r>
      <w:r>
        <w:rPr>
          <w:rFonts w:hint="default" w:ascii="Times New Roman" w:hAnsi="Times New Roman" w:cs="Times New Roman"/>
          <w:color w:val="auto"/>
          <w:highlight w:val="none"/>
        </w:rPr>
        <w:t>。</w:t>
      </w:r>
    </w:p>
    <w:p w14:paraId="3AEF5C6D">
      <w:pPr>
        <w:pStyle w:val="81"/>
        <w:keepNext w:val="0"/>
        <w:pageBreakBefore w:val="0"/>
        <w:kinsoku/>
        <w:wordWrap/>
        <w:overflowPunct/>
        <w:topLinePunct w:val="0"/>
        <w:autoSpaceDE/>
        <w:autoSpaceDN/>
        <w:bidi w:val="0"/>
        <w:textAlignment w:val="auto"/>
        <w:rPr>
          <w:color w:val="auto"/>
          <w:highlight w:val="none"/>
        </w:rPr>
      </w:pPr>
      <w:r>
        <w:rPr>
          <w:rFonts w:hint="eastAsia"/>
          <w:color w:val="auto"/>
          <w:highlight w:val="none"/>
        </w:rPr>
        <w:t>4.</w:t>
      </w:r>
      <w:r>
        <w:rPr>
          <w:rFonts w:hint="eastAsia"/>
          <w:color w:val="auto"/>
          <w:highlight w:val="none"/>
          <w:lang w:val="en-US" w:eastAsia="zh-CN"/>
        </w:rPr>
        <w:t>4.3.5</w:t>
      </w:r>
      <w:r>
        <w:rPr>
          <w:rFonts w:hint="eastAsia"/>
          <w:color w:val="auto"/>
          <w:highlight w:val="none"/>
        </w:rPr>
        <w:t>评价方法</w:t>
      </w:r>
    </w:p>
    <w:p w14:paraId="7EF58D89">
      <w:pPr>
        <w:keepNext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pict>
          <v:shape id="Object 569" o:spid="_x0000_s1032" o:spt="75" type="#_x0000_t75" style="position:absolute;left:0pt;margin-left:153pt;margin-top:6.6pt;height:38.85pt;width:81pt;z-index:251691008;mso-width-relative:page;mso-height-relative:page;" o:ole="t" filled="f" o:preferrelative="t" stroked="f" coordsize="21600,21600">
            <v:path/>
            <v:fill on="f" focussize="0,0"/>
            <v:stroke on="f"/>
            <v:imagedata r:id="rId45" o:title=""/>
            <o:lock v:ext="edit" aspectratio="t"/>
          </v:shape>
          <o:OLEObject Type="Embed" ProgID="Equation.3" ShapeID="Object 569" DrawAspect="Content" ObjectID="_1468075727" r:id="rId44">
            <o:LockedField>false</o:LockedField>
          </o:OLEObject>
        </w:pict>
      </w:r>
      <w:r>
        <w:rPr>
          <w:rFonts w:hint="default" w:ascii="Times New Roman" w:hAnsi="Times New Roman" w:cs="Times New Roman"/>
          <w:color w:val="auto"/>
          <w:sz w:val="24"/>
          <w:szCs w:val="24"/>
          <w:highlight w:val="none"/>
        </w:rPr>
        <w:t>采用标准指数法：</w:t>
      </w:r>
    </w:p>
    <w:p w14:paraId="51778C12">
      <w:pPr>
        <w:keepNext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Cs w:val="24"/>
          <w:highlight w:val="none"/>
        </w:rPr>
      </w:pPr>
    </w:p>
    <w:p w14:paraId="53B055A3">
      <w:pPr>
        <w:keepNext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 w:val="24"/>
          <w:szCs w:val="24"/>
          <w:highlight w:val="none"/>
        </w:rPr>
        <w:t>式中：Ci——i污染物的监测值；</w:t>
      </w:r>
    </w:p>
    <w:p w14:paraId="4D252D16">
      <w:pPr>
        <w:keepNext w:val="0"/>
        <w:pageBreakBefore w:val="0"/>
        <w:kinsoku/>
        <w:wordWrap/>
        <w:overflowPunct/>
        <w:topLinePunct w:val="0"/>
        <w:autoSpaceDE/>
        <w:autoSpaceDN/>
        <w:bidi w:val="0"/>
        <w:spacing w:line="360" w:lineRule="auto"/>
        <w:ind w:firstLine="1200" w:firstLineChars="5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 w:val="24"/>
          <w:szCs w:val="24"/>
          <w:highlight w:val="none"/>
        </w:rPr>
        <w:t>Si——i污染物的评价标准值；</w:t>
      </w:r>
    </w:p>
    <w:p w14:paraId="75F4870B">
      <w:pPr>
        <w:keepNext w:val="0"/>
        <w:pageBreakBefore w:val="0"/>
        <w:kinsoku/>
        <w:wordWrap/>
        <w:overflowPunct/>
        <w:topLinePunct w:val="0"/>
        <w:autoSpaceDE/>
        <w:autoSpaceDN/>
        <w:bidi w:val="0"/>
        <w:spacing w:line="360" w:lineRule="auto"/>
        <w:ind w:firstLine="1200" w:firstLineChars="5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 w:val="24"/>
          <w:szCs w:val="24"/>
          <w:highlight w:val="none"/>
        </w:rPr>
        <w:t>Pi——i污染物的污染指数</w:t>
      </w:r>
    </w:p>
    <w:p w14:paraId="3C7B81A2">
      <w:pPr>
        <w:pStyle w:val="81"/>
        <w:keepNext w:val="0"/>
        <w:keepLines/>
        <w:pageBreakBefore w:val="0"/>
        <w:widowControl/>
        <w:kinsoku/>
        <w:wordWrap/>
        <w:overflowPunct/>
        <w:topLinePunct w:val="0"/>
        <w:autoSpaceDE/>
        <w:autoSpaceDN/>
        <w:bidi w:val="0"/>
        <w:adjustRightInd w:val="0"/>
        <w:snapToGrid w:val="0"/>
        <w:spacing w:before="157" w:beforeLines="50"/>
        <w:textAlignment w:val="auto"/>
        <w:rPr>
          <w:color w:val="auto"/>
          <w:highlight w:val="none"/>
        </w:rPr>
      </w:pPr>
      <w:r>
        <w:rPr>
          <w:rFonts w:hint="eastAsia"/>
          <w:color w:val="auto"/>
          <w:highlight w:val="none"/>
        </w:rPr>
        <w:t>4.</w:t>
      </w:r>
      <w:r>
        <w:rPr>
          <w:rFonts w:hint="eastAsia"/>
          <w:color w:val="auto"/>
          <w:highlight w:val="none"/>
          <w:lang w:val="en-US" w:eastAsia="zh-CN"/>
        </w:rPr>
        <w:t>4.3.6</w:t>
      </w:r>
      <w:r>
        <w:rPr>
          <w:rFonts w:hint="eastAsia"/>
          <w:color w:val="auto"/>
          <w:highlight w:val="none"/>
        </w:rPr>
        <w:t>监测结果与评价</w:t>
      </w:r>
    </w:p>
    <w:p w14:paraId="3DD0E408">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土壤现状监测与评价结果见表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highlight w:val="none"/>
        </w:rPr>
        <w:t>。</w:t>
      </w:r>
    </w:p>
    <w:p w14:paraId="1D8C369A">
      <w:pPr>
        <w:pStyle w:val="14"/>
        <w:tabs>
          <w:tab w:val="right" w:leader="middleDot" w:pos="8295"/>
        </w:tabs>
        <w:spacing w:line="240" w:lineRule="auto"/>
        <w:ind w:firstLine="0" w:firstLineChars="0"/>
        <w:jc w:val="center"/>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表4.</w:t>
      </w:r>
      <w:r>
        <w:rPr>
          <w:rFonts w:hint="eastAsia" w:ascii="黑体" w:hAnsi="黑体" w:eastAsia="黑体" w:cs="黑体"/>
          <w:b w:val="0"/>
          <w:bCs/>
          <w:color w:val="auto"/>
          <w:sz w:val="21"/>
          <w:szCs w:val="21"/>
          <w:highlight w:val="none"/>
          <w:lang w:val="en-US" w:eastAsia="zh-CN"/>
        </w:rPr>
        <w:t>6-</w:t>
      </w:r>
      <w:r>
        <w:rPr>
          <w:rFonts w:hint="eastAsia" w:ascii="黑体" w:hAnsi="黑体" w:cs="黑体"/>
          <w:b w:val="0"/>
          <w:bCs/>
          <w:color w:val="auto"/>
          <w:sz w:val="21"/>
          <w:szCs w:val="21"/>
          <w:highlight w:val="none"/>
          <w:lang w:val="en-US" w:eastAsia="zh-CN"/>
        </w:rPr>
        <w:t xml:space="preserve">4  </w:t>
      </w:r>
      <w:r>
        <w:rPr>
          <w:rFonts w:hint="eastAsia" w:ascii="黑体" w:hAnsi="黑体" w:eastAsia="黑体" w:cs="黑体"/>
          <w:b w:val="0"/>
          <w:bCs/>
          <w:color w:val="auto"/>
          <w:sz w:val="21"/>
          <w:szCs w:val="21"/>
          <w:highlight w:val="none"/>
          <w:lang w:val="en-US" w:eastAsia="zh-CN"/>
        </w:rPr>
        <w:t>TH10294</w:t>
      </w:r>
      <w:r>
        <w:rPr>
          <w:rFonts w:hint="eastAsia" w:ascii="黑体" w:hAnsi="黑体" w:cs="黑体"/>
          <w:b w:val="0"/>
          <w:bCs/>
          <w:color w:val="auto"/>
          <w:sz w:val="21"/>
          <w:szCs w:val="21"/>
          <w:highlight w:val="none"/>
          <w:lang w:val="en-US" w:eastAsia="zh-CN"/>
        </w:rPr>
        <w:t>CH</w:t>
      </w:r>
      <w:r>
        <w:rPr>
          <w:rFonts w:hint="eastAsia" w:ascii="黑体" w:hAnsi="黑体" w:eastAsia="黑体" w:cs="黑体"/>
          <w:b w:val="0"/>
          <w:bCs/>
          <w:color w:val="auto"/>
          <w:sz w:val="21"/>
          <w:szCs w:val="21"/>
          <w:highlight w:val="none"/>
          <w:lang w:val="en-US" w:eastAsia="zh-CN"/>
        </w:rPr>
        <w:t>井场内表层样监</w:t>
      </w:r>
      <w:r>
        <w:rPr>
          <w:rStyle w:val="38"/>
          <w:rFonts w:hint="eastAsia" w:ascii="黑体" w:hAnsi="黑体" w:eastAsia="黑体" w:cs="黑体"/>
          <w:b w:val="0"/>
          <w:bCs/>
          <w:color w:val="auto"/>
          <w:sz w:val="21"/>
          <w:szCs w:val="21"/>
          <w:highlight w:val="none"/>
        </w:rPr>
        <w:t>测结果统计表</w:t>
      </w:r>
      <w:r>
        <w:rPr>
          <w:rFonts w:hint="eastAsia" w:ascii="黑体" w:hAnsi="黑体" w:eastAsia="黑体" w:cs="黑体"/>
          <w:b w:val="0"/>
          <w:bCs/>
          <w:color w:val="auto"/>
          <w:sz w:val="21"/>
          <w:szCs w:val="21"/>
          <w:highlight w:val="none"/>
        </w:rPr>
        <w:t>（建设用地土壤）</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0"/>
        <w:gridCol w:w="2022"/>
        <w:gridCol w:w="947"/>
        <w:gridCol w:w="2144"/>
        <w:gridCol w:w="1055"/>
        <w:gridCol w:w="1013"/>
        <w:gridCol w:w="596"/>
      </w:tblGrid>
      <w:tr w14:paraId="0751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vMerge w:val="restart"/>
            <w:tcBorders>
              <w:top w:val="single" w:color="auto" w:sz="4" w:space="0"/>
              <w:left w:val="single" w:color="auto" w:sz="4" w:space="0"/>
              <w:bottom w:val="single" w:color="auto" w:sz="4" w:space="0"/>
              <w:right w:val="single" w:color="auto" w:sz="4" w:space="0"/>
            </w:tcBorders>
            <w:noWrap w:val="0"/>
            <w:vAlign w:val="center"/>
          </w:tcPr>
          <w:p w14:paraId="0CBA09F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序号</w:t>
            </w:r>
          </w:p>
        </w:tc>
        <w:tc>
          <w:tcPr>
            <w:tcW w:w="1209" w:type="pct"/>
            <w:vMerge w:val="restart"/>
            <w:tcBorders>
              <w:top w:val="single" w:color="auto" w:sz="4" w:space="0"/>
              <w:left w:val="single" w:color="auto" w:sz="4" w:space="0"/>
              <w:bottom w:val="single" w:color="auto" w:sz="4" w:space="0"/>
              <w:right w:val="single" w:color="auto" w:sz="4" w:space="0"/>
            </w:tcBorders>
            <w:noWrap w:val="0"/>
            <w:vAlign w:val="center"/>
          </w:tcPr>
          <w:p w14:paraId="6F1BA12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污染物项目</w:t>
            </w:r>
          </w:p>
        </w:tc>
        <w:tc>
          <w:tcPr>
            <w:tcW w:w="2479" w:type="pct"/>
            <w:gridSpan w:val="3"/>
            <w:tcBorders>
              <w:top w:val="single" w:color="auto" w:sz="4" w:space="0"/>
              <w:left w:val="single" w:color="auto" w:sz="4" w:space="0"/>
              <w:bottom w:val="single" w:color="auto" w:sz="4" w:space="0"/>
              <w:right w:val="single" w:color="auto" w:sz="4" w:space="0"/>
            </w:tcBorders>
            <w:noWrap w:val="0"/>
            <w:vAlign w:val="center"/>
          </w:tcPr>
          <w:p w14:paraId="70B9F00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监测结果</w:t>
            </w:r>
          </w:p>
        </w:tc>
        <w:tc>
          <w:tcPr>
            <w:tcW w:w="606" w:type="pct"/>
            <w:vMerge w:val="restart"/>
            <w:tcBorders>
              <w:top w:val="single" w:color="auto" w:sz="4" w:space="0"/>
              <w:left w:val="single" w:color="auto" w:sz="4" w:space="0"/>
              <w:bottom w:val="single" w:color="auto" w:sz="4" w:space="0"/>
              <w:right w:val="single" w:color="auto" w:sz="4" w:space="0"/>
            </w:tcBorders>
            <w:noWrap w:val="0"/>
            <w:vAlign w:val="center"/>
          </w:tcPr>
          <w:p w14:paraId="00222B5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标准限值</w:t>
            </w:r>
          </w:p>
          <w:p w14:paraId="5A8F6E7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（mg/kg）</w:t>
            </w:r>
          </w:p>
        </w:tc>
        <w:tc>
          <w:tcPr>
            <w:tcW w:w="356" w:type="pct"/>
            <w:vMerge w:val="restart"/>
            <w:tcBorders>
              <w:top w:val="single" w:color="auto" w:sz="4" w:space="0"/>
              <w:left w:val="single" w:color="auto" w:sz="4" w:space="0"/>
              <w:right w:val="single" w:color="auto" w:sz="4" w:space="0"/>
            </w:tcBorders>
            <w:noWrap w:val="0"/>
            <w:vAlign w:val="center"/>
          </w:tcPr>
          <w:p w14:paraId="2C365AC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是否达标</w:t>
            </w:r>
          </w:p>
        </w:tc>
      </w:tr>
      <w:tr w14:paraId="7A68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vMerge w:val="continue"/>
            <w:tcBorders>
              <w:top w:val="single" w:color="auto" w:sz="4" w:space="0"/>
              <w:left w:val="single" w:color="auto" w:sz="4" w:space="0"/>
              <w:bottom w:val="single" w:color="auto" w:sz="4" w:space="0"/>
              <w:right w:val="single" w:color="auto" w:sz="4" w:space="0"/>
            </w:tcBorders>
            <w:noWrap w:val="0"/>
            <w:vAlign w:val="center"/>
          </w:tcPr>
          <w:p w14:paraId="7B3525C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p>
        </w:tc>
        <w:tc>
          <w:tcPr>
            <w:tcW w:w="1209" w:type="pct"/>
            <w:vMerge w:val="continue"/>
            <w:tcBorders>
              <w:top w:val="single" w:color="auto" w:sz="4" w:space="0"/>
              <w:left w:val="single" w:color="auto" w:sz="4" w:space="0"/>
              <w:bottom w:val="single" w:color="auto" w:sz="4" w:space="0"/>
              <w:right w:val="single" w:color="auto" w:sz="4" w:space="0"/>
            </w:tcBorders>
            <w:noWrap w:val="0"/>
            <w:vAlign w:val="center"/>
          </w:tcPr>
          <w:p w14:paraId="2078004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p>
        </w:tc>
        <w:tc>
          <w:tcPr>
            <w:tcW w:w="566" w:type="pct"/>
            <w:tcBorders>
              <w:top w:val="single" w:color="auto" w:sz="4" w:space="0"/>
              <w:left w:val="single" w:color="auto" w:sz="4" w:space="0"/>
              <w:bottom w:val="single" w:color="auto" w:sz="4" w:space="0"/>
              <w:right w:val="single" w:color="auto" w:sz="4" w:space="0"/>
            </w:tcBorders>
            <w:noWrap w:val="0"/>
            <w:vAlign w:val="center"/>
          </w:tcPr>
          <w:p w14:paraId="730CD1F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单位</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1E87E65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cs="Times New Roman"/>
                <w:color w:val="auto"/>
                <w:kern w:val="2"/>
                <w:sz w:val="21"/>
                <w:szCs w:val="21"/>
                <w:highlight w:val="none"/>
                <w:lang w:val="en-US" w:eastAsia="zh-CN" w:bidi="ar"/>
              </w:rPr>
              <w:t>TN1</w:t>
            </w:r>
            <w:r>
              <w:rPr>
                <w:rFonts w:hint="default" w:ascii="Times New Roman" w:hAnsi="Times New Roman" w:eastAsia="宋体" w:cs="Times New Roman"/>
                <w:color w:val="auto"/>
                <w:kern w:val="2"/>
                <w:sz w:val="21"/>
                <w:szCs w:val="21"/>
                <w:highlight w:val="none"/>
                <w:lang w:eastAsia="zh-CN" w:bidi="ar"/>
              </w:rPr>
              <w:t>（</w:t>
            </w:r>
            <w:r>
              <w:rPr>
                <w:rFonts w:hint="default" w:ascii="Times New Roman" w:hAnsi="Times New Roman" w:eastAsia="宋体" w:cs="Times New Roman"/>
                <w:color w:val="auto"/>
                <w:kern w:val="2"/>
                <w:sz w:val="21"/>
                <w:szCs w:val="21"/>
                <w:highlight w:val="none"/>
                <w:lang w:bidi="ar"/>
              </w:rPr>
              <w:t>0～</w:t>
            </w:r>
            <w:r>
              <w:rPr>
                <w:rFonts w:hint="eastAsia" w:ascii="Times New Roman" w:hAnsi="Times New Roman" w:cs="Times New Roman"/>
                <w:color w:val="auto"/>
                <w:kern w:val="2"/>
                <w:sz w:val="21"/>
                <w:szCs w:val="21"/>
                <w:highlight w:val="none"/>
                <w:lang w:val="en-US" w:eastAsia="zh-CN" w:bidi="ar"/>
              </w:rPr>
              <w:t>0.2</w:t>
            </w:r>
            <w:r>
              <w:rPr>
                <w:rFonts w:hint="default" w:ascii="Times New Roman" w:hAnsi="Times New Roman" w:eastAsia="宋体" w:cs="Times New Roman"/>
                <w:color w:val="auto"/>
                <w:kern w:val="2"/>
                <w:sz w:val="21"/>
                <w:szCs w:val="21"/>
                <w:highlight w:val="none"/>
                <w:lang w:bidi="ar"/>
              </w:rPr>
              <w:t>m</w:t>
            </w:r>
            <w:r>
              <w:rPr>
                <w:rFonts w:hint="default" w:ascii="Times New Roman" w:hAnsi="Times New Roman" w:eastAsia="宋体" w:cs="Times New Roman"/>
                <w:color w:val="auto"/>
                <w:kern w:val="2"/>
                <w:sz w:val="21"/>
                <w:szCs w:val="21"/>
                <w:highlight w:val="none"/>
                <w:lang w:eastAsia="zh-CN" w:bidi="ar"/>
              </w:rPr>
              <w:t>）</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1BC0F72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Pi</w:t>
            </w:r>
          </w:p>
        </w:tc>
        <w:tc>
          <w:tcPr>
            <w:tcW w:w="606" w:type="pct"/>
            <w:vMerge w:val="continue"/>
            <w:tcBorders>
              <w:top w:val="single" w:color="auto" w:sz="4" w:space="0"/>
              <w:left w:val="single" w:color="auto" w:sz="4" w:space="0"/>
              <w:bottom w:val="single" w:color="auto" w:sz="4" w:space="0"/>
              <w:right w:val="single" w:color="auto" w:sz="4" w:space="0"/>
            </w:tcBorders>
            <w:noWrap w:val="0"/>
            <w:vAlign w:val="center"/>
          </w:tcPr>
          <w:p w14:paraId="55ED1D8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p>
        </w:tc>
        <w:tc>
          <w:tcPr>
            <w:tcW w:w="356" w:type="pct"/>
            <w:vMerge w:val="continue"/>
            <w:tcBorders>
              <w:left w:val="single" w:color="auto" w:sz="4" w:space="0"/>
              <w:bottom w:val="single" w:color="auto" w:sz="4" w:space="0"/>
              <w:right w:val="single" w:color="auto" w:sz="4" w:space="0"/>
            </w:tcBorders>
            <w:noWrap w:val="0"/>
            <w:vAlign w:val="center"/>
          </w:tcPr>
          <w:p w14:paraId="1053B84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p>
        </w:tc>
      </w:tr>
      <w:tr w14:paraId="249C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26E6F18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7CDD6C1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188ADF5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2144" w:type="dxa"/>
            <w:tcBorders>
              <w:top w:val="single" w:color="auto" w:sz="4" w:space="0"/>
              <w:left w:val="single" w:color="auto" w:sz="4" w:space="0"/>
              <w:bottom w:val="single" w:color="auto" w:sz="4" w:space="0"/>
              <w:right w:val="single" w:color="auto" w:sz="4" w:space="0"/>
            </w:tcBorders>
            <w:noWrap w:val="0"/>
            <w:vAlign w:val="center"/>
          </w:tcPr>
          <w:p w14:paraId="71BF2625">
            <w:pPr>
              <w:spacing w:line="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仿宋_GB2312" w:cs="Times New Roman"/>
                <w:color w:val="auto"/>
                <w:kern w:val="2"/>
                <w:sz w:val="21"/>
                <w:szCs w:val="21"/>
                <w:highlight w:val="none"/>
                <w:lang w:val="en-US" w:eastAsia="zh-CN" w:bidi="ar-SA"/>
              </w:rPr>
              <w:t>4.58</w:t>
            </w:r>
          </w:p>
        </w:tc>
        <w:tc>
          <w:tcPr>
            <w:tcW w:w="630" w:type="pct"/>
            <w:tcBorders>
              <w:top w:val="single" w:color="auto" w:sz="4" w:space="0"/>
              <w:left w:val="single" w:color="auto" w:sz="4" w:space="0"/>
              <w:bottom w:val="single" w:color="auto" w:sz="4" w:space="0"/>
              <w:right w:val="single" w:color="auto" w:sz="4" w:space="0"/>
            </w:tcBorders>
            <w:noWrap w:val="0"/>
            <w:vAlign w:val="bottom"/>
          </w:tcPr>
          <w:p w14:paraId="1826D038">
            <w:pPr>
              <w:keepNext w:val="0"/>
              <w:keepLines w:val="0"/>
              <w:pageBreakBefore w:val="0"/>
              <w:widowControl/>
              <w:suppressLineNumbers w:val="0"/>
              <w:kinsoku/>
              <w:wordWrap/>
              <w:overflowPunct/>
              <w:topLinePunct w:val="0"/>
              <w:autoSpaceDE/>
              <w:autoSpaceDN/>
              <w:bidi w:val="0"/>
              <w:adjustRightInd/>
              <w:spacing w:line="280" w:lineRule="atLeast"/>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eastAsia" w:eastAsia="等线" w:cs="Times New Roman"/>
                <w:i w:val="0"/>
                <w:iCs w:val="0"/>
                <w:color w:val="auto"/>
                <w:kern w:val="0"/>
                <w:sz w:val="21"/>
                <w:szCs w:val="21"/>
                <w:highlight w:val="none"/>
                <w:u w:val="none"/>
                <w:lang w:val="en-US" w:eastAsia="zh-CN" w:bidi="ar"/>
              </w:rPr>
              <w:t>0.0763</w:t>
            </w:r>
          </w:p>
        </w:tc>
        <w:tc>
          <w:tcPr>
            <w:tcW w:w="606" w:type="pct"/>
            <w:tcBorders>
              <w:top w:val="single" w:color="auto" w:sz="4" w:space="0"/>
              <w:left w:val="single" w:color="auto" w:sz="4" w:space="0"/>
              <w:bottom w:val="single" w:color="auto" w:sz="4" w:space="0"/>
              <w:right w:val="single" w:color="auto" w:sz="4" w:space="0"/>
            </w:tcBorders>
            <w:noWrap w:val="0"/>
            <w:vAlign w:val="top"/>
          </w:tcPr>
          <w:p w14:paraId="2D45D73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60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966BF7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29B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2DF27B3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1BE0F71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镉</w:t>
            </w:r>
          </w:p>
        </w:tc>
        <w:tc>
          <w:tcPr>
            <w:tcW w:w="566" w:type="pct"/>
            <w:tcBorders>
              <w:top w:val="single" w:color="auto" w:sz="4" w:space="0"/>
              <w:left w:val="single" w:color="auto" w:sz="4" w:space="0"/>
              <w:bottom w:val="single" w:color="auto" w:sz="4" w:space="0"/>
              <w:right w:val="single" w:color="auto" w:sz="4" w:space="0"/>
            </w:tcBorders>
            <w:noWrap w:val="0"/>
            <w:vAlign w:val="top"/>
          </w:tcPr>
          <w:p w14:paraId="7053980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2144" w:type="dxa"/>
            <w:tcBorders>
              <w:top w:val="single" w:color="auto" w:sz="4" w:space="0"/>
              <w:left w:val="single" w:color="auto" w:sz="4" w:space="0"/>
              <w:bottom w:val="single" w:color="auto" w:sz="4" w:space="0"/>
              <w:right w:val="single" w:color="auto" w:sz="4" w:space="0"/>
            </w:tcBorders>
            <w:noWrap w:val="0"/>
            <w:vAlign w:val="center"/>
          </w:tcPr>
          <w:p w14:paraId="349A2752">
            <w:pPr>
              <w:spacing w:line="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仿宋_GB2312" w:cs="Times New Roman"/>
                <w:color w:val="auto"/>
                <w:kern w:val="2"/>
                <w:sz w:val="21"/>
                <w:szCs w:val="21"/>
                <w:highlight w:val="none"/>
                <w:lang w:val="en-US" w:eastAsia="zh-CN" w:bidi="ar-SA"/>
              </w:rPr>
              <w:t>0.16</w:t>
            </w:r>
          </w:p>
        </w:tc>
        <w:tc>
          <w:tcPr>
            <w:tcW w:w="630" w:type="pct"/>
            <w:tcBorders>
              <w:top w:val="single" w:color="auto" w:sz="4" w:space="0"/>
              <w:left w:val="single" w:color="auto" w:sz="4" w:space="0"/>
              <w:bottom w:val="single" w:color="auto" w:sz="4" w:space="0"/>
              <w:right w:val="single" w:color="auto" w:sz="4" w:space="0"/>
            </w:tcBorders>
            <w:noWrap w:val="0"/>
            <w:vAlign w:val="bottom"/>
          </w:tcPr>
          <w:p w14:paraId="64951F22">
            <w:pPr>
              <w:keepNext w:val="0"/>
              <w:keepLines w:val="0"/>
              <w:pageBreakBefore w:val="0"/>
              <w:widowControl/>
              <w:suppressLineNumbers w:val="0"/>
              <w:kinsoku/>
              <w:wordWrap/>
              <w:overflowPunct/>
              <w:topLinePunct w:val="0"/>
              <w:autoSpaceDE/>
              <w:autoSpaceDN/>
              <w:bidi w:val="0"/>
              <w:adjustRightInd/>
              <w:spacing w:line="280" w:lineRule="atLeast"/>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eastAsia" w:eastAsia="等线" w:cs="Times New Roman"/>
                <w:i w:val="0"/>
                <w:iCs w:val="0"/>
                <w:color w:val="auto"/>
                <w:kern w:val="0"/>
                <w:sz w:val="21"/>
                <w:szCs w:val="21"/>
                <w:highlight w:val="none"/>
                <w:u w:val="none"/>
                <w:lang w:val="en-US" w:eastAsia="zh-CN" w:bidi="ar"/>
              </w:rPr>
              <w:t>0.0025</w:t>
            </w:r>
          </w:p>
        </w:tc>
        <w:tc>
          <w:tcPr>
            <w:tcW w:w="606" w:type="pct"/>
            <w:tcBorders>
              <w:top w:val="single" w:color="auto" w:sz="4" w:space="0"/>
              <w:left w:val="single" w:color="auto" w:sz="4" w:space="0"/>
              <w:bottom w:val="single" w:color="auto" w:sz="4" w:space="0"/>
              <w:right w:val="single" w:color="auto" w:sz="4" w:space="0"/>
            </w:tcBorders>
            <w:noWrap w:val="0"/>
            <w:vAlign w:val="top"/>
          </w:tcPr>
          <w:p w14:paraId="223CCEB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65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601141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6FC3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03863A5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0A1ABFD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铬（六价）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1730607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2144" w:type="dxa"/>
            <w:tcBorders>
              <w:top w:val="single" w:color="auto" w:sz="4" w:space="0"/>
              <w:left w:val="single" w:color="auto" w:sz="4" w:space="0"/>
              <w:bottom w:val="single" w:color="auto" w:sz="4" w:space="0"/>
              <w:right w:val="single" w:color="auto" w:sz="4" w:space="0"/>
            </w:tcBorders>
            <w:noWrap w:val="0"/>
            <w:vAlign w:val="center"/>
          </w:tcPr>
          <w:p w14:paraId="4182D3AE">
            <w:pPr>
              <w:spacing w:line="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仿宋_GB2312" w:cs="Times New Roman"/>
                <w:color w:val="auto"/>
                <w:kern w:val="2"/>
                <w:sz w:val="21"/>
                <w:szCs w:val="21"/>
                <w:highlight w:val="none"/>
                <w:lang w:val="en-US" w:eastAsia="zh-CN" w:bidi="ar-SA"/>
              </w:rPr>
              <w:t>＜0.5</w:t>
            </w:r>
          </w:p>
        </w:tc>
        <w:tc>
          <w:tcPr>
            <w:tcW w:w="630" w:type="pct"/>
            <w:tcBorders>
              <w:top w:val="single" w:color="auto" w:sz="4" w:space="0"/>
              <w:left w:val="single" w:color="auto" w:sz="4" w:space="0"/>
              <w:bottom w:val="single" w:color="auto" w:sz="4" w:space="0"/>
              <w:right w:val="single" w:color="auto" w:sz="4" w:space="0"/>
            </w:tcBorders>
            <w:noWrap w:val="0"/>
            <w:vAlign w:val="bottom"/>
          </w:tcPr>
          <w:p w14:paraId="4CE6ABA2">
            <w:pPr>
              <w:keepNext w:val="0"/>
              <w:keepLines w:val="0"/>
              <w:pageBreakBefore w:val="0"/>
              <w:widowControl/>
              <w:suppressLineNumbers w:val="0"/>
              <w:kinsoku/>
              <w:wordWrap/>
              <w:overflowPunct/>
              <w:topLinePunct w:val="0"/>
              <w:autoSpaceDE/>
              <w:autoSpaceDN/>
              <w:bidi w:val="0"/>
              <w:adjustRightInd/>
              <w:spacing w:line="280" w:lineRule="atLeast"/>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eastAsia" w:eastAsia="等线" w:cs="Times New Roman"/>
                <w:i w:val="0"/>
                <w:iCs w:val="0"/>
                <w:color w:val="auto"/>
                <w:kern w:val="0"/>
                <w:sz w:val="21"/>
                <w:szCs w:val="21"/>
                <w:highlight w:val="none"/>
                <w:u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05D35A3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5.7</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5C6C9C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2D65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3376F55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161ADAF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铜</w:t>
            </w:r>
          </w:p>
        </w:tc>
        <w:tc>
          <w:tcPr>
            <w:tcW w:w="566" w:type="pct"/>
            <w:tcBorders>
              <w:top w:val="single" w:color="auto" w:sz="4" w:space="0"/>
              <w:left w:val="single" w:color="auto" w:sz="4" w:space="0"/>
              <w:bottom w:val="single" w:color="auto" w:sz="4" w:space="0"/>
              <w:right w:val="single" w:color="auto" w:sz="4" w:space="0"/>
            </w:tcBorders>
            <w:noWrap w:val="0"/>
            <w:vAlign w:val="top"/>
          </w:tcPr>
          <w:p w14:paraId="14E3FAB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2144" w:type="dxa"/>
            <w:tcBorders>
              <w:top w:val="single" w:color="auto" w:sz="4" w:space="0"/>
              <w:left w:val="single" w:color="auto" w:sz="4" w:space="0"/>
              <w:bottom w:val="single" w:color="auto" w:sz="4" w:space="0"/>
              <w:right w:val="single" w:color="auto" w:sz="4" w:space="0"/>
            </w:tcBorders>
            <w:noWrap w:val="0"/>
            <w:vAlign w:val="center"/>
          </w:tcPr>
          <w:p w14:paraId="3C03CD7A">
            <w:pPr>
              <w:spacing w:line="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仿宋_GB2312" w:cs="Times New Roman"/>
                <w:color w:val="auto"/>
                <w:kern w:val="2"/>
                <w:sz w:val="21"/>
                <w:szCs w:val="21"/>
                <w:highlight w:val="none"/>
                <w:lang w:val="en-US" w:eastAsia="zh-CN" w:bidi="ar-SA"/>
              </w:rPr>
              <w:t>22</w:t>
            </w:r>
          </w:p>
        </w:tc>
        <w:tc>
          <w:tcPr>
            <w:tcW w:w="630" w:type="pct"/>
            <w:tcBorders>
              <w:top w:val="single" w:color="auto" w:sz="4" w:space="0"/>
              <w:left w:val="single" w:color="auto" w:sz="4" w:space="0"/>
              <w:bottom w:val="single" w:color="auto" w:sz="4" w:space="0"/>
              <w:right w:val="single" w:color="auto" w:sz="4" w:space="0"/>
            </w:tcBorders>
            <w:noWrap w:val="0"/>
            <w:vAlign w:val="bottom"/>
          </w:tcPr>
          <w:p w14:paraId="2AEAA442">
            <w:pPr>
              <w:keepNext w:val="0"/>
              <w:keepLines w:val="0"/>
              <w:pageBreakBefore w:val="0"/>
              <w:widowControl/>
              <w:suppressLineNumbers w:val="0"/>
              <w:kinsoku/>
              <w:wordWrap/>
              <w:overflowPunct/>
              <w:topLinePunct w:val="0"/>
              <w:autoSpaceDE/>
              <w:autoSpaceDN/>
              <w:bidi w:val="0"/>
              <w:adjustRightInd/>
              <w:spacing w:line="280" w:lineRule="atLeast"/>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0.001</w:t>
            </w:r>
            <w:r>
              <w:rPr>
                <w:rFonts w:hint="eastAsia" w:eastAsia="等线" w:cs="Times New Roman"/>
                <w:i w:val="0"/>
                <w:iCs w:val="0"/>
                <w:color w:val="auto"/>
                <w:kern w:val="0"/>
                <w:sz w:val="21"/>
                <w:szCs w:val="21"/>
                <w:highlight w:val="none"/>
                <w:u w:val="none"/>
                <w:lang w:val="en-US" w:eastAsia="zh-CN" w:bidi="ar"/>
              </w:rPr>
              <w:t>2</w:t>
            </w:r>
          </w:p>
        </w:tc>
        <w:tc>
          <w:tcPr>
            <w:tcW w:w="606" w:type="pct"/>
            <w:tcBorders>
              <w:top w:val="single" w:color="auto" w:sz="4" w:space="0"/>
              <w:left w:val="single" w:color="auto" w:sz="4" w:space="0"/>
              <w:bottom w:val="single" w:color="auto" w:sz="4" w:space="0"/>
              <w:right w:val="single" w:color="auto" w:sz="4" w:space="0"/>
            </w:tcBorders>
            <w:noWrap w:val="0"/>
            <w:vAlign w:val="top"/>
          </w:tcPr>
          <w:p w14:paraId="7EF5221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18000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64F0B6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52F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4F96AEF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5</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17729C7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铅</w:t>
            </w:r>
          </w:p>
        </w:tc>
        <w:tc>
          <w:tcPr>
            <w:tcW w:w="566" w:type="pct"/>
            <w:tcBorders>
              <w:top w:val="single" w:color="auto" w:sz="4" w:space="0"/>
              <w:left w:val="single" w:color="auto" w:sz="4" w:space="0"/>
              <w:bottom w:val="single" w:color="auto" w:sz="4" w:space="0"/>
              <w:right w:val="single" w:color="auto" w:sz="4" w:space="0"/>
            </w:tcBorders>
            <w:noWrap w:val="0"/>
            <w:vAlign w:val="top"/>
          </w:tcPr>
          <w:p w14:paraId="0F33C21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2144" w:type="dxa"/>
            <w:tcBorders>
              <w:top w:val="single" w:color="auto" w:sz="4" w:space="0"/>
              <w:left w:val="single" w:color="auto" w:sz="4" w:space="0"/>
              <w:bottom w:val="single" w:color="auto" w:sz="4" w:space="0"/>
              <w:right w:val="single" w:color="auto" w:sz="4" w:space="0"/>
            </w:tcBorders>
            <w:noWrap w:val="0"/>
            <w:vAlign w:val="center"/>
          </w:tcPr>
          <w:p w14:paraId="1987E90E">
            <w:pPr>
              <w:spacing w:line="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仿宋_GB2312" w:cs="Times New Roman"/>
                <w:color w:val="auto"/>
                <w:kern w:val="2"/>
                <w:sz w:val="21"/>
                <w:szCs w:val="21"/>
                <w:highlight w:val="none"/>
                <w:lang w:val="en-US" w:eastAsia="zh-CN" w:bidi="ar-SA"/>
              </w:rPr>
              <w:t>14.1</w:t>
            </w:r>
          </w:p>
        </w:tc>
        <w:tc>
          <w:tcPr>
            <w:tcW w:w="630" w:type="pct"/>
            <w:tcBorders>
              <w:top w:val="single" w:color="auto" w:sz="4" w:space="0"/>
              <w:left w:val="single" w:color="auto" w:sz="4" w:space="0"/>
              <w:bottom w:val="single" w:color="auto" w:sz="4" w:space="0"/>
              <w:right w:val="single" w:color="auto" w:sz="4" w:space="0"/>
            </w:tcBorders>
            <w:noWrap w:val="0"/>
            <w:vAlign w:val="bottom"/>
          </w:tcPr>
          <w:p w14:paraId="735C0515">
            <w:pPr>
              <w:keepNext w:val="0"/>
              <w:keepLines w:val="0"/>
              <w:pageBreakBefore w:val="0"/>
              <w:widowControl/>
              <w:suppressLineNumbers w:val="0"/>
              <w:kinsoku/>
              <w:wordWrap/>
              <w:overflowPunct/>
              <w:topLinePunct w:val="0"/>
              <w:autoSpaceDE/>
              <w:autoSpaceDN/>
              <w:bidi w:val="0"/>
              <w:adjustRightInd/>
              <w:spacing w:line="280" w:lineRule="atLeast"/>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0.0</w:t>
            </w:r>
            <w:r>
              <w:rPr>
                <w:rFonts w:hint="eastAsia" w:eastAsia="等线" w:cs="Times New Roman"/>
                <w:i w:val="0"/>
                <w:iCs w:val="0"/>
                <w:color w:val="auto"/>
                <w:kern w:val="0"/>
                <w:sz w:val="21"/>
                <w:szCs w:val="21"/>
                <w:highlight w:val="none"/>
                <w:u w:val="none"/>
                <w:lang w:val="en-US" w:eastAsia="zh-CN" w:bidi="ar"/>
              </w:rPr>
              <w:t>18</w:t>
            </w:r>
          </w:p>
        </w:tc>
        <w:tc>
          <w:tcPr>
            <w:tcW w:w="606" w:type="pct"/>
            <w:tcBorders>
              <w:top w:val="single" w:color="auto" w:sz="4" w:space="0"/>
              <w:left w:val="single" w:color="auto" w:sz="4" w:space="0"/>
              <w:bottom w:val="single" w:color="auto" w:sz="4" w:space="0"/>
              <w:right w:val="single" w:color="auto" w:sz="4" w:space="0"/>
            </w:tcBorders>
            <w:noWrap w:val="0"/>
            <w:vAlign w:val="top"/>
          </w:tcPr>
          <w:p w14:paraId="5E492FB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800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083E84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0E59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55A7C7C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6</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60FE656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汞</w:t>
            </w:r>
          </w:p>
        </w:tc>
        <w:tc>
          <w:tcPr>
            <w:tcW w:w="566" w:type="pct"/>
            <w:tcBorders>
              <w:top w:val="single" w:color="auto" w:sz="4" w:space="0"/>
              <w:left w:val="single" w:color="auto" w:sz="4" w:space="0"/>
              <w:bottom w:val="single" w:color="auto" w:sz="4" w:space="0"/>
              <w:right w:val="single" w:color="auto" w:sz="4" w:space="0"/>
            </w:tcBorders>
            <w:noWrap w:val="0"/>
            <w:vAlign w:val="top"/>
          </w:tcPr>
          <w:p w14:paraId="6317EBC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2144" w:type="dxa"/>
            <w:tcBorders>
              <w:top w:val="single" w:color="auto" w:sz="4" w:space="0"/>
              <w:left w:val="single" w:color="auto" w:sz="4" w:space="0"/>
              <w:bottom w:val="single" w:color="auto" w:sz="4" w:space="0"/>
              <w:right w:val="single" w:color="auto" w:sz="4" w:space="0"/>
            </w:tcBorders>
            <w:noWrap w:val="0"/>
            <w:vAlign w:val="center"/>
          </w:tcPr>
          <w:p w14:paraId="51D5B39A">
            <w:pPr>
              <w:spacing w:line="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仿宋_GB2312" w:cs="Times New Roman"/>
                <w:color w:val="auto"/>
                <w:kern w:val="2"/>
                <w:sz w:val="21"/>
                <w:szCs w:val="21"/>
                <w:highlight w:val="none"/>
                <w:lang w:val="en-US" w:eastAsia="zh-CN" w:bidi="ar-SA"/>
              </w:rPr>
              <w:t>0.283</w:t>
            </w:r>
          </w:p>
        </w:tc>
        <w:tc>
          <w:tcPr>
            <w:tcW w:w="630" w:type="pct"/>
            <w:tcBorders>
              <w:top w:val="single" w:color="auto" w:sz="4" w:space="0"/>
              <w:left w:val="single" w:color="auto" w:sz="4" w:space="0"/>
              <w:bottom w:val="single" w:color="auto" w:sz="4" w:space="0"/>
              <w:right w:val="single" w:color="auto" w:sz="4" w:space="0"/>
            </w:tcBorders>
            <w:noWrap w:val="0"/>
            <w:vAlign w:val="bottom"/>
          </w:tcPr>
          <w:p w14:paraId="545B6C1B">
            <w:pPr>
              <w:keepNext w:val="0"/>
              <w:keepLines w:val="0"/>
              <w:pageBreakBefore w:val="0"/>
              <w:widowControl/>
              <w:suppressLineNumbers w:val="0"/>
              <w:kinsoku/>
              <w:wordWrap/>
              <w:overflowPunct/>
              <w:topLinePunct w:val="0"/>
              <w:autoSpaceDE/>
              <w:autoSpaceDN/>
              <w:bidi w:val="0"/>
              <w:adjustRightInd/>
              <w:spacing w:line="280" w:lineRule="atLeast"/>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0.000</w:t>
            </w:r>
            <w:r>
              <w:rPr>
                <w:rFonts w:hint="eastAsia" w:eastAsia="等线" w:cs="Times New Roman"/>
                <w:i w:val="0"/>
                <w:iCs w:val="0"/>
                <w:color w:val="auto"/>
                <w:kern w:val="0"/>
                <w:sz w:val="21"/>
                <w:szCs w:val="21"/>
                <w:highlight w:val="none"/>
                <w:u w:val="none"/>
                <w:lang w:val="en-US" w:eastAsia="zh-CN" w:bidi="ar"/>
              </w:rPr>
              <w:t>7</w:t>
            </w:r>
          </w:p>
        </w:tc>
        <w:tc>
          <w:tcPr>
            <w:tcW w:w="606" w:type="pct"/>
            <w:tcBorders>
              <w:top w:val="single" w:color="auto" w:sz="4" w:space="0"/>
              <w:left w:val="single" w:color="auto" w:sz="4" w:space="0"/>
              <w:bottom w:val="single" w:color="auto" w:sz="4" w:space="0"/>
              <w:right w:val="single" w:color="auto" w:sz="4" w:space="0"/>
            </w:tcBorders>
            <w:noWrap w:val="0"/>
            <w:vAlign w:val="top"/>
          </w:tcPr>
          <w:p w14:paraId="13A2943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38</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BC33D8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514F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053A694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7</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51332AD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镍</w:t>
            </w:r>
          </w:p>
        </w:tc>
        <w:tc>
          <w:tcPr>
            <w:tcW w:w="566" w:type="pct"/>
            <w:tcBorders>
              <w:top w:val="single" w:color="auto" w:sz="4" w:space="0"/>
              <w:left w:val="single" w:color="auto" w:sz="4" w:space="0"/>
              <w:bottom w:val="single" w:color="auto" w:sz="4" w:space="0"/>
              <w:right w:val="single" w:color="auto" w:sz="4" w:space="0"/>
            </w:tcBorders>
            <w:noWrap w:val="0"/>
            <w:vAlign w:val="top"/>
          </w:tcPr>
          <w:p w14:paraId="57FAB58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2144" w:type="dxa"/>
            <w:tcBorders>
              <w:top w:val="single" w:color="auto" w:sz="4" w:space="0"/>
              <w:left w:val="single" w:color="auto" w:sz="4" w:space="0"/>
              <w:bottom w:val="single" w:color="auto" w:sz="4" w:space="0"/>
              <w:right w:val="single" w:color="auto" w:sz="4" w:space="0"/>
            </w:tcBorders>
            <w:noWrap w:val="0"/>
            <w:vAlign w:val="center"/>
          </w:tcPr>
          <w:p w14:paraId="14B6E253">
            <w:pPr>
              <w:spacing w:line="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仿宋_GB2312" w:cs="Times New Roman"/>
                <w:color w:val="auto"/>
                <w:kern w:val="2"/>
                <w:sz w:val="21"/>
                <w:szCs w:val="21"/>
                <w:highlight w:val="none"/>
                <w:lang w:val="en-US" w:eastAsia="zh-CN" w:bidi="ar-SA"/>
              </w:rPr>
              <w:t>38</w:t>
            </w:r>
          </w:p>
        </w:tc>
        <w:tc>
          <w:tcPr>
            <w:tcW w:w="630" w:type="pct"/>
            <w:tcBorders>
              <w:top w:val="single" w:color="auto" w:sz="4" w:space="0"/>
              <w:left w:val="single" w:color="auto" w:sz="4" w:space="0"/>
              <w:bottom w:val="single" w:color="auto" w:sz="4" w:space="0"/>
              <w:right w:val="single" w:color="auto" w:sz="4" w:space="0"/>
            </w:tcBorders>
            <w:noWrap w:val="0"/>
            <w:vAlign w:val="bottom"/>
          </w:tcPr>
          <w:p w14:paraId="64A2AD6A">
            <w:pPr>
              <w:keepNext w:val="0"/>
              <w:keepLines w:val="0"/>
              <w:pageBreakBefore w:val="0"/>
              <w:widowControl/>
              <w:suppressLineNumbers w:val="0"/>
              <w:kinsoku/>
              <w:wordWrap/>
              <w:overflowPunct/>
              <w:topLinePunct w:val="0"/>
              <w:autoSpaceDE/>
              <w:autoSpaceDN/>
              <w:bidi w:val="0"/>
              <w:adjustRightInd/>
              <w:spacing w:line="280" w:lineRule="atLeast"/>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0.04</w:t>
            </w:r>
            <w:r>
              <w:rPr>
                <w:rFonts w:hint="eastAsia" w:eastAsia="等线" w:cs="Times New Roman"/>
                <w:i w:val="0"/>
                <w:iCs w:val="0"/>
                <w:color w:val="auto"/>
                <w:kern w:val="0"/>
                <w:sz w:val="21"/>
                <w:szCs w:val="21"/>
                <w:highlight w:val="none"/>
                <w:u w:val="none"/>
                <w:lang w:val="en-US" w:eastAsia="zh-CN" w:bidi="ar"/>
              </w:rPr>
              <w:t>22</w:t>
            </w:r>
          </w:p>
        </w:tc>
        <w:tc>
          <w:tcPr>
            <w:tcW w:w="606" w:type="pct"/>
            <w:tcBorders>
              <w:top w:val="single" w:color="auto" w:sz="4" w:space="0"/>
              <w:left w:val="single" w:color="auto" w:sz="4" w:space="0"/>
              <w:bottom w:val="single" w:color="auto" w:sz="4" w:space="0"/>
              <w:right w:val="single" w:color="auto" w:sz="4" w:space="0"/>
            </w:tcBorders>
            <w:noWrap w:val="0"/>
            <w:vAlign w:val="top"/>
          </w:tcPr>
          <w:p w14:paraId="0F8E845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900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0371BA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6E14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664E3B1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8</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2F096D71">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四氯化碳</w:t>
            </w:r>
          </w:p>
        </w:tc>
        <w:tc>
          <w:tcPr>
            <w:tcW w:w="566" w:type="pct"/>
            <w:tcBorders>
              <w:top w:val="single" w:color="auto" w:sz="4" w:space="0"/>
              <w:left w:val="single" w:color="auto" w:sz="4" w:space="0"/>
              <w:bottom w:val="single" w:color="auto" w:sz="4" w:space="0"/>
              <w:right w:val="single" w:color="auto" w:sz="4" w:space="0"/>
            </w:tcBorders>
            <w:noWrap w:val="0"/>
            <w:vAlign w:val="top"/>
          </w:tcPr>
          <w:p w14:paraId="050F4A2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708D7AE8">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＜1.3</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3F369AD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4809D6E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2.8</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6455BA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4FFC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7C1E9EB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9</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1B0BD788">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氯仿</w:t>
            </w:r>
          </w:p>
        </w:tc>
        <w:tc>
          <w:tcPr>
            <w:tcW w:w="566" w:type="pct"/>
            <w:tcBorders>
              <w:top w:val="single" w:color="auto" w:sz="4" w:space="0"/>
              <w:left w:val="single" w:color="auto" w:sz="4" w:space="0"/>
              <w:bottom w:val="single" w:color="auto" w:sz="4" w:space="0"/>
              <w:right w:val="single" w:color="auto" w:sz="4" w:space="0"/>
            </w:tcBorders>
            <w:noWrap w:val="0"/>
            <w:vAlign w:val="top"/>
          </w:tcPr>
          <w:p w14:paraId="53ADA04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022B693E">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＜1.1</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599076D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31DFF24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0.9</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4229AF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4210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738C287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10</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201AB816">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氯甲烷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6CA0C2C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1819255E">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＜1.0</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797BE15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1EC6928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37000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3BC8EE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292D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59721B8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11</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3857722C">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1,1-二氯乙烷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7C660AA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432A430C">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454C082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1BBC56D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9</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A4BC39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4EF9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2A4351E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12</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2C4E13DC">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1,2-二氯乙烷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4B83CCD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357BB3D9">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＜1.3</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7D8C9B9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346573D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25ADB0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546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1880ECF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13</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13C90E1D">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1,1-二氯乙烯</w:t>
            </w:r>
          </w:p>
        </w:tc>
        <w:tc>
          <w:tcPr>
            <w:tcW w:w="566" w:type="pct"/>
            <w:tcBorders>
              <w:top w:val="single" w:color="auto" w:sz="4" w:space="0"/>
              <w:left w:val="single" w:color="auto" w:sz="4" w:space="0"/>
              <w:bottom w:val="single" w:color="auto" w:sz="4" w:space="0"/>
              <w:right w:val="single" w:color="auto" w:sz="4" w:space="0"/>
            </w:tcBorders>
            <w:noWrap w:val="0"/>
            <w:vAlign w:val="top"/>
          </w:tcPr>
          <w:p w14:paraId="265C16F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189D5483">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＜1.0</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7D0C2D0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2911A4A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66</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10E52B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6AD6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247C549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14</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58E10661">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顺-1,2-二氯乙烯</w:t>
            </w:r>
          </w:p>
        </w:tc>
        <w:tc>
          <w:tcPr>
            <w:tcW w:w="566" w:type="pct"/>
            <w:tcBorders>
              <w:top w:val="single" w:color="auto" w:sz="4" w:space="0"/>
              <w:left w:val="single" w:color="auto" w:sz="4" w:space="0"/>
              <w:bottom w:val="single" w:color="auto" w:sz="4" w:space="0"/>
              <w:right w:val="single" w:color="auto" w:sz="4" w:space="0"/>
            </w:tcBorders>
            <w:noWrap w:val="0"/>
            <w:vAlign w:val="top"/>
          </w:tcPr>
          <w:p w14:paraId="4BA0389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467E6616">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＜1.3</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44545A0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74C3B04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596</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578EA7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665E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2684933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15</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137CA3D2">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反-1,2-二氯乙烯</w:t>
            </w:r>
          </w:p>
        </w:tc>
        <w:tc>
          <w:tcPr>
            <w:tcW w:w="566" w:type="pct"/>
            <w:tcBorders>
              <w:top w:val="single" w:color="auto" w:sz="4" w:space="0"/>
              <w:left w:val="single" w:color="auto" w:sz="4" w:space="0"/>
              <w:bottom w:val="single" w:color="auto" w:sz="4" w:space="0"/>
              <w:right w:val="single" w:color="auto" w:sz="4" w:space="0"/>
            </w:tcBorders>
            <w:noWrap w:val="0"/>
            <w:vAlign w:val="top"/>
          </w:tcPr>
          <w:p w14:paraId="1DB2A44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6AD4A69F">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＜1.4</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3AA1C76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5166F11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54</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B0BEB8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797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78D59BD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16</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5566CE69">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二氯甲烷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6D9DCEE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173B9118">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＜1.5</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3C931FC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7D6CC4A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616</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BF0E95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5D4E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14FB2D8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17</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3B89492E">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1,2-二氯丙烷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6950AA0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45268B82">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＜1.1</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2C099CF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709D3F6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4162BB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5FC8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18C64AC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18</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50FA308D">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1,1,1,2-四氯乙烷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1B25430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473E604C">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6950D80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1E60CD3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1AEF26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0C8B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3FE9E4E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19</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6C613DF3">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1,1,2,2-四氯乙烷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08F6BB8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2505D5F7">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1C3F9B3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273162E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6.8</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B6A21F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180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71D7A68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20</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5E2938FC">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四氯乙烯</w:t>
            </w:r>
          </w:p>
        </w:tc>
        <w:tc>
          <w:tcPr>
            <w:tcW w:w="566" w:type="pct"/>
            <w:tcBorders>
              <w:top w:val="single" w:color="auto" w:sz="4" w:space="0"/>
              <w:left w:val="single" w:color="auto" w:sz="4" w:space="0"/>
              <w:bottom w:val="single" w:color="auto" w:sz="4" w:space="0"/>
              <w:right w:val="single" w:color="auto" w:sz="4" w:space="0"/>
            </w:tcBorders>
            <w:noWrap w:val="0"/>
            <w:vAlign w:val="top"/>
          </w:tcPr>
          <w:p w14:paraId="6735698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60A20188">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＜1.4</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445786D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37F0F6A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53</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29CD8C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0DB5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7DA18BD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21</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36659B4F">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1,1,1-三氯乙烷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0C00BD7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5911D5DE">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＜1.3</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0500012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640922C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840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CC6734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A42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2313027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22</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2E672D3E">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1,1,2-三氯乙烷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5857D95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5544CE3E">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76D8024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1310943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2.8</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C718CE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2651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44531C0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23</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1CF21F8B">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三氯乙烯</w:t>
            </w:r>
          </w:p>
        </w:tc>
        <w:tc>
          <w:tcPr>
            <w:tcW w:w="566" w:type="pct"/>
            <w:tcBorders>
              <w:top w:val="single" w:color="auto" w:sz="4" w:space="0"/>
              <w:left w:val="single" w:color="auto" w:sz="4" w:space="0"/>
              <w:bottom w:val="single" w:color="auto" w:sz="4" w:space="0"/>
              <w:right w:val="single" w:color="auto" w:sz="4" w:space="0"/>
            </w:tcBorders>
            <w:noWrap w:val="0"/>
            <w:vAlign w:val="top"/>
          </w:tcPr>
          <w:p w14:paraId="540BB8C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2825EDB2">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53DC19C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690B765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2.8</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615D3A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1F85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4DA2592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24</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5AFF8FB5">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1,2,3-三氯丙烷</w:t>
            </w:r>
          </w:p>
        </w:tc>
        <w:tc>
          <w:tcPr>
            <w:tcW w:w="566" w:type="pct"/>
            <w:tcBorders>
              <w:top w:val="single" w:color="auto" w:sz="4" w:space="0"/>
              <w:left w:val="single" w:color="auto" w:sz="4" w:space="0"/>
              <w:bottom w:val="single" w:color="auto" w:sz="4" w:space="0"/>
              <w:right w:val="single" w:color="auto" w:sz="4" w:space="0"/>
            </w:tcBorders>
            <w:noWrap w:val="0"/>
            <w:vAlign w:val="top"/>
          </w:tcPr>
          <w:p w14:paraId="5C52670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38A77668">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6E53F48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3886E45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0.5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D6711C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2928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6711DD0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25</w:t>
            </w:r>
          </w:p>
        </w:tc>
        <w:tc>
          <w:tcPr>
            <w:tcW w:w="1209" w:type="pct"/>
            <w:tcBorders>
              <w:top w:val="single" w:color="auto" w:sz="4" w:space="0"/>
              <w:left w:val="single" w:color="auto" w:sz="4" w:space="0"/>
              <w:bottom w:val="single" w:color="auto" w:sz="4" w:space="0"/>
              <w:right w:val="single" w:color="auto" w:sz="4" w:space="0"/>
            </w:tcBorders>
            <w:noWrap w:val="0"/>
            <w:vAlign w:val="top"/>
          </w:tcPr>
          <w:p w14:paraId="5869DC02">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氯乙烯</w:t>
            </w:r>
          </w:p>
        </w:tc>
        <w:tc>
          <w:tcPr>
            <w:tcW w:w="566" w:type="pct"/>
            <w:tcBorders>
              <w:top w:val="single" w:color="auto" w:sz="4" w:space="0"/>
              <w:left w:val="single" w:color="auto" w:sz="4" w:space="0"/>
              <w:bottom w:val="single" w:color="auto" w:sz="4" w:space="0"/>
              <w:right w:val="single" w:color="auto" w:sz="4" w:space="0"/>
            </w:tcBorders>
            <w:noWrap w:val="0"/>
            <w:vAlign w:val="top"/>
          </w:tcPr>
          <w:p w14:paraId="7D734F3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vAlign w:val="center"/>
          </w:tcPr>
          <w:p w14:paraId="0B289CD9">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＜1.0</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46E860C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vAlign w:val="top"/>
          </w:tcPr>
          <w:p w14:paraId="7C54BB3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0.43</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944081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D2B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E64A05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26</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3CC882C4">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2502F9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A0939">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＜1.9</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CD5792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70DC46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4</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2B2003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6D2C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92841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27</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5D96DE4D">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氯苯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561F553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E53DBCC">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0A3939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5247A0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270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5B9D61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BAB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564ECB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28</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872E6FA">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1,2-二氯苯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739F86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1556764">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＜1.5</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0F7892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E85671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560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D14E87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7E12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8C9DC9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29</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5B91CACA">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1,4-二氯苯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E69289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571EDC1">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＜1.5</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B11567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D3CD59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1A571FC">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151E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FECF8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30</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981305D">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乙苯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05B2E5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71F620A">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7E7BE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EE9884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28</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C8DAA4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7135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3F8C7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31</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F2C1625">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苯乙烯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A39742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6D88FE9">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0E7F6A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56FD0FD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1290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EE0F26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2C21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684C9B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32</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82E22F6">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甲苯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806817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F80E00">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＜1.3</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491C9B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AAC562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1200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62AF6B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1E6E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F9669F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33</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3B363A1F">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间二甲苯+对二甲苯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C7CA7E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AA10A0E">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99FD9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00F6CB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570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8483E1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54F1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76889F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34</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37295D81">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邻二甲苯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56DBEE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μg/kg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87F554F">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＜1.2</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5DC38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12D27B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640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BD562A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29BB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E35321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35</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3CB2671B">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硝基苯</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A48A59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0B4EB6E">
            <w:pPr>
              <w:keepNext w:val="0"/>
              <w:keepLines w:val="0"/>
              <w:pageBreakBefore w:val="0"/>
              <w:widowControl w:val="0"/>
              <w:kinsoku/>
              <w:wordWrap/>
              <w:overflowPunct/>
              <w:topLinePunct w:val="0"/>
              <w:autoSpaceDE/>
              <w:autoSpaceDN/>
              <w:bidi w:val="0"/>
              <w:adjustRightInd/>
              <w:snapToGrid/>
              <w:spacing w:line="280" w:lineRule="atLeast"/>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0.09</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4ADAD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C77A7E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76</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27DB4D2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CBB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994816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36</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5BE27D0">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苯胺</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77F6DF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C4B0F7">
            <w:pPr>
              <w:keepNext w:val="0"/>
              <w:keepLines w:val="0"/>
              <w:pageBreakBefore w:val="0"/>
              <w:widowControl w:val="0"/>
              <w:kinsoku/>
              <w:wordWrap/>
              <w:overflowPunct/>
              <w:topLinePunct w:val="0"/>
              <w:autoSpaceDE/>
              <w:autoSpaceDN/>
              <w:bidi w:val="0"/>
              <w:adjustRightInd/>
              <w:snapToGrid/>
              <w:spacing w:line="280" w:lineRule="atLeast"/>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B41053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925C114">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260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15B0DF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17B5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8EBB5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37</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40A931EC">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2-氯酚</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E58D77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62E3A0B">
            <w:pPr>
              <w:keepNext w:val="0"/>
              <w:keepLines w:val="0"/>
              <w:pageBreakBefore w:val="0"/>
              <w:widowControl w:val="0"/>
              <w:kinsoku/>
              <w:wordWrap/>
              <w:overflowPunct/>
              <w:topLinePunct w:val="0"/>
              <w:autoSpaceDE/>
              <w:autoSpaceDN/>
              <w:bidi w:val="0"/>
              <w:adjustRightInd/>
              <w:snapToGrid/>
              <w:spacing w:line="280" w:lineRule="atLeast"/>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＜0.06</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26A175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388337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2256</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9C8958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72DC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9386A2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38</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4373686C">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苯并[a]蒽</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591E37C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4F2D404">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11F9A7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B600D0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87E546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45D4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B8C8A8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39</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941C4EB">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苯并[a]芘</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49F4E52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3826AC0">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969A4C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761E15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06C46D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6CEB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58DA90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40</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7E49FBA">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苯并[b]荧蒽</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D4A0D5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BC9D00">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＜0.2</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3EDDD6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476CAA9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A01F08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D49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436996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41</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30B48722">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苯并[k]荧蒽</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95C3B0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5D73DEE">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44C62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54D140D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151</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B4FDD6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7594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FEE52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42</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9917FCF">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䓛</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473159D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9C9973">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504086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31A14B7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1293</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0046D9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30AD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E7AD15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43</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B23DC57">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二苯并[a，h]蒽</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BB694A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599C26">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8392CC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449A6A4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2DCC973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57D8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4D2EC10">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44</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629911B">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茚并[1、2、3-cd]芘</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380D918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B8AA10F">
            <w:pPr>
              <w:keepNext w:val="0"/>
              <w:keepLines w:val="0"/>
              <w:pageBreakBefore w:val="0"/>
              <w:kinsoku/>
              <w:wordWrap/>
              <w:overflowPunct/>
              <w:topLinePunct w:val="0"/>
              <w:autoSpaceDE/>
              <w:autoSpaceDN/>
              <w:bidi w:val="0"/>
              <w:adjustRightInd/>
              <w:snapToGrid w:val="0"/>
              <w:spacing w:line="280" w:lineRule="atLeast"/>
              <w:ind w:left="72"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＜0.1</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D8CF1D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1A25ABD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15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0609A9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79F2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78CD5D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45</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654C251">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萘</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7D2035D">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8A322D2">
            <w:pPr>
              <w:keepNext w:val="0"/>
              <w:keepLines w:val="0"/>
              <w:pageBreakBefore w:val="0"/>
              <w:widowControl w:val="0"/>
              <w:kinsoku/>
              <w:wordWrap/>
              <w:overflowPunct/>
              <w:topLinePunct w:val="0"/>
              <w:autoSpaceDE/>
              <w:autoSpaceDN/>
              <w:bidi w:val="0"/>
              <w:adjustRightInd/>
              <w:snapToGrid/>
              <w:spacing w:line="280" w:lineRule="atLeast"/>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rPr>
              <w:t>＜0.09</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D8C17A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DC6097E">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70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68940B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5F73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29D8D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46</w:t>
            </w:r>
          </w:p>
        </w:tc>
        <w:tc>
          <w:tcPr>
            <w:tcW w:w="120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22C70A8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石油烃（C10~C40）</w:t>
            </w:r>
          </w:p>
        </w:tc>
        <w:tc>
          <w:tcPr>
            <w:tcW w:w="56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091103C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mg/kg</w:t>
            </w:r>
          </w:p>
        </w:tc>
        <w:tc>
          <w:tcPr>
            <w:tcW w:w="128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65F4FA9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＜6</w:t>
            </w:r>
          </w:p>
        </w:tc>
        <w:tc>
          <w:tcPr>
            <w:tcW w:w="63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07E4FCA">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top"/>
          </w:tcPr>
          <w:p w14:paraId="7E71A12F">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4500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E85174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kern w:val="2"/>
                <w:sz w:val="21"/>
                <w:szCs w:val="21"/>
                <w:highlight w:val="none"/>
                <w:lang w:bidi="ar"/>
              </w:rPr>
              <w:t>达标</w:t>
            </w:r>
          </w:p>
        </w:tc>
      </w:tr>
      <w:tr w14:paraId="6889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noWrap w:val="0"/>
            <w:vAlign w:val="top"/>
          </w:tcPr>
          <w:p w14:paraId="2BD0D9F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47</w:t>
            </w:r>
          </w:p>
        </w:tc>
        <w:tc>
          <w:tcPr>
            <w:tcW w:w="1209" w:type="pct"/>
            <w:noWrap w:val="0"/>
            <w:vAlign w:val="top"/>
          </w:tcPr>
          <w:p w14:paraId="3ABF6A7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pH值</w:t>
            </w:r>
          </w:p>
        </w:tc>
        <w:tc>
          <w:tcPr>
            <w:tcW w:w="566" w:type="pct"/>
            <w:noWrap w:val="0"/>
            <w:vAlign w:val="top"/>
          </w:tcPr>
          <w:p w14:paraId="4713C1E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无量纲</w:t>
            </w:r>
          </w:p>
        </w:tc>
        <w:tc>
          <w:tcPr>
            <w:tcW w:w="1282" w:type="pct"/>
            <w:noWrap w:val="0"/>
            <w:vAlign w:val="top"/>
          </w:tcPr>
          <w:p w14:paraId="4126E809">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7.97</w:t>
            </w:r>
          </w:p>
        </w:tc>
        <w:tc>
          <w:tcPr>
            <w:tcW w:w="630" w:type="pct"/>
            <w:noWrap w:val="0"/>
            <w:vAlign w:val="top"/>
          </w:tcPr>
          <w:p w14:paraId="43B7D37B">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noWrap w:val="0"/>
            <w:vAlign w:val="top"/>
          </w:tcPr>
          <w:p w14:paraId="632F89D3">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w:t>
            </w:r>
          </w:p>
        </w:tc>
        <w:tc>
          <w:tcPr>
            <w:tcW w:w="356" w:type="pct"/>
            <w:noWrap w:val="0"/>
            <w:vAlign w:val="top"/>
          </w:tcPr>
          <w:p w14:paraId="48914810">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w:t>
            </w:r>
          </w:p>
        </w:tc>
      </w:tr>
      <w:tr w14:paraId="3962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7" w:type="pct"/>
            <w:noWrap w:val="0"/>
            <w:vAlign w:val="top"/>
          </w:tcPr>
          <w:p w14:paraId="2BC57342">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48</w:t>
            </w:r>
          </w:p>
        </w:tc>
        <w:tc>
          <w:tcPr>
            <w:tcW w:w="1209" w:type="pct"/>
            <w:noWrap w:val="0"/>
            <w:vAlign w:val="top"/>
          </w:tcPr>
          <w:p w14:paraId="4215F518">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bidi="ar"/>
              </w:rPr>
              <w:t>水溶性盐总量</w:t>
            </w:r>
          </w:p>
        </w:tc>
        <w:tc>
          <w:tcPr>
            <w:tcW w:w="566" w:type="pct"/>
            <w:noWrap w:val="0"/>
            <w:vAlign w:val="top"/>
          </w:tcPr>
          <w:p w14:paraId="65112B67">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g/kg</w:t>
            </w:r>
          </w:p>
        </w:tc>
        <w:tc>
          <w:tcPr>
            <w:tcW w:w="1282" w:type="pct"/>
            <w:noWrap w:val="0"/>
            <w:vAlign w:val="top"/>
          </w:tcPr>
          <w:p w14:paraId="04606BB1">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19.4</w:t>
            </w:r>
          </w:p>
        </w:tc>
        <w:tc>
          <w:tcPr>
            <w:tcW w:w="630" w:type="pct"/>
            <w:noWrap w:val="0"/>
            <w:vAlign w:val="top"/>
          </w:tcPr>
          <w:p w14:paraId="6D72C6D5">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c>
          <w:tcPr>
            <w:tcW w:w="606" w:type="pct"/>
            <w:noWrap w:val="0"/>
            <w:vAlign w:val="top"/>
          </w:tcPr>
          <w:p w14:paraId="3482EC66">
            <w:pPr>
              <w:pStyle w:val="142"/>
              <w:keepNext w:val="0"/>
              <w:keepLines w:val="0"/>
              <w:pageBreakBefore w:val="0"/>
              <w:kinsoku/>
              <w:wordWrap/>
              <w:overflowPunct/>
              <w:topLinePunct w:val="0"/>
              <w:autoSpaceDE/>
              <w:autoSpaceDN/>
              <w:bidi w:val="0"/>
              <w:adjustRightInd/>
              <w:spacing w:line="280" w:lineRule="atLeast"/>
              <w:jc w:val="center"/>
              <w:rPr>
                <w:rFonts w:hint="default" w:ascii="Times New Roman" w:hAnsi="Times New Roman" w:eastAsia="宋体" w:cs="Times New Roman"/>
                <w:color w:val="auto"/>
                <w:kern w:val="2"/>
                <w:sz w:val="21"/>
                <w:szCs w:val="21"/>
                <w:highlight w:val="none"/>
                <w:lang w:val="en-US" w:eastAsia="en-US" w:bidi="ar"/>
              </w:rPr>
            </w:pPr>
            <w:r>
              <w:rPr>
                <w:rFonts w:hint="default" w:ascii="Times New Roman" w:hAnsi="Times New Roman" w:eastAsia="宋体" w:cs="Times New Roman"/>
                <w:color w:val="auto"/>
                <w:kern w:val="2"/>
                <w:sz w:val="21"/>
                <w:szCs w:val="21"/>
                <w:highlight w:val="none"/>
                <w:lang w:bidi="ar"/>
              </w:rPr>
              <w:t>/</w:t>
            </w:r>
          </w:p>
        </w:tc>
        <w:tc>
          <w:tcPr>
            <w:tcW w:w="356" w:type="pct"/>
            <w:noWrap w:val="0"/>
            <w:vAlign w:val="top"/>
          </w:tcPr>
          <w:p w14:paraId="4C5F3420">
            <w:pPr>
              <w:pStyle w:val="142"/>
              <w:keepNext w:val="0"/>
              <w:keepLines w:val="0"/>
              <w:pageBreakBefore w:val="0"/>
              <w:kinsoku/>
              <w:wordWrap/>
              <w:overflowPunct/>
              <w:topLinePunct w:val="0"/>
              <w:autoSpaceDE/>
              <w:autoSpaceDN/>
              <w:bidi w:val="0"/>
              <w:adjustRightInd/>
              <w:spacing w:line="280" w:lineRule="atLeast"/>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w:t>
            </w:r>
          </w:p>
        </w:tc>
      </w:tr>
    </w:tbl>
    <w:p w14:paraId="6E6FABC4">
      <w:pPr>
        <w:pStyle w:val="44"/>
        <w:keepNext w:val="0"/>
        <w:keepLines w:val="0"/>
        <w:pageBreakBefore w:val="0"/>
        <w:kinsoku/>
        <w:wordWrap/>
        <w:overflowPunct/>
        <w:topLinePunct w:val="0"/>
        <w:autoSpaceDE/>
        <w:autoSpaceDN/>
        <w:bidi w:val="0"/>
        <w:spacing w:line="240" w:lineRule="auto"/>
        <w:textAlignment w:val="auto"/>
        <w:outlineLvl w:val="9"/>
        <w:rPr>
          <w:rStyle w:val="38"/>
          <w:rFonts w:hint="default" w:ascii="Times New Roman" w:hAnsi="Times New Roman" w:cs="Times New Roman"/>
          <w:b w:val="0"/>
          <w:bCs/>
          <w:color w:val="auto"/>
          <w:sz w:val="21"/>
          <w:szCs w:val="21"/>
          <w:highlight w:val="none"/>
        </w:rPr>
      </w:pPr>
    </w:p>
    <w:p w14:paraId="44F464D1">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eastAsia="黑体" w:cs="Times New Roman"/>
          <w:b w:val="0"/>
          <w:bCs/>
          <w:color w:val="auto"/>
          <w:highlight w:val="none"/>
          <w:lang w:eastAsia="zh-CN"/>
        </w:rPr>
      </w:pPr>
      <w:r>
        <w:rPr>
          <w:rFonts w:hint="default" w:ascii="Times New Roman" w:hAnsi="Times New Roman" w:cs="Times New Roman"/>
          <w:b w:val="0"/>
          <w:bCs/>
          <w:color w:val="auto"/>
          <w:highlight w:val="none"/>
        </w:rPr>
        <w:t>表4.</w:t>
      </w:r>
      <w:r>
        <w:rPr>
          <w:rFonts w:hint="eastAsia" w:cs="Times New Roman"/>
          <w:b w:val="0"/>
          <w:bCs/>
          <w:color w:val="auto"/>
          <w:highlight w:val="none"/>
          <w:lang w:val="en-US" w:eastAsia="zh-CN"/>
        </w:rPr>
        <w:t>4</w:t>
      </w:r>
      <w:r>
        <w:rPr>
          <w:rFonts w:hint="default" w:ascii="Times New Roman" w:hAnsi="Times New Roman" w:cs="Times New Roman"/>
          <w:b w:val="0"/>
          <w:bCs/>
          <w:color w:val="auto"/>
          <w:highlight w:val="none"/>
        </w:rPr>
        <w:t>-</w:t>
      </w:r>
      <w:r>
        <w:rPr>
          <w:rFonts w:hint="default" w:ascii="Times New Roman" w:hAnsi="Times New Roman" w:cs="Times New Roman"/>
          <w:b w:val="0"/>
          <w:bCs/>
          <w:color w:val="auto"/>
          <w:highlight w:val="none"/>
          <w:lang w:val="en-US" w:eastAsia="zh-CN"/>
        </w:rPr>
        <w:t>5</w:t>
      </w:r>
      <w:r>
        <w:rPr>
          <w:rFonts w:hint="default" w:ascii="Times New Roman" w:hAnsi="Times New Roman" w:cs="Times New Roman"/>
          <w:b w:val="0"/>
          <w:bCs/>
          <w:color w:val="auto"/>
          <w:highlight w:val="none"/>
        </w:rPr>
        <w:t>占地范围</w:t>
      </w:r>
      <w:r>
        <w:rPr>
          <w:rFonts w:hint="eastAsia" w:ascii="Times New Roman" w:hAnsi="Times New Roman" w:cs="Times New Roman"/>
          <w:b w:val="0"/>
          <w:bCs/>
          <w:color w:val="auto"/>
          <w:highlight w:val="none"/>
          <w:lang w:val="en-US" w:eastAsia="zh-CN"/>
        </w:rPr>
        <w:t>内</w:t>
      </w:r>
      <w:r>
        <w:rPr>
          <w:rFonts w:hint="default" w:ascii="Times New Roman" w:hAnsi="Times New Roman" w:cs="Times New Roman"/>
          <w:b w:val="0"/>
          <w:bCs/>
          <w:color w:val="auto"/>
          <w:highlight w:val="none"/>
        </w:rPr>
        <w:t>表层样土壤监测结果一览表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781"/>
        <w:gridCol w:w="816"/>
        <w:gridCol w:w="655"/>
        <w:gridCol w:w="825"/>
        <w:gridCol w:w="810"/>
        <w:gridCol w:w="840"/>
        <w:gridCol w:w="915"/>
        <w:gridCol w:w="855"/>
        <w:gridCol w:w="850"/>
      </w:tblGrid>
      <w:tr w14:paraId="0685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pct"/>
            <w:vMerge w:val="restart"/>
            <w:noWrap w:val="0"/>
            <w:vAlign w:val="center"/>
          </w:tcPr>
          <w:p w14:paraId="4A7E208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458" w:type="pct"/>
            <w:vMerge w:val="restart"/>
            <w:noWrap w:val="0"/>
            <w:vAlign w:val="center"/>
          </w:tcPr>
          <w:p w14:paraId="23843A87">
            <w:pPr>
              <w:pStyle w:val="138"/>
              <w:keepNext w:val="0"/>
              <w:keepLines w:val="0"/>
              <w:pageBreakBefore w:val="0"/>
              <w:widowControl/>
              <w:shd w:val="clear" w:color="auto" w:fill="auto"/>
              <w:kinsoku/>
              <w:wordWrap/>
              <w:overflowPunct/>
              <w:topLinePunct w:val="0"/>
              <w:autoSpaceDE/>
              <w:autoSpaceDN/>
              <w:bidi w:val="0"/>
              <w:adjustRightInd/>
              <w:snapToGrid/>
              <w:spacing w:after="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筛选值（第二类用地）</w:t>
            </w:r>
          </w:p>
        </w:tc>
        <w:tc>
          <w:tcPr>
            <w:tcW w:w="863" w:type="pct"/>
            <w:gridSpan w:val="2"/>
            <w:noWrap w:val="0"/>
            <w:vAlign w:val="center"/>
          </w:tcPr>
          <w:p w14:paraId="28DFA1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r>
              <w:rPr>
                <w:rFonts w:hint="eastAsia" w:eastAsia="宋体" w:cs="Times New Roman"/>
                <w:color w:val="auto"/>
                <w:sz w:val="21"/>
                <w:szCs w:val="21"/>
                <w:highlight w:val="none"/>
                <w:lang w:val="en-US" w:eastAsia="zh-CN"/>
              </w:rPr>
              <w:t>2</w:t>
            </w:r>
          </w:p>
          <w:p w14:paraId="31DCDC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ajorEastAsia"/>
                <w:color w:val="auto"/>
                <w:sz w:val="21"/>
                <w:szCs w:val="21"/>
                <w:highlight w:val="none"/>
                <w:lang w:val="en-US" w:eastAsia="zh-CN"/>
              </w:rPr>
              <w:t>TH10298</w:t>
            </w:r>
            <w:r>
              <w:rPr>
                <w:rFonts w:hint="eastAsia" w:cs="Times New Roman" w:eastAsiaTheme="majorEastAsia"/>
                <w:color w:val="auto"/>
                <w:sz w:val="21"/>
                <w:szCs w:val="21"/>
                <w:highlight w:val="none"/>
                <w:lang w:val="en-US" w:eastAsia="zh-CN"/>
              </w:rPr>
              <w:t>CH</w:t>
            </w:r>
            <w:r>
              <w:rPr>
                <w:rFonts w:hint="default" w:ascii="Times New Roman" w:hAnsi="Times New Roman" w:cs="Times New Roman" w:eastAsiaTheme="majorEastAsia"/>
                <w:color w:val="auto"/>
                <w:sz w:val="21"/>
                <w:szCs w:val="21"/>
                <w:highlight w:val="none"/>
                <w:lang w:val="en-US" w:eastAsia="zh-CN"/>
              </w:rPr>
              <w:t>井场</w:t>
            </w:r>
          </w:p>
        </w:tc>
        <w:tc>
          <w:tcPr>
            <w:tcW w:w="959" w:type="pct"/>
            <w:gridSpan w:val="2"/>
            <w:noWrap w:val="0"/>
            <w:vAlign w:val="center"/>
          </w:tcPr>
          <w:p w14:paraId="0269B41B">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color w:val="auto"/>
                <w:sz w:val="21"/>
                <w:szCs w:val="21"/>
                <w:highlight w:val="none"/>
                <w:lang w:val="en-US" w:eastAsia="zh-CN"/>
              </w:rPr>
            </w:pPr>
            <w:r>
              <w:rPr>
                <w:rFonts w:hint="eastAsia" w:ascii="Times New Roman" w:hAnsi="Times New Roman"/>
                <w:color w:val="auto"/>
                <w:sz w:val="21"/>
                <w:szCs w:val="21"/>
                <w:highlight w:val="none"/>
                <w:lang w:val="en-US" w:eastAsia="zh-CN"/>
              </w:rPr>
              <w:t>T</w:t>
            </w:r>
            <w:r>
              <w:rPr>
                <w:rFonts w:hint="eastAsia"/>
                <w:color w:val="auto"/>
                <w:sz w:val="21"/>
                <w:szCs w:val="21"/>
                <w:highlight w:val="none"/>
                <w:lang w:val="en-US" w:eastAsia="zh-CN"/>
              </w:rPr>
              <w:t>3</w:t>
            </w:r>
          </w:p>
          <w:p w14:paraId="3E6EBBC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cs="Times New Roman" w:eastAsiaTheme="majorEastAsia"/>
                <w:color w:val="auto"/>
                <w:sz w:val="21"/>
                <w:szCs w:val="21"/>
                <w:highlight w:val="none"/>
                <w:lang w:val="en-US" w:eastAsia="zh-CN"/>
              </w:rPr>
            </w:pPr>
            <w:r>
              <w:rPr>
                <w:rFonts w:hint="default" w:ascii="Times New Roman" w:hAnsi="Times New Roman" w:cs="Times New Roman" w:eastAsiaTheme="majorEastAsia"/>
                <w:color w:val="auto"/>
                <w:sz w:val="21"/>
                <w:szCs w:val="21"/>
                <w:highlight w:val="none"/>
                <w:lang w:val="en-US" w:eastAsia="zh-CN"/>
              </w:rPr>
              <w:t>TH102</w:t>
            </w:r>
            <w:r>
              <w:rPr>
                <w:rFonts w:hint="eastAsia" w:ascii="Times New Roman" w:hAnsi="Times New Roman" w:cs="Times New Roman" w:eastAsiaTheme="majorEastAsia"/>
                <w:color w:val="auto"/>
                <w:sz w:val="21"/>
                <w:szCs w:val="21"/>
                <w:highlight w:val="none"/>
                <w:lang w:val="en-US" w:eastAsia="zh-CN"/>
              </w:rPr>
              <w:t>50</w:t>
            </w:r>
            <w:r>
              <w:rPr>
                <w:rFonts w:hint="eastAsia" w:cs="Times New Roman" w:eastAsiaTheme="majorEastAsia"/>
                <w:color w:val="auto"/>
                <w:sz w:val="21"/>
                <w:szCs w:val="21"/>
                <w:highlight w:val="none"/>
                <w:lang w:val="en-US" w:eastAsia="zh-CN"/>
              </w:rPr>
              <w:t>CH</w:t>
            </w:r>
          </w:p>
          <w:p w14:paraId="0C0B1DD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ajorEastAsia"/>
                <w:color w:val="auto"/>
                <w:sz w:val="21"/>
                <w:szCs w:val="21"/>
                <w:highlight w:val="none"/>
                <w:lang w:val="en-US" w:eastAsia="zh-CN"/>
              </w:rPr>
              <w:t>井场</w:t>
            </w:r>
          </w:p>
        </w:tc>
        <w:tc>
          <w:tcPr>
            <w:tcW w:w="1030" w:type="pct"/>
            <w:gridSpan w:val="2"/>
            <w:noWrap w:val="0"/>
            <w:vAlign w:val="center"/>
          </w:tcPr>
          <w:p w14:paraId="31A8C68E">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color w:val="auto"/>
                <w:sz w:val="21"/>
                <w:szCs w:val="21"/>
                <w:highlight w:val="none"/>
                <w:lang w:val="en-US" w:eastAsia="zh-CN"/>
              </w:rPr>
            </w:pPr>
            <w:r>
              <w:rPr>
                <w:rFonts w:hint="eastAsia" w:ascii="Times New Roman" w:hAnsi="Times New Roman"/>
                <w:color w:val="auto"/>
                <w:sz w:val="21"/>
                <w:szCs w:val="21"/>
                <w:highlight w:val="none"/>
                <w:lang w:val="en-US" w:eastAsia="zh-CN"/>
              </w:rPr>
              <w:t>T</w:t>
            </w:r>
            <w:r>
              <w:rPr>
                <w:rFonts w:hint="eastAsia"/>
                <w:color w:val="auto"/>
                <w:sz w:val="21"/>
                <w:szCs w:val="21"/>
                <w:highlight w:val="none"/>
                <w:lang w:val="en-US" w:eastAsia="zh-CN"/>
              </w:rPr>
              <w:t>4</w:t>
            </w:r>
          </w:p>
          <w:p w14:paraId="78FFEB1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TK872CH井场</w:t>
            </w:r>
          </w:p>
        </w:tc>
        <w:tc>
          <w:tcPr>
            <w:tcW w:w="1000" w:type="pct"/>
            <w:gridSpan w:val="2"/>
            <w:noWrap w:val="0"/>
            <w:vAlign w:val="center"/>
          </w:tcPr>
          <w:p w14:paraId="70BB680E">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color w:val="auto"/>
                <w:sz w:val="21"/>
                <w:szCs w:val="21"/>
                <w:highlight w:val="none"/>
                <w:lang w:val="en-US" w:eastAsia="zh-CN"/>
              </w:rPr>
            </w:pPr>
            <w:r>
              <w:rPr>
                <w:rFonts w:hint="eastAsia"/>
                <w:color w:val="auto"/>
                <w:sz w:val="21"/>
                <w:szCs w:val="21"/>
                <w:highlight w:val="none"/>
                <w:lang w:val="en-US" w:eastAsia="zh-CN"/>
              </w:rPr>
              <w:t>T5</w:t>
            </w:r>
          </w:p>
          <w:p w14:paraId="0B257CE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TH102117X井管线接口处</w:t>
            </w:r>
          </w:p>
        </w:tc>
      </w:tr>
      <w:tr w14:paraId="72CB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pct"/>
            <w:vMerge w:val="continue"/>
            <w:noWrap w:val="0"/>
            <w:vAlign w:val="center"/>
          </w:tcPr>
          <w:p w14:paraId="00A14B3A">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p>
        </w:tc>
        <w:tc>
          <w:tcPr>
            <w:tcW w:w="458" w:type="pct"/>
            <w:vMerge w:val="continue"/>
            <w:noWrap w:val="0"/>
            <w:vAlign w:val="center"/>
          </w:tcPr>
          <w:p w14:paraId="023621A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p>
        </w:tc>
        <w:tc>
          <w:tcPr>
            <w:tcW w:w="863" w:type="pct"/>
            <w:gridSpan w:val="2"/>
            <w:tcBorders>
              <w:bottom w:val="single" w:color="auto" w:sz="4" w:space="0"/>
            </w:tcBorders>
            <w:noWrap/>
            <w:vAlign w:val="center"/>
          </w:tcPr>
          <w:p w14:paraId="36E41DA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0~20cm</w:t>
            </w:r>
          </w:p>
        </w:tc>
        <w:tc>
          <w:tcPr>
            <w:tcW w:w="959" w:type="pct"/>
            <w:gridSpan w:val="2"/>
            <w:tcBorders>
              <w:bottom w:val="single" w:color="auto" w:sz="4" w:space="0"/>
            </w:tcBorders>
            <w:noWrap/>
            <w:vAlign w:val="center"/>
          </w:tcPr>
          <w:p w14:paraId="7075B36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0~20cm</w:t>
            </w:r>
          </w:p>
        </w:tc>
        <w:tc>
          <w:tcPr>
            <w:tcW w:w="1030" w:type="pct"/>
            <w:gridSpan w:val="2"/>
            <w:tcBorders>
              <w:bottom w:val="single" w:color="auto" w:sz="4" w:space="0"/>
            </w:tcBorders>
            <w:noWrap/>
            <w:vAlign w:val="center"/>
          </w:tcPr>
          <w:p w14:paraId="02E6BC6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0~20cm</w:t>
            </w:r>
          </w:p>
        </w:tc>
        <w:tc>
          <w:tcPr>
            <w:tcW w:w="1000" w:type="pct"/>
            <w:gridSpan w:val="2"/>
            <w:tcBorders>
              <w:bottom w:val="single" w:color="auto" w:sz="4" w:space="0"/>
            </w:tcBorders>
            <w:noWrap/>
            <w:vAlign w:val="center"/>
          </w:tcPr>
          <w:p w14:paraId="0FEA7BC5">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0~20cm</w:t>
            </w:r>
          </w:p>
        </w:tc>
      </w:tr>
      <w:tr w14:paraId="3455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pct"/>
            <w:vMerge w:val="continue"/>
            <w:tcBorders>
              <w:bottom w:val="single" w:color="auto" w:sz="4" w:space="0"/>
            </w:tcBorders>
            <w:noWrap w:val="0"/>
            <w:vAlign w:val="center"/>
          </w:tcPr>
          <w:p w14:paraId="24ADF7D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p>
        </w:tc>
        <w:tc>
          <w:tcPr>
            <w:tcW w:w="458" w:type="pct"/>
            <w:vMerge w:val="continue"/>
            <w:tcBorders>
              <w:bottom w:val="single" w:color="auto" w:sz="4" w:space="0"/>
            </w:tcBorders>
            <w:noWrap w:val="0"/>
            <w:vAlign w:val="center"/>
          </w:tcPr>
          <w:p w14:paraId="6A06DE6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p>
        </w:tc>
        <w:tc>
          <w:tcPr>
            <w:tcW w:w="478" w:type="pct"/>
            <w:tcBorders>
              <w:bottom w:val="single" w:color="auto" w:sz="4" w:space="0"/>
            </w:tcBorders>
            <w:noWrap/>
            <w:vAlign w:val="center"/>
          </w:tcPr>
          <w:p w14:paraId="6A1ACF8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w:t>
            </w:r>
          </w:p>
          <w:p w14:paraId="72DE26DE">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结果</w:t>
            </w:r>
          </w:p>
        </w:tc>
        <w:tc>
          <w:tcPr>
            <w:tcW w:w="384" w:type="pct"/>
            <w:tcBorders>
              <w:bottom w:val="single" w:color="auto" w:sz="4" w:space="0"/>
            </w:tcBorders>
            <w:noWrap w:val="0"/>
            <w:vAlign w:val="center"/>
          </w:tcPr>
          <w:p w14:paraId="789C84B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达标情况</w:t>
            </w:r>
          </w:p>
        </w:tc>
        <w:tc>
          <w:tcPr>
            <w:tcW w:w="484" w:type="pct"/>
            <w:tcBorders>
              <w:bottom w:val="single" w:color="auto" w:sz="4" w:space="0"/>
            </w:tcBorders>
            <w:noWrap w:val="0"/>
            <w:vAlign w:val="center"/>
          </w:tcPr>
          <w:p w14:paraId="236C313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w:t>
            </w:r>
          </w:p>
          <w:p w14:paraId="6FA4D87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结果</w:t>
            </w:r>
          </w:p>
        </w:tc>
        <w:tc>
          <w:tcPr>
            <w:tcW w:w="475" w:type="pct"/>
            <w:tcBorders>
              <w:bottom w:val="single" w:color="auto" w:sz="4" w:space="0"/>
            </w:tcBorders>
            <w:noWrap w:val="0"/>
            <w:vAlign w:val="center"/>
          </w:tcPr>
          <w:p w14:paraId="40E893A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c>
          <w:tcPr>
            <w:tcW w:w="493" w:type="pct"/>
            <w:tcBorders>
              <w:bottom w:val="single" w:color="auto" w:sz="4" w:space="0"/>
            </w:tcBorders>
            <w:noWrap w:val="0"/>
            <w:vAlign w:val="center"/>
          </w:tcPr>
          <w:p w14:paraId="2812E7D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监测结果</w:t>
            </w:r>
          </w:p>
        </w:tc>
        <w:tc>
          <w:tcPr>
            <w:tcW w:w="537" w:type="pct"/>
            <w:tcBorders>
              <w:bottom w:val="single" w:color="auto" w:sz="4" w:space="0"/>
            </w:tcBorders>
            <w:noWrap w:val="0"/>
            <w:vAlign w:val="center"/>
          </w:tcPr>
          <w:p w14:paraId="0E4CB69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p w14:paraId="7E330621">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情况</w:t>
            </w:r>
          </w:p>
        </w:tc>
        <w:tc>
          <w:tcPr>
            <w:tcW w:w="501" w:type="pct"/>
            <w:tcBorders>
              <w:bottom w:val="single" w:color="auto" w:sz="4" w:space="0"/>
            </w:tcBorders>
            <w:shd w:val="clear" w:color="auto" w:fill="auto"/>
            <w:noWrap w:val="0"/>
            <w:vAlign w:val="center"/>
          </w:tcPr>
          <w:p w14:paraId="14767A3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w:t>
            </w:r>
          </w:p>
          <w:p w14:paraId="2FF4F9AA">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cs="Times New Roman"/>
                <w:color w:val="auto"/>
                <w:sz w:val="21"/>
                <w:szCs w:val="21"/>
                <w:highlight w:val="none"/>
              </w:rPr>
              <w:t>结果</w:t>
            </w:r>
          </w:p>
        </w:tc>
        <w:tc>
          <w:tcPr>
            <w:tcW w:w="498" w:type="pct"/>
            <w:tcBorders>
              <w:bottom w:val="single" w:color="auto" w:sz="4" w:space="0"/>
            </w:tcBorders>
            <w:shd w:val="clear" w:color="auto" w:fill="auto"/>
            <w:noWrap w:val="0"/>
            <w:vAlign w:val="center"/>
          </w:tcPr>
          <w:p w14:paraId="37789F2E">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达标情况</w:t>
            </w:r>
          </w:p>
        </w:tc>
      </w:tr>
      <w:tr w14:paraId="5662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pct"/>
            <w:tcBorders>
              <w:bottom w:val="single" w:color="auto" w:sz="4" w:space="0"/>
            </w:tcBorders>
            <w:noWrap w:val="0"/>
            <w:vAlign w:val="center"/>
          </w:tcPr>
          <w:p w14:paraId="592A3F2C">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pH</w:t>
            </w:r>
          </w:p>
        </w:tc>
        <w:tc>
          <w:tcPr>
            <w:tcW w:w="458" w:type="pct"/>
            <w:tcBorders>
              <w:bottom w:val="single" w:color="auto" w:sz="4" w:space="0"/>
            </w:tcBorders>
            <w:noWrap w:val="0"/>
            <w:vAlign w:val="center"/>
          </w:tcPr>
          <w:p w14:paraId="5ED9756C">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78" w:type="pct"/>
            <w:tcBorders>
              <w:bottom w:val="single" w:color="auto" w:sz="4" w:space="0"/>
            </w:tcBorders>
            <w:noWrap/>
            <w:vAlign w:val="center"/>
          </w:tcPr>
          <w:p w14:paraId="029F0C82">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7.78</w:t>
            </w:r>
          </w:p>
        </w:tc>
        <w:tc>
          <w:tcPr>
            <w:tcW w:w="384" w:type="pct"/>
            <w:tcBorders>
              <w:bottom w:val="single" w:color="auto" w:sz="4" w:space="0"/>
            </w:tcBorders>
            <w:noWrap w:val="0"/>
            <w:vAlign w:val="center"/>
          </w:tcPr>
          <w:p w14:paraId="62B28CE3">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84" w:type="pct"/>
            <w:tcBorders>
              <w:bottom w:val="single" w:color="auto" w:sz="4" w:space="0"/>
            </w:tcBorders>
            <w:noWrap w:val="0"/>
            <w:vAlign w:val="center"/>
          </w:tcPr>
          <w:p w14:paraId="3C2A53D8">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8.35</w:t>
            </w:r>
          </w:p>
        </w:tc>
        <w:tc>
          <w:tcPr>
            <w:tcW w:w="475" w:type="pct"/>
            <w:tcBorders>
              <w:bottom w:val="single" w:color="auto" w:sz="4" w:space="0"/>
            </w:tcBorders>
            <w:noWrap w:val="0"/>
            <w:vAlign w:val="center"/>
          </w:tcPr>
          <w:p w14:paraId="2F50F88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93" w:type="pct"/>
            <w:tcBorders>
              <w:bottom w:val="single" w:color="auto" w:sz="4" w:space="0"/>
            </w:tcBorders>
            <w:noWrap w:val="0"/>
            <w:vAlign w:val="center"/>
          </w:tcPr>
          <w:p w14:paraId="1A71243E">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8.47</w:t>
            </w:r>
          </w:p>
        </w:tc>
        <w:tc>
          <w:tcPr>
            <w:tcW w:w="537" w:type="pct"/>
            <w:tcBorders>
              <w:bottom w:val="single" w:color="auto" w:sz="4" w:space="0"/>
            </w:tcBorders>
            <w:noWrap w:val="0"/>
            <w:vAlign w:val="center"/>
          </w:tcPr>
          <w:p w14:paraId="322E716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01" w:type="pct"/>
            <w:tcBorders>
              <w:bottom w:val="single" w:color="auto" w:sz="4" w:space="0"/>
            </w:tcBorders>
            <w:shd w:val="clear" w:color="auto" w:fill="auto"/>
            <w:noWrap w:val="0"/>
            <w:vAlign w:val="center"/>
          </w:tcPr>
          <w:p w14:paraId="419EFC24">
            <w:pPr>
              <w:spacing w:line="0" w:lineRule="atLeas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kern w:val="2"/>
                <w:sz w:val="21"/>
                <w:szCs w:val="21"/>
                <w:highlight w:val="none"/>
                <w:lang w:val="en-US" w:eastAsia="zh-CN" w:bidi="ar-SA"/>
              </w:rPr>
              <w:t>8.07</w:t>
            </w:r>
          </w:p>
        </w:tc>
        <w:tc>
          <w:tcPr>
            <w:tcW w:w="498" w:type="pct"/>
            <w:tcBorders>
              <w:bottom w:val="single" w:color="auto" w:sz="4" w:space="0"/>
            </w:tcBorders>
            <w:shd w:val="clear" w:color="auto" w:fill="auto"/>
            <w:noWrap w:val="0"/>
            <w:vAlign w:val="center"/>
          </w:tcPr>
          <w:p w14:paraId="179A7E18">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F8C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pct"/>
            <w:noWrap w:val="0"/>
            <w:vAlign w:val="center"/>
          </w:tcPr>
          <w:p w14:paraId="287503E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全</w:t>
            </w:r>
            <w:r>
              <w:rPr>
                <w:rFonts w:hint="default" w:ascii="Times New Roman" w:hAnsi="Times New Roman" w:eastAsia="宋体" w:cs="Times New Roman"/>
                <w:color w:val="auto"/>
                <w:sz w:val="21"/>
                <w:szCs w:val="21"/>
                <w:highlight w:val="none"/>
                <w:lang w:val="en-US" w:eastAsia="zh-CN"/>
              </w:rPr>
              <w:t>盐量（</w:t>
            </w:r>
            <w:r>
              <w:rPr>
                <w:rFonts w:hint="default" w:ascii="Times New Roman" w:hAnsi="Times New Roman" w:cs="Times New Roman"/>
                <w:color w:val="auto"/>
                <w:sz w:val="21"/>
                <w:szCs w:val="21"/>
                <w:highlight w:val="none"/>
              </w:rPr>
              <w:t>g/kg</w:t>
            </w:r>
            <w:r>
              <w:rPr>
                <w:rFonts w:hint="default" w:ascii="Times New Roman" w:hAnsi="Times New Roman" w:eastAsia="宋体" w:cs="Times New Roman"/>
                <w:color w:val="auto"/>
                <w:sz w:val="21"/>
                <w:szCs w:val="21"/>
                <w:highlight w:val="none"/>
                <w:lang w:val="en-US" w:eastAsia="zh-CN"/>
              </w:rPr>
              <w:t>）</w:t>
            </w:r>
          </w:p>
        </w:tc>
        <w:tc>
          <w:tcPr>
            <w:tcW w:w="458" w:type="pct"/>
            <w:noWrap w:val="0"/>
            <w:vAlign w:val="center"/>
          </w:tcPr>
          <w:p w14:paraId="6560BCF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78" w:type="pct"/>
            <w:noWrap/>
            <w:vAlign w:val="center"/>
          </w:tcPr>
          <w:p w14:paraId="60ECEB5E">
            <w:pPr>
              <w:spacing w:line="0" w:lineRule="atLeas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14.8</w:t>
            </w:r>
          </w:p>
        </w:tc>
        <w:tc>
          <w:tcPr>
            <w:tcW w:w="384" w:type="pct"/>
            <w:noWrap w:val="0"/>
            <w:vAlign w:val="center"/>
          </w:tcPr>
          <w:p w14:paraId="60D97550">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84" w:type="pct"/>
            <w:noWrap w:val="0"/>
            <w:vAlign w:val="center"/>
          </w:tcPr>
          <w:p w14:paraId="7E2A2EED">
            <w:pPr>
              <w:spacing w:line="0" w:lineRule="atLeas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14.3</w:t>
            </w:r>
          </w:p>
        </w:tc>
        <w:tc>
          <w:tcPr>
            <w:tcW w:w="475" w:type="pct"/>
            <w:noWrap w:val="0"/>
            <w:vAlign w:val="center"/>
          </w:tcPr>
          <w:p w14:paraId="095D0D6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93" w:type="pct"/>
            <w:noWrap w:val="0"/>
            <w:vAlign w:val="center"/>
          </w:tcPr>
          <w:p w14:paraId="05D1696A">
            <w:pPr>
              <w:spacing w:line="0" w:lineRule="atLeas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20.1</w:t>
            </w:r>
          </w:p>
        </w:tc>
        <w:tc>
          <w:tcPr>
            <w:tcW w:w="537" w:type="pct"/>
            <w:noWrap w:val="0"/>
            <w:vAlign w:val="center"/>
          </w:tcPr>
          <w:p w14:paraId="1BD0A31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01" w:type="pct"/>
            <w:shd w:val="clear" w:color="auto" w:fill="auto"/>
            <w:noWrap w:val="0"/>
            <w:vAlign w:val="center"/>
          </w:tcPr>
          <w:p w14:paraId="243DA470">
            <w:pPr>
              <w:spacing w:line="0" w:lineRule="atLeas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kern w:val="2"/>
                <w:sz w:val="21"/>
                <w:szCs w:val="21"/>
                <w:highlight w:val="none"/>
                <w:lang w:val="en-US" w:eastAsia="zh-CN" w:bidi="ar-SA"/>
              </w:rPr>
              <w:t>17.8</w:t>
            </w:r>
          </w:p>
        </w:tc>
        <w:tc>
          <w:tcPr>
            <w:tcW w:w="498" w:type="pct"/>
            <w:shd w:val="clear" w:color="auto" w:fill="auto"/>
            <w:noWrap w:val="0"/>
            <w:vAlign w:val="center"/>
          </w:tcPr>
          <w:p w14:paraId="3D117F4E">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6AE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pct"/>
            <w:noWrap w:val="0"/>
            <w:vAlign w:val="center"/>
          </w:tcPr>
          <w:p w14:paraId="673B1CBF">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石油烃</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mg/kg</w:t>
            </w:r>
            <w:r>
              <w:rPr>
                <w:rFonts w:hint="default" w:ascii="Times New Roman" w:hAnsi="Times New Roman" w:cs="Times New Roman"/>
                <w:color w:val="auto"/>
                <w:szCs w:val="21"/>
                <w:highlight w:val="none"/>
                <w:lang w:eastAsia="zh-CN"/>
              </w:rPr>
              <w:t>）</w:t>
            </w:r>
          </w:p>
        </w:tc>
        <w:tc>
          <w:tcPr>
            <w:tcW w:w="458" w:type="pct"/>
            <w:noWrap w:val="0"/>
            <w:vAlign w:val="center"/>
          </w:tcPr>
          <w:p w14:paraId="1F977A2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4500</w:t>
            </w:r>
          </w:p>
        </w:tc>
        <w:tc>
          <w:tcPr>
            <w:tcW w:w="478" w:type="pct"/>
            <w:noWrap/>
            <w:vAlign w:val="center"/>
          </w:tcPr>
          <w:p w14:paraId="727D3260">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384" w:type="pct"/>
            <w:noWrap w:val="0"/>
            <w:vAlign w:val="center"/>
          </w:tcPr>
          <w:p w14:paraId="6D38D99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484" w:type="pct"/>
            <w:noWrap w:val="0"/>
            <w:vAlign w:val="center"/>
          </w:tcPr>
          <w:p w14:paraId="29A42C1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75" w:type="pct"/>
            <w:noWrap w:val="0"/>
            <w:vAlign w:val="center"/>
          </w:tcPr>
          <w:p w14:paraId="5A4C5C3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93" w:type="pct"/>
            <w:noWrap w:val="0"/>
            <w:vAlign w:val="center"/>
          </w:tcPr>
          <w:p w14:paraId="077666E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37" w:type="pct"/>
            <w:noWrap w:val="0"/>
            <w:vAlign w:val="center"/>
          </w:tcPr>
          <w:p w14:paraId="4C46069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01" w:type="pct"/>
            <w:noWrap w:val="0"/>
            <w:vAlign w:val="center"/>
          </w:tcPr>
          <w:p w14:paraId="3008BA9F">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98" w:type="pct"/>
            <w:shd w:val="clear" w:color="auto" w:fill="auto"/>
            <w:noWrap w:val="0"/>
            <w:vAlign w:val="center"/>
          </w:tcPr>
          <w:p w14:paraId="4A54CCFA">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z w:val="21"/>
                <w:szCs w:val="21"/>
                <w:highlight w:val="none"/>
                <w:lang w:val="en-US" w:eastAsia="zh-CN"/>
              </w:rPr>
              <w:t>/</w:t>
            </w:r>
          </w:p>
        </w:tc>
      </w:tr>
    </w:tbl>
    <w:p w14:paraId="6EFD03FF">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eastAsia="黑体" w:cs="Times New Roman"/>
          <w:b w:val="0"/>
          <w:bCs/>
          <w:color w:val="auto"/>
          <w:highlight w:val="none"/>
          <w:lang w:eastAsia="zh-CN"/>
        </w:rPr>
      </w:pPr>
      <w:r>
        <w:rPr>
          <w:rFonts w:hint="default" w:ascii="Times New Roman" w:hAnsi="Times New Roman" w:cs="Times New Roman"/>
          <w:b w:val="0"/>
          <w:bCs/>
          <w:color w:val="auto"/>
          <w:highlight w:val="none"/>
        </w:rPr>
        <w:t>表4.</w:t>
      </w:r>
      <w:r>
        <w:rPr>
          <w:rFonts w:hint="eastAsia" w:ascii="Times New Roman" w:hAnsi="Times New Roman" w:cs="Times New Roman"/>
          <w:b w:val="0"/>
          <w:bCs/>
          <w:color w:val="auto"/>
          <w:highlight w:val="none"/>
          <w:lang w:val="en-US" w:eastAsia="zh-CN"/>
        </w:rPr>
        <w:t>4</w:t>
      </w:r>
      <w:r>
        <w:rPr>
          <w:rFonts w:hint="default" w:ascii="Times New Roman" w:hAnsi="Times New Roman" w:cs="Times New Roman"/>
          <w:b w:val="0"/>
          <w:bCs/>
          <w:color w:val="auto"/>
          <w:highlight w:val="none"/>
        </w:rPr>
        <w:t>-</w:t>
      </w:r>
      <w:r>
        <w:rPr>
          <w:rFonts w:hint="eastAsia" w:ascii="Times New Roman" w:hAnsi="Times New Roman" w:cs="Times New Roman"/>
          <w:b w:val="0"/>
          <w:bCs/>
          <w:color w:val="auto"/>
          <w:highlight w:val="none"/>
          <w:lang w:val="en-US" w:eastAsia="zh-CN"/>
        </w:rPr>
        <w:t xml:space="preserve">6 </w:t>
      </w:r>
      <w:r>
        <w:rPr>
          <w:rFonts w:hint="default" w:ascii="Times New Roman" w:hAnsi="Times New Roman" w:cs="Times New Roman"/>
          <w:b w:val="0"/>
          <w:bCs/>
          <w:color w:val="auto"/>
          <w:highlight w:val="none"/>
        </w:rPr>
        <w:t>占地范围内柱状样土壤监测结果一览表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215"/>
        <w:gridCol w:w="1035"/>
        <w:gridCol w:w="949"/>
        <w:gridCol w:w="1067"/>
        <w:gridCol w:w="716"/>
        <w:gridCol w:w="1096"/>
        <w:gridCol w:w="723"/>
      </w:tblGrid>
      <w:tr w14:paraId="5776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restart"/>
            <w:noWrap w:val="0"/>
            <w:vAlign w:val="center"/>
          </w:tcPr>
          <w:p w14:paraId="63C5E01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713" w:type="pct"/>
            <w:vMerge w:val="restart"/>
            <w:noWrap w:val="0"/>
            <w:vAlign w:val="center"/>
          </w:tcPr>
          <w:p w14:paraId="07739AA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筛选值（第二类用地）</w:t>
            </w:r>
          </w:p>
        </w:tc>
        <w:tc>
          <w:tcPr>
            <w:tcW w:w="3278" w:type="pct"/>
            <w:gridSpan w:val="6"/>
            <w:noWrap w:val="0"/>
            <w:vAlign w:val="center"/>
          </w:tcPr>
          <w:p w14:paraId="451381B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 xml:space="preserve">T6  </w:t>
            </w:r>
            <w:r>
              <w:rPr>
                <w:rFonts w:hint="eastAsia" w:ascii="Times New Roman" w:hAnsi="Times New Roman" w:eastAsia="仿宋_GB2312" w:cs="Times New Roman"/>
                <w:color w:val="auto"/>
                <w:szCs w:val="21"/>
                <w:highlight w:val="none"/>
                <w:lang w:val="en-US" w:eastAsia="zh-CN"/>
              </w:rPr>
              <w:t>TH10</w:t>
            </w:r>
            <w:r>
              <w:rPr>
                <w:rFonts w:hint="default" w:ascii="Times New Roman" w:hAnsi="Times New Roman" w:cs="Times New Roman" w:eastAsiaTheme="majorEastAsia"/>
                <w:color w:val="auto"/>
                <w:szCs w:val="21"/>
                <w:highlight w:val="none"/>
                <w:lang w:val="en-US" w:eastAsia="zh-CN"/>
              </w:rPr>
              <w:t>294</w:t>
            </w:r>
            <w:r>
              <w:rPr>
                <w:rFonts w:hint="eastAsia" w:cs="Times New Roman" w:eastAsiaTheme="majorEastAsia"/>
                <w:color w:val="auto"/>
                <w:szCs w:val="21"/>
                <w:highlight w:val="none"/>
                <w:lang w:val="en-US" w:eastAsia="zh-CN"/>
              </w:rPr>
              <w:t>CJ</w:t>
            </w:r>
            <w:r>
              <w:rPr>
                <w:rFonts w:hint="default" w:ascii="Times New Roman" w:hAnsi="Times New Roman" w:cs="Times New Roman" w:eastAsiaTheme="majorEastAsia"/>
                <w:color w:val="auto"/>
                <w:szCs w:val="21"/>
                <w:highlight w:val="none"/>
                <w:lang w:val="en-US" w:eastAsia="zh-CN"/>
              </w:rPr>
              <w:t>井场</w:t>
            </w:r>
          </w:p>
        </w:tc>
      </w:tr>
      <w:tr w14:paraId="1CEA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39CDA95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713" w:type="pct"/>
            <w:vMerge w:val="continue"/>
            <w:noWrap w:val="0"/>
            <w:vAlign w:val="center"/>
          </w:tcPr>
          <w:p w14:paraId="208C5D8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1164" w:type="pct"/>
            <w:gridSpan w:val="2"/>
            <w:noWrap/>
            <w:vAlign w:val="center"/>
          </w:tcPr>
          <w:p w14:paraId="4A67EE1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0~0.5m</w:t>
            </w:r>
          </w:p>
        </w:tc>
        <w:tc>
          <w:tcPr>
            <w:tcW w:w="1046" w:type="pct"/>
            <w:gridSpan w:val="2"/>
            <w:noWrap/>
            <w:vAlign w:val="center"/>
          </w:tcPr>
          <w:p w14:paraId="46CCD6B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0.5~1.5m</w:t>
            </w:r>
          </w:p>
        </w:tc>
        <w:tc>
          <w:tcPr>
            <w:tcW w:w="1067" w:type="pct"/>
            <w:gridSpan w:val="2"/>
            <w:noWrap/>
            <w:vAlign w:val="center"/>
          </w:tcPr>
          <w:p w14:paraId="568C239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1.5~3m</w:t>
            </w:r>
          </w:p>
        </w:tc>
      </w:tr>
      <w:tr w14:paraId="5DD3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6AD36613">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713" w:type="pct"/>
            <w:vMerge w:val="continue"/>
            <w:noWrap w:val="0"/>
            <w:vAlign w:val="center"/>
          </w:tcPr>
          <w:p w14:paraId="39729C8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607" w:type="pct"/>
            <w:noWrap w:val="0"/>
            <w:vAlign w:val="center"/>
          </w:tcPr>
          <w:p w14:paraId="5778CA8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290E6F0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数据</w:t>
            </w:r>
          </w:p>
        </w:tc>
        <w:tc>
          <w:tcPr>
            <w:tcW w:w="556" w:type="pct"/>
            <w:noWrap w:val="0"/>
            <w:vAlign w:val="center"/>
          </w:tcPr>
          <w:p w14:paraId="269C787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6452905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c>
          <w:tcPr>
            <w:tcW w:w="626" w:type="pct"/>
            <w:noWrap w:val="0"/>
            <w:vAlign w:val="center"/>
          </w:tcPr>
          <w:p w14:paraId="1DAFACD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w:t>
            </w:r>
          </w:p>
        </w:tc>
        <w:tc>
          <w:tcPr>
            <w:tcW w:w="420" w:type="pct"/>
            <w:noWrap w:val="0"/>
            <w:vAlign w:val="center"/>
          </w:tcPr>
          <w:p w14:paraId="6BFB2B93">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达标情况</w:t>
            </w:r>
          </w:p>
        </w:tc>
        <w:tc>
          <w:tcPr>
            <w:tcW w:w="643" w:type="pct"/>
            <w:noWrap w:val="0"/>
            <w:vAlign w:val="center"/>
          </w:tcPr>
          <w:p w14:paraId="2625CAD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w:t>
            </w:r>
          </w:p>
        </w:tc>
        <w:tc>
          <w:tcPr>
            <w:tcW w:w="424" w:type="pct"/>
            <w:noWrap w:val="0"/>
            <w:vAlign w:val="center"/>
          </w:tcPr>
          <w:p w14:paraId="724F003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达标情况</w:t>
            </w:r>
          </w:p>
        </w:tc>
      </w:tr>
      <w:tr w14:paraId="695D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14:paraId="6B9D9DD0">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pacing w:val="0"/>
                <w:kern w:val="0"/>
                <w:sz w:val="21"/>
                <w:szCs w:val="24"/>
                <w:highlight w:val="none"/>
                <w:lang w:val="en-US" w:eastAsia="zh-CN" w:bidi="ar-SA"/>
              </w:rPr>
            </w:pPr>
            <w:r>
              <w:rPr>
                <w:rFonts w:hint="default" w:ascii="Times New Roman" w:hAnsi="Times New Roman" w:cs="Times New Roman"/>
                <w:color w:val="auto"/>
                <w:highlight w:val="none"/>
              </w:rPr>
              <w:t>石油烃</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40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mg/kg</w:t>
            </w:r>
            <w:r>
              <w:rPr>
                <w:rFonts w:hint="default" w:ascii="Times New Roman" w:hAnsi="Times New Roman" w:cs="Times New Roman"/>
                <w:color w:val="auto"/>
                <w:szCs w:val="21"/>
                <w:highlight w:val="none"/>
                <w:lang w:eastAsia="zh-CN"/>
              </w:rPr>
              <w:t>）</w:t>
            </w:r>
          </w:p>
        </w:tc>
        <w:tc>
          <w:tcPr>
            <w:tcW w:w="713" w:type="pct"/>
            <w:noWrap w:val="0"/>
            <w:vAlign w:val="center"/>
          </w:tcPr>
          <w:p w14:paraId="058AE34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pacing w:val="0"/>
                <w:kern w:val="0"/>
                <w:sz w:val="21"/>
                <w:szCs w:val="24"/>
                <w:highlight w:val="none"/>
                <w:lang w:val="en-US" w:eastAsia="zh-CN" w:bidi="ar-SA"/>
              </w:rPr>
            </w:pPr>
            <w:r>
              <w:rPr>
                <w:rFonts w:hint="default" w:ascii="Times New Roman" w:hAnsi="Times New Roman" w:cs="Times New Roman"/>
                <w:color w:val="auto"/>
                <w:highlight w:val="none"/>
              </w:rPr>
              <w:t>4500</w:t>
            </w:r>
          </w:p>
        </w:tc>
        <w:tc>
          <w:tcPr>
            <w:tcW w:w="607" w:type="pct"/>
            <w:noWrap/>
            <w:vAlign w:val="center"/>
          </w:tcPr>
          <w:p w14:paraId="10CBFE9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4"/>
                <w:highlight w:val="none"/>
                <w:lang w:val="en-US" w:eastAsia="zh-CN" w:bidi="ar-SA"/>
              </w:rPr>
            </w:pPr>
            <w:r>
              <w:rPr>
                <w:rFonts w:hint="eastAsia" w:cs="Times New Roman"/>
                <w:color w:val="auto"/>
                <w:sz w:val="21"/>
                <w:szCs w:val="21"/>
                <w:highlight w:val="none"/>
                <w:lang w:val="en-US" w:eastAsia="zh-CN"/>
              </w:rPr>
              <w:t>＜6</w:t>
            </w:r>
          </w:p>
        </w:tc>
        <w:tc>
          <w:tcPr>
            <w:tcW w:w="556" w:type="pct"/>
            <w:noWrap w:val="0"/>
            <w:vAlign w:val="center"/>
          </w:tcPr>
          <w:p w14:paraId="6C45E03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4"/>
                <w:highlight w:val="none"/>
                <w:lang w:val="en-US" w:eastAsia="zh-CN" w:bidi="ar-SA"/>
              </w:rPr>
            </w:pPr>
            <w:r>
              <w:rPr>
                <w:rFonts w:hint="eastAsia" w:ascii="Times New Roman" w:hAnsi="Times New Roman" w:cs="Times New Roman"/>
                <w:color w:val="auto"/>
                <w:spacing w:val="-11"/>
                <w:sz w:val="21"/>
                <w:highlight w:val="none"/>
                <w:lang w:val="en-US" w:eastAsia="zh-CN"/>
              </w:rPr>
              <w:t>达标</w:t>
            </w:r>
          </w:p>
        </w:tc>
        <w:tc>
          <w:tcPr>
            <w:tcW w:w="626" w:type="pct"/>
            <w:noWrap/>
            <w:vAlign w:val="center"/>
          </w:tcPr>
          <w:p w14:paraId="452BD92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4"/>
                <w:highlight w:val="none"/>
                <w:lang w:val="en-US" w:eastAsia="zh-CN" w:bidi="ar-SA"/>
              </w:rPr>
            </w:pPr>
            <w:r>
              <w:rPr>
                <w:rFonts w:hint="eastAsia" w:cs="Times New Roman"/>
                <w:color w:val="auto"/>
                <w:sz w:val="21"/>
                <w:szCs w:val="21"/>
                <w:highlight w:val="none"/>
                <w:lang w:val="en-US" w:eastAsia="zh-CN"/>
              </w:rPr>
              <w:t>＜6</w:t>
            </w:r>
          </w:p>
        </w:tc>
        <w:tc>
          <w:tcPr>
            <w:tcW w:w="420" w:type="pct"/>
            <w:noWrap w:val="0"/>
            <w:vAlign w:val="center"/>
          </w:tcPr>
          <w:p w14:paraId="3AEE586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pacing w:val="0"/>
                <w:kern w:val="0"/>
                <w:sz w:val="21"/>
                <w:szCs w:val="24"/>
                <w:highlight w:val="none"/>
                <w:lang w:val="en-US" w:eastAsia="zh-CN" w:bidi="ar-SA"/>
              </w:rPr>
            </w:pPr>
            <w:r>
              <w:rPr>
                <w:rFonts w:hint="eastAsia" w:ascii="Times New Roman" w:hAnsi="Times New Roman" w:cs="Times New Roman"/>
                <w:color w:val="auto"/>
                <w:highlight w:val="none"/>
                <w:lang w:val="en-US" w:eastAsia="zh-CN"/>
              </w:rPr>
              <w:t>达标</w:t>
            </w:r>
          </w:p>
        </w:tc>
        <w:tc>
          <w:tcPr>
            <w:tcW w:w="643" w:type="pct"/>
            <w:noWrap/>
            <w:vAlign w:val="center"/>
          </w:tcPr>
          <w:p w14:paraId="1B8E456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spacing w:val="0"/>
                <w:kern w:val="0"/>
                <w:sz w:val="21"/>
                <w:szCs w:val="24"/>
                <w:highlight w:val="none"/>
                <w:lang w:val="en-US" w:eastAsia="zh-CN" w:bidi="ar-SA"/>
              </w:rPr>
            </w:pPr>
            <w:r>
              <w:rPr>
                <w:rFonts w:hint="eastAsia" w:cs="Times New Roman"/>
                <w:color w:val="auto"/>
                <w:sz w:val="21"/>
                <w:szCs w:val="21"/>
                <w:highlight w:val="none"/>
                <w:lang w:val="en-US" w:eastAsia="zh-CN"/>
              </w:rPr>
              <w:t>＜6</w:t>
            </w:r>
          </w:p>
        </w:tc>
        <w:tc>
          <w:tcPr>
            <w:tcW w:w="424" w:type="pct"/>
            <w:noWrap w:val="0"/>
            <w:vAlign w:val="center"/>
          </w:tcPr>
          <w:p w14:paraId="25E0A24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pacing w:val="0"/>
                <w:kern w:val="0"/>
                <w:sz w:val="21"/>
                <w:szCs w:val="24"/>
                <w:highlight w:val="none"/>
                <w:lang w:val="en-US" w:eastAsia="zh-CN" w:bidi="ar-SA"/>
              </w:rPr>
            </w:pPr>
            <w:r>
              <w:rPr>
                <w:rFonts w:hint="eastAsia" w:ascii="Times New Roman" w:hAnsi="Times New Roman" w:cs="Times New Roman"/>
                <w:color w:val="auto"/>
                <w:highlight w:val="none"/>
                <w:lang w:val="en-US" w:eastAsia="zh-CN"/>
              </w:rPr>
              <w:t>达标</w:t>
            </w:r>
          </w:p>
        </w:tc>
      </w:tr>
      <w:tr w14:paraId="0F19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restart"/>
            <w:noWrap w:val="0"/>
            <w:vAlign w:val="center"/>
          </w:tcPr>
          <w:p w14:paraId="6BC2D40E">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713" w:type="pct"/>
            <w:vMerge w:val="restart"/>
            <w:noWrap w:val="0"/>
            <w:vAlign w:val="center"/>
          </w:tcPr>
          <w:p w14:paraId="1E21B9AA">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筛选值（第二类用地）</w:t>
            </w:r>
          </w:p>
        </w:tc>
        <w:tc>
          <w:tcPr>
            <w:tcW w:w="3278" w:type="pct"/>
            <w:gridSpan w:val="6"/>
            <w:noWrap w:val="0"/>
            <w:vAlign w:val="center"/>
          </w:tcPr>
          <w:p w14:paraId="68834373">
            <w:pPr>
              <w:spacing w:line="240" w:lineRule="atLeast"/>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eastAsiaTheme="minorEastAsia"/>
                <w:color w:val="auto"/>
                <w:sz w:val="21"/>
                <w:szCs w:val="21"/>
                <w:highlight w:val="none"/>
                <w:lang w:val="en-US" w:eastAsia="zh-CN"/>
              </w:rPr>
              <w:t>T7  TH10298</w:t>
            </w:r>
            <w:r>
              <w:rPr>
                <w:rFonts w:hint="eastAsia" w:cs="Times New Roman" w:eastAsiaTheme="minorEastAsia"/>
                <w:color w:val="auto"/>
                <w:sz w:val="21"/>
                <w:szCs w:val="21"/>
                <w:highlight w:val="none"/>
                <w:lang w:val="en-US" w:eastAsia="zh-CN"/>
              </w:rPr>
              <w:t>CH</w:t>
            </w:r>
            <w:r>
              <w:rPr>
                <w:rFonts w:hint="default" w:ascii="Times New Roman" w:hAnsi="Times New Roman" w:cs="Times New Roman" w:eastAsiaTheme="minorEastAsia"/>
                <w:color w:val="auto"/>
                <w:sz w:val="21"/>
                <w:szCs w:val="21"/>
                <w:highlight w:val="none"/>
                <w:lang w:val="en-US" w:eastAsia="zh-CN"/>
              </w:rPr>
              <w:t>井场</w:t>
            </w:r>
          </w:p>
        </w:tc>
      </w:tr>
      <w:tr w14:paraId="210F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0AA9824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713" w:type="pct"/>
            <w:vMerge w:val="continue"/>
            <w:noWrap w:val="0"/>
            <w:vAlign w:val="center"/>
          </w:tcPr>
          <w:p w14:paraId="42AD17A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1164" w:type="pct"/>
            <w:gridSpan w:val="2"/>
            <w:noWrap/>
            <w:vAlign w:val="center"/>
          </w:tcPr>
          <w:p w14:paraId="5452175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0~0.5m</w:t>
            </w:r>
          </w:p>
        </w:tc>
        <w:tc>
          <w:tcPr>
            <w:tcW w:w="1046" w:type="pct"/>
            <w:gridSpan w:val="2"/>
            <w:noWrap/>
            <w:vAlign w:val="center"/>
          </w:tcPr>
          <w:p w14:paraId="7E1F09A5">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0.5~1.5m</w:t>
            </w:r>
          </w:p>
        </w:tc>
        <w:tc>
          <w:tcPr>
            <w:tcW w:w="1067" w:type="pct"/>
            <w:gridSpan w:val="2"/>
            <w:noWrap/>
            <w:vAlign w:val="center"/>
          </w:tcPr>
          <w:p w14:paraId="5B90A90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1.5~3m</w:t>
            </w:r>
          </w:p>
        </w:tc>
      </w:tr>
      <w:tr w14:paraId="3A5B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5DC7CB7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713" w:type="pct"/>
            <w:vMerge w:val="continue"/>
            <w:noWrap w:val="0"/>
            <w:vAlign w:val="center"/>
          </w:tcPr>
          <w:p w14:paraId="10A58473">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tc>
        <w:tc>
          <w:tcPr>
            <w:tcW w:w="607" w:type="pct"/>
            <w:noWrap w:val="0"/>
            <w:vAlign w:val="center"/>
          </w:tcPr>
          <w:p w14:paraId="051B337D">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3225A6BB">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数据</w:t>
            </w:r>
          </w:p>
        </w:tc>
        <w:tc>
          <w:tcPr>
            <w:tcW w:w="949" w:type="dxa"/>
            <w:noWrap w:val="0"/>
            <w:vAlign w:val="center"/>
          </w:tcPr>
          <w:p w14:paraId="6B1014C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56486C9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情况</w:t>
            </w:r>
          </w:p>
        </w:tc>
        <w:tc>
          <w:tcPr>
            <w:tcW w:w="626" w:type="pct"/>
            <w:noWrap w:val="0"/>
            <w:vAlign w:val="center"/>
          </w:tcPr>
          <w:p w14:paraId="11A4759C">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w:t>
            </w:r>
          </w:p>
        </w:tc>
        <w:tc>
          <w:tcPr>
            <w:tcW w:w="716" w:type="dxa"/>
            <w:noWrap w:val="0"/>
            <w:vAlign w:val="center"/>
          </w:tcPr>
          <w:p w14:paraId="0B82640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65127D9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情况</w:t>
            </w:r>
          </w:p>
        </w:tc>
        <w:tc>
          <w:tcPr>
            <w:tcW w:w="643" w:type="pct"/>
            <w:noWrap w:val="0"/>
            <w:vAlign w:val="center"/>
          </w:tcPr>
          <w:p w14:paraId="75962D1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w:t>
            </w:r>
          </w:p>
        </w:tc>
        <w:tc>
          <w:tcPr>
            <w:tcW w:w="723" w:type="dxa"/>
            <w:noWrap w:val="0"/>
            <w:vAlign w:val="center"/>
          </w:tcPr>
          <w:p w14:paraId="0819BC3C">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6D9BE429">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情况</w:t>
            </w:r>
          </w:p>
        </w:tc>
      </w:tr>
      <w:tr w14:paraId="192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14:paraId="4C07562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石油烃</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40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mg/kg</w:t>
            </w:r>
            <w:r>
              <w:rPr>
                <w:rFonts w:hint="default" w:ascii="Times New Roman" w:hAnsi="Times New Roman" w:cs="Times New Roman"/>
                <w:color w:val="auto"/>
                <w:szCs w:val="21"/>
                <w:highlight w:val="none"/>
                <w:lang w:eastAsia="zh-CN"/>
              </w:rPr>
              <w:t>）</w:t>
            </w:r>
          </w:p>
        </w:tc>
        <w:tc>
          <w:tcPr>
            <w:tcW w:w="713" w:type="pct"/>
            <w:noWrap w:val="0"/>
            <w:vAlign w:val="center"/>
          </w:tcPr>
          <w:p w14:paraId="462CBD6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4500</w:t>
            </w:r>
          </w:p>
        </w:tc>
        <w:tc>
          <w:tcPr>
            <w:tcW w:w="607" w:type="pct"/>
            <w:noWrap w:val="0"/>
            <w:vAlign w:val="center"/>
          </w:tcPr>
          <w:p w14:paraId="474F0FCE">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949" w:type="dxa"/>
            <w:noWrap w:val="0"/>
            <w:vAlign w:val="center"/>
          </w:tcPr>
          <w:p w14:paraId="1632610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eastAsia" w:ascii="Times New Roman" w:hAnsi="Times New Roman" w:cs="Times New Roman"/>
                <w:color w:val="auto"/>
                <w:spacing w:val="-11"/>
                <w:sz w:val="21"/>
                <w:highlight w:val="none"/>
                <w:lang w:val="en-US" w:eastAsia="zh-CN"/>
              </w:rPr>
              <w:t>达标</w:t>
            </w:r>
          </w:p>
        </w:tc>
        <w:tc>
          <w:tcPr>
            <w:tcW w:w="626" w:type="pct"/>
            <w:noWrap/>
            <w:vAlign w:val="center"/>
          </w:tcPr>
          <w:p w14:paraId="2CD2E9F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16" w:type="dxa"/>
            <w:noWrap w:val="0"/>
            <w:vAlign w:val="center"/>
          </w:tcPr>
          <w:p w14:paraId="401223AE">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spacing w:val="-11"/>
                <w:sz w:val="21"/>
                <w:highlight w:val="none"/>
                <w:lang w:val="en-US"/>
              </w:rPr>
            </w:pPr>
            <w:r>
              <w:rPr>
                <w:rFonts w:hint="eastAsia" w:ascii="Times New Roman" w:hAnsi="Times New Roman" w:cs="Times New Roman"/>
                <w:color w:val="auto"/>
                <w:spacing w:val="-11"/>
                <w:sz w:val="21"/>
                <w:highlight w:val="none"/>
                <w:lang w:val="en-US" w:eastAsia="zh-CN"/>
              </w:rPr>
              <w:t>达标</w:t>
            </w:r>
          </w:p>
        </w:tc>
        <w:tc>
          <w:tcPr>
            <w:tcW w:w="643" w:type="pct"/>
            <w:noWrap/>
            <w:vAlign w:val="center"/>
          </w:tcPr>
          <w:p w14:paraId="7A51776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23" w:type="dxa"/>
            <w:noWrap w:val="0"/>
            <w:vAlign w:val="center"/>
          </w:tcPr>
          <w:p w14:paraId="7D58B61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pacing w:val="-11"/>
                <w:sz w:val="21"/>
                <w:highlight w:val="none"/>
                <w:lang w:val="en-US" w:eastAsia="zh-CN"/>
              </w:rPr>
              <w:t>达标</w:t>
            </w:r>
          </w:p>
        </w:tc>
      </w:tr>
      <w:tr w14:paraId="0FDD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08" w:type="pct"/>
            <w:vMerge w:val="restart"/>
            <w:noWrap w:val="0"/>
            <w:vAlign w:val="center"/>
          </w:tcPr>
          <w:p w14:paraId="7885737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713" w:type="pct"/>
            <w:vMerge w:val="restart"/>
            <w:noWrap w:val="0"/>
            <w:vAlign w:val="center"/>
          </w:tcPr>
          <w:p w14:paraId="3329F4E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筛选值（第二类用地）</w:t>
            </w:r>
          </w:p>
        </w:tc>
        <w:tc>
          <w:tcPr>
            <w:tcW w:w="3278" w:type="pct"/>
            <w:gridSpan w:val="6"/>
            <w:noWrap w:val="0"/>
            <w:vAlign w:val="center"/>
          </w:tcPr>
          <w:p w14:paraId="133B0BA6">
            <w:pPr>
              <w:pStyle w:val="138"/>
              <w:shd w:val="clear" w:color="auto" w:fill="auto"/>
              <w:rPr>
                <w:rFonts w:hint="default" w:ascii="Times New Roman" w:hAnsi="Times New Roman" w:cs="Times New Roman"/>
                <w:color w:val="auto"/>
                <w:highlight w:val="none"/>
                <w:lang w:val="en-US" w:eastAsia="zh-CN"/>
              </w:rPr>
            </w:pPr>
            <w:r>
              <w:rPr>
                <w:rFonts w:hint="eastAsia" w:ascii="Times New Roman" w:hAnsi="Times New Roman"/>
                <w:color w:val="auto"/>
                <w:szCs w:val="21"/>
                <w:highlight w:val="none"/>
                <w:lang w:val="en-US" w:eastAsia="zh-CN"/>
              </w:rPr>
              <w:t xml:space="preserve">T8  </w:t>
            </w:r>
            <w:r>
              <w:rPr>
                <w:rFonts w:hint="eastAsia" w:ascii="Times New Roman" w:hAnsi="Times New Roman" w:eastAsia="仿宋_GB2312" w:cs="Times New Roman"/>
                <w:color w:val="auto"/>
                <w:szCs w:val="21"/>
                <w:highlight w:val="none"/>
                <w:lang w:val="en-US" w:eastAsia="zh-CN"/>
              </w:rPr>
              <w:t>TH10</w:t>
            </w:r>
            <w:r>
              <w:rPr>
                <w:rFonts w:hint="default" w:ascii="Times New Roman" w:hAnsi="Times New Roman" w:cs="Times New Roman" w:eastAsiaTheme="minorEastAsia"/>
                <w:color w:val="auto"/>
                <w:szCs w:val="21"/>
                <w:highlight w:val="none"/>
                <w:lang w:val="en-US" w:eastAsia="zh-CN"/>
              </w:rPr>
              <w:t>250</w:t>
            </w:r>
            <w:r>
              <w:rPr>
                <w:rFonts w:hint="eastAsia" w:cs="Times New Roman" w:eastAsiaTheme="minorEastAsia"/>
                <w:color w:val="auto"/>
                <w:szCs w:val="21"/>
                <w:highlight w:val="none"/>
                <w:lang w:val="en-US" w:eastAsia="zh-CN"/>
              </w:rPr>
              <w:t>CH</w:t>
            </w:r>
            <w:r>
              <w:rPr>
                <w:rFonts w:hint="default" w:ascii="Times New Roman" w:hAnsi="Times New Roman" w:cs="Times New Roman" w:eastAsiaTheme="minorEastAsia"/>
                <w:color w:val="auto"/>
                <w:szCs w:val="21"/>
                <w:highlight w:val="none"/>
                <w:lang w:val="en-US" w:eastAsia="zh-CN"/>
              </w:rPr>
              <w:t>井场</w:t>
            </w:r>
          </w:p>
        </w:tc>
      </w:tr>
      <w:tr w14:paraId="2FB1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089970F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713" w:type="pct"/>
            <w:vMerge w:val="continue"/>
            <w:noWrap w:val="0"/>
            <w:vAlign w:val="center"/>
          </w:tcPr>
          <w:p w14:paraId="5306C12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1164" w:type="pct"/>
            <w:gridSpan w:val="2"/>
            <w:noWrap w:val="0"/>
            <w:vAlign w:val="center"/>
          </w:tcPr>
          <w:p w14:paraId="0DD8B97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0~0.5m</w:t>
            </w:r>
          </w:p>
        </w:tc>
        <w:tc>
          <w:tcPr>
            <w:tcW w:w="1046" w:type="pct"/>
            <w:gridSpan w:val="2"/>
            <w:noWrap/>
            <w:vAlign w:val="center"/>
          </w:tcPr>
          <w:p w14:paraId="1A3E34BE">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0.5~1.5m</w:t>
            </w:r>
          </w:p>
        </w:tc>
        <w:tc>
          <w:tcPr>
            <w:tcW w:w="1067" w:type="pct"/>
            <w:gridSpan w:val="2"/>
            <w:noWrap/>
            <w:vAlign w:val="center"/>
          </w:tcPr>
          <w:p w14:paraId="4B706CB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1.5~3m</w:t>
            </w:r>
          </w:p>
        </w:tc>
      </w:tr>
      <w:tr w14:paraId="246B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6B1B2301">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713" w:type="pct"/>
            <w:vMerge w:val="continue"/>
            <w:noWrap w:val="0"/>
            <w:vAlign w:val="center"/>
          </w:tcPr>
          <w:p w14:paraId="1AE275E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607" w:type="pct"/>
            <w:noWrap w:val="0"/>
            <w:vAlign w:val="center"/>
          </w:tcPr>
          <w:p w14:paraId="6B6E1FF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7F8F422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数据</w:t>
            </w:r>
          </w:p>
        </w:tc>
        <w:tc>
          <w:tcPr>
            <w:tcW w:w="556" w:type="pct"/>
            <w:noWrap w:val="0"/>
            <w:vAlign w:val="center"/>
          </w:tcPr>
          <w:p w14:paraId="14CF12D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2A1AA91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c>
          <w:tcPr>
            <w:tcW w:w="626" w:type="pct"/>
            <w:noWrap/>
            <w:vAlign w:val="center"/>
          </w:tcPr>
          <w:p w14:paraId="02BDDDFF">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监测数据</w:t>
            </w:r>
          </w:p>
        </w:tc>
        <w:tc>
          <w:tcPr>
            <w:tcW w:w="716" w:type="dxa"/>
            <w:noWrap w:val="0"/>
            <w:vAlign w:val="center"/>
          </w:tcPr>
          <w:p w14:paraId="209F8B8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0662DAB0">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c>
          <w:tcPr>
            <w:tcW w:w="643" w:type="pct"/>
            <w:noWrap/>
            <w:vAlign w:val="center"/>
          </w:tcPr>
          <w:p w14:paraId="14D4D89A">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监测数据</w:t>
            </w:r>
          </w:p>
        </w:tc>
        <w:tc>
          <w:tcPr>
            <w:tcW w:w="723" w:type="dxa"/>
            <w:noWrap w:val="0"/>
            <w:vAlign w:val="center"/>
          </w:tcPr>
          <w:p w14:paraId="71DA50D5">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0EB226A0">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r>
      <w:tr w14:paraId="1D20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14:paraId="012A4F6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石油烃</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40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mg/kg</w:t>
            </w:r>
            <w:r>
              <w:rPr>
                <w:rFonts w:hint="default" w:ascii="Times New Roman" w:hAnsi="Times New Roman" w:cs="Times New Roman"/>
                <w:color w:val="auto"/>
                <w:szCs w:val="21"/>
                <w:highlight w:val="none"/>
                <w:lang w:eastAsia="zh-CN"/>
              </w:rPr>
              <w:t>）</w:t>
            </w:r>
          </w:p>
        </w:tc>
        <w:tc>
          <w:tcPr>
            <w:tcW w:w="713" w:type="pct"/>
            <w:noWrap w:val="0"/>
            <w:vAlign w:val="center"/>
          </w:tcPr>
          <w:p w14:paraId="4A9C2C0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4500</w:t>
            </w:r>
          </w:p>
        </w:tc>
        <w:tc>
          <w:tcPr>
            <w:tcW w:w="607" w:type="pct"/>
            <w:noWrap w:val="0"/>
            <w:vAlign w:val="center"/>
          </w:tcPr>
          <w:p w14:paraId="65B6803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556" w:type="pct"/>
            <w:noWrap w:val="0"/>
            <w:vAlign w:val="center"/>
          </w:tcPr>
          <w:p w14:paraId="5F7BEAAF">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pacing w:val="-11"/>
                <w:sz w:val="21"/>
                <w:highlight w:val="none"/>
                <w:lang w:val="en-US" w:eastAsia="zh-CN"/>
              </w:rPr>
              <w:t>达标</w:t>
            </w:r>
          </w:p>
        </w:tc>
        <w:tc>
          <w:tcPr>
            <w:tcW w:w="626" w:type="pct"/>
            <w:noWrap/>
            <w:vAlign w:val="center"/>
          </w:tcPr>
          <w:p w14:paraId="0CD35BC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16" w:type="dxa"/>
            <w:noWrap w:val="0"/>
            <w:vAlign w:val="center"/>
          </w:tcPr>
          <w:p w14:paraId="31237B8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pacing w:val="-11"/>
                <w:sz w:val="21"/>
                <w:highlight w:val="none"/>
                <w:lang w:val="en-US" w:eastAsia="zh-CN"/>
              </w:rPr>
              <w:t>达标</w:t>
            </w:r>
          </w:p>
        </w:tc>
        <w:tc>
          <w:tcPr>
            <w:tcW w:w="643" w:type="pct"/>
            <w:noWrap/>
            <w:vAlign w:val="center"/>
          </w:tcPr>
          <w:p w14:paraId="5CB8159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23" w:type="dxa"/>
            <w:noWrap w:val="0"/>
            <w:vAlign w:val="center"/>
          </w:tcPr>
          <w:p w14:paraId="033F0DF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pacing w:val="-11"/>
                <w:sz w:val="21"/>
                <w:highlight w:val="none"/>
                <w:lang w:val="en-US" w:eastAsia="zh-CN"/>
              </w:rPr>
              <w:t>达标</w:t>
            </w:r>
          </w:p>
        </w:tc>
      </w:tr>
      <w:tr w14:paraId="2521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08" w:type="pct"/>
            <w:vMerge w:val="restart"/>
            <w:noWrap w:val="0"/>
            <w:vAlign w:val="center"/>
          </w:tcPr>
          <w:p w14:paraId="3085681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713" w:type="pct"/>
            <w:vMerge w:val="restart"/>
            <w:noWrap w:val="0"/>
            <w:vAlign w:val="center"/>
          </w:tcPr>
          <w:p w14:paraId="739D420C">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筛选值（第二类用地）</w:t>
            </w:r>
          </w:p>
        </w:tc>
        <w:tc>
          <w:tcPr>
            <w:tcW w:w="3278" w:type="pct"/>
            <w:gridSpan w:val="6"/>
            <w:noWrap w:val="0"/>
            <w:vAlign w:val="center"/>
          </w:tcPr>
          <w:p w14:paraId="17BDED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sz w:val="21"/>
                <w:szCs w:val="21"/>
                <w:highlight w:val="none"/>
                <w:lang w:val="en-US" w:eastAsia="zh-CN"/>
              </w:rPr>
              <w:t>T9  TK872</w:t>
            </w:r>
            <w:r>
              <w:rPr>
                <w:rFonts w:hint="eastAsia" w:cs="Times New Roman" w:eastAsiaTheme="minorEastAsia"/>
                <w:color w:val="auto"/>
                <w:sz w:val="21"/>
                <w:szCs w:val="21"/>
                <w:highlight w:val="none"/>
                <w:lang w:val="en-US" w:eastAsia="zh-CN"/>
              </w:rPr>
              <w:t>CH</w:t>
            </w:r>
            <w:r>
              <w:rPr>
                <w:rFonts w:hint="default" w:ascii="Times New Roman" w:hAnsi="Times New Roman" w:cs="Times New Roman" w:eastAsiaTheme="minorEastAsia"/>
                <w:color w:val="auto"/>
                <w:sz w:val="21"/>
                <w:szCs w:val="21"/>
                <w:highlight w:val="none"/>
                <w:lang w:val="en-US" w:eastAsia="zh-CN"/>
              </w:rPr>
              <w:t>井场</w:t>
            </w:r>
          </w:p>
        </w:tc>
      </w:tr>
      <w:tr w14:paraId="479F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012ECA5F">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713" w:type="pct"/>
            <w:vMerge w:val="continue"/>
            <w:noWrap w:val="0"/>
            <w:vAlign w:val="center"/>
          </w:tcPr>
          <w:p w14:paraId="2252A8F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1164" w:type="pct"/>
            <w:gridSpan w:val="2"/>
            <w:noWrap w:val="0"/>
            <w:vAlign w:val="center"/>
          </w:tcPr>
          <w:p w14:paraId="0DB30E18">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0~0.5m</w:t>
            </w:r>
          </w:p>
        </w:tc>
        <w:tc>
          <w:tcPr>
            <w:tcW w:w="1046" w:type="pct"/>
            <w:gridSpan w:val="2"/>
            <w:noWrap/>
            <w:vAlign w:val="center"/>
          </w:tcPr>
          <w:p w14:paraId="378BE4A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0.5~1.5m</w:t>
            </w:r>
          </w:p>
        </w:tc>
        <w:tc>
          <w:tcPr>
            <w:tcW w:w="1067" w:type="pct"/>
            <w:gridSpan w:val="2"/>
            <w:noWrap/>
            <w:vAlign w:val="center"/>
          </w:tcPr>
          <w:p w14:paraId="33BF18EA">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1.5~3m</w:t>
            </w:r>
          </w:p>
        </w:tc>
      </w:tr>
      <w:tr w14:paraId="3B53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42D7FC4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713" w:type="pct"/>
            <w:vMerge w:val="continue"/>
            <w:noWrap w:val="0"/>
            <w:vAlign w:val="center"/>
          </w:tcPr>
          <w:p w14:paraId="2B69A9F9">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607" w:type="pct"/>
            <w:noWrap w:val="0"/>
            <w:vAlign w:val="center"/>
          </w:tcPr>
          <w:p w14:paraId="5B018779">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6AD3EC1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数据</w:t>
            </w:r>
          </w:p>
        </w:tc>
        <w:tc>
          <w:tcPr>
            <w:tcW w:w="949" w:type="dxa"/>
            <w:noWrap w:val="0"/>
            <w:vAlign w:val="center"/>
          </w:tcPr>
          <w:p w14:paraId="1B694DA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2F574DB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c>
          <w:tcPr>
            <w:tcW w:w="626" w:type="pct"/>
            <w:noWrap/>
            <w:vAlign w:val="center"/>
          </w:tcPr>
          <w:p w14:paraId="3E92C90F">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监测数据</w:t>
            </w:r>
          </w:p>
        </w:tc>
        <w:tc>
          <w:tcPr>
            <w:tcW w:w="716" w:type="dxa"/>
            <w:noWrap w:val="0"/>
            <w:vAlign w:val="center"/>
          </w:tcPr>
          <w:p w14:paraId="0D30AC7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7915644E">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c>
          <w:tcPr>
            <w:tcW w:w="643" w:type="pct"/>
            <w:noWrap/>
            <w:vAlign w:val="center"/>
          </w:tcPr>
          <w:p w14:paraId="0C0F725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监测数据</w:t>
            </w:r>
          </w:p>
        </w:tc>
        <w:tc>
          <w:tcPr>
            <w:tcW w:w="723" w:type="dxa"/>
            <w:noWrap w:val="0"/>
            <w:vAlign w:val="center"/>
          </w:tcPr>
          <w:p w14:paraId="31BCBBD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21F631BC">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r>
      <w:tr w14:paraId="7FBF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14:paraId="67092F5F">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石油烃</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40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mg/kg</w:t>
            </w:r>
            <w:r>
              <w:rPr>
                <w:rFonts w:hint="default" w:ascii="Times New Roman" w:hAnsi="Times New Roman" w:cs="Times New Roman"/>
                <w:color w:val="auto"/>
                <w:szCs w:val="21"/>
                <w:highlight w:val="none"/>
                <w:lang w:eastAsia="zh-CN"/>
              </w:rPr>
              <w:t>）</w:t>
            </w:r>
          </w:p>
        </w:tc>
        <w:tc>
          <w:tcPr>
            <w:tcW w:w="713" w:type="pct"/>
            <w:noWrap w:val="0"/>
            <w:vAlign w:val="center"/>
          </w:tcPr>
          <w:p w14:paraId="71A0F6C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4500</w:t>
            </w:r>
          </w:p>
        </w:tc>
        <w:tc>
          <w:tcPr>
            <w:tcW w:w="607" w:type="pct"/>
            <w:noWrap w:val="0"/>
            <w:vAlign w:val="center"/>
          </w:tcPr>
          <w:p w14:paraId="57C4B07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949" w:type="dxa"/>
            <w:noWrap w:val="0"/>
            <w:vAlign w:val="center"/>
          </w:tcPr>
          <w:p w14:paraId="504DAB4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pacing w:val="-11"/>
                <w:sz w:val="21"/>
                <w:highlight w:val="none"/>
                <w:lang w:val="en-US" w:eastAsia="zh-CN"/>
              </w:rPr>
              <w:t>达标</w:t>
            </w:r>
          </w:p>
        </w:tc>
        <w:tc>
          <w:tcPr>
            <w:tcW w:w="626" w:type="pct"/>
            <w:noWrap/>
            <w:vAlign w:val="center"/>
          </w:tcPr>
          <w:p w14:paraId="1368A0F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16" w:type="dxa"/>
            <w:noWrap w:val="0"/>
            <w:vAlign w:val="center"/>
          </w:tcPr>
          <w:p w14:paraId="4BB2432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pacing w:val="-11"/>
                <w:sz w:val="21"/>
                <w:highlight w:val="none"/>
                <w:lang w:val="en-US" w:eastAsia="zh-CN"/>
              </w:rPr>
              <w:t>达标</w:t>
            </w:r>
          </w:p>
        </w:tc>
        <w:tc>
          <w:tcPr>
            <w:tcW w:w="643" w:type="pct"/>
            <w:noWrap/>
            <w:vAlign w:val="center"/>
          </w:tcPr>
          <w:p w14:paraId="660CFA30">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23" w:type="dxa"/>
            <w:noWrap w:val="0"/>
            <w:vAlign w:val="center"/>
          </w:tcPr>
          <w:p w14:paraId="287307F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pacing w:val="-11"/>
                <w:sz w:val="21"/>
                <w:highlight w:val="none"/>
                <w:lang w:val="en-US" w:eastAsia="zh-CN"/>
              </w:rPr>
              <w:t>达标</w:t>
            </w:r>
          </w:p>
        </w:tc>
      </w:tr>
      <w:tr w14:paraId="2651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08" w:type="pct"/>
            <w:vMerge w:val="restart"/>
            <w:noWrap w:val="0"/>
            <w:vAlign w:val="center"/>
          </w:tcPr>
          <w:p w14:paraId="6E26771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713" w:type="pct"/>
            <w:vMerge w:val="restart"/>
            <w:noWrap w:val="0"/>
            <w:vAlign w:val="center"/>
          </w:tcPr>
          <w:p w14:paraId="5118C689">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筛选值（第二类用地）</w:t>
            </w:r>
          </w:p>
        </w:tc>
        <w:tc>
          <w:tcPr>
            <w:tcW w:w="3278" w:type="pct"/>
            <w:gridSpan w:val="6"/>
            <w:noWrap w:val="0"/>
            <w:vAlign w:val="center"/>
          </w:tcPr>
          <w:p w14:paraId="60285A4E">
            <w:pPr>
              <w:pStyle w:val="138"/>
              <w:shd w:val="clear" w:color="auto" w:fill="auto"/>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sz w:val="21"/>
                <w:szCs w:val="21"/>
                <w:highlight w:val="none"/>
                <w:lang w:val="en-US" w:eastAsia="zh-CN"/>
              </w:rPr>
              <w:t>T10  TH102117</w:t>
            </w:r>
            <w:r>
              <w:rPr>
                <w:rFonts w:hint="eastAsia" w:cs="Times New Roman" w:eastAsiaTheme="minorEastAsia"/>
                <w:color w:val="auto"/>
                <w:sz w:val="21"/>
                <w:szCs w:val="21"/>
                <w:highlight w:val="none"/>
                <w:lang w:val="en-US" w:eastAsia="zh-CN"/>
              </w:rPr>
              <w:t>X</w:t>
            </w:r>
            <w:r>
              <w:rPr>
                <w:rFonts w:hint="default" w:ascii="Times New Roman" w:hAnsi="Times New Roman" w:cs="Times New Roman" w:eastAsiaTheme="minorEastAsia"/>
                <w:color w:val="auto"/>
                <w:sz w:val="21"/>
                <w:szCs w:val="21"/>
                <w:highlight w:val="none"/>
                <w:lang w:val="en-US" w:eastAsia="zh-CN"/>
              </w:rPr>
              <w:t>井管线接口处</w:t>
            </w:r>
          </w:p>
        </w:tc>
      </w:tr>
      <w:tr w14:paraId="6D13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60C9AC63">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713" w:type="pct"/>
            <w:vMerge w:val="continue"/>
            <w:noWrap w:val="0"/>
            <w:vAlign w:val="center"/>
          </w:tcPr>
          <w:p w14:paraId="6226E56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1164" w:type="pct"/>
            <w:gridSpan w:val="2"/>
            <w:noWrap w:val="0"/>
            <w:vAlign w:val="center"/>
          </w:tcPr>
          <w:p w14:paraId="0F6F5016">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0~0.5m</w:t>
            </w:r>
          </w:p>
        </w:tc>
        <w:tc>
          <w:tcPr>
            <w:tcW w:w="1046" w:type="pct"/>
            <w:gridSpan w:val="2"/>
            <w:noWrap/>
            <w:vAlign w:val="center"/>
          </w:tcPr>
          <w:p w14:paraId="21FE66D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0.5~1.5m</w:t>
            </w:r>
          </w:p>
        </w:tc>
        <w:tc>
          <w:tcPr>
            <w:tcW w:w="1067" w:type="pct"/>
            <w:gridSpan w:val="2"/>
            <w:noWrap/>
            <w:vAlign w:val="center"/>
          </w:tcPr>
          <w:p w14:paraId="5DD68DB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1.5~3m</w:t>
            </w:r>
          </w:p>
        </w:tc>
      </w:tr>
      <w:tr w14:paraId="1156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vMerge w:val="continue"/>
            <w:noWrap w:val="0"/>
            <w:vAlign w:val="center"/>
          </w:tcPr>
          <w:p w14:paraId="2F21806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713" w:type="pct"/>
            <w:vMerge w:val="continue"/>
            <w:noWrap w:val="0"/>
            <w:vAlign w:val="center"/>
          </w:tcPr>
          <w:p w14:paraId="2B13BD7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p>
        </w:tc>
        <w:tc>
          <w:tcPr>
            <w:tcW w:w="607" w:type="pct"/>
            <w:noWrap w:val="0"/>
            <w:vAlign w:val="center"/>
          </w:tcPr>
          <w:p w14:paraId="4070041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6B46CA10">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数据</w:t>
            </w:r>
          </w:p>
        </w:tc>
        <w:tc>
          <w:tcPr>
            <w:tcW w:w="949" w:type="dxa"/>
            <w:noWrap w:val="0"/>
            <w:vAlign w:val="center"/>
          </w:tcPr>
          <w:p w14:paraId="73CCD3B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4F7E027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c>
          <w:tcPr>
            <w:tcW w:w="626" w:type="pct"/>
            <w:noWrap/>
            <w:vAlign w:val="center"/>
          </w:tcPr>
          <w:p w14:paraId="509EAC22">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监测数据</w:t>
            </w:r>
          </w:p>
        </w:tc>
        <w:tc>
          <w:tcPr>
            <w:tcW w:w="716" w:type="dxa"/>
            <w:noWrap w:val="0"/>
            <w:vAlign w:val="center"/>
          </w:tcPr>
          <w:p w14:paraId="7D187A7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70A4CC11">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c>
          <w:tcPr>
            <w:tcW w:w="643" w:type="pct"/>
            <w:noWrap/>
            <w:vAlign w:val="center"/>
          </w:tcPr>
          <w:p w14:paraId="31F637CB">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监测数据</w:t>
            </w:r>
          </w:p>
        </w:tc>
        <w:tc>
          <w:tcPr>
            <w:tcW w:w="723" w:type="dxa"/>
            <w:noWrap w:val="0"/>
            <w:vAlign w:val="center"/>
          </w:tcPr>
          <w:p w14:paraId="04D5989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p>
          <w:p w14:paraId="18EDFD7C">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情况</w:t>
            </w:r>
          </w:p>
        </w:tc>
      </w:tr>
      <w:tr w14:paraId="0407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14:paraId="3BC044F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石油烃</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40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mg/kg</w:t>
            </w:r>
            <w:r>
              <w:rPr>
                <w:rFonts w:hint="default" w:ascii="Times New Roman" w:hAnsi="Times New Roman" w:cs="Times New Roman"/>
                <w:color w:val="auto"/>
                <w:szCs w:val="21"/>
                <w:highlight w:val="none"/>
                <w:lang w:eastAsia="zh-CN"/>
              </w:rPr>
              <w:t>）</w:t>
            </w:r>
          </w:p>
        </w:tc>
        <w:tc>
          <w:tcPr>
            <w:tcW w:w="713" w:type="pct"/>
            <w:noWrap w:val="0"/>
            <w:vAlign w:val="center"/>
          </w:tcPr>
          <w:p w14:paraId="11FF2BF5">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4500</w:t>
            </w:r>
          </w:p>
        </w:tc>
        <w:tc>
          <w:tcPr>
            <w:tcW w:w="607" w:type="pct"/>
            <w:noWrap w:val="0"/>
            <w:vAlign w:val="center"/>
          </w:tcPr>
          <w:p w14:paraId="03E37F87">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949" w:type="dxa"/>
            <w:noWrap w:val="0"/>
            <w:vAlign w:val="center"/>
          </w:tcPr>
          <w:p w14:paraId="05567644">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pacing w:val="-11"/>
                <w:sz w:val="21"/>
                <w:highlight w:val="none"/>
                <w:lang w:val="en-US" w:eastAsia="zh-CN"/>
              </w:rPr>
              <w:t>达标</w:t>
            </w:r>
          </w:p>
        </w:tc>
        <w:tc>
          <w:tcPr>
            <w:tcW w:w="626" w:type="pct"/>
            <w:noWrap/>
            <w:vAlign w:val="center"/>
          </w:tcPr>
          <w:p w14:paraId="7FE20D5C">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16" w:type="dxa"/>
            <w:noWrap w:val="0"/>
            <w:vAlign w:val="center"/>
          </w:tcPr>
          <w:p w14:paraId="05E1B31D">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pacing w:val="-11"/>
                <w:sz w:val="21"/>
                <w:highlight w:val="none"/>
                <w:lang w:val="en-US" w:eastAsia="zh-CN"/>
              </w:rPr>
              <w:t>达标</w:t>
            </w:r>
          </w:p>
        </w:tc>
        <w:tc>
          <w:tcPr>
            <w:tcW w:w="643" w:type="pct"/>
            <w:noWrap/>
            <w:vAlign w:val="center"/>
          </w:tcPr>
          <w:p w14:paraId="7C605F09">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＜6</w:t>
            </w:r>
          </w:p>
        </w:tc>
        <w:tc>
          <w:tcPr>
            <w:tcW w:w="723" w:type="dxa"/>
            <w:noWrap w:val="0"/>
            <w:vAlign w:val="center"/>
          </w:tcPr>
          <w:p w14:paraId="6C3E1F21">
            <w:pPr>
              <w:pStyle w:val="138"/>
              <w:keepNext w:val="0"/>
              <w:keepLines w:val="0"/>
              <w:pageBreakBefore w:val="0"/>
              <w:widowControl/>
              <w:shd w:val="clear" w:color="auto" w:fill="auto"/>
              <w:kinsoku/>
              <w:wordWrap/>
              <w:overflowPunct/>
              <w:topLinePunct w:val="0"/>
              <w:autoSpaceDE/>
              <w:autoSpaceDN/>
              <w:bidi w:val="0"/>
              <w:adjustRightInd/>
              <w:snapToGrid/>
              <w:spacing w:after="0"/>
              <w:ind w:firstLine="0" w:firstLineChars="0"/>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pacing w:val="-11"/>
                <w:sz w:val="21"/>
                <w:highlight w:val="none"/>
                <w:lang w:val="en-US" w:eastAsia="zh-CN"/>
              </w:rPr>
              <w:t>达标</w:t>
            </w:r>
          </w:p>
        </w:tc>
      </w:tr>
    </w:tbl>
    <w:p w14:paraId="01FBCE19">
      <w:pPr>
        <w:pStyle w:val="44"/>
        <w:keepNext w:val="0"/>
        <w:keepLines w:val="0"/>
        <w:pageBreakBefore w:val="0"/>
        <w:kinsoku/>
        <w:wordWrap/>
        <w:overflowPunct/>
        <w:topLinePunct w:val="0"/>
        <w:autoSpaceDE/>
        <w:autoSpaceDN/>
        <w:bidi w:val="0"/>
        <w:spacing w:line="240" w:lineRule="auto"/>
        <w:textAlignment w:val="auto"/>
        <w:outlineLvl w:val="9"/>
        <w:rPr>
          <w:rFonts w:hint="default" w:ascii="Times New Roman" w:hAnsi="Times New Roman" w:cs="Times New Roman"/>
          <w:color w:val="auto"/>
          <w:sz w:val="21"/>
          <w:szCs w:val="21"/>
          <w:highlight w:val="none"/>
        </w:rPr>
      </w:pPr>
    </w:p>
    <w:p w14:paraId="49A7DE53">
      <w:pPr>
        <w:pStyle w:val="44"/>
        <w:keepNext w:val="0"/>
        <w:keepLines w:val="0"/>
        <w:pageBreakBefore w:val="0"/>
        <w:kinsoku/>
        <w:wordWrap/>
        <w:overflowPunct/>
        <w:topLinePunct w:val="0"/>
        <w:autoSpaceDE/>
        <w:autoSpaceDN/>
        <w:bidi w:val="0"/>
        <w:spacing w:line="240" w:lineRule="auto"/>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表4.4-7 </w:t>
      </w:r>
      <w:r>
        <w:rPr>
          <w:rFonts w:hint="eastAsia"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土壤监测结果一览表（占地范围外表层样）</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668"/>
        <w:gridCol w:w="689"/>
        <w:gridCol w:w="1557"/>
        <w:gridCol w:w="1079"/>
        <w:gridCol w:w="1121"/>
        <w:gridCol w:w="1121"/>
        <w:gridCol w:w="1124"/>
      </w:tblGrid>
      <w:tr w14:paraId="46F06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noWrap w:val="0"/>
            <w:vAlign w:val="center"/>
          </w:tcPr>
          <w:p w14:paraId="26B4EC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采样点位</w:t>
            </w:r>
          </w:p>
        </w:tc>
        <w:tc>
          <w:tcPr>
            <w:tcW w:w="412" w:type="pct"/>
            <w:noWrap w:val="0"/>
            <w:vAlign w:val="center"/>
          </w:tcPr>
          <w:p w14:paraId="7050411B">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采样</w:t>
            </w:r>
          </w:p>
          <w:p w14:paraId="54678AF9">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深度</w:t>
            </w:r>
          </w:p>
        </w:tc>
        <w:tc>
          <w:tcPr>
            <w:tcW w:w="931" w:type="pct"/>
            <w:noWrap w:val="0"/>
            <w:vAlign w:val="center"/>
          </w:tcPr>
          <w:p w14:paraId="6ADDA19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监测项目</w:t>
            </w:r>
          </w:p>
        </w:tc>
        <w:tc>
          <w:tcPr>
            <w:tcW w:w="645" w:type="pct"/>
            <w:noWrap w:val="0"/>
            <w:vAlign w:val="center"/>
          </w:tcPr>
          <w:p w14:paraId="70F6152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单位</w:t>
            </w:r>
          </w:p>
        </w:tc>
        <w:tc>
          <w:tcPr>
            <w:tcW w:w="670" w:type="pct"/>
            <w:noWrap w:val="0"/>
            <w:vAlign w:val="center"/>
          </w:tcPr>
          <w:p w14:paraId="7F9AF9F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检测结果</w:t>
            </w:r>
          </w:p>
        </w:tc>
        <w:tc>
          <w:tcPr>
            <w:tcW w:w="670" w:type="pct"/>
            <w:noWrap w:val="0"/>
            <w:vAlign w:val="center"/>
          </w:tcPr>
          <w:p w14:paraId="7134133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筛选值（</w:t>
            </w:r>
            <w:r>
              <w:rPr>
                <w:rFonts w:hint="eastAsia" w:ascii="Times New Roman" w:hAnsi="Times New Roman" w:cs="Times New Roman" w:eastAsiaTheme="minorEastAsia"/>
                <w:color w:val="auto"/>
                <w:sz w:val="21"/>
                <w:szCs w:val="21"/>
                <w:highlight w:val="none"/>
                <w:lang w:val="en-US" w:eastAsia="zh-CN"/>
              </w:rPr>
              <w:t>pH＞7.5</w:t>
            </w:r>
            <w:r>
              <w:rPr>
                <w:rFonts w:hint="default" w:ascii="Times New Roman" w:hAnsi="Times New Roman" w:cs="Times New Roman" w:eastAsiaTheme="minorEastAsia"/>
                <w:color w:val="auto"/>
                <w:sz w:val="21"/>
                <w:szCs w:val="21"/>
                <w:highlight w:val="none"/>
              </w:rPr>
              <w:t>）</w:t>
            </w:r>
          </w:p>
        </w:tc>
        <w:tc>
          <w:tcPr>
            <w:tcW w:w="672" w:type="pct"/>
            <w:noWrap w:val="0"/>
            <w:vAlign w:val="center"/>
          </w:tcPr>
          <w:p w14:paraId="436EAC8D">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达标情况</w:t>
            </w:r>
          </w:p>
        </w:tc>
      </w:tr>
      <w:tr w14:paraId="2228E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9" w:hRule="atLeast"/>
          <w:jc w:val="center"/>
        </w:trPr>
        <w:tc>
          <w:tcPr>
            <w:tcW w:w="997" w:type="pct"/>
            <w:vMerge w:val="restart"/>
            <w:noWrap w:val="0"/>
            <w:vAlign w:val="center"/>
          </w:tcPr>
          <w:p w14:paraId="095BEC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T11：TH10298</w:t>
            </w:r>
            <w:r>
              <w:rPr>
                <w:rFonts w:hint="eastAsia" w:cs="Times New Roman" w:eastAsiaTheme="minorEastAsia"/>
                <w:color w:val="auto"/>
                <w:sz w:val="21"/>
                <w:szCs w:val="21"/>
                <w:highlight w:val="none"/>
                <w:lang w:val="en-US" w:eastAsia="zh-CN"/>
              </w:rPr>
              <w:t>CH</w:t>
            </w:r>
            <w:r>
              <w:rPr>
                <w:rFonts w:hint="default" w:ascii="Times New Roman" w:hAnsi="Times New Roman" w:cs="Times New Roman" w:eastAsiaTheme="minorEastAsia"/>
                <w:color w:val="auto"/>
                <w:sz w:val="21"/>
                <w:szCs w:val="21"/>
                <w:highlight w:val="none"/>
                <w:lang w:val="en-US" w:eastAsia="zh-CN"/>
              </w:rPr>
              <w:t>井场外北侧200 m（草地）</w:t>
            </w:r>
          </w:p>
        </w:tc>
        <w:tc>
          <w:tcPr>
            <w:tcW w:w="412" w:type="pct"/>
            <w:vMerge w:val="restart"/>
            <w:noWrap w:val="0"/>
            <w:vAlign w:val="center"/>
          </w:tcPr>
          <w:p w14:paraId="385F6A0C">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0.2 m</w:t>
            </w:r>
          </w:p>
        </w:tc>
        <w:tc>
          <w:tcPr>
            <w:tcW w:w="931" w:type="pct"/>
            <w:shd w:val="clear" w:color="auto" w:fill="auto"/>
            <w:noWrap w:val="0"/>
            <w:vAlign w:val="center"/>
          </w:tcPr>
          <w:p w14:paraId="4346989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pH值</w:t>
            </w:r>
          </w:p>
        </w:tc>
        <w:tc>
          <w:tcPr>
            <w:tcW w:w="645" w:type="pct"/>
            <w:shd w:val="clear" w:color="auto" w:fill="auto"/>
            <w:noWrap w:val="0"/>
            <w:vAlign w:val="center"/>
          </w:tcPr>
          <w:p w14:paraId="5A68473B">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无量纲</w:t>
            </w:r>
          </w:p>
        </w:tc>
        <w:tc>
          <w:tcPr>
            <w:tcW w:w="670" w:type="pct"/>
            <w:shd w:val="clear" w:color="auto" w:fill="auto"/>
            <w:noWrap w:val="0"/>
            <w:vAlign w:val="center"/>
          </w:tcPr>
          <w:p w14:paraId="0F9CE3F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8.41</w:t>
            </w:r>
          </w:p>
        </w:tc>
        <w:tc>
          <w:tcPr>
            <w:tcW w:w="670" w:type="pct"/>
            <w:noWrap w:val="0"/>
            <w:vAlign w:val="center"/>
          </w:tcPr>
          <w:p w14:paraId="4D15E47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noWrap w:val="0"/>
            <w:vAlign w:val="center"/>
          </w:tcPr>
          <w:p w14:paraId="45445F6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14:paraId="0A5DA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shd w:val="clear" w:color="auto" w:fill="auto"/>
            <w:noWrap w:val="0"/>
            <w:vAlign w:val="center"/>
          </w:tcPr>
          <w:p w14:paraId="52FEF8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shd w:val="clear" w:color="auto" w:fill="auto"/>
            <w:noWrap w:val="0"/>
            <w:vAlign w:val="center"/>
          </w:tcPr>
          <w:p w14:paraId="573AF852">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0B2448A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砷</w:t>
            </w:r>
          </w:p>
        </w:tc>
        <w:tc>
          <w:tcPr>
            <w:tcW w:w="645" w:type="pct"/>
            <w:noWrap w:val="0"/>
            <w:vAlign w:val="center"/>
          </w:tcPr>
          <w:p w14:paraId="77BBE619">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5DC22D02">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4.26</w:t>
            </w:r>
          </w:p>
        </w:tc>
        <w:tc>
          <w:tcPr>
            <w:tcW w:w="670" w:type="pct"/>
            <w:noWrap w:val="0"/>
            <w:vAlign w:val="center"/>
          </w:tcPr>
          <w:p w14:paraId="666CBB7D">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25</w:t>
            </w:r>
          </w:p>
        </w:tc>
        <w:tc>
          <w:tcPr>
            <w:tcW w:w="672" w:type="pct"/>
            <w:noWrap w:val="0"/>
            <w:vAlign w:val="center"/>
          </w:tcPr>
          <w:p w14:paraId="0ECC8D3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25F7D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38DCA3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17D10AAC">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7161605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镉</w:t>
            </w:r>
          </w:p>
        </w:tc>
        <w:tc>
          <w:tcPr>
            <w:tcW w:w="645" w:type="pct"/>
            <w:noWrap w:val="0"/>
            <w:vAlign w:val="center"/>
          </w:tcPr>
          <w:p w14:paraId="1FC2B259">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335E967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0.12</w:t>
            </w:r>
          </w:p>
        </w:tc>
        <w:tc>
          <w:tcPr>
            <w:tcW w:w="670" w:type="pct"/>
            <w:noWrap w:val="0"/>
            <w:vAlign w:val="center"/>
          </w:tcPr>
          <w:p w14:paraId="73F8162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0.6</w:t>
            </w:r>
          </w:p>
        </w:tc>
        <w:tc>
          <w:tcPr>
            <w:tcW w:w="672" w:type="pct"/>
            <w:noWrap w:val="0"/>
            <w:vAlign w:val="center"/>
          </w:tcPr>
          <w:p w14:paraId="774C2BC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61F0E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7B86A3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7CFE882F">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6908337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铬</w:t>
            </w:r>
          </w:p>
        </w:tc>
        <w:tc>
          <w:tcPr>
            <w:tcW w:w="645" w:type="pct"/>
            <w:noWrap w:val="0"/>
            <w:vAlign w:val="center"/>
          </w:tcPr>
          <w:p w14:paraId="357536F6">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3A88552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46</w:t>
            </w:r>
          </w:p>
        </w:tc>
        <w:tc>
          <w:tcPr>
            <w:tcW w:w="670" w:type="pct"/>
            <w:noWrap w:val="0"/>
            <w:vAlign w:val="center"/>
          </w:tcPr>
          <w:p w14:paraId="2ADA96C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250</w:t>
            </w:r>
          </w:p>
        </w:tc>
        <w:tc>
          <w:tcPr>
            <w:tcW w:w="672" w:type="pct"/>
            <w:noWrap w:val="0"/>
            <w:vAlign w:val="center"/>
          </w:tcPr>
          <w:p w14:paraId="38427E8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42C06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2F903B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5D013BE1">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769A1B2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铜</w:t>
            </w:r>
          </w:p>
        </w:tc>
        <w:tc>
          <w:tcPr>
            <w:tcW w:w="645" w:type="pct"/>
            <w:noWrap w:val="0"/>
            <w:vAlign w:val="center"/>
          </w:tcPr>
          <w:p w14:paraId="1FA496CC">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7B51638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w:t>
            </w:r>
          </w:p>
        </w:tc>
        <w:tc>
          <w:tcPr>
            <w:tcW w:w="670" w:type="pct"/>
            <w:noWrap w:val="0"/>
            <w:vAlign w:val="center"/>
          </w:tcPr>
          <w:p w14:paraId="7822B68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100</w:t>
            </w:r>
          </w:p>
        </w:tc>
        <w:tc>
          <w:tcPr>
            <w:tcW w:w="672" w:type="pct"/>
            <w:shd w:val="clear" w:color="auto" w:fill="auto"/>
            <w:noWrap w:val="0"/>
            <w:vAlign w:val="center"/>
          </w:tcPr>
          <w:p w14:paraId="7B79106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2B701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3A5C2F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2702FAB4">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1F674A5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铅</w:t>
            </w:r>
          </w:p>
        </w:tc>
        <w:tc>
          <w:tcPr>
            <w:tcW w:w="645" w:type="pct"/>
            <w:noWrap w:val="0"/>
            <w:vAlign w:val="center"/>
          </w:tcPr>
          <w:p w14:paraId="55557AA3">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41D5DAC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11.4</w:t>
            </w:r>
          </w:p>
        </w:tc>
        <w:tc>
          <w:tcPr>
            <w:tcW w:w="670" w:type="pct"/>
            <w:noWrap w:val="0"/>
            <w:vAlign w:val="center"/>
          </w:tcPr>
          <w:p w14:paraId="4361AB5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170</w:t>
            </w:r>
          </w:p>
        </w:tc>
        <w:tc>
          <w:tcPr>
            <w:tcW w:w="672" w:type="pct"/>
            <w:shd w:val="clear" w:color="auto" w:fill="auto"/>
            <w:noWrap w:val="0"/>
            <w:vAlign w:val="center"/>
          </w:tcPr>
          <w:p w14:paraId="279068FC">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4AFF9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677153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0CE1E6FC">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4B5D54BD">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汞</w:t>
            </w:r>
          </w:p>
        </w:tc>
        <w:tc>
          <w:tcPr>
            <w:tcW w:w="645" w:type="pct"/>
            <w:noWrap w:val="0"/>
            <w:vAlign w:val="center"/>
          </w:tcPr>
          <w:p w14:paraId="3C45DB55">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7FE9F47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0.122</w:t>
            </w:r>
          </w:p>
        </w:tc>
        <w:tc>
          <w:tcPr>
            <w:tcW w:w="670" w:type="pct"/>
            <w:noWrap w:val="0"/>
            <w:vAlign w:val="center"/>
          </w:tcPr>
          <w:p w14:paraId="040E303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3.4</w:t>
            </w:r>
          </w:p>
        </w:tc>
        <w:tc>
          <w:tcPr>
            <w:tcW w:w="672" w:type="pct"/>
            <w:shd w:val="clear" w:color="auto" w:fill="auto"/>
            <w:noWrap w:val="0"/>
            <w:vAlign w:val="center"/>
          </w:tcPr>
          <w:p w14:paraId="5BF32A4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14052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27BDDF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4DAB6527">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6208E97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镍</w:t>
            </w:r>
          </w:p>
        </w:tc>
        <w:tc>
          <w:tcPr>
            <w:tcW w:w="645" w:type="pct"/>
            <w:noWrap w:val="0"/>
            <w:vAlign w:val="center"/>
          </w:tcPr>
          <w:p w14:paraId="337F73FF">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7E5DDF0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34</w:t>
            </w:r>
          </w:p>
        </w:tc>
        <w:tc>
          <w:tcPr>
            <w:tcW w:w="670" w:type="pct"/>
            <w:noWrap w:val="0"/>
            <w:vAlign w:val="center"/>
          </w:tcPr>
          <w:p w14:paraId="1B36F27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190</w:t>
            </w:r>
          </w:p>
        </w:tc>
        <w:tc>
          <w:tcPr>
            <w:tcW w:w="672" w:type="pct"/>
            <w:shd w:val="clear" w:color="auto" w:fill="auto"/>
            <w:noWrap w:val="0"/>
            <w:vAlign w:val="center"/>
          </w:tcPr>
          <w:p w14:paraId="0B40AF4D">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33B56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0E36F0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4B7A3FC2">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47797D1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锌</w:t>
            </w:r>
          </w:p>
        </w:tc>
        <w:tc>
          <w:tcPr>
            <w:tcW w:w="645" w:type="pct"/>
            <w:noWrap w:val="0"/>
            <w:vAlign w:val="center"/>
          </w:tcPr>
          <w:p w14:paraId="169764B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5C012CE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42</w:t>
            </w:r>
          </w:p>
        </w:tc>
        <w:tc>
          <w:tcPr>
            <w:tcW w:w="670" w:type="pct"/>
            <w:noWrap w:val="0"/>
            <w:vAlign w:val="center"/>
          </w:tcPr>
          <w:p w14:paraId="2896CDE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300</w:t>
            </w:r>
          </w:p>
        </w:tc>
        <w:tc>
          <w:tcPr>
            <w:tcW w:w="672" w:type="pct"/>
            <w:shd w:val="clear" w:color="auto" w:fill="auto"/>
            <w:noWrap w:val="0"/>
            <w:vAlign w:val="center"/>
          </w:tcPr>
          <w:p w14:paraId="267E744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5C121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77819A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2486502A">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2FFA401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全盐量</w:t>
            </w:r>
          </w:p>
        </w:tc>
        <w:tc>
          <w:tcPr>
            <w:tcW w:w="645" w:type="pct"/>
            <w:noWrap w:val="0"/>
            <w:vAlign w:val="center"/>
          </w:tcPr>
          <w:p w14:paraId="30E4586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g/kg</w:t>
            </w:r>
          </w:p>
        </w:tc>
        <w:tc>
          <w:tcPr>
            <w:tcW w:w="670" w:type="pct"/>
            <w:noWrap w:val="0"/>
            <w:vAlign w:val="center"/>
          </w:tcPr>
          <w:p w14:paraId="5DE17DF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19.4</w:t>
            </w:r>
          </w:p>
        </w:tc>
        <w:tc>
          <w:tcPr>
            <w:tcW w:w="670" w:type="pct"/>
            <w:noWrap w:val="0"/>
            <w:vAlign w:val="center"/>
          </w:tcPr>
          <w:p w14:paraId="677E508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shd w:val="clear" w:color="auto" w:fill="auto"/>
            <w:noWrap w:val="0"/>
            <w:vAlign w:val="center"/>
          </w:tcPr>
          <w:p w14:paraId="38F2417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30A9E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5B4A66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42325022">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0202909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石油烃（C</w:t>
            </w:r>
            <w:r>
              <w:rPr>
                <w:rFonts w:hint="default" w:ascii="Times New Roman" w:hAnsi="Times New Roman" w:cs="Times New Roman" w:eastAsiaTheme="minorEastAsia"/>
                <w:color w:val="auto"/>
                <w:sz w:val="21"/>
                <w:szCs w:val="21"/>
                <w:highlight w:val="none"/>
                <w:vertAlign w:val="subscript"/>
                <w:lang w:val="en-US" w:eastAsia="zh-CN"/>
              </w:rPr>
              <w:t>10</w:t>
            </w:r>
            <w:r>
              <w:rPr>
                <w:rFonts w:hint="default" w:ascii="Times New Roman" w:hAnsi="Times New Roman" w:cs="Times New Roman" w:eastAsiaTheme="minorEastAsia"/>
                <w:color w:val="auto"/>
                <w:sz w:val="21"/>
                <w:szCs w:val="21"/>
                <w:highlight w:val="none"/>
                <w:lang w:val="en-US" w:eastAsia="zh-CN"/>
              </w:rPr>
              <w:t>-C</w:t>
            </w:r>
            <w:r>
              <w:rPr>
                <w:rFonts w:hint="default" w:ascii="Times New Roman" w:hAnsi="Times New Roman" w:cs="Times New Roman" w:eastAsiaTheme="minorEastAsia"/>
                <w:color w:val="auto"/>
                <w:sz w:val="21"/>
                <w:szCs w:val="21"/>
                <w:highlight w:val="none"/>
                <w:vertAlign w:val="subscript"/>
                <w:lang w:val="en-US" w:eastAsia="zh-CN"/>
              </w:rPr>
              <w:t>40</w:t>
            </w:r>
            <w:r>
              <w:rPr>
                <w:rFonts w:hint="default" w:ascii="Times New Roman" w:hAnsi="Times New Roman" w:cs="Times New Roman" w:eastAsiaTheme="minorEastAsia"/>
                <w:color w:val="auto"/>
                <w:sz w:val="21"/>
                <w:szCs w:val="21"/>
                <w:highlight w:val="none"/>
                <w:lang w:val="en-US" w:eastAsia="zh-CN"/>
              </w:rPr>
              <w:t>）</w:t>
            </w:r>
          </w:p>
        </w:tc>
        <w:tc>
          <w:tcPr>
            <w:tcW w:w="645" w:type="pct"/>
            <w:noWrap w:val="0"/>
            <w:vAlign w:val="center"/>
          </w:tcPr>
          <w:p w14:paraId="00821641">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568A0EE2">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6L</w:t>
            </w:r>
          </w:p>
        </w:tc>
        <w:tc>
          <w:tcPr>
            <w:tcW w:w="670" w:type="pct"/>
            <w:noWrap w:val="0"/>
            <w:vAlign w:val="center"/>
          </w:tcPr>
          <w:p w14:paraId="7E315D5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4500</w:t>
            </w:r>
          </w:p>
        </w:tc>
        <w:tc>
          <w:tcPr>
            <w:tcW w:w="672" w:type="pct"/>
            <w:noWrap w:val="0"/>
            <w:vAlign w:val="center"/>
          </w:tcPr>
          <w:p w14:paraId="72BEEEF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69F32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restart"/>
            <w:noWrap w:val="0"/>
            <w:vAlign w:val="center"/>
          </w:tcPr>
          <w:p w14:paraId="6D53F0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T12:TH10294</w:t>
            </w:r>
            <w:r>
              <w:rPr>
                <w:rFonts w:hint="eastAsia" w:cs="Times New Roman" w:eastAsiaTheme="minorEastAsia"/>
                <w:color w:val="auto"/>
                <w:sz w:val="21"/>
                <w:szCs w:val="21"/>
                <w:highlight w:val="none"/>
                <w:lang w:val="en-US" w:eastAsia="zh-CN"/>
              </w:rPr>
              <w:t>CH</w:t>
            </w:r>
            <w:r>
              <w:rPr>
                <w:rFonts w:hint="default" w:ascii="Times New Roman" w:hAnsi="Times New Roman" w:cs="Times New Roman" w:eastAsiaTheme="minorEastAsia"/>
                <w:color w:val="auto"/>
                <w:sz w:val="21"/>
                <w:szCs w:val="21"/>
                <w:highlight w:val="none"/>
                <w:lang w:val="en-US" w:eastAsia="zh-CN"/>
              </w:rPr>
              <w:t>井场外南侧200 m（草地）</w:t>
            </w:r>
          </w:p>
        </w:tc>
        <w:tc>
          <w:tcPr>
            <w:tcW w:w="412" w:type="pct"/>
            <w:vMerge w:val="restart"/>
            <w:noWrap w:val="0"/>
            <w:vAlign w:val="center"/>
          </w:tcPr>
          <w:p w14:paraId="186BAA4D">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0.2 m</w:t>
            </w:r>
          </w:p>
        </w:tc>
        <w:tc>
          <w:tcPr>
            <w:tcW w:w="931" w:type="pct"/>
            <w:noWrap w:val="0"/>
            <w:vAlign w:val="center"/>
          </w:tcPr>
          <w:p w14:paraId="50E3170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pH值</w:t>
            </w:r>
          </w:p>
        </w:tc>
        <w:tc>
          <w:tcPr>
            <w:tcW w:w="645" w:type="pct"/>
            <w:noWrap w:val="0"/>
            <w:vAlign w:val="center"/>
          </w:tcPr>
          <w:p w14:paraId="2B0E6532">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无量纲</w:t>
            </w:r>
          </w:p>
        </w:tc>
        <w:tc>
          <w:tcPr>
            <w:tcW w:w="670" w:type="pct"/>
            <w:noWrap w:val="0"/>
            <w:vAlign w:val="center"/>
          </w:tcPr>
          <w:p w14:paraId="2FFCE4C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8.24</w:t>
            </w:r>
          </w:p>
        </w:tc>
        <w:tc>
          <w:tcPr>
            <w:tcW w:w="670" w:type="pct"/>
            <w:noWrap w:val="0"/>
            <w:vAlign w:val="center"/>
          </w:tcPr>
          <w:p w14:paraId="6D4295F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noWrap w:val="0"/>
            <w:vAlign w:val="center"/>
          </w:tcPr>
          <w:p w14:paraId="74876A4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54337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3F0362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5999B1C7">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656D0C3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全盐量</w:t>
            </w:r>
          </w:p>
        </w:tc>
        <w:tc>
          <w:tcPr>
            <w:tcW w:w="645" w:type="pct"/>
            <w:noWrap w:val="0"/>
            <w:vAlign w:val="center"/>
          </w:tcPr>
          <w:p w14:paraId="6C19116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g/kg</w:t>
            </w:r>
          </w:p>
        </w:tc>
        <w:tc>
          <w:tcPr>
            <w:tcW w:w="670" w:type="pct"/>
            <w:noWrap w:val="0"/>
            <w:vAlign w:val="center"/>
          </w:tcPr>
          <w:p w14:paraId="00A7E0E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17.9</w:t>
            </w:r>
          </w:p>
        </w:tc>
        <w:tc>
          <w:tcPr>
            <w:tcW w:w="670" w:type="pct"/>
            <w:noWrap w:val="0"/>
            <w:vAlign w:val="center"/>
          </w:tcPr>
          <w:p w14:paraId="18F12D8D">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noWrap w:val="0"/>
            <w:vAlign w:val="center"/>
          </w:tcPr>
          <w:p w14:paraId="05BC2FD2">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5D1C5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10A9F5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4DC3750D">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7248A27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石油烃（C</w:t>
            </w:r>
            <w:r>
              <w:rPr>
                <w:rFonts w:hint="default" w:ascii="Times New Roman" w:hAnsi="Times New Roman" w:cs="Times New Roman" w:eastAsiaTheme="minorEastAsia"/>
                <w:color w:val="auto"/>
                <w:sz w:val="21"/>
                <w:szCs w:val="21"/>
                <w:highlight w:val="none"/>
                <w:vertAlign w:val="subscript"/>
                <w:lang w:val="en-US" w:eastAsia="zh-CN"/>
              </w:rPr>
              <w:t>10</w:t>
            </w:r>
            <w:r>
              <w:rPr>
                <w:rFonts w:hint="default" w:ascii="Times New Roman" w:hAnsi="Times New Roman" w:cs="Times New Roman" w:eastAsiaTheme="minorEastAsia"/>
                <w:color w:val="auto"/>
                <w:sz w:val="21"/>
                <w:szCs w:val="21"/>
                <w:highlight w:val="none"/>
                <w:lang w:val="en-US" w:eastAsia="zh-CN"/>
              </w:rPr>
              <w:t>-C</w:t>
            </w:r>
            <w:r>
              <w:rPr>
                <w:rFonts w:hint="default" w:ascii="Times New Roman" w:hAnsi="Times New Roman" w:cs="Times New Roman" w:eastAsiaTheme="minorEastAsia"/>
                <w:color w:val="auto"/>
                <w:sz w:val="21"/>
                <w:szCs w:val="21"/>
                <w:highlight w:val="none"/>
                <w:vertAlign w:val="subscript"/>
                <w:lang w:val="en-US" w:eastAsia="zh-CN"/>
              </w:rPr>
              <w:t>40</w:t>
            </w:r>
            <w:r>
              <w:rPr>
                <w:rFonts w:hint="default" w:ascii="Times New Roman" w:hAnsi="Times New Roman" w:cs="Times New Roman" w:eastAsiaTheme="minorEastAsia"/>
                <w:color w:val="auto"/>
                <w:sz w:val="21"/>
                <w:szCs w:val="21"/>
                <w:highlight w:val="none"/>
                <w:lang w:val="en-US" w:eastAsia="zh-CN"/>
              </w:rPr>
              <w:t>）</w:t>
            </w:r>
          </w:p>
        </w:tc>
        <w:tc>
          <w:tcPr>
            <w:tcW w:w="645" w:type="pct"/>
            <w:noWrap w:val="0"/>
            <w:vAlign w:val="center"/>
          </w:tcPr>
          <w:p w14:paraId="25D92DA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781BBED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6L</w:t>
            </w:r>
          </w:p>
        </w:tc>
        <w:tc>
          <w:tcPr>
            <w:tcW w:w="670" w:type="pct"/>
            <w:noWrap w:val="0"/>
            <w:vAlign w:val="center"/>
          </w:tcPr>
          <w:p w14:paraId="4F09F39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4500</w:t>
            </w:r>
          </w:p>
        </w:tc>
        <w:tc>
          <w:tcPr>
            <w:tcW w:w="672" w:type="pct"/>
            <w:noWrap w:val="0"/>
            <w:vAlign w:val="center"/>
          </w:tcPr>
          <w:p w14:paraId="3EB24AA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156D3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restart"/>
            <w:noWrap w:val="0"/>
            <w:vAlign w:val="center"/>
          </w:tcPr>
          <w:p w14:paraId="372293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T13:TH10250</w:t>
            </w:r>
            <w:r>
              <w:rPr>
                <w:rFonts w:hint="eastAsia" w:cs="Times New Roman" w:eastAsiaTheme="minorEastAsia"/>
                <w:color w:val="auto"/>
                <w:sz w:val="21"/>
                <w:szCs w:val="21"/>
                <w:highlight w:val="none"/>
                <w:lang w:val="en-US" w:eastAsia="zh-CN"/>
              </w:rPr>
              <w:t>CH</w:t>
            </w:r>
            <w:r>
              <w:rPr>
                <w:rFonts w:hint="default" w:ascii="Times New Roman" w:hAnsi="Times New Roman" w:cs="Times New Roman" w:eastAsiaTheme="minorEastAsia"/>
                <w:color w:val="auto"/>
                <w:sz w:val="21"/>
                <w:szCs w:val="21"/>
                <w:highlight w:val="none"/>
                <w:lang w:val="en-US" w:eastAsia="zh-CN"/>
              </w:rPr>
              <w:t>井场外东北侧200 m（林地）</w:t>
            </w:r>
          </w:p>
        </w:tc>
        <w:tc>
          <w:tcPr>
            <w:tcW w:w="412" w:type="pct"/>
            <w:vMerge w:val="restart"/>
            <w:noWrap w:val="0"/>
            <w:vAlign w:val="center"/>
          </w:tcPr>
          <w:p w14:paraId="0528A362">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0.2 m</w:t>
            </w:r>
          </w:p>
        </w:tc>
        <w:tc>
          <w:tcPr>
            <w:tcW w:w="931" w:type="pct"/>
            <w:noWrap w:val="0"/>
            <w:vAlign w:val="center"/>
          </w:tcPr>
          <w:p w14:paraId="4963CDAB">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pH值</w:t>
            </w:r>
          </w:p>
        </w:tc>
        <w:tc>
          <w:tcPr>
            <w:tcW w:w="645" w:type="pct"/>
            <w:noWrap w:val="0"/>
            <w:vAlign w:val="center"/>
          </w:tcPr>
          <w:p w14:paraId="5AE8037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无量纲</w:t>
            </w:r>
          </w:p>
        </w:tc>
        <w:tc>
          <w:tcPr>
            <w:tcW w:w="670" w:type="pct"/>
            <w:noWrap w:val="0"/>
            <w:vAlign w:val="center"/>
          </w:tcPr>
          <w:p w14:paraId="00C24B2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8.18</w:t>
            </w:r>
          </w:p>
        </w:tc>
        <w:tc>
          <w:tcPr>
            <w:tcW w:w="670" w:type="pct"/>
            <w:shd w:val="clear" w:color="auto" w:fill="auto"/>
            <w:noWrap w:val="0"/>
            <w:vAlign w:val="center"/>
          </w:tcPr>
          <w:p w14:paraId="7C3760B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shd w:val="clear" w:color="auto" w:fill="auto"/>
            <w:noWrap w:val="0"/>
            <w:vAlign w:val="center"/>
          </w:tcPr>
          <w:p w14:paraId="5889BF3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1FF7C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7874F8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127BAE74">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4846095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全盐量</w:t>
            </w:r>
          </w:p>
        </w:tc>
        <w:tc>
          <w:tcPr>
            <w:tcW w:w="645" w:type="pct"/>
            <w:noWrap w:val="0"/>
            <w:vAlign w:val="center"/>
          </w:tcPr>
          <w:p w14:paraId="2872134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g/kg</w:t>
            </w:r>
          </w:p>
        </w:tc>
        <w:tc>
          <w:tcPr>
            <w:tcW w:w="670" w:type="pct"/>
            <w:noWrap w:val="0"/>
            <w:vAlign w:val="center"/>
          </w:tcPr>
          <w:p w14:paraId="2922535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16.3</w:t>
            </w:r>
          </w:p>
        </w:tc>
        <w:tc>
          <w:tcPr>
            <w:tcW w:w="670" w:type="pct"/>
            <w:shd w:val="clear" w:color="auto" w:fill="auto"/>
            <w:noWrap w:val="0"/>
            <w:vAlign w:val="center"/>
          </w:tcPr>
          <w:p w14:paraId="1F2D7C7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shd w:val="clear" w:color="auto" w:fill="auto"/>
            <w:noWrap w:val="0"/>
            <w:vAlign w:val="center"/>
          </w:tcPr>
          <w:p w14:paraId="42E4776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01A63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6C1368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38A37491">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5D86C72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石油烃（C</w:t>
            </w:r>
            <w:r>
              <w:rPr>
                <w:rFonts w:hint="default" w:ascii="Times New Roman" w:hAnsi="Times New Roman" w:cs="Times New Roman" w:eastAsiaTheme="minorEastAsia"/>
                <w:color w:val="auto"/>
                <w:sz w:val="21"/>
                <w:szCs w:val="21"/>
                <w:highlight w:val="none"/>
                <w:vertAlign w:val="subscript"/>
                <w:lang w:val="en-US" w:eastAsia="zh-CN"/>
              </w:rPr>
              <w:t>10</w:t>
            </w:r>
            <w:r>
              <w:rPr>
                <w:rFonts w:hint="default" w:ascii="Times New Roman" w:hAnsi="Times New Roman" w:cs="Times New Roman" w:eastAsiaTheme="minorEastAsia"/>
                <w:color w:val="auto"/>
                <w:sz w:val="21"/>
                <w:szCs w:val="21"/>
                <w:highlight w:val="none"/>
                <w:lang w:val="en-US" w:eastAsia="zh-CN"/>
              </w:rPr>
              <w:t>-C</w:t>
            </w:r>
            <w:r>
              <w:rPr>
                <w:rFonts w:hint="default" w:ascii="Times New Roman" w:hAnsi="Times New Roman" w:cs="Times New Roman" w:eastAsiaTheme="minorEastAsia"/>
                <w:color w:val="auto"/>
                <w:sz w:val="21"/>
                <w:szCs w:val="21"/>
                <w:highlight w:val="none"/>
                <w:vertAlign w:val="subscript"/>
                <w:lang w:val="en-US" w:eastAsia="zh-CN"/>
              </w:rPr>
              <w:t>40</w:t>
            </w:r>
            <w:r>
              <w:rPr>
                <w:rFonts w:hint="default" w:ascii="Times New Roman" w:hAnsi="Times New Roman" w:cs="Times New Roman" w:eastAsiaTheme="minorEastAsia"/>
                <w:color w:val="auto"/>
                <w:sz w:val="21"/>
                <w:szCs w:val="21"/>
                <w:highlight w:val="none"/>
                <w:lang w:val="en-US" w:eastAsia="zh-CN"/>
              </w:rPr>
              <w:t>）</w:t>
            </w:r>
          </w:p>
        </w:tc>
        <w:tc>
          <w:tcPr>
            <w:tcW w:w="645" w:type="pct"/>
            <w:noWrap w:val="0"/>
            <w:vAlign w:val="center"/>
          </w:tcPr>
          <w:p w14:paraId="328B61C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68CDD8F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6L</w:t>
            </w:r>
          </w:p>
        </w:tc>
        <w:tc>
          <w:tcPr>
            <w:tcW w:w="670" w:type="pct"/>
            <w:shd w:val="clear" w:color="auto" w:fill="auto"/>
            <w:noWrap w:val="0"/>
            <w:vAlign w:val="center"/>
          </w:tcPr>
          <w:p w14:paraId="46FA977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4500</w:t>
            </w:r>
          </w:p>
        </w:tc>
        <w:tc>
          <w:tcPr>
            <w:tcW w:w="672" w:type="pct"/>
            <w:shd w:val="clear" w:color="auto" w:fill="auto"/>
            <w:noWrap w:val="0"/>
            <w:vAlign w:val="center"/>
          </w:tcPr>
          <w:p w14:paraId="7166D85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3C6EE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restart"/>
            <w:noWrap w:val="0"/>
            <w:vAlign w:val="center"/>
          </w:tcPr>
          <w:p w14:paraId="389DFF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T14:TK872</w:t>
            </w:r>
            <w:r>
              <w:rPr>
                <w:rFonts w:hint="eastAsia" w:cs="Times New Roman" w:eastAsiaTheme="minorEastAsia"/>
                <w:color w:val="auto"/>
                <w:sz w:val="21"/>
                <w:szCs w:val="21"/>
                <w:highlight w:val="none"/>
                <w:lang w:val="en-US" w:eastAsia="zh-CN"/>
              </w:rPr>
              <w:t>CH</w:t>
            </w:r>
            <w:r>
              <w:rPr>
                <w:rFonts w:hint="default" w:ascii="Times New Roman" w:hAnsi="Times New Roman" w:cs="Times New Roman" w:eastAsiaTheme="minorEastAsia"/>
                <w:color w:val="auto"/>
                <w:sz w:val="21"/>
                <w:szCs w:val="21"/>
                <w:highlight w:val="none"/>
                <w:lang w:val="en-US" w:eastAsia="zh-CN"/>
              </w:rPr>
              <w:t>井场外西侧200 m（农田）</w:t>
            </w:r>
          </w:p>
        </w:tc>
        <w:tc>
          <w:tcPr>
            <w:tcW w:w="412" w:type="pct"/>
            <w:vMerge w:val="restart"/>
            <w:noWrap w:val="0"/>
            <w:vAlign w:val="center"/>
          </w:tcPr>
          <w:p w14:paraId="2C615931">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0.2 m</w:t>
            </w:r>
          </w:p>
        </w:tc>
        <w:tc>
          <w:tcPr>
            <w:tcW w:w="931" w:type="pct"/>
            <w:noWrap w:val="0"/>
            <w:vAlign w:val="center"/>
          </w:tcPr>
          <w:p w14:paraId="23B8711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pH值</w:t>
            </w:r>
          </w:p>
        </w:tc>
        <w:tc>
          <w:tcPr>
            <w:tcW w:w="645" w:type="pct"/>
            <w:noWrap w:val="0"/>
            <w:vAlign w:val="center"/>
          </w:tcPr>
          <w:p w14:paraId="563DD81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无量纲</w:t>
            </w:r>
          </w:p>
        </w:tc>
        <w:tc>
          <w:tcPr>
            <w:tcW w:w="670" w:type="pct"/>
            <w:noWrap w:val="0"/>
            <w:vAlign w:val="center"/>
          </w:tcPr>
          <w:p w14:paraId="2D775EAC">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8.32</w:t>
            </w:r>
          </w:p>
        </w:tc>
        <w:tc>
          <w:tcPr>
            <w:tcW w:w="670" w:type="pct"/>
            <w:shd w:val="clear" w:color="auto" w:fill="auto"/>
            <w:noWrap w:val="0"/>
            <w:vAlign w:val="center"/>
          </w:tcPr>
          <w:p w14:paraId="2AA84DA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shd w:val="clear" w:color="auto" w:fill="auto"/>
            <w:noWrap w:val="0"/>
            <w:vAlign w:val="center"/>
          </w:tcPr>
          <w:p w14:paraId="053A4F6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055AA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7CBF7E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795733B2">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0530CB9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全盐量</w:t>
            </w:r>
          </w:p>
        </w:tc>
        <w:tc>
          <w:tcPr>
            <w:tcW w:w="645" w:type="pct"/>
            <w:noWrap w:val="0"/>
            <w:vAlign w:val="center"/>
          </w:tcPr>
          <w:p w14:paraId="431A464C">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g/kg</w:t>
            </w:r>
          </w:p>
        </w:tc>
        <w:tc>
          <w:tcPr>
            <w:tcW w:w="670" w:type="pct"/>
            <w:noWrap w:val="0"/>
            <w:vAlign w:val="center"/>
          </w:tcPr>
          <w:p w14:paraId="06363CC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16.3</w:t>
            </w:r>
          </w:p>
        </w:tc>
        <w:tc>
          <w:tcPr>
            <w:tcW w:w="670" w:type="pct"/>
            <w:shd w:val="clear" w:color="auto" w:fill="auto"/>
            <w:noWrap w:val="0"/>
            <w:vAlign w:val="center"/>
          </w:tcPr>
          <w:p w14:paraId="05EA4DB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shd w:val="clear" w:color="auto" w:fill="auto"/>
            <w:noWrap w:val="0"/>
            <w:vAlign w:val="center"/>
          </w:tcPr>
          <w:p w14:paraId="041A0A6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08494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restart"/>
            <w:noWrap w:val="0"/>
            <w:vAlign w:val="center"/>
          </w:tcPr>
          <w:p w14:paraId="45ACFB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T15:TH102117X井至T707CH集输管道侧向200 m</w:t>
            </w:r>
          </w:p>
        </w:tc>
        <w:tc>
          <w:tcPr>
            <w:tcW w:w="412" w:type="pct"/>
            <w:vMerge w:val="restart"/>
            <w:noWrap w:val="0"/>
            <w:vAlign w:val="center"/>
          </w:tcPr>
          <w:p w14:paraId="1E3DAEAA">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0.2 m</w:t>
            </w:r>
          </w:p>
        </w:tc>
        <w:tc>
          <w:tcPr>
            <w:tcW w:w="931" w:type="pct"/>
            <w:noWrap w:val="0"/>
            <w:vAlign w:val="center"/>
          </w:tcPr>
          <w:p w14:paraId="4309435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pH值</w:t>
            </w:r>
          </w:p>
        </w:tc>
        <w:tc>
          <w:tcPr>
            <w:tcW w:w="645" w:type="pct"/>
            <w:noWrap w:val="0"/>
            <w:vAlign w:val="center"/>
          </w:tcPr>
          <w:p w14:paraId="217654B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无量纲</w:t>
            </w:r>
          </w:p>
        </w:tc>
        <w:tc>
          <w:tcPr>
            <w:tcW w:w="670" w:type="pct"/>
            <w:noWrap w:val="0"/>
            <w:vAlign w:val="center"/>
          </w:tcPr>
          <w:p w14:paraId="5684A4B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8.40</w:t>
            </w:r>
          </w:p>
        </w:tc>
        <w:tc>
          <w:tcPr>
            <w:tcW w:w="670" w:type="pct"/>
            <w:shd w:val="clear" w:color="auto" w:fill="auto"/>
            <w:noWrap w:val="0"/>
            <w:vAlign w:val="center"/>
          </w:tcPr>
          <w:p w14:paraId="3275D91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shd w:val="clear" w:color="auto" w:fill="auto"/>
            <w:noWrap w:val="0"/>
            <w:vAlign w:val="center"/>
          </w:tcPr>
          <w:p w14:paraId="4E3CB1FC">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60DD5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6E1F2B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2D1F0143">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3ADCC83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全盐量</w:t>
            </w:r>
          </w:p>
        </w:tc>
        <w:tc>
          <w:tcPr>
            <w:tcW w:w="645" w:type="pct"/>
            <w:noWrap w:val="0"/>
            <w:vAlign w:val="center"/>
          </w:tcPr>
          <w:p w14:paraId="21447A3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g/kg</w:t>
            </w:r>
          </w:p>
        </w:tc>
        <w:tc>
          <w:tcPr>
            <w:tcW w:w="670" w:type="pct"/>
            <w:noWrap w:val="0"/>
            <w:vAlign w:val="center"/>
          </w:tcPr>
          <w:p w14:paraId="7810FAC9">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10.6</w:t>
            </w:r>
          </w:p>
        </w:tc>
        <w:tc>
          <w:tcPr>
            <w:tcW w:w="670" w:type="pct"/>
            <w:noWrap w:val="0"/>
            <w:vAlign w:val="center"/>
          </w:tcPr>
          <w:p w14:paraId="3AC378C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noWrap w:val="0"/>
            <w:vAlign w:val="center"/>
          </w:tcPr>
          <w:p w14:paraId="0FDD9C9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62FD6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restart"/>
            <w:shd w:val="clear" w:color="auto" w:fill="auto"/>
            <w:noWrap w:val="0"/>
            <w:vAlign w:val="center"/>
          </w:tcPr>
          <w:p w14:paraId="7A3D6C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T1</w:t>
            </w:r>
            <w:r>
              <w:rPr>
                <w:rFonts w:hint="eastAsia" w:ascii="Times New Roman" w:hAnsi="Times New Roman" w:cs="Times New Roman" w:eastAsiaTheme="minorEastAsia"/>
                <w:color w:val="auto"/>
                <w:sz w:val="21"/>
                <w:szCs w:val="21"/>
                <w:highlight w:val="none"/>
                <w:lang w:val="en-US" w:eastAsia="zh-CN"/>
              </w:rPr>
              <w:t>6</w:t>
            </w:r>
            <w:r>
              <w:rPr>
                <w:rFonts w:hint="default" w:ascii="Times New Roman" w:hAnsi="Times New Roman" w:cs="Times New Roman" w:eastAsiaTheme="minorEastAsia"/>
                <w:color w:val="auto"/>
                <w:sz w:val="21"/>
                <w:szCs w:val="21"/>
                <w:highlight w:val="none"/>
                <w:lang w:val="en-US" w:eastAsia="zh-CN"/>
              </w:rPr>
              <w:t>：TH102</w:t>
            </w:r>
            <w:r>
              <w:rPr>
                <w:rFonts w:hint="eastAsia" w:ascii="Times New Roman" w:hAnsi="Times New Roman" w:cs="Times New Roman" w:eastAsiaTheme="minorEastAsia"/>
                <w:color w:val="auto"/>
                <w:sz w:val="21"/>
                <w:szCs w:val="21"/>
                <w:highlight w:val="none"/>
                <w:lang w:val="en-US" w:eastAsia="zh-CN"/>
              </w:rPr>
              <w:t>117X北部农田</w:t>
            </w:r>
          </w:p>
        </w:tc>
        <w:tc>
          <w:tcPr>
            <w:tcW w:w="412" w:type="pct"/>
            <w:vMerge w:val="restart"/>
            <w:shd w:val="clear" w:color="auto" w:fill="auto"/>
            <w:noWrap w:val="0"/>
            <w:vAlign w:val="center"/>
          </w:tcPr>
          <w:p w14:paraId="3D053F5E">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0.2 m</w:t>
            </w:r>
          </w:p>
        </w:tc>
        <w:tc>
          <w:tcPr>
            <w:tcW w:w="931" w:type="pct"/>
            <w:shd w:val="clear" w:color="auto" w:fill="auto"/>
            <w:noWrap w:val="0"/>
            <w:vAlign w:val="center"/>
          </w:tcPr>
          <w:p w14:paraId="080BE95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pH值</w:t>
            </w:r>
          </w:p>
        </w:tc>
        <w:tc>
          <w:tcPr>
            <w:tcW w:w="645" w:type="pct"/>
            <w:shd w:val="clear" w:color="auto" w:fill="auto"/>
            <w:noWrap w:val="0"/>
            <w:vAlign w:val="center"/>
          </w:tcPr>
          <w:p w14:paraId="7091C8E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无量纲</w:t>
            </w:r>
          </w:p>
        </w:tc>
        <w:tc>
          <w:tcPr>
            <w:tcW w:w="1121" w:type="dxa"/>
            <w:noWrap w:val="0"/>
            <w:vAlign w:val="center"/>
          </w:tcPr>
          <w:p w14:paraId="54A5AAA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8. 12</w:t>
            </w:r>
          </w:p>
        </w:tc>
        <w:tc>
          <w:tcPr>
            <w:tcW w:w="670" w:type="pct"/>
            <w:noWrap w:val="0"/>
            <w:vAlign w:val="center"/>
          </w:tcPr>
          <w:p w14:paraId="60421DB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noWrap w:val="0"/>
            <w:vAlign w:val="center"/>
          </w:tcPr>
          <w:p w14:paraId="7EFF08C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14E87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shd w:val="clear" w:color="auto" w:fill="auto"/>
            <w:noWrap w:val="0"/>
            <w:vAlign w:val="center"/>
          </w:tcPr>
          <w:p w14:paraId="1FBC48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412" w:type="pct"/>
            <w:vMerge w:val="continue"/>
            <w:shd w:val="clear" w:color="auto" w:fill="auto"/>
            <w:noWrap w:val="0"/>
            <w:vAlign w:val="center"/>
          </w:tcPr>
          <w:p w14:paraId="6D55BB35">
            <w:pPr>
              <w:spacing w:line="0" w:lineRule="atLeast"/>
              <w:jc w:val="center"/>
              <w:rPr>
                <w:rFonts w:hint="default" w:ascii="Times New Roman" w:hAnsi="Times New Roman" w:cs="Times New Roman" w:eastAsiaTheme="minorEastAsia"/>
                <w:color w:val="auto"/>
                <w:spacing w:val="0"/>
                <w:sz w:val="21"/>
                <w:szCs w:val="21"/>
                <w:highlight w:val="none"/>
                <w:lang w:val="en-US" w:eastAsia="zh-CN"/>
              </w:rPr>
            </w:pPr>
          </w:p>
        </w:tc>
        <w:tc>
          <w:tcPr>
            <w:tcW w:w="931" w:type="pct"/>
            <w:shd w:val="clear" w:color="auto" w:fill="auto"/>
            <w:noWrap w:val="0"/>
            <w:vAlign w:val="center"/>
          </w:tcPr>
          <w:p w14:paraId="1184CDB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砷</w:t>
            </w:r>
          </w:p>
        </w:tc>
        <w:tc>
          <w:tcPr>
            <w:tcW w:w="645" w:type="pct"/>
            <w:shd w:val="clear" w:color="auto" w:fill="auto"/>
            <w:noWrap w:val="0"/>
            <w:vAlign w:val="center"/>
          </w:tcPr>
          <w:p w14:paraId="135C87BB">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shd w:val="clear" w:color="auto" w:fill="auto"/>
            <w:noWrap w:val="0"/>
            <w:vAlign w:val="center"/>
          </w:tcPr>
          <w:p w14:paraId="003BFC6B">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7.68</w:t>
            </w:r>
          </w:p>
        </w:tc>
        <w:tc>
          <w:tcPr>
            <w:tcW w:w="670" w:type="pct"/>
            <w:shd w:val="clear" w:color="auto" w:fill="auto"/>
            <w:noWrap w:val="0"/>
            <w:vAlign w:val="center"/>
          </w:tcPr>
          <w:p w14:paraId="09F15910">
            <w:pPr>
              <w:spacing w:line="0" w:lineRule="atLeast"/>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25</w:t>
            </w:r>
          </w:p>
        </w:tc>
        <w:tc>
          <w:tcPr>
            <w:tcW w:w="672" w:type="pct"/>
            <w:shd w:val="clear" w:color="auto" w:fill="auto"/>
            <w:noWrap w:val="0"/>
            <w:vAlign w:val="center"/>
          </w:tcPr>
          <w:p w14:paraId="057710C3">
            <w:pPr>
              <w:spacing w:line="0" w:lineRule="atLeast"/>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2EB56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1E8A87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20BDDE6F">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3DA60C9B">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镉</w:t>
            </w:r>
          </w:p>
        </w:tc>
        <w:tc>
          <w:tcPr>
            <w:tcW w:w="645" w:type="pct"/>
            <w:noWrap w:val="0"/>
            <w:vAlign w:val="center"/>
          </w:tcPr>
          <w:p w14:paraId="579B848B">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noWrap w:val="0"/>
            <w:vAlign w:val="center"/>
          </w:tcPr>
          <w:p w14:paraId="14501CF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0.16</w:t>
            </w:r>
          </w:p>
        </w:tc>
        <w:tc>
          <w:tcPr>
            <w:tcW w:w="670" w:type="pct"/>
            <w:noWrap w:val="0"/>
            <w:vAlign w:val="center"/>
          </w:tcPr>
          <w:p w14:paraId="2006AF5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0.6</w:t>
            </w:r>
          </w:p>
        </w:tc>
        <w:tc>
          <w:tcPr>
            <w:tcW w:w="672" w:type="pct"/>
            <w:noWrap w:val="0"/>
            <w:vAlign w:val="center"/>
          </w:tcPr>
          <w:p w14:paraId="1DBD180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076D2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319538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065214D1">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3E63B5F5">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铬</w:t>
            </w:r>
          </w:p>
        </w:tc>
        <w:tc>
          <w:tcPr>
            <w:tcW w:w="645" w:type="pct"/>
            <w:noWrap w:val="0"/>
            <w:vAlign w:val="center"/>
          </w:tcPr>
          <w:p w14:paraId="21629AD8">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noWrap w:val="0"/>
            <w:vAlign w:val="center"/>
          </w:tcPr>
          <w:p w14:paraId="36C7E1CB">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49</w:t>
            </w:r>
          </w:p>
        </w:tc>
        <w:tc>
          <w:tcPr>
            <w:tcW w:w="670" w:type="pct"/>
            <w:noWrap w:val="0"/>
            <w:vAlign w:val="center"/>
          </w:tcPr>
          <w:p w14:paraId="75D1A51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250</w:t>
            </w:r>
          </w:p>
        </w:tc>
        <w:tc>
          <w:tcPr>
            <w:tcW w:w="672" w:type="pct"/>
            <w:noWrap w:val="0"/>
            <w:vAlign w:val="center"/>
          </w:tcPr>
          <w:p w14:paraId="143FA7A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3486E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5FF991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60E74F46">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3E1EDBF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铜</w:t>
            </w:r>
          </w:p>
        </w:tc>
        <w:tc>
          <w:tcPr>
            <w:tcW w:w="645" w:type="pct"/>
            <w:noWrap w:val="0"/>
            <w:vAlign w:val="center"/>
          </w:tcPr>
          <w:p w14:paraId="1637E150">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noWrap w:val="0"/>
            <w:vAlign w:val="center"/>
          </w:tcPr>
          <w:p w14:paraId="407880E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10</w:t>
            </w:r>
          </w:p>
        </w:tc>
        <w:tc>
          <w:tcPr>
            <w:tcW w:w="670" w:type="pct"/>
            <w:noWrap w:val="0"/>
            <w:vAlign w:val="center"/>
          </w:tcPr>
          <w:p w14:paraId="5B4D97E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100</w:t>
            </w:r>
          </w:p>
        </w:tc>
        <w:tc>
          <w:tcPr>
            <w:tcW w:w="672" w:type="pct"/>
            <w:shd w:val="clear" w:color="auto" w:fill="auto"/>
            <w:noWrap w:val="0"/>
            <w:vAlign w:val="center"/>
          </w:tcPr>
          <w:p w14:paraId="0E4AEA3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1345F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325440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56B2FE04">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789F123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铅</w:t>
            </w:r>
          </w:p>
        </w:tc>
        <w:tc>
          <w:tcPr>
            <w:tcW w:w="645" w:type="pct"/>
            <w:noWrap w:val="0"/>
            <w:vAlign w:val="center"/>
          </w:tcPr>
          <w:p w14:paraId="095A810E">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noWrap w:val="0"/>
            <w:vAlign w:val="center"/>
          </w:tcPr>
          <w:p w14:paraId="2FCCD44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15.9</w:t>
            </w:r>
          </w:p>
        </w:tc>
        <w:tc>
          <w:tcPr>
            <w:tcW w:w="670" w:type="pct"/>
            <w:noWrap w:val="0"/>
            <w:vAlign w:val="center"/>
          </w:tcPr>
          <w:p w14:paraId="577B4713">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170</w:t>
            </w:r>
          </w:p>
        </w:tc>
        <w:tc>
          <w:tcPr>
            <w:tcW w:w="672" w:type="pct"/>
            <w:shd w:val="clear" w:color="auto" w:fill="auto"/>
            <w:noWrap w:val="0"/>
            <w:vAlign w:val="center"/>
          </w:tcPr>
          <w:p w14:paraId="692951BC">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4E839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2DAECE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6A044A0B">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4BFC25B8">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汞</w:t>
            </w:r>
          </w:p>
        </w:tc>
        <w:tc>
          <w:tcPr>
            <w:tcW w:w="645" w:type="pct"/>
            <w:noWrap w:val="0"/>
            <w:vAlign w:val="center"/>
          </w:tcPr>
          <w:p w14:paraId="4502C2F4">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noWrap w:val="0"/>
            <w:vAlign w:val="center"/>
          </w:tcPr>
          <w:p w14:paraId="066D139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0.328</w:t>
            </w:r>
          </w:p>
        </w:tc>
        <w:tc>
          <w:tcPr>
            <w:tcW w:w="670" w:type="pct"/>
            <w:noWrap w:val="0"/>
            <w:vAlign w:val="center"/>
          </w:tcPr>
          <w:p w14:paraId="725D607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3.4</w:t>
            </w:r>
          </w:p>
        </w:tc>
        <w:tc>
          <w:tcPr>
            <w:tcW w:w="672" w:type="pct"/>
            <w:shd w:val="clear" w:color="auto" w:fill="auto"/>
            <w:noWrap w:val="0"/>
            <w:vAlign w:val="center"/>
          </w:tcPr>
          <w:p w14:paraId="7E0367FC">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4AA0A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3485F9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07411D5E">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558C7B6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镍</w:t>
            </w:r>
          </w:p>
        </w:tc>
        <w:tc>
          <w:tcPr>
            <w:tcW w:w="645" w:type="pct"/>
            <w:noWrap w:val="0"/>
            <w:vAlign w:val="center"/>
          </w:tcPr>
          <w:p w14:paraId="0D8D24B4">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noWrap w:val="0"/>
            <w:vAlign w:val="center"/>
          </w:tcPr>
          <w:p w14:paraId="6A87173B">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24</w:t>
            </w:r>
          </w:p>
        </w:tc>
        <w:tc>
          <w:tcPr>
            <w:tcW w:w="670" w:type="pct"/>
            <w:noWrap w:val="0"/>
            <w:vAlign w:val="center"/>
          </w:tcPr>
          <w:p w14:paraId="2689140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190</w:t>
            </w:r>
          </w:p>
        </w:tc>
        <w:tc>
          <w:tcPr>
            <w:tcW w:w="672" w:type="pct"/>
            <w:shd w:val="clear" w:color="auto" w:fill="auto"/>
            <w:noWrap w:val="0"/>
            <w:vAlign w:val="center"/>
          </w:tcPr>
          <w:p w14:paraId="0F6AB43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6D9DA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17A9A5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02081A16">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30A5554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锌</w:t>
            </w:r>
          </w:p>
        </w:tc>
        <w:tc>
          <w:tcPr>
            <w:tcW w:w="645" w:type="pct"/>
            <w:noWrap w:val="0"/>
            <w:vAlign w:val="center"/>
          </w:tcPr>
          <w:p w14:paraId="4ADB5631">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1121" w:type="dxa"/>
            <w:noWrap w:val="0"/>
            <w:vAlign w:val="center"/>
          </w:tcPr>
          <w:p w14:paraId="2128DAF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42</w:t>
            </w:r>
          </w:p>
        </w:tc>
        <w:tc>
          <w:tcPr>
            <w:tcW w:w="670" w:type="pct"/>
            <w:noWrap w:val="0"/>
            <w:vAlign w:val="center"/>
          </w:tcPr>
          <w:p w14:paraId="0495B7DD">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300</w:t>
            </w:r>
          </w:p>
        </w:tc>
        <w:tc>
          <w:tcPr>
            <w:tcW w:w="672" w:type="pct"/>
            <w:shd w:val="clear" w:color="auto" w:fill="auto"/>
            <w:noWrap w:val="0"/>
            <w:vAlign w:val="center"/>
          </w:tcPr>
          <w:p w14:paraId="0B4B518F">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r w14:paraId="0D994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2947FB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06246737">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36F25E4E">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全盐量</w:t>
            </w:r>
          </w:p>
        </w:tc>
        <w:tc>
          <w:tcPr>
            <w:tcW w:w="645" w:type="pct"/>
            <w:noWrap w:val="0"/>
            <w:vAlign w:val="center"/>
          </w:tcPr>
          <w:p w14:paraId="507BF687">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g/kg</w:t>
            </w:r>
          </w:p>
        </w:tc>
        <w:tc>
          <w:tcPr>
            <w:tcW w:w="670" w:type="pct"/>
            <w:noWrap w:val="0"/>
            <w:vAlign w:val="center"/>
          </w:tcPr>
          <w:p w14:paraId="2CB69522">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0.7</w:t>
            </w:r>
          </w:p>
        </w:tc>
        <w:tc>
          <w:tcPr>
            <w:tcW w:w="670" w:type="pct"/>
            <w:noWrap w:val="0"/>
            <w:vAlign w:val="center"/>
          </w:tcPr>
          <w:p w14:paraId="5F259E7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c>
          <w:tcPr>
            <w:tcW w:w="672" w:type="pct"/>
            <w:shd w:val="clear" w:color="auto" w:fill="auto"/>
            <w:noWrap w:val="0"/>
            <w:vAlign w:val="center"/>
          </w:tcPr>
          <w:p w14:paraId="2EC67100">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w:t>
            </w:r>
          </w:p>
        </w:tc>
      </w:tr>
      <w:tr w14:paraId="21BEE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7" w:type="pct"/>
            <w:vMerge w:val="continue"/>
            <w:noWrap w:val="0"/>
            <w:vAlign w:val="center"/>
          </w:tcPr>
          <w:p w14:paraId="280A7F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2" w:type="pct"/>
            <w:vMerge w:val="continue"/>
            <w:noWrap w:val="0"/>
            <w:vAlign w:val="center"/>
          </w:tcPr>
          <w:p w14:paraId="45ECD37F">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p>
        </w:tc>
        <w:tc>
          <w:tcPr>
            <w:tcW w:w="931" w:type="pct"/>
            <w:noWrap w:val="0"/>
            <w:vAlign w:val="center"/>
          </w:tcPr>
          <w:p w14:paraId="002B53B2">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石油烃（C</w:t>
            </w:r>
            <w:r>
              <w:rPr>
                <w:rFonts w:hint="default" w:ascii="Times New Roman" w:hAnsi="Times New Roman" w:cs="Times New Roman" w:eastAsiaTheme="minorEastAsia"/>
                <w:color w:val="auto"/>
                <w:sz w:val="21"/>
                <w:szCs w:val="21"/>
                <w:highlight w:val="none"/>
                <w:vertAlign w:val="subscript"/>
                <w:lang w:val="en-US" w:eastAsia="zh-CN"/>
              </w:rPr>
              <w:t>10</w:t>
            </w:r>
            <w:r>
              <w:rPr>
                <w:rFonts w:hint="default" w:ascii="Times New Roman" w:hAnsi="Times New Roman" w:cs="Times New Roman" w:eastAsiaTheme="minorEastAsia"/>
                <w:color w:val="auto"/>
                <w:sz w:val="21"/>
                <w:szCs w:val="21"/>
                <w:highlight w:val="none"/>
                <w:lang w:val="en-US" w:eastAsia="zh-CN"/>
              </w:rPr>
              <w:t>-C</w:t>
            </w:r>
            <w:r>
              <w:rPr>
                <w:rFonts w:hint="default" w:ascii="Times New Roman" w:hAnsi="Times New Roman" w:cs="Times New Roman" w:eastAsiaTheme="minorEastAsia"/>
                <w:color w:val="auto"/>
                <w:sz w:val="21"/>
                <w:szCs w:val="21"/>
                <w:highlight w:val="none"/>
                <w:vertAlign w:val="subscript"/>
                <w:lang w:val="en-US" w:eastAsia="zh-CN"/>
              </w:rPr>
              <w:t>40</w:t>
            </w:r>
            <w:r>
              <w:rPr>
                <w:rFonts w:hint="default" w:ascii="Times New Roman" w:hAnsi="Times New Roman" w:cs="Times New Roman" w:eastAsiaTheme="minorEastAsia"/>
                <w:color w:val="auto"/>
                <w:sz w:val="21"/>
                <w:szCs w:val="21"/>
                <w:highlight w:val="none"/>
                <w:lang w:val="en-US" w:eastAsia="zh-CN"/>
              </w:rPr>
              <w:t>）</w:t>
            </w:r>
          </w:p>
        </w:tc>
        <w:tc>
          <w:tcPr>
            <w:tcW w:w="645" w:type="pct"/>
            <w:noWrap w:val="0"/>
            <w:vAlign w:val="center"/>
          </w:tcPr>
          <w:p w14:paraId="06422AD7">
            <w:pPr>
              <w:spacing w:line="0" w:lineRule="atLeast"/>
              <w:jc w:val="center"/>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mg/kg</w:t>
            </w:r>
          </w:p>
        </w:tc>
        <w:tc>
          <w:tcPr>
            <w:tcW w:w="670" w:type="pct"/>
            <w:noWrap w:val="0"/>
            <w:vAlign w:val="center"/>
          </w:tcPr>
          <w:p w14:paraId="5C5174AA">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＜6</w:t>
            </w:r>
          </w:p>
        </w:tc>
        <w:tc>
          <w:tcPr>
            <w:tcW w:w="670" w:type="pct"/>
            <w:noWrap w:val="0"/>
            <w:vAlign w:val="center"/>
          </w:tcPr>
          <w:p w14:paraId="005481E4">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4500</w:t>
            </w:r>
          </w:p>
        </w:tc>
        <w:tc>
          <w:tcPr>
            <w:tcW w:w="672" w:type="pct"/>
            <w:noWrap w:val="0"/>
            <w:vAlign w:val="center"/>
          </w:tcPr>
          <w:p w14:paraId="27C6ADE6">
            <w:pPr>
              <w:spacing w:line="0" w:lineRule="atLeas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达标</w:t>
            </w:r>
          </w:p>
        </w:tc>
      </w:tr>
    </w:tbl>
    <w:p w14:paraId="4FDAC8C1">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由监测结果可知：</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区占地范围内土壤的挥发性有机物和半挥发性有机物均未检出。土壤中石油烃含量较低，满足《土壤环境质量建设用地土壤污染风险管控标准（试行）》（GB36600-2018）第二类用地风险筛选值要求。重金属元素含量相对较低，占地范围内土壤满足《土壤环境质量建设用地土壤污染风险管控标准(试行)》（GB36600-2018）中表1第二类用地筛选值标准要求。</w:t>
      </w:r>
    </w:p>
    <w:p w14:paraId="3E6FAEDC">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区占地范围外土壤中重金属元素含量相对较低，小于《土壤环境质量农用地土壤污染风险管控标准（试行）》（GB15618-2018）中“表1农用地土壤污染风险筛选值（基本项目）”的pH&gt;7.5所列标准；土壤中石油烃含量较低，满足《土壤环境质量建设用地土壤污染风险管控标准（试行）》（GB36600-2018）第二类用地风险筛选值要求。</w:t>
      </w:r>
    </w:p>
    <w:p w14:paraId="729FEDD0">
      <w:pPr>
        <w:pStyle w:val="5"/>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cs="Times New Roman"/>
          <w:color w:val="auto"/>
          <w:highlight w:val="none"/>
        </w:rPr>
      </w:pPr>
      <w:bookmarkStart w:id="418" w:name="_Toc75438896"/>
      <w:bookmarkStart w:id="419" w:name="_Toc21525863"/>
      <w:bookmarkStart w:id="420" w:name="_Toc25967"/>
      <w:bookmarkStart w:id="421" w:name="_Toc19510"/>
      <w:bookmarkStart w:id="422" w:name="_Toc563"/>
      <w:r>
        <w:rPr>
          <w:rFonts w:hint="default" w:ascii="Times New Roman" w:hAnsi="Times New Roman" w:cs="Times New Roman"/>
          <w:color w:val="auto"/>
          <w:highlight w:val="none"/>
        </w:rPr>
        <w:t>4.5声环境现状调查与评价</w:t>
      </w:r>
      <w:bookmarkEnd w:id="418"/>
      <w:bookmarkEnd w:id="419"/>
      <w:bookmarkEnd w:id="420"/>
      <w:bookmarkEnd w:id="421"/>
      <w:bookmarkEnd w:id="422"/>
    </w:p>
    <w:p w14:paraId="1D82D663">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423" w:name="_Toc10120"/>
      <w:bookmarkStart w:id="424" w:name="_Toc7953"/>
      <w:bookmarkStart w:id="425" w:name="_Toc25131"/>
      <w:r>
        <w:rPr>
          <w:rFonts w:hint="default" w:ascii="Times New Roman" w:hAnsi="Times New Roman" w:cs="Times New Roman"/>
          <w:color w:val="auto"/>
          <w:highlight w:val="none"/>
          <w:lang w:val="en-US" w:eastAsia="zh-CN"/>
        </w:rPr>
        <w:t>4.5.1</w:t>
      </w:r>
      <w:r>
        <w:rPr>
          <w:rFonts w:hint="default" w:ascii="Times New Roman" w:hAnsi="Times New Roman" w:cs="Times New Roman"/>
          <w:color w:val="auto"/>
          <w:highlight w:val="none"/>
        </w:rPr>
        <w:t>声环境现状监测</w:t>
      </w:r>
      <w:bookmarkEnd w:id="423"/>
      <w:bookmarkEnd w:id="424"/>
      <w:bookmarkEnd w:id="425"/>
    </w:p>
    <w:p w14:paraId="001581B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本项目周边没有声环境敏感目标。声环境现状调查采用现场监测法。</w:t>
      </w:r>
    </w:p>
    <w:p w14:paraId="0B88C27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监测布点</w:t>
      </w:r>
    </w:p>
    <w:p w14:paraId="679583C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TH10298</w:t>
      </w:r>
      <w:r>
        <w:rPr>
          <w:rFonts w:hint="eastAsia" w:cs="Times New Roman"/>
          <w:color w:val="auto"/>
          <w:sz w:val="24"/>
          <w:szCs w:val="24"/>
          <w:highlight w:val="none"/>
          <w:lang w:val="en-US" w:eastAsia="zh-CN"/>
        </w:rPr>
        <w:t>CH</w:t>
      </w:r>
      <w:r>
        <w:rPr>
          <w:rFonts w:hint="default" w:ascii="Times New Roman" w:hAnsi="Times New Roman" w:cs="Times New Roman"/>
          <w:color w:val="auto"/>
          <w:sz w:val="24"/>
          <w:szCs w:val="24"/>
          <w:highlight w:val="none"/>
        </w:rPr>
        <w:t>井场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TK872</w:t>
      </w:r>
      <w:r>
        <w:rPr>
          <w:rFonts w:hint="eastAsia" w:cs="Times New Roman"/>
          <w:color w:val="auto"/>
          <w:sz w:val="24"/>
          <w:szCs w:val="24"/>
          <w:highlight w:val="none"/>
          <w:lang w:val="en-US" w:eastAsia="zh-CN"/>
        </w:rPr>
        <w:t>CH</w:t>
      </w:r>
      <w:r>
        <w:rPr>
          <w:rFonts w:hint="default" w:ascii="Times New Roman" w:hAnsi="Times New Roman" w:cs="Times New Roman"/>
          <w:color w:val="auto"/>
          <w:sz w:val="24"/>
          <w:szCs w:val="24"/>
          <w:highlight w:val="none"/>
        </w:rPr>
        <w:t>井场厂界四周各设1个监测点。声环境现状监测布点示意图见图4.2-1。本次环评委托</w:t>
      </w:r>
      <w:r>
        <w:rPr>
          <w:rFonts w:hint="default" w:ascii="Times New Roman" w:hAnsi="Times New Roman" w:cs="Times New Roman"/>
          <w:color w:val="auto"/>
          <w:sz w:val="24"/>
          <w:szCs w:val="24"/>
          <w:highlight w:val="none"/>
          <w:lang w:eastAsia="zh-CN"/>
        </w:rPr>
        <w:t>新疆广宇众联环境监测有限公司进行现场监测。</w:t>
      </w:r>
      <w:r>
        <w:rPr>
          <w:rFonts w:hint="default" w:ascii="Times New Roman" w:hAnsi="Times New Roman" w:cs="Times New Roman"/>
          <w:color w:val="auto"/>
          <w:sz w:val="24"/>
          <w:szCs w:val="24"/>
          <w:highlight w:val="none"/>
        </w:rPr>
        <w:t>监测点位信息见表4.5-1、监测点位见图</w:t>
      </w:r>
      <w:r>
        <w:rPr>
          <w:rFonts w:hint="default" w:ascii="Times New Roman" w:hAnsi="Times New Roman" w:cs="Times New Roman"/>
          <w:color w:val="auto"/>
          <w:sz w:val="24"/>
          <w:szCs w:val="24"/>
          <w:highlight w:val="none"/>
          <w:lang w:val="en-US" w:eastAsia="zh-CN"/>
        </w:rPr>
        <w:t>4.4-1。</w:t>
      </w:r>
    </w:p>
    <w:p w14:paraId="4E0FB3F8">
      <w:pPr>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监测因子</w:t>
      </w:r>
    </w:p>
    <w:p w14:paraId="37633E30">
      <w:pPr>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等效连续A声级。</w:t>
      </w:r>
    </w:p>
    <w:p w14:paraId="0410CA8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监测时间</w:t>
      </w:r>
    </w:p>
    <w:p w14:paraId="5FE55BA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本次现状监测时间为</w:t>
      </w:r>
      <w:r>
        <w:rPr>
          <w:rFonts w:hint="default" w:ascii="Times New Roman" w:hAnsi="Times New Roman" w:cs="Times New Roman"/>
          <w:color w:val="auto"/>
          <w:sz w:val="24"/>
          <w:szCs w:val="24"/>
          <w:highlight w:val="none"/>
        </w:rPr>
        <w:t>202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eastAsia" w:cs="Times New Roman"/>
          <w:color w:val="auto"/>
          <w:sz w:val="24"/>
          <w:szCs w:val="24"/>
          <w:highlight w:val="none"/>
          <w:lang w:val="en-US" w:eastAsia="zh-CN"/>
        </w:rPr>
        <w:t>27日~3月28日</w:t>
      </w:r>
      <w:r>
        <w:rPr>
          <w:rFonts w:hint="default" w:ascii="Times New Roman" w:hAnsi="Times New Roman" w:cs="Times New Roman"/>
          <w:color w:val="auto"/>
          <w:sz w:val="24"/>
          <w:szCs w:val="24"/>
          <w:highlight w:val="none"/>
        </w:rPr>
        <w:t>。</w:t>
      </w:r>
    </w:p>
    <w:p w14:paraId="59E8BED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监测方法</w:t>
      </w:r>
    </w:p>
    <w:p w14:paraId="1894A88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依据《声环境质量标准》（GB3096-2008）、《工业企业厂界环境噪声排放标准》（GB12348-2008）中规定的方法进行监测。</w:t>
      </w:r>
    </w:p>
    <w:p w14:paraId="63B411AA">
      <w:pPr>
        <w:pStyle w:val="9"/>
        <w:jc w:val="center"/>
        <w:rPr>
          <w:rFonts w:hint="default" w:ascii="Times New Roman" w:hAnsi="Times New Roman" w:eastAsia="黑体" w:cs="Times New Roman"/>
          <w:b w:val="0"/>
          <w:bCs w:val="0"/>
          <w:color w:val="auto"/>
          <w:kern w:val="10"/>
          <w:sz w:val="21"/>
          <w:szCs w:val="21"/>
          <w:highlight w:val="none"/>
          <w:lang w:val="en-US" w:eastAsia="zh-CN" w:bidi="ar-SA"/>
        </w:rPr>
      </w:pPr>
      <w:r>
        <w:rPr>
          <w:rFonts w:hint="default" w:ascii="Times New Roman" w:hAnsi="Times New Roman" w:eastAsia="黑体" w:cs="Times New Roman"/>
          <w:b w:val="0"/>
          <w:bCs w:val="0"/>
          <w:color w:val="auto"/>
          <w:kern w:val="10"/>
          <w:sz w:val="21"/>
          <w:szCs w:val="21"/>
          <w:highlight w:val="none"/>
          <w:lang w:val="en-US" w:eastAsia="zh-CN" w:bidi="ar-SA"/>
        </w:rPr>
        <w:t>表4.5-1监测点位信息一览表</w:t>
      </w:r>
    </w:p>
    <w:tbl>
      <w:tblPr>
        <w:tblStyle w:val="3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7"/>
        <w:gridCol w:w="2775"/>
        <w:gridCol w:w="1316"/>
        <w:gridCol w:w="1597"/>
        <w:gridCol w:w="2144"/>
      </w:tblGrid>
      <w:tr w14:paraId="6B21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957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228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监测点位名称</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16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监测因子</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74A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监测时间</w:t>
            </w:r>
          </w:p>
        </w:tc>
        <w:tc>
          <w:tcPr>
            <w:tcW w:w="1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E5A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监测单位</w:t>
            </w:r>
          </w:p>
        </w:tc>
      </w:tr>
      <w:tr w14:paraId="54948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7C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1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F4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rPr>
              <w:t>TH10298</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rPr>
              <w:t>井场四周厂界</w:t>
            </w:r>
          </w:p>
        </w:tc>
        <w:tc>
          <w:tcPr>
            <w:tcW w:w="772" w:type="pct"/>
            <w:vMerge w:val="restart"/>
            <w:tcBorders>
              <w:top w:val="single" w:color="000000" w:sz="4" w:space="0"/>
              <w:left w:val="single" w:color="000000" w:sz="4" w:space="0"/>
              <w:right w:val="single" w:color="000000" w:sz="4" w:space="0"/>
            </w:tcBorders>
            <w:shd w:val="clear" w:color="auto" w:fill="auto"/>
            <w:vAlign w:val="center"/>
          </w:tcPr>
          <w:p w14:paraId="7D4F00E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等效连续</w:t>
            </w:r>
            <w:r>
              <w:rPr>
                <w:rFonts w:hint="default" w:ascii="Times New Roman" w:hAnsi="Times New Roman" w:eastAsia="宋体" w:cs="Times New Roman"/>
                <w:color w:val="auto"/>
                <w:sz w:val="21"/>
                <w:szCs w:val="21"/>
                <w:highlight w:val="none"/>
                <w:lang w:val="en-US" w:eastAsia="zh-CN" w:bidi="ar"/>
              </w:rPr>
              <w:t>A</w:t>
            </w:r>
            <w:r>
              <w:rPr>
                <w:rFonts w:hint="default" w:ascii="Times New Roman" w:hAnsi="Times New Roman" w:cs="Times New Roman"/>
                <w:color w:val="auto"/>
                <w:sz w:val="21"/>
                <w:szCs w:val="21"/>
                <w:highlight w:val="none"/>
                <w:lang w:val="en-US" w:eastAsia="zh-CN" w:bidi="ar"/>
              </w:rPr>
              <w:t>声级（</w:t>
            </w:r>
            <w:r>
              <w:rPr>
                <w:rFonts w:hint="default" w:ascii="Times New Roman" w:hAnsi="Times New Roman" w:eastAsia="宋体" w:cs="Times New Roman"/>
                <w:color w:val="auto"/>
                <w:sz w:val="21"/>
                <w:szCs w:val="21"/>
                <w:highlight w:val="none"/>
                <w:lang w:val="en-US" w:eastAsia="zh-CN" w:bidi="ar"/>
              </w:rPr>
              <w:t>Leq</w:t>
            </w:r>
            <w:r>
              <w:rPr>
                <w:rFonts w:hint="default" w:ascii="Times New Roman" w:hAnsi="Times New Roman" w:cs="Times New Roman"/>
                <w:color w:val="auto"/>
                <w:sz w:val="21"/>
                <w:szCs w:val="21"/>
                <w:highlight w:val="none"/>
                <w:lang w:val="en-US" w:eastAsia="zh-CN" w:bidi="ar"/>
              </w:rPr>
              <w:t>）</w:t>
            </w:r>
          </w:p>
        </w:tc>
        <w:tc>
          <w:tcPr>
            <w:tcW w:w="9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2FB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年</w:t>
            </w: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月</w:t>
            </w:r>
            <w:r>
              <w:rPr>
                <w:rFonts w:hint="eastAsia" w:cs="Times New Roman"/>
                <w:i w:val="0"/>
                <w:iCs w:val="0"/>
                <w:color w:val="auto"/>
                <w:kern w:val="0"/>
                <w:sz w:val="21"/>
                <w:szCs w:val="21"/>
                <w:highlight w:val="none"/>
                <w:u w:val="none"/>
                <w:lang w:val="en-US" w:eastAsia="zh-CN" w:bidi="ar"/>
              </w:rPr>
              <w:t>27日~3月28日</w:t>
            </w:r>
          </w:p>
        </w:tc>
        <w:tc>
          <w:tcPr>
            <w:tcW w:w="1257" w:type="pct"/>
            <w:vMerge w:val="restart"/>
            <w:tcBorders>
              <w:top w:val="single" w:color="000000" w:sz="4" w:space="0"/>
              <w:left w:val="single" w:color="000000" w:sz="4" w:space="0"/>
              <w:right w:val="single" w:color="auto" w:sz="4" w:space="0"/>
            </w:tcBorders>
            <w:shd w:val="clear" w:color="auto" w:fill="auto"/>
            <w:vAlign w:val="center"/>
          </w:tcPr>
          <w:p w14:paraId="00EF35D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新疆广宇众联环境监测有限公司</w:t>
            </w:r>
          </w:p>
        </w:tc>
      </w:tr>
      <w:tr w14:paraId="50A01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BD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1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C3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color w:val="auto"/>
                <w:sz w:val="21"/>
                <w:szCs w:val="21"/>
                <w:highlight w:val="none"/>
              </w:rPr>
              <w:t>TK872</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rPr>
              <w:t>井场四周厂界</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6FA3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i w:val="0"/>
                <w:iCs w:val="0"/>
                <w:color w:val="auto"/>
                <w:sz w:val="21"/>
                <w:szCs w:val="21"/>
                <w:highlight w:val="none"/>
                <w:u w:val="none"/>
              </w:rPr>
            </w:pPr>
          </w:p>
        </w:tc>
        <w:tc>
          <w:tcPr>
            <w:tcW w:w="9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6501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i w:val="0"/>
                <w:iCs w:val="0"/>
                <w:color w:val="auto"/>
                <w:sz w:val="21"/>
                <w:szCs w:val="21"/>
                <w:highlight w:val="none"/>
                <w:u w:val="none"/>
              </w:rPr>
            </w:pPr>
          </w:p>
        </w:tc>
        <w:tc>
          <w:tcPr>
            <w:tcW w:w="1257" w:type="pct"/>
            <w:vMerge w:val="continue"/>
            <w:tcBorders>
              <w:left w:val="single" w:color="000000" w:sz="4" w:space="0"/>
              <w:bottom w:val="single" w:color="000000" w:sz="4" w:space="0"/>
              <w:right w:val="single" w:color="auto" w:sz="4" w:space="0"/>
            </w:tcBorders>
            <w:shd w:val="clear" w:color="auto" w:fill="auto"/>
            <w:vAlign w:val="center"/>
          </w:tcPr>
          <w:p w14:paraId="0D785F7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i w:val="0"/>
                <w:iCs w:val="0"/>
                <w:color w:val="auto"/>
                <w:sz w:val="21"/>
                <w:szCs w:val="21"/>
                <w:highlight w:val="none"/>
                <w:u w:val="none"/>
              </w:rPr>
            </w:pPr>
          </w:p>
        </w:tc>
      </w:tr>
    </w:tbl>
    <w:p w14:paraId="71691DCE">
      <w:pPr>
        <w:pStyle w:val="6"/>
        <w:keepNext/>
        <w:keepLines/>
        <w:pageBreakBefore w:val="0"/>
        <w:widowControl w:val="0"/>
        <w:kinsoku/>
        <w:wordWrap/>
        <w:overflowPunct/>
        <w:topLinePunct w:val="0"/>
        <w:autoSpaceDE/>
        <w:autoSpaceDN/>
        <w:bidi w:val="0"/>
        <w:adjustRightInd w:val="0"/>
        <w:snapToGrid w:val="0"/>
        <w:spacing w:beforeLines="0" w:after="0" w:afterLines="0" w:line="360" w:lineRule="auto"/>
        <w:textAlignment w:val="auto"/>
        <w:rPr>
          <w:rFonts w:hint="default" w:ascii="Times New Roman" w:hAnsi="Times New Roman" w:cs="Times New Roman"/>
          <w:color w:val="auto"/>
          <w:sz w:val="24"/>
          <w:highlight w:val="none"/>
        </w:rPr>
      </w:pPr>
      <w:bookmarkStart w:id="426" w:name="_Toc25319"/>
      <w:bookmarkStart w:id="427" w:name="_Toc11096"/>
      <w:bookmarkStart w:id="428" w:name="_Toc23822"/>
      <w:r>
        <w:rPr>
          <w:rFonts w:hint="default" w:ascii="Times New Roman" w:hAnsi="Times New Roman" w:cs="Times New Roman"/>
          <w:color w:val="auto"/>
          <w:highlight w:val="none"/>
          <w:lang w:val="en-US" w:eastAsia="zh-CN"/>
        </w:rPr>
        <w:t>4.5.2</w:t>
      </w:r>
      <w:r>
        <w:rPr>
          <w:rFonts w:hint="default" w:ascii="Times New Roman" w:hAnsi="Times New Roman" w:cs="Times New Roman"/>
          <w:color w:val="auto"/>
          <w:highlight w:val="none"/>
        </w:rPr>
        <w:t>评价标准</w:t>
      </w:r>
      <w:bookmarkEnd w:id="426"/>
      <w:bookmarkEnd w:id="427"/>
      <w:bookmarkEnd w:id="428"/>
    </w:p>
    <w:p w14:paraId="70086EC9">
      <w:pPr>
        <w:pStyle w:val="12"/>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项目区域已建</w:t>
      </w:r>
      <w:r>
        <w:rPr>
          <w:rFonts w:hint="default" w:ascii="Times New Roman" w:hAnsi="Times New Roman" w:cs="Times New Roman"/>
          <w:color w:val="auto"/>
          <w:highlight w:val="none"/>
          <w:lang w:val="en-US" w:eastAsia="zh-CN"/>
        </w:rPr>
        <w:t>井</w:t>
      </w:r>
      <w:r>
        <w:rPr>
          <w:rFonts w:hint="default" w:ascii="Times New Roman" w:hAnsi="Times New Roman" w:cs="Times New Roman"/>
          <w:color w:val="auto"/>
          <w:highlight w:val="none"/>
        </w:rPr>
        <w:t>场声环境质量执行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中2类标准，即昼间60dB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，夜间50dB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背景噪声</w:t>
      </w:r>
      <w:r>
        <w:rPr>
          <w:rFonts w:hint="default" w:ascii="Times New Roman" w:hAnsi="Times New Roman" w:cs="Times New Roman"/>
          <w:color w:val="auto"/>
          <w:highlight w:val="none"/>
        </w:rPr>
        <w:t>执行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声环境质量标准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GB3096-2008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2类标准，即昼间60dB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，夜间50dB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14:paraId="5AA7ECC5">
      <w:pPr>
        <w:pStyle w:val="6"/>
        <w:keepNext/>
        <w:keepLines/>
        <w:pageBreakBefore w:val="0"/>
        <w:widowControl w:val="0"/>
        <w:kinsoku/>
        <w:wordWrap/>
        <w:overflowPunct/>
        <w:topLinePunct w:val="0"/>
        <w:autoSpaceDE/>
        <w:autoSpaceDN/>
        <w:bidi w:val="0"/>
        <w:adjustRightInd w:val="0"/>
        <w:snapToGrid w:val="0"/>
        <w:spacing w:beforeLines="0" w:after="0" w:afterLines="0" w:line="360" w:lineRule="auto"/>
        <w:textAlignment w:val="auto"/>
        <w:rPr>
          <w:rFonts w:hint="default" w:ascii="Times New Roman" w:hAnsi="Times New Roman" w:eastAsia="宋体" w:cs="Times New Roman"/>
          <w:b/>
          <w:snapToGrid w:val="0"/>
          <w:color w:val="auto"/>
          <w:kern w:val="0"/>
          <w:sz w:val="24"/>
          <w:szCs w:val="21"/>
          <w:highlight w:val="none"/>
          <w:lang w:val="en-US" w:eastAsia="en-US" w:bidi="ar-SA"/>
        </w:rPr>
      </w:pPr>
      <w:bookmarkStart w:id="429" w:name="_Toc29433"/>
      <w:bookmarkStart w:id="430" w:name="_Toc12961"/>
      <w:bookmarkStart w:id="431" w:name="_Toc29265"/>
      <w:r>
        <w:rPr>
          <w:rFonts w:hint="default" w:ascii="Times New Roman" w:hAnsi="Times New Roman" w:eastAsia="宋体" w:cs="Times New Roman"/>
          <w:b/>
          <w:snapToGrid w:val="0"/>
          <w:color w:val="auto"/>
          <w:kern w:val="0"/>
          <w:sz w:val="28"/>
          <w:szCs w:val="21"/>
          <w:highlight w:val="none"/>
          <w:lang w:val="en-US" w:eastAsia="zh-CN" w:bidi="ar-SA"/>
        </w:rPr>
        <w:t>4.5.</w:t>
      </w:r>
      <w:r>
        <w:rPr>
          <w:rFonts w:hint="default" w:ascii="Times New Roman" w:hAnsi="Times New Roman" w:cs="Times New Roman"/>
          <w:b/>
          <w:snapToGrid w:val="0"/>
          <w:color w:val="auto"/>
          <w:kern w:val="0"/>
          <w:sz w:val="28"/>
          <w:szCs w:val="21"/>
          <w:highlight w:val="none"/>
          <w:lang w:val="en-US" w:eastAsia="zh-CN" w:bidi="ar-SA"/>
        </w:rPr>
        <w:t>3</w:t>
      </w:r>
      <w:r>
        <w:rPr>
          <w:rFonts w:hint="default" w:ascii="Times New Roman" w:hAnsi="Times New Roman" w:eastAsia="宋体" w:cs="Times New Roman"/>
          <w:b/>
          <w:snapToGrid w:val="0"/>
          <w:color w:val="auto"/>
          <w:kern w:val="0"/>
          <w:sz w:val="28"/>
          <w:szCs w:val="21"/>
          <w:highlight w:val="none"/>
          <w:lang w:val="en-US" w:eastAsia="en-US" w:bidi="ar-SA"/>
        </w:rPr>
        <w:t>监测及评价结果</w:t>
      </w:r>
      <w:bookmarkEnd w:id="429"/>
      <w:bookmarkEnd w:id="430"/>
      <w:bookmarkEnd w:id="431"/>
    </w:p>
    <w:p w14:paraId="6E0A7A09">
      <w:pPr>
        <w:pStyle w:val="12"/>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color w:val="auto"/>
          <w:highlight w:val="none"/>
          <w:lang w:val="en-US" w:eastAsia="zh-CN"/>
        </w:rPr>
      </w:pPr>
      <w:bookmarkStart w:id="432" w:name="_Toc9851"/>
      <w:r>
        <w:rPr>
          <w:rFonts w:hint="default" w:ascii="Times New Roman" w:hAnsi="Times New Roman" w:cs="Times New Roman"/>
          <w:color w:val="auto"/>
          <w:highlight w:val="none"/>
        </w:rPr>
        <w:t>声环境现状监测及评价结果见表4.5-</w:t>
      </w:r>
      <w:r>
        <w:rPr>
          <w:rFonts w:hint="default" w:ascii="Times New Roman" w:hAnsi="Times New Roman" w:cs="Times New Roman"/>
          <w:color w:val="auto"/>
          <w:highlight w:val="none"/>
          <w:lang w:val="en-US" w:eastAsia="zh-CN"/>
        </w:rPr>
        <w:t>2</w:t>
      </w:r>
      <w:bookmarkEnd w:id="432"/>
    </w:p>
    <w:p w14:paraId="0AD8FAFA">
      <w:pPr>
        <w:pStyle w:val="1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highlight w:val="none"/>
          <w:lang w:eastAsia="zh-CN"/>
        </w:rPr>
      </w:pPr>
      <w:r>
        <w:rPr>
          <w:rFonts w:hint="default" w:ascii="Times New Roman" w:hAnsi="Times New Roman" w:eastAsia="黑体" w:cs="Times New Roman"/>
          <w:b w:val="0"/>
          <w:bCs w:val="0"/>
          <w:i w:val="0"/>
          <w:iCs w:val="0"/>
          <w:color w:val="auto"/>
          <w:kern w:val="0"/>
          <w:sz w:val="21"/>
          <w:szCs w:val="21"/>
          <w:highlight w:val="none"/>
          <w:u w:val="none"/>
          <w:lang w:val="en-US" w:eastAsia="zh-CN" w:bidi="ar"/>
        </w:rPr>
        <w:t>表</w:t>
      </w:r>
      <w:r>
        <w:rPr>
          <w:rFonts w:hint="default" w:ascii="Times New Roman" w:hAnsi="Times New Roman" w:eastAsia="黑体" w:cs="Times New Roman"/>
          <w:b w:val="0"/>
          <w:bCs w:val="0"/>
          <w:color w:val="auto"/>
          <w:sz w:val="21"/>
          <w:szCs w:val="21"/>
          <w:highlight w:val="none"/>
          <w:lang w:val="en-US" w:eastAsia="zh-CN" w:bidi="ar"/>
        </w:rPr>
        <w:t>4.5-</w:t>
      </w:r>
      <w:r>
        <w:rPr>
          <w:rFonts w:hint="default" w:ascii="Times New Roman" w:hAnsi="Times New Roman" w:cs="Times New Roman"/>
          <w:b w:val="0"/>
          <w:bCs w:val="0"/>
          <w:color w:val="auto"/>
          <w:sz w:val="21"/>
          <w:szCs w:val="21"/>
          <w:highlight w:val="none"/>
          <w:lang w:val="en-US" w:eastAsia="zh-CN" w:bidi="ar"/>
        </w:rPr>
        <w:t>2</w:t>
      </w:r>
      <w:r>
        <w:rPr>
          <w:rFonts w:hint="eastAsia" w:cs="Times New Roman"/>
          <w:b w:val="0"/>
          <w:bCs w:val="0"/>
          <w:color w:val="auto"/>
          <w:sz w:val="21"/>
          <w:szCs w:val="21"/>
          <w:highlight w:val="none"/>
          <w:lang w:val="en-US" w:eastAsia="zh-CN" w:bidi="ar"/>
        </w:rPr>
        <w:t xml:space="preserve">  </w:t>
      </w:r>
      <w:r>
        <w:rPr>
          <w:rFonts w:hint="default" w:ascii="Times New Roman" w:hAnsi="Times New Roman" w:eastAsia="黑体" w:cs="Times New Roman"/>
          <w:b w:val="0"/>
          <w:bCs w:val="0"/>
          <w:i w:val="0"/>
          <w:iCs w:val="0"/>
          <w:color w:val="auto"/>
          <w:kern w:val="0"/>
          <w:sz w:val="21"/>
          <w:szCs w:val="21"/>
          <w:highlight w:val="none"/>
          <w:u w:val="none"/>
          <w:lang w:val="en-US" w:eastAsia="zh-CN" w:bidi="ar"/>
        </w:rPr>
        <w:t>声环境现状监测及评价结果</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726"/>
        <w:gridCol w:w="997"/>
        <w:gridCol w:w="1018"/>
        <w:gridCol w:w="931"/>
        <w:gridCol w:w="832"/>
        <w:gridCol w:w="1010"/>
        <w:gridCol w:w="954"/>
        <w:gridCol w:w="739"/>
      </w:tblGrid>
      <w:tr w14:paraId="62D3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pct"/>
            <w:gridSpan w:val="2"/>
            <w:vMerge w:val="restart"/>
            <w:noWrap w:val="0"/>
            <w:vAlign w:val="center"/>
          </w:tcPr>
          <w:p w14:paraId="5EAFCAB3">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监测点名称</w:t>
            </w:r>
          </w:p>
        </w:tc>
        <w:tc>
          <w:tcPr>
            <w:tcW w:w="3427" w:type="pct"/>
            <w:gridSpan w:val="6"/>
            <w:noWrap w:val="0"/>
            <w:vAlign w:val="center"/>
          </w:tcPr>
          <w:p w14:paraId="24C85088">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测量结果（dB(A)）</w:t>
            </w:r>
          </w:p>
        </w:tc>
        <w:tc>
          <w:tcPr>
            <w:tcW w:w="443" w:type="pct"/>
            <w:vMerge w:val="restart"/>
            <w:noWrap w:val="0"/>
            <w:vAlign w:val="center"/>
          </w:tcPr>
          <w:p w14:paraId="73DA2355">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w:t>
            </w:r>
          </w:p>
          <w:p w14:paraId="1CCFC3DE">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结果</w:t>
            </w:r>
          </w:p>
        </w:tc>
      </w:tr>
      <w:tr w14:paraId="6F4C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pct"/>
            <w:gridSpan w:val="2"/>
            <w:vMerge w:val="continue"/>
            <w:noWrap w:val="0"/>
            <w:vAlign w:val="center"/>
          </w:tcPr>
          <w:p w14:paraId="3CE4AD1E">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1758" w:type="pct"/>
            <w:gridSpan w:val="3"/>
            <w:noWrap w:val="0"/>
            <w:vAlign w:val="center"/>
          </w:tcPr>
          <w:p w14:paraId="6B27525A">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668" w:type="pct"/>
            <w:gridSpan w:val="3"/>
            <w:noWrap w:val="0"/>
            <w:vAlign w:val="center"/>
          </w:tcPr>
          <w:p w14:paraId="6DD8D2AD">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443" w:type="pct"/>
            <w:vMerge w:val="continue"/>
            <w:noWrap w:val="0"/>
            <w:vAlign w:val="center"/>
          </w:tcPr>
          <w:p w14:paraId="7DF19F2B">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r>
      <w:tr w14:paraId="48AF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pct"/>
            <w:gridSpan w:val="2"/>
            <w:vMerge w:val="continue"/>
            <w:noWrap w:val="0"/>
            <w:vAlign w:val="center"/>
          </w:tcPr>
          <w:p w14:paraId="65B40012">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1202" w:type="pct"/>
            <w:gridSpan w:val="2"/>
            <w:noWrap w:val="0"/>
            <w:vAlign w:val="center"/>
          </w:tcPr>
          <w:p w14:paraId="3D383D6D">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实测值</w:t>
            </w:r>
          </w:p>
        </w:tc>
        <w:tc>
          <w:tcPr>
            <w:tcW w:w="555" w:type="pct"/>
            <w:vMerge w:val="restart"/>
            <w:noWrap w:val="0"/>
            <w:vAlign w:val="center"/>
          </w:tcPr>
          <w:p w14:paraId="51D76FFD">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1100" w:type="pct"/>
            <w:gridSpan w:val="2"/>
            <w:noWrap w:val="0"/>
            <w:vAlign w:val="center"/>
          </w:tcPr>
          <w:p w14:paraId="5A291C7F">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实测值</w:t>
            </w:r>
          </w:p>
        </w:tc>
        <w:tc>
          <w:tcPr>
            <w:tcW w:w="567" w:type="pct"/>
            <w:vMerge w:val="restart"/>
            <w:noWrap w:val="0"/>
            <w:vAlign w:val="center"/>
          </w:tcPr>
          <w:p w14:paraId="3C5A6992">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443" w:type="pct"/>
            <w:vMerge w:val="continue"/>
            <w:noWrap w:val="0"/>
            <w:vAlign w:val="center"/>
          </w:tcPr>
          <w:p w14:paraId="7CDEF88D">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r>
      <w:tr w14:paraId="4DD3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pct"/>
            <w:gridSpan w:val="2"/>
            <w:vMerge w:val="continue"/>
            <w:noWrap w:val="0"/>
            <w:vAlign w:val="center"/>
          </w:tcPr>
          <w:p w14:paraId="1EC6461E">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595" w:type="pct"/>
            <w:noWrap w:val="0"/>
            <w:vAlign w:val="center"/>
          </w:tcPr>
          <w:p w14:paraId="231ECD14">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第一天</w:t>
            </w:r>
          </w:p>
        </w:tc>
        <w:tc>
          <w:tcPr>
            <w:tcW w:w="606" w:type="pct"/>
            <w:noWrap w:val="0"/>
            <w:vAlign w:val="center"/>
          </w:tcPr>
          <w:p w14:paraId="581D76E6">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第二天</w:t>
            </w:r>
          </w:p>
        </w:tc>
        <w:tc>
          <w:tcPr>
            <w:tcW w:w="555" w:type="pct"/>
            <w:vMerge w:val="continue"/>
            <w:noWrap w:val="0"/>
            <w:vAlign w:val="center"/>
          </w:tcPr>
          <w:p w14:paraId="5107B279">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98" w:type="pct"/>
            <w:noWrap w:val="0"/>
            <w:vAlign w:val="center"/>
          </w:tcPr>
          <w:p w14:paraId="1CBCBDE7">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第一天</w:t>
            </w:r>
          </w:p>
        </w:tc>
        <w:tc>
          <w:tcPr>
            <w:tcW w:w="602" w:type="pct"/>
            <w:noWrap w:val="0"/>
            <w:vAlign w:val="center"/>
          </w:tcPr>
          <w:p w14:paraId="517D9D3E">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第二天</w:t>
            </w:r>
          </w:p>
        </w:tc>
        <w:tc>
          <w:tcPr>
            <w:tcW w:w="567" w:type="pct"/>
            <w:vMerge w:val="continue"/>
            <w:noWrap w:val="0"/>
            <w:vAlign w:val="center"/>
          </w:tcPr>
          <w:p w14:paraId="073B9908">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43" w:type="pct"/>
            <w:vMerge w:val="continue"/>
            <w:noWrap w:val="0"/>
            <w:vAlign w:val="center"/>
          </w:tcPr>
          <w:p w14:paraId="45D46D9F">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r>
      <w:tr w14:paraId="6CC6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restart"/>
            <w:noWrap w:val="0"/>
            <w:vAlign w:val="center"/>
          </w:tcPr>
          <w:p w14:paraId="1DBCBDC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TH10298</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rPr>
              <w:t>井场</w:t>
            </w:r>
          </w:p>
        </w:tc>
        <w:tc>
          <w:tcPr>
            <w:tcW w:w="436" w:type="pct"/>
            <w:noWrap w:val="0"/>
            <w:vAlign w:val="center"/>
          </w:tcPr>
          <w:p w14:paraId="3F530BF7">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w:t>
            </w:r>
          </w:p>
        </w:tc>
        <w:tc>
          <w:tcPr>
            <w:tcW w:w="1042" w:type="dxa"/>
            <w:noWrap w:val="0"/>
            <w:vAlign w:val="center"/>
          </w:tcPr>
          <w:p w14:paraId="07430852">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41</w:t>
            </w:r>
          </w:p>
        </w:tc>
        <w:tc>
          <w:tcPr>
            <w:tcW w:w="1061" w:type="dxa"/>
            <w:noWrap w:val="0"/>
            <w:vAlign w:val="center"/>
          </w:tcPr>
          <w:p w14:paraId="078E98E9">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42</w:t>
            </w:r>
          </w:p>
        </w:tc>
        <w:tc>
          <w:tcPr>
            <w:tcW w:w="555" w:type="pct"/>
            <w:vMerge w:val="restart"/>
            <w:noWrap w:val="0"/>
            <w:vAlign w:val="center"/>
          </w:tcPr>
          <w:p w14:paraId="2E443F93">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871" w:type="dxa"/>
            <w:noWrap w:val="0"/>
            <w:vAlign w:val="center"/>
          </w:tcPr>
          <w:p w14:paraId="5345C089">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40</w:t>
            </w:r>
          </w:p>
        </w:tc>
        <w:tc>
          <w:tcPr>
            <w:tcW w:w="1054" w:type="dxa"/>
            <w:noWrap w:val="0"/>
            <w:vAlign w:val="center"/>
          </w:tcPr>
          <w:p w14:paraId="6C8FA629">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40</w:t>
            </w:r>
          </w:p>
        </w:tc>
        <w:tc>
          <w:tcPr>
            <w:tcW w:w="567" w:type="pct"/>
            <w:vMerge w:val="restart"/>
            <w:noWrap w:val="0"/>
            <w:vAlign w:val="center"/>
          </w:tcPr>
          <w:p w14:paraId="2A81942A">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443" w:type="pct"/>
            <w:noWrap w:val="0"/>
            <w:vAlign w:val="center"/>
          </w:tcPr>
          <w:p w14:paraId="0268D844">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A0E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58E74557">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36" w:type="pct"/>
            <w:noWrap w:val="0"/>
            <w:vAlign w:val="center"/>
          </w:tcPr>
          <w:p w14:paraId="5547242F">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w:t>
            </w:r>
          </w:p>
        </w:tc>
        <w:tc>
          <w:tcPr>
            <w:tcW w:w="1042" w:type="dxa"/>
            <w:noWrap w:val="0"/>
            <w:vAlign w:val="center"/>
          </w:tcPr>
          <w:p w14:paraId="0013A5C7">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1061" w:type="dxa"/>
            <w:noWrap w:val="0"/>
            <w:vAlign w:val="center"/>
          </w:tcPr>
          <w:p w14:paraId="0342C8F1">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555" w:type="pct"/>
            <w:vMerge w:val="continue"/>
            <w:noWrap w:val="0"/>
            <w:vAlign w:val="center"/>
          </w:tcPr>
          <w:p w14:paraId="56F6E512">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p>
        </w:tc>
        <w:tc>
          <w:tcPr>
            <w:tcW w:w="871" w:type="dxa"/>
            <w:noWrap w:val="0"/>
            <w:vAlign w:val="center"/>
          </w:tcPr>
          <w:p w14:paraId="5DA1EAA8">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1054" w:type="dxa"/>
            <w:noWrap w:val="0"/>
            <w:vAlign w:val="center"/>
          </w:tcPr>
          <w:p w14:paraId="24CEEA42">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38</w:t>
            </w:r>
          </w:p>
        </w:tc>
        <w:tc>
          <w:tcPr>
            <w:tcW w:w="567" w:type="pct"/>
            <w:vMerge w:val="continue"/>
            <w:noWrap w:val="0"/>
            <w:vAlign w:val="center"/>
          </w:tcPr>
          <w:p w14:paraId="3E38D806">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43" w:type="pct"/>
            <w:noWrap w:val="0"/>
            <w:vAlign w:val="center"/>
          </w:tcPr>
          <w:p w14:paraId="5877AE16">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5E58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00F95789">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36" w:type="pct"/>
            <w:noWrap w:val="0"/>
            <w:vAlign w:val="center"/>
          </w:tcPr>
          <w:p w14:paraId="63FBCBC9">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w:t>
            </w:r>
          </w:p>
        </w:tc>
        <w:tc>
          <w:tcPr>
            <w:tcW w:w="1042" w:type="dxa"/>
            <w:noWrap w:val="0"/>
            <w:vAlign w:val="center"/>
          </w:tcPr>
          <w:p w14:paraId="472FB7CA">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1061" w:type="dxa"/>
            <w:noWrap w:val="0"/>
            <w:vAlign w:val="center"/>
          </w:tcPr>
          <w:p w14:paraId="5CFBA655">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41</w:t>
            </w:r>
          </w:p>
        </w:tc>
        <w:tc>
          <w:tcPr>
            <w:tcW w:w="555" w:type="pct"/>
            <w:vMerge w:val="continue"/>
            <w:noWrap w:val="0"/>
            <w:vAlign w:val="center"/>
          </w:tcPr>
          <w:p w14:paraId="248A5045">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p>
        </w:tc>
        <w:tc>
          <w:tcPr>
            <w:tcW w:w="871" w:type="dxa"/>
            <w:noWrap w:val="0"/>
            <w:vAlign w:val="center"/>
          </w:tcPr>
          <w:p w14:paraId="179C70AD">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1054" w:type="dxa"/>
            <w:noWrap w:val="0"/>
            <w:vAlign w:val="center"/>
          </w:tcPr>
          <w:p w14:paraId="4F83A50B">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567" w:type="pct"/>
            <w:vMerge w:val="continue"/>
            <w:noWrap w:val="0"/>
            <w:vAlign w:val="center"/>
          </w:tcPr>
          <w:p w14:paraId="2F6B3CE1">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43" w:type="pct"/>
            <w:noWrap w:val="0"/>
            <w:vAlign w:val="center"/>
          </w:tcPr>
          <w:p w14:paraId="09A09573">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E5B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530534EE">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36" w:type="pct"/>
            <w:noWrap w:val="0"/>
            <w:vAlign w:val="center"/>
          </w:tcPr>
          <w:p w14:paraId="3C969847">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w:t>
            </w:r>
          </w:p>
        </w:tc>
        <w:tc>
          <w:tcPr>
            <w:tcW w:w="1042" w:type="dxa"/>
            <w:noWrap w:val="0"/>
            <w:vAlign w:val="center"/>
          </w:tcPr>
          <w:p w14:paraId="55AE2AD2">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39</w:t>
            </w:r>
          </w:p>
        </w:tc>
        <w:tc>
          <w:tcPr>
            <w:tcW w:w="1061" w:type="dxa"/>
            <w:noWrap w:val="0"/>
            <w:vAlign w:val="center"/>
          </w:tcPr>
          <w:p w14:paraId="2E04C65E">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555" w:type="pct"/>
            <w:vMerge w:val="continue"/>
            <w:noWrap w:val="0"/>
            <w:vAlign w:val="center"/>
          </w:tcPr>
          <w:p w14:paraId="7B4B1328">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p>
        </w:tc>
        <w:tc>
          <w:tcPr>
            <w:tcW w:w="871" w:type="dxa"/>
            <w:noWrap w:val="0"/>
            <w:vAlign w:val="center"/>
          </w:tcPr>
          <w:p w14:paraId="77C45609">
            <w:pP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38</w:t>
            </w:r>
          </w:p>
        </w:tc>
        <w:tc>
          <w:tcPr>
            <w:tcW w:w="1054" w:type="dxa"/>
            <w:noWrap w:val="0"/>
            <w:vAlign w:val="center"/>
          </w:tcPr>
          <w:p w14:paraId="13A90053">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567" w:type="pct"/>
            <w:vMerge w:val="continue"/>
            <w:noWrap w:val="0"/>
            <w:vAlign w:val="center"/>
          </w:tcPr>
          <w:p w14:paraId="29C88DAF">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43" w:type="pct"/>
            <w:noWrap w:val="0"/>
            <w:vAlign w:val="center"/>
          </w:tcPr>
          <w:p w14:paraId="4C6A93A6">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7D9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restart"/>
            <w:noWrap w:val="0"/>
            <w:vAlign w:val="center"/>
          </w:tcPr>
          <w:p w14:paraId="5539E99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TK872</w:t>
            </w:r>
            <w:r>
              <w:rPr>
                <w:rFonts w:hint="eastAsia" w:cs="Times New Roman"/>
                <w:color w:val="auto"/>
                <w:sz w:val="21"/>
                <w:szCs w:val="21"/>
                <w:highlight w:val="none"/>
                <w:lang w:val="en-US" w:eastAsia="zh-CN"/>
              </w:rPr>
              <w:t>CH</w:t>
            </w:r>
            <w:r>
              <w:rPr>
                <w:rFonts w:hint="default" w:ascii="Times New Roman" w:hAnsi="Times New Roman" w:cs="Times New Roman"/>
                <w:color w:val="auto"/>
                <w:sz w:val="21"/>
                <w:szCs w:val="21"/>
                <w:highlight w:val="none"/>
              </w:rPr>
              <w:t>井场</w:t>
            </w:r>
          </w:p>
        </w:tc>
        <w:tc>
          <w:tcPr>
            <w:tcW w:w="436" w:type="pct"/>
            <w:noWrap w:val="0"/>
            <w:vAlign w:val="center"/>
          </w:tcPr>
          <w:p w14:paraId="6D297F87">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w:t>
            </w:r>
          </w:p>
        </w:tc>
        <w:tc>
          <w:tcPr>
            <w:tcW w:w="1042" w:type="dxa"/>
            <w:noWrap w:val="0"/>
            <w:vAlign w:val="center"/>
          </w:tcPr>
          <w:p w14:paraId="5941C166">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1061" w:type="dxa"/>
            <w:noWrap w:val="0"/>
            <w:vAlign w:val="center"/>
          </w:tcPr>
          <w:p w14:paraId="590C78B0">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41</w:t>
            </w:r>
          </w:p>
        </w:tc>
        <w:tc>
          <w:tcPr>
            <w:tcW w:w="555" w:type="pct"/>
            <w:vMerge w:val="restart"/>
            <w:noWrap w:val="0"/>
            <w:vAlign w:val="center"/>
          </w:tcPr>
          <w:p w14:paraId="3CA54824">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871" w:type="dxa"/>
            <w:noWrap w:val="0"/>
            <w:vAlign w:val="center"/>
          </w:tcPr>
          <w:p w14:paraId="7B313C80">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38</w:t>
            </w:r>
          </w:p>
        </w:tc>
        <w:tc>
          <w:tcPr>
            <w:tcW w:w="1054" w:type="dxa"/>
            <w:noWrap w:val="0"/>
            <w:vAlign w:val="center"/>
          </w:tcPr>
          <w:p w14:paraId="2A19F714">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40</w:t>
            </w:r>
          </w:p>
        </w:tc>
        <w:tc>
          <w:tcPr>
            <w:tcW w:w="567" w:type="pct"/>
            <w:vMerge w:val="restart"/>
            <w:noWrap w:val="0"/>
            <w:vAlign w:val="center"/>
          </w:tcPr>
          <w:p w14:paraId="76D137B1">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443" w:type="pct"/>
            <w:noWrap w:val="0"/>
            <w:vAlign w:val="center"/>
          </w:tcPr>
          <w:p w14:paraId="2B1392DA">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9FE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6CA4E845">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36" w:type="pct"/>
            <w:noWrap w:val="0"/>
            <w:vAlign w:val="center"/>
          </w:tcPr>
          <w:p w14:paraId="373A53E1">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w:t>
            </w:r>
          </w:p>
        </w:tc>
        <w:tc>
          <w:tcPr>
            <w:tcW w:w="1042" w:type="dxa"/>
            <w:noWrap w:val="0"/>
            <w:vAlign w:val="center"/>
          </w:tcPr>
          <w:p w14:paraId="01962F7E">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41</w:t>
            </w:r>
          </w:p>
        </w:tc>
        <w:tc>
          <w:tcPr>
            <w:tcW w:w="1061" w:type="dxa"/>
            <w:noWrap w:val="0"/>
            <w:vAlign w:val="center"/>
          </w:tcPr>
          <w:p w14:paraId="3F35F152">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39</w:t>
            </w:r>
          </w:p>
        </w:tc>
        <w:tc>
          <w:tcPr>
            <w:tcW w:w="555" w:type="pct"/>
            <w:vMerge w:val="continue"/>
            <w:noWrap w:val="0"/>
            <w:vAlign w:val="center"/>
          </w:tcPr>
          <w:p w14:paraId="78E83E1D">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p>
        </w:tc>
        <w:tc>
          <w:tcPr>
            <w:tcW w:w="871" w:type="dxa"/>
            <w:noWrap w:val="0"/>
            <w:vAlign w:val="center"/>
          </w:tcPr>
          <w:p w14:paraId="656AB6C6">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1054" w:type="dxa"/>
            <w:noWrap w:val="0"/>
            <w:vAlign w:val="center"/>
          </w:tcPr>
          <w:p w14:paraId="47E5C4B3">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37</w:t>
            </w:r>
          </w:p>
        </w:tc>
        <w:tc>
          <w:tcPr>
            <w:tcW w:w="567" w:type="pct"/>
            <w:vMerge w:val="continue"/>
            <w:noWrap w:val="0"/>
            <w:vAlign w:val="center"/>
          </w:tcPr>
          <w:p w14:paraId="68800D9E">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43" w:type="pct"/>
            <w:noWrap w:val="0"/>
            <w:vAlign w:val="center"/>
          </w:tcPr>
          <w:p w14:paraId="46B99704">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E5F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2C337E0D">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36" w:type="pct"/>
            <w:noWrap w:val="0"/>
            <w:vAlign w:val="center"/>
          </w:tcPr>
          <w:p w14:paraId="16988517">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w:t>
            </w:r>
          </w:p>
        </w:tc>
        <w:tc>
          <w:tcPr>
            <w:tcW w:w="1042" w:type="dxa"/>
            <w:noWrap w:val="0"/>
            <w:vAlign w:val="center"/>
          </w:tcPr>
          <w:p w14:paraId="6E1A2E82">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39</w:t>
            </w:r>
          </w:p>
        </w:tc>
        <w:tc>
          <w:tcPr>
            <w:tcW w:w="1061" w:type="dxa"/>
            <w:noWrap w:val="0"/>
            <w:vAlign w:val="center"/>
          </w:tcPr>
          <w:p w14:paraId="36F5BB5C">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555" w:type="pct"/>
            <w:vMerge w:val="continue"/>
            <w:noWrap w:val="0"/>
            <w:vAlign w:val="center"/>
          </w:tcPr>
          <w:p w14:paraId="009DB595">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p>
        </w:tc>
        <w:tc>
          <w:tcPr>
            <w:tcW w:w="871" w:type="dxa"/>
            <w:noWrap w:val="0"/>
            <w:vAlign w:val="center"/>
          </w:tcPr>
          <w:p w14:paraId="78A501B9">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37</w:t>
            </w:r>
          </w:p>
        </w:tc>
        <w:tc>
          <w:tcPr>
            <w:tcW w:w="1054" w:type="dxa"/>
            <w:noWrap w:val="0"/>
            <w:vAlign w:val="center"/>
          </w:tcPr>
          <w:p w14:paraId="76D0E633">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567" w:type="pct"/>
            <w:vMerge w:val="continue"/>
            <w:noWrap w:val="0"/>
            <w:vAlign w:val="center"/>
          </w:tcPr>
          <w:p w14:paraId="53737699">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43" w:type="pct"/>
            <w:noWrap w:val="0"/>
            <w:vAlign w:val="center"/>
          </w:tcPr>
          <w:p w14:paraId="57F61C8E">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44B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59C1203C">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36" w:type="pct"/>
            <w:noWrap w:val="0"/>
            <w:vAlign w:val="center"/>
          </w:tcPr>
          <w:p w14:paraId="22B92246">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w:t>
            </w:r>
          </w:p>
        </w:tc>
        <w:tc>
          <w:tcPr>
            <w:tcW w:w="1042" w:type="dxa"/>
            <w:noWrap w:val="0"/>
            <w:vAlign w:val="center"/>
          </w:tcPr>
          <w:p w14:paraId="1CBD5A1E">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1061" w:type="dxa"/>
            <w:noWrap w:val="0"/>
            <w:vAlign w:val="center"/>
          </w:tcPr>
          <w:p w14:paraId="6B58648C">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kern w:val="2"/>
                <w:sz w:val="21"/>
                <w:szCs w:val="21"/>
                <w:highlight w:val="none"/>
                <w:lang w:val="en-US" w:eastAsia="zh-CN" w:bidi="ar-SA"/>
              </w:rPr>
              <w:t>40</w:t>
            </w:r>
          </w:p>
        </w:tc>
        <w:tc>
          <w:tcPr>
            <w:tcW w:w="555" w:type="pct"/>
            <w:vMerge w:val="continue"/>
            <w:noWrap w:val="0"/>
            <w:vAlign w:val="center"/>
          </w:tcPr>
          <w:p w14:paraId="02998D66">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eastAsia="宋体" w:cs="Times New Roman"/>
                <w:color w:val="auto"/>
                <w:kern w:val="0"/>
                <w:sz w:val="21"/>
                <w:szCs w:val="21"/>
                <w:highlight w:val="none"/>
                <w:lang w:val="en-US" w:eastAsia="zh-CN"/>
              </w:rPr>
            </w:pPr>
          </w:p>
        </w:tc>
        <w:tc>
          <w:tcPr>
            <w:tcW w:w="871" w:type="dxa"/>
            <w:noWrap w:val="0"/>
            <w:vAlign w:val="center"/>
          </w:tcPr>
          <w:p w14:paraId="3FFEBE1D">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1054" w:type="dxa"/>
            <w:noWrap w:val="0"/>
            <w:vAlign w:val="center"/>
          </w:tcPr>
          <w:p w14:paraId="78652DB9">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38</w:t>
            </w:r>
          </w:p>
        </w:tc>
        <w:tc>
          <w:tcPr>
            <w:tcW w:w="567" w:type="pct"/>
            <w:vMerge w:val="continue"/>
            <w:noWrap w:val="0"/>
            <w:vAlign w:val="center"/>
          </w:tcPr>
          <w:p w14:paraId="5B9ECFCB">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p>
        </w:tc>
        <w:tc>
          <w:tcPr>
            <w:tcW w:w="443" w:type="pct"/>
            <w:noWrap w:val="0"/>
            <w:vAlign w:val="center"/>
          </w:tcPr>
          <w:p w14:paraId="3C60ADCF">
            <w:pPr>
              <w:pStyle w:val="138"/>
              <w:keepNext w:val="0"/>
              <w:keepLines w:val="0"/>
              <w:pageBreakBefore w:val="0"/>
              <w:shd w:val="clear" w:color="auto" w:fill="auto"/>
              <w:kinsoku/>
              <w:wordWrap/>
              <w:overflowPunct/>
              <w:topLinePunct w:val="0"/>
              <w:bidi w:val="0"/>
              <w:snapToGrid/>
              <w:spacing w:after="0" w:line="2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6C0728F2">
      <w:pPr>
        <w:pStyle w:val="57"/>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从表4.5-2可以看出，</w:t>
      </w:r>
      <w:bookmarkStart w:id="433" w:name="_Toc75438897"/>
      <w:r>
        <w:rPr>
          <w:rFonts w:hint="default" w:ascii="Times New Roman" w:hAnsi="Times New Roman" w:cs="Times New Roman"/>
          <w:color w:val="auto"/>
          <w:highlight w:val="none"/>
        </w:rPr>
        <w:t>昼间噪声值在</w:t>
      </w:r>
      <w:r>
        <w:rPr>
          <w:rFonts w:hint="eastAsia" w:cs="Times New Roman"/>
          <w:color w:val="auto"/>
          <w:highlight w:val="none"/>
          <w:lang w:val="en-US" w:eastAsia="zh-CN"/>
        </w:rPr>
        <w:t>39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2</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之间，夜间噪声值在</w:t>
      </w:r>
      <w:r>
        <w:rPr>
          <w:rFonts w:hint="eastAsia" w:cs="Times New Roman"/>
          <w:color w:val="auto"/>
          <w:highlight w:val="none"/>
          <w:lang w:val="en-US" w:eastAsia="zh-CN"/>
        </w:rPr>
        <w:t>37</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0</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之间，井场</w:t>
      </w:r>
      <w:r>
        <w:rPr>
          <w:rFonts w:hint="eastAsia" w:cs="Times New Roman"/>
          <w:color w:val="auto"/>
          <w:highlight w:val="none"/>
          <w:lang w:val="en-US" w:eastAsia="zh-CN"/>
        </w:rPr>
        <w:t>厂界噪声</w:t>
      </w:r>
      <w:r>
        <w:rPr>
          <w:rFonts w:hint="default" w:ascii="Times New Roman" w:hAnsi="Times New Roman" w:cs="Times New Roman"/>
          <w:color w:val="auto"/>
          <w:highlight w:val="none"/>
        </w:rPr>
        <w:t>满足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中2类标准。</w:t>
      </w:r>
    </w:p>
    <w:bookmarkEnd w:id="433"/>
    <w:p w14:paraId="2DA20587">
      <w:pPr>
        <w:pStyle w:val="5"/>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434" w:name="_Toc31743"/>
      <w:bookmarkStart w:id="435" w:name="_Toc5177"/>
      <w:bookmarkStart w:id="436" w:name="_Toc22759"/>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生态环境现状调查与评价</w:t>
      </w:r>
      <w:bookmarkEnd w:id="434"/>
      <w:bookmarkEnd w:id="435"/>
    </w:p>
    <w:p w14:paraId="4C4517C6">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437" w:name="_Toc11024"/>
      <w:bookmarkStart w:id="438" w:name="_Toc31002"/>
      <w:bookmarkStart w:id="439" w:name="_Toc2114"/>
      <w:bookmarkStart w:id="440" w:name="_Toc3837"/>
      <w:bookmarkStart w:id="441" w:name="_Toc18773"/>
      <w:bookmarkStart w:id="442" w:name="_Toc2871"/>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.1生态系统现状调查及评价</w:t>
      </w:r>
      <w:bookmarkEnd w:id="437"/>
      <w:bookmarkEnd w:id="438"/>
      <w:bookmarkEnd w:id="439"/>
    </w:p>
    <w:p w14:paraId="57D29272">
      <w:pPr>
        <w:keepLines/>
        <w:pageBreakBefore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w:t>
      </w:r>
      <w:r>
        <w:rPr>
          <w:rFonts w:hint="default" w:ascii="Times New Roman" w:hAnsi="Times New Roman"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rPr>
        <w:t>.1调查方法及评价内容</w:t>
      </w:r>
    </w:p>
    <w:p w14:paraId="00846CA7">
      <w:pPr>
        <w:pStyle w:val="109"/>
        <w:keepNext w:val="0"/>
        <w:keepLines w:val="0"/>
        <w:pageBreakBefore w:val="0"/>
        <w:widowControl/>
        <w:kinsoku/>
        <w:wordWrap/>
        <w:overflowPunct/>
        <w:topLinePunct w:val="0"/>
        <w:autoSpaceDE/>
        <w:autoSpaceDN/>
        <w:bidi w:val="0"/>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（1）调查范围</w:t>
      </w:r>
    </w:p>
    <w:p w14:paraId="232371A2">
      <w:pPr>
        <w:pStyle w:val="109"/>
        <w:keepNext w:val="0"/>
        <w:keepLines w:val="0"/>
        <w:pageBreakBefore w:val="0"/>
        <w:widowControl/>
        <w:kinsoku/>
        <w:wordWrap/>
        <w:overflowPunct/>
        <w:topLinePunct w:val="0"/>
        <w:autoSpaceDE/>
        <w:autoSpaceDN/>
        <w:bidi w:val="0"/>
        <w:ind w:firstLine="48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本项目地处塔里木盆地北部、塔河以北，</w:t>
      </w:r>
      <w:r>
        <w:rPr>
          <w:rFonts w:hint="default" w:ascii="Times New Roman" w:hAnsi="Times New Roman" w:cs="Times New Roman"/>
          <w:color w:val="auto"/>
          <w:highlight w:val="none"/>
          <w:lang w:val="en-US" w:eastAsia="zh-CN"/>
        </w:rPr>
        <w:t>渭-库三角洲绿洲东南部，南距塔里木河主河道约</w:t>
      </w:r>
      <w:r>
        <w:rPr>
          <w:rFonts w:hint="eastAsia" w:cs="Times New Roman"/>
          <w:color w:val="auto"/>
          <w:highlight w:val="none"/>
          <w:lang w:val="en-US" w:eastAsia="zh-CN"/>
        </w:rPr>
        <w:t>20</w:t>
      </w:r>
      <w:r>
        <w:rPr>
          <w:rFonts w:hint="default" w:ascii="Times New Roman" w:hAnsi="Times New Roman" w:cs="Times New Roman"/>
          <w:color w:val="auto"/>
          <w:highlight w:val="none"/>
          <w:lang w:val="en-US" w:eastAsia="zh-CN"/>
        </w:rPr>
        <w:t>km</w:t>
      </w:r>
      <w:r>
        <w:rPr>
          <w:rFonts w:hint="eastAsia" w:cs="Times New Roman"/>
          <w:color w:val="auto"/>
          <w:highlight w:val="none"/>
          <w:lang w:val="en-US" w:eastAsia="zh-CN"/>
        </w:rPr>
        <w:t>，所在区域行政区划隶属于阿克苏地区库车市，涉及塔河油田八区、十区</w:t>
      </w:r>
      <w:r>
        <w:rPr>
          <w:rFonts w:hint="default" w:ascii="Times New Roman" w:hAnsi="Times New Roman" w:cs="Times New Roman"/>
          <w:color w:val="auto"/>
          <w:highlight w:val="none"/>
          <w:lang w:val="en-US" w:eastAsia="zh-CN"/>
        </w:rPr>
        <w:t>。项目计划</w:t>
      </w:r>
      <w:r>
        <w:rPr>
          <w:rFonts w:hint="eastAsia" w:cs="Times New Roman"/>
          <w:color w:val="auto"/>
          <w:highlight w:val="none"/>
          <w:lang w:val="en-US" w:eastAsia="zh-CN"/>
        </w:rPr>
        <w:t>侧钻老井4口，新建采油、掺稀、燃料气管线，同沟敷设，长度均为601m，</w:t>
      </w:r>
      <w:r>
        <w:rPr>
          <w:rFonts w:hint="default" w:ascii="Times New Roman" w:hAnsi="Times New Roman" w:cs="Times New Roman"/>
          <w:color w:val="auto"/>
          <w:highlight w:val="none"/>
          <w:lang w:val="en-US" w:eastAsia="zh-CN"/>
        </w:rPr>
        <w:t>新增占地</w:t>
      </w:r>
      <w:r>
        <w:rPr>
          <w:rFonts w:hint="eastAsia" w:cs="Times New Roman"/>
          <w:color w:val="auto"/>
          <w:highlight w:val="none"/>
          <w:lang w:val="en-US" w:eastAsia="zh-CN"/>
        </w:rPr>
        <w:t>面积</w:t>
      </w:r>
      <w:r>
        <w:rPr>
          <w:rFonts w:hint="default" w:ascii="Times New Roman" w:hAnsi="Times New Roman" w:cs="Times New Roman"/>
          <w:color w:val="auto"/>
          <w:highlight w:val="none"/>
          <w:lang w:val="en-US" w:eastAsia="zh-CN"/>
        </w:rPr>
        <w:t>约</w:t>
      </w:r>
      <w:r>
        <w:rPr>
          <w:rFonts w:hint="eastAsia" w:cs="Times New Roman"/>
          <w:color w:val="auto"/>
          <w:highlight w:val="none"/>
          <w:lang w:val="en-US" w:eastAsia="zh-CN"/>
        </w:rPr>
        <w:t>4.8608</w:t>
      </w:r>
      <w:r>
        <w:rPr>
          <w:rFonts w:hint="default" w:ascii="Times New Roman" w:hAnsi="Times New Roman" w:cs="Times New Roman"/>
          <w:color w:val="auto"/>
          <w:highlight w:val="none"/>
          <w:lang w:val="en-US" w:eastAsia="zh-CN"/>
        </w:rPr>
        <w:t>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均为</w:t>
      </w:r>
      <w:r>
        <w:rPr>
          <w:rFonts w:hint="default" w:ascii="Times New Roman" w:hAnsi="Times New Roman" w:cs="Times New Roman"/>
          <w:color w:val="auto"/>
          <w:highlight w:val="none"/>
          <w:lang w:val="en-US" w:eastAsia="zh-CN"/>
        </w:rPr>
        <w:t>临时占地。根据《环境影响评价技术导则 生态影响》（HJ19-2022）及《环境影响评价技术导则 陆地石油天然气开发建设项目》（HJ349-2023），本项目以井场场界周围50m范围、集输管道等线性工程两侧外延300m为评价范围；同时线性工程穿越天然林时，以线路穿越段向两端外延1km、线路中心线向两侧外延1km为评价范围，面积共计4.2</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baseline"/>
          <w:lang w:val="en-US" w:eastAsia="zh-CN"/>
        </w:rPr>
        <w:t>。</w:t>
      </w:r>
    </w:p>
    <w:p w14:paraId="38E94699">
      <w:pPr>
        <w:pStyle w:val="109"/>
        <w:keepNext w:val="0"/>
        <w:keepLines w:val="0"/>
        <w:pageBreakBefore w:val="0"/>
        <w:widowControl/>
        <w:kinsoku/>
        <w:wordWrap/>
        <w:overflowPunct/>
        <w:topLinePunct w:val="0"/>
        <w:autoSpaceDE/>
        <w:autoSpaceDN/>
        <w:bidi w:val="0"/>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（2）调查内容</w:t>
      </w:r>
    </w:p>
    <w:p w14:paraId="08601A74">
      <w:pPr>
        <w:pStyle w:val="109"/>
        <w:keepNext w:val="0"/>
        <w:keepLines w:val="0"/>
        <w:pageBreakBefore w:val="0"/>
        <w:widowControl/>
        <w:kinsoku/>
        <w:wordWrap/>
        <w:overflowPunct/>
        <w:topLinePunct w:val="0"/>
        <w:autoSpaceDE/>
        <w:autoSpaceDN/>
        <w:bidi w:val="0"/>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调查评价范围内的植物区系、植被类型，植物群落结构及演替规律，群落中的关键种、建群种、优势种；动物区系、物种组成及分布特征；生态系统的类型、面积及空间分布；重要物种的分布、生态学特征、种群现状，迁徙物种的主要迁徙路线、迁徙时间，重要生境的分布及现状。</w:t>
      </w:r>
    </w:p>
    <w:p w14:paraId="5FF8D005">
      <w:pPr>
        <w:pStyle w:val="109"/>
        <w:keepNext w:val="0"/>
        <w:keepLines w:val="0"/>
        <w:pageBreakBefore w:val="0"/>
        <w:widowControl/>
        <w:kinsoku/>
        <w:wordWrap/>
        <w:overflowPunct/>
        <w:topLinePunct w:val="0"/>
        <w:autoSpaceDE/>
        <w:autoSpaceDN/>
        <w:bidi w:val="0"/>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B.调查生态敏感区的主要保护对象、功能区划、保护要求。</w:t>
      </w:r>
    </w:p>
    <w:p w14:paraId="1698F90B">
      <w:pPr>
        <w:pStyle w:val="109"/>
        <w:keepNext w:val="0"/>
        <w:keepLines w:val="0"/>
        <w:pageBreakBefore w:val="0"/>
        <w:widowControl/>
        <w:kinsoku/>
        <w:wordWrap/>
        <w:overflowPunct/>
        <w:topLinePunct w:val="0"/>
        <w:autoSpaceDE/>
        <w:autoSpaceDN/>
        <w:bidi w:val="0"/>
        <w:ind w:firstLine="48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C.调查区域存在的主要生态问题。</w:t>
      </w:r>
    </w:p>
    <w:p w14:paraId="4B0407CE">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（3）调查方法</w:t>
      </w:r>
    </w:p>
    <w:p w14:paraId="4901B127">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评价生态特征调查采用资料收集、现场踏勘结合遥感解译的方法。在资料收集、分析和现场踏勘调查的基础上，利用“3S”等技术手段，进行数据采集，对资料、信息和数据进行汇总、整理、分析，并完成生态制图。</w:t>
      </w:r>
    </w:p>
    <w:p w14:paraId="75083BF1">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A.基础资料收集</w:t>
      </w:r>
    </w:p>
    <w:p w14:paraId="2BD68E31">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收集沿线地区非生物因子特征（气候、土壤、地形地貌、水文地质等）、动植物类型及分布、植被类型及分布、生态功能区划、土地利用等资料，包括统计年鉴以及林草、生态环境、农业、自然资源等部门提供的相关资料，以及各生态敏感区的规划报告，还参考了《新疆植物志》《新疆脊椎动物简志》《中国新疆野生动物》等著作及相关科研论文。</w:t>
      </w:r>
    </w:p>
    <w:p w14:paraId="47D61E69">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B</w:t>
      </w:r>
      <w:r>
        <w:rPr>
          <w:rFonts w:hint="eastAsia" w:cs="Times New Roman"/>
          <w:color w:val="auto"/>
          <w:highlight w:val="none"/>
          <w:lang w:eastAsia="zh-CN"/>
        </w:rPr>
        <w:t>.</w:t>
      </w:r>
      <w:r>
        <w:rPr>
          <w:rFonts w:hint="default" w:ascii="Times New Roman" w:hAnsi="Times New Roman" w:cs="Times New Roman"/>
          <w:color w:val="auto"/>
          <w:highlight w:val="none"/>
          <w:lang w:eastAsia="zh-CN"/>
        </w:rPr>
        <w:t>现场勘查</w:t>
      </w:r>
    </w:p>
    <w:p w14:paraId="17D6C5A0">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现场勘查遵循整体与重点相结合的调查原则，在综合考虑主导生态因子结构与功能的完整性的同时，突出重点区域和关键时段的调查，并通过对影响区域的实际踏勘，核实收集资料及遥感解译的准确性，以获取实际资料和数据。</w:t>
      </w:r>
    </w:p>
    <w:p w14:paraId="37286E62">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生态敏感区逐一调查核实其类型、</w:t>
      </w:r>
      <w:r>
        <w:rPr>
          <w:rFonts w:hint="eastAsia" w:cs="Times New Roman"/>
          <w:color w:val="auto"/>
          <w:highlight w:val="none"/>
          <w:lang w:val="en-US" w:eastAsia="zh-CN"/>
        </w:rPr>
        <w:t>级别</w:t>
      </w:r>
      <w:r>
        <w:rPr>
          <w:rFonts w:hint="default" w:ascii="Times New Roman" w:hAnsi="Times New Roman" w:cs="Times New Roman"/>
          <w:color w:val="auto"/>
          <w:highlight w:val="none"/>
          <w:lang w:eastAsia="zh-CN"/>
        </w:rPr>
        <w:t>、分布、保护对象、功能区划、保护要求等。生态环境现状调查依据工程沿线生态系统类型，典型生态系统选取代表性样地进行调查。植被调查采用样方调查，明确典型植被类型中主要植物类型组成及盖度。</w:t>
      </w:r>
    </w:p>
    <w:p w14:paraId="6F871A84">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1）植被调查</w:t>
      </w:r>
    </w:p>
    <w:p w14:paraId="45CE5C8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10"/>
          <w:sz w:val="24"/>
          <w:szCs w:val="24"/>
          <w:highlight w:val="none"/>
          <w:lang w:val="en-US" w:eastAsia="zh-CN" w:bidi="ar-SA"/>
        </w:rPr>
      </w:pPr>
      <w:r>
        <w:rPr>
          <w:rFonts w:hint="default" w:ascii="Times New Roman" w:hAnsi="Times New Roman" w:eastAsia="宋体" w:cs="Times New Roman"/>
          <w:color w:val="auto"/>
          <w:kern w:val="10"/>
          <w:sz w:val="24"/>
          <w:szCs w:val="24"/>
          <w:highlight w:val="none"/>
          <w:lang w:val="en-US" w:eastAsia="zh-CN" w:bidi="ar-SA"/>
        </w:rPr>
        <w:t>在卫星定位技术和样方现状调查的支持下，利用该区域遥感卫星影像数据及相关资料，粗略判断项目区周围土地利用、植被、敏感目标状况，从中找出分辨困难的点位；对现场以点带面进行现场考察，进一步明确评价区内土地利用类型、植被类型、土壤类型和敏感目标保护等生态环境质量现状，从而建立卫星数据解译的判译标志。根据室内判读的植被与土地利用类型图，现场核实判读的正误率，适当做出点位调整，并对每个取样点</w:t>
      </w:r>
      <w:r>
        <w:rPr>
          <w:rFonts w:hint="eastAsia" w:cs="Times New Roman"/>
          <w:color w:val="auto"/>
          <w:kern w:val="10"/>
          <w:sz w:val="24"/>
          <w:szCs w:val="24"/>
          <w:highlight w:val="none"/>
          <w:lang w:val="en-US" w:eastAsia="zh-CN" w:bidi="ar-SA"/>
        </w:rPr>
        <w:t>做</w:t>
      </w:r>
      <w:r>
        <w:rPr>
          <w:rFonts w:hint="default" w:ascii="Times New Roman" w:hAnsi="Times New Roman" w:eastAsia="宋体" w:cs="Times New Roman"/>
          <w:color w:val="auto"/>
          <w:kern w:val="10"/>
          <w:sz w:val="24"/>
          <w:szCs w:val="24"/>
          <w:highlight w:val="none"/>
          <w:lang w:val="en-US" w:eastAsia="zh-CN" w:bidi="ar-SA"/>
        </w:rPr>
        <w:t>详细记录。</w:t>
      </w:r>
    </w:p>
    <w:p w14:paraId="401590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10"/>
          <w:sz w:val="24"/>
          <w:szCs w:val="24"/>
          <w:highlight w:val="none"/>
          <w:lang w:val="en-US" w:eastAsia="zh-CN" w:bidi="ar-SA"/>
        </w:rPr>
      </w:pPr>
      <w:r>
        <w:rPr>
          <w:rFonts w:hint="default" w:ascii="Times New Roman" w:hAnsi="Times New Roman" w:eastAsia="宋体" w:cs="Times New Roman"/>
          <w:color w:val="auto"/>
          <w:kern w:val="10"/>
          <w:sz w:val="24"/>
          <w:szCs w:val="24"/>
          <w:highlight w:val="none"/>
          <w:lang w:val="en-US" w:eastAsia="zh-CN" w:bidi="ar-SA"/>
        </w:rPr>
        <w:t>本次调查主要按照《全国生态状况调查评估技术规范—</w:t>
      </w:r>
      <w:r>
        <w:rPr>
          <w:rFonts w:hint="eastAsia" w:cs="Times New Roman"/>
          <w:color w:val="auto"/>
          <w:kern w:val="10"/>
          <w:sz w:val="24"/>
          <w:szCs w:val="24"/>
          <w:highlight w:val="none"/>
          <w:lang w:val="en-US" w:eastAsia="zh-CN" w:bidi="ar-SA"/>
        </w:rPr>
        <w:t>森林</w:t>
      </w:r>
      <w:r>
        <w:rPr>
          <w:rFonts w:hint="default" w:ascii="Times New Roman" w:hAnsi="Times New Roman" w:eastAsia="宋体" w:cs="Times New Roman"/>
          <w:color w:val="auto"/>
          <w:kern w:val="10"/>
          <w:sz w:val="24"/>
          <w:szCs w:val="24"/>
          <w:highlight w:val="none"/>
          <w:lang w:val="en-US" w:eastAsia="zh-CN" w:bidi="ar-SA"/>
        </w:rPr>
        <w:t>生态系统野外观测（HJ11</w:t>
      </w:r>
      <w:r>
        <w:rPr>
          <w:rFonts w:hint="eastAsia" w:cs="Times New Roman"/>
          <w:color w:val="auto"/>
          <w:kern w:val="10"/>
          <w:sz w:val="24"/>
          <w:szCs w:val="24"/>
          <w:highlight w:val="none"/>
          <w:lang w:val="en-US" w:eastAsia="zh-CN" w:bidi="ar-SA"/>
        </w:rPr>
        <w:t>67</w:t>
      </w:r>
      <w:r>
        <w:rPr>
          <w:rFonts w:hint="default" w:ascii="Times New Roman" w:hAnsi="Times New Roman" w:eastAsia="宋体" w:cs="Times New Roman"/>
          <w:color w:val="auto"/>
          <w:kern w:val="10"/>
          <w:sz w:val="24"/>
          <w:szCs w:val="24"/>
          <w:highlight w:val="none"/>
          <w:lang w:val="en-US" w:eastAsia="zh-CN" w:bidi="ar-SA"/>
        </w:rPr>
        <w:t>-2021）》《全国生态状况调查评估技术规范—</w:t>
      </w:r>
      <w:r>
        <w:rPr>
          <w:rFonts w:hint="eastAsia" w:cs="Times New Roman"/>
          <w:color w:val="auto"/>
          <w:kern w:val="10"/>
          <w:sz w:val="24"/>
          <w:szCs w:val="24"/>
          <w:highlight w:val="none"/>
          <w:lang w:val="en-US" w:eastAsia="zh-CN" w:bidi="ar-SA"/>
        </w:rPr>
        <w:t>草地</w:t>
      </w:r>
      <w:r>
        <w:rPr>
          <w:rFonts w:hint="default" w:ascii="Times New Roman" w:hAnsi="Times New Roman" w:eastAsia="宋体" w:cs="Times New Roman"/>
          <w:color w:val="auto"/>
          <w:kern w:val="10"/>
          <w:sz w:val="24"/>
          <w:szCs w:val="24"/>
          <w:highlight w:val="none"/>
          <w:lang w:val="en-US" w:eastAsia="zh-CN" w:bidi="ar-SA"/>
        </w:rPr>
        <w:t>生态系统野外观测（HJ11</w:t>
      </w:r>
      <w:r>
        <w:rPr>
          <w:rFonts w:hint="eastAsia" w:cs="Times New Roman"/>
          <w:color w:val="auto"/>
          <w:kern w:val="10"/>
          <w:sz w:val="24"/>
          <w:szCs w:val="24"/>
          <w:highlight w:val="none"/>
          <w:lang w:val="en-US" w:eastAsia="zh-CN" w:bidi="ar-SA"/>
        </w:rPr>
        <w:t>68</w:t>
      </w:r>
      <w:r>
        <w:rPr>
          <w:rFonts w:hint="default" w:ascii="Times New Roman" w:hAnsi="Times New Roman" w:eastAsia="宋体" w:cs="Times New Roman"/>
          <w:color w:val="auto"/>
          <w:kern w:val="10"/>
          <w:sz w:val="24"/>
          <w:szCs w:val="24"/>
          <w:highlight w:val="none"/>
          <w:lang w:val="en-US" w:eastAsia="zh-CN" w:bidi="ar-SA"/>
        </w:rPr>
        <w:t>-2021）》的要求，在对评价区陆生生物资源历年资料检索分析的基础上，根据调查方案确定路线走向及考察时间，进行现场调查。实地调查采取现场调查与样方调查的方法，确定评价区的植物种类、植被类型及珍稀濒危植物的生存状况等。</w:t>
      </w:r>
    </w:p>
    <w:p w14:paraId="1B696A6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10"/>
          <w:sz w:val="24"/>
          <w:szCs w:val="24"/>
          <w:highlight w:val="none"/>
          <w:lang w:val="en-US" w:eastAsia="zh-CN" w:bidi="ar-SA"/>
        </w:rPr>
      </w:pPr>
      <w:r>
        <w:rPr>
          <w:rFonts w:hint="default" w:ascii="Times New Roman" w:hAnsi="Times New Roman" w:eastAsia="宋体" w:cs="Times New Roman"/>
          <w:color w:val="auto"/>
          <w:kern w:val="10"/>
          <w:sz w:val="24"/>
          <w:szCs w:val="24"/>
          <w:highlight w:val="none"/>
          <w:lang w:val="en-US" w:eastAsia="zh-CN" w:bidi="ar-SA"/>
        </w:rPr>
        <w:t>收集整理工程区域及邻近地区的现有生物多样性资料，在综合分析现有资料的基础上，生物量和生物多样性调查依据已有资料推断，采用卫星遥感影像辅证并实测一定数量的具有代表性的样方调查验证的方法。</w:t>
      </w:r>
    </w:p>
    <w:p w14:paraId="5C33B6E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10"/>
          <w:sz w:val="24"/>
          <w:szCs w:val="24"/>
          <w:highlight w:val="none"/>
          <w:lang w:val="en-US" w:eastAsia="zh-CN" w:bidi="ar-SA"/>
        </w:rPr>
      </w:pPr>
      <w:r>
        <w:rPr>
          <w:rFonts w:hint="default" w:ascii="Times New Roman" w:hAnsi="Times New Roman" w:eastAsia="宋体" w:cs="Times New Roman"/>
          <w:color w:val="auto"/>
          <w:kern w:val="10"/>
          <w:sz w:val="24"/>
          <w:szCs w:val="24"/>
          <w:highlight w:val="none"/>
          <w:lang w:val="en-US" w:eastAsia="zh-CN" w:bidi="ar-SA"/>
        </w:rPr>
        <w:t>2）动物调查</w:t>
      </w:r>
    </w:p>
    <w:p w14:paraId="77D5D29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10"/>
          <w:sz w:val="24"/>
          <w:szCs w:val="24"/>
          <w:highlight w:val="none"/>
          <w:lang w:val="en-US" w:eastAsia="zh-CN" w:bidi="ar-SA"/>
        </w:rPr>
      </w:pPr>
      <w:r>
        <w:rPr>
          <w:rFonts w:hint="default" w:ascii="Times New Roman" w:hAnsi="Times New Roman" w:eastAsia="宋体" w:cs="Times New Roman"/>
          <w:color w:val="auto"/>
          <w:kern w:val="10"/>
          <w:sz w:val="24"/>
          <w:szCs w:val="24"/>
          <w:highlight w:val="none"/>
          <w:lang w:val="en-US" w:eastAsia="zh-CN" w:bidi="ar-SA"/>
        </w:rPr>
        <w:t>搜集参照《生物多样性观测技术导则陆生哺乳动物（HJ710.3-2014）》《生物多样性观测技术导则鸟类（HJ710.4-2014）》《生物多样性观测技术导则爬行动物（HJ710.5-2014）》《生物多样性观测技术导则两栖动物（HJ710.6-2014）》等确定的技术方法，本次陆生动物调查主要通过资料收集调查、野外踪迹进行调查及样线调查的方法，结合访问调查及现场调查确定种类及数量。基于动物的生物学和生态学特性，调查范围涵盖评价区域内的主要陆生动物种类，并适当扩展，确保涵盖评价区域内主要陆生动物种类。</w:t>
      </w:r>
    </w:p>
    <w:p w14:paraId="2DB2234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10"/>
          <w:sz w:val="24"/>
          <w:szCs w:val="24"/>
          <w:highlight w:val="none"/>
          <w:lang w:val="en-US" w:eastAsia="zh-CN" w:bidi="ar-SA"/>
        </w:rPr>
      </w:pPr>
      <w:r>
        <w:rPr>
          <w:rFonts w:hint="default" w:ascii="Times New Roman" w:hAnsi="Times New Roman" w:eastAsia="宋体" w:cs="Times New Roman"/>
          <w:color w:val="auto"/>
          <w:kern w:val="10"/>
          <w:sz w:val="24"/>
          <w:szCs w:val="24"/>
          <w:highlight w:val="none"/>
          <w:lang w:val="en-US" w:eastAsia="zh-CN" w:bidi="ar-SA"/>
        </w:rPr>
        <w:t>收集整理工程涉及区域现有生物多样性资料，在重点施工区域（如施工作业带、穿越工程等），以及动植物生境较好的区域进行重点调查。</w:t>
      </w:r>
    </w:p>
    <w:p w14:paraId="462D3083">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从上述调查得到的种类之中，对相关重点保护物种进行进一步调查与核实，确定其种类。对有疑问动物、重点保护动物尽量采集凭证标本并拍摄照片，最终对评价区的动物资源现状得出综合结论。</w:t>
      </w:r>
    </w:p>
    <w:p w14:paraId="36AB7496">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C</w:t>
      </w:r>
      <w:r>
        <w:rPr>
          <w:rFonts w:hint="eastAsia" w:cs="Times New Roman"/>
          <w:color w:val="auto"/>
          <w:highlight w:val="none"/>
          <w:lang w:eastAsia="zh-CN"/>
        </w:rPr>
        <w:t>.</w:t>
      </w:r>
      <w:r>
        <w:rPr>
          <w:rFonts w:hint="default" w:ascii="Times New Roman" w:hAnsi="Times New Roman" w:cs="Times New Roman"/>
          <w:color w:val="auto"/>
          <w:highlight w:val="none"/>
          <w:lang w:eastAsia="zh-CN"/>
        </w:rPr>
        <w:t>生态制图</w:t>
      </w:r>
    </w:p>
    <w:p w14:paraId="258D135E">
      <w:pPr>
        <w:pStyle w:val="109"/>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采用“3S”技术进行地表类型的数字化判读，完成数字化的植被类型图和土地利用类型图，进行生态质量的定性和定量评价。从遥感信息获取的地面覆盖类型，在地面调查和历史植被基础上进行综合判读，采用监督分类的方法最终赋予生态学的含义。植被类型的确定需结合不同植被类型分布的生态学特征，不单纯依靠色彩进行划分，对监督分类产生的植被初图，结合地面样点和等高线、坡度、坡向等信息，对植被图进行目视解译校正，得到符合精度要求的植被图。在植被图的基础上，进一步合并有关地面类型，得到土地利用类型图。</w:t>
      </w:r>
    </w:p>
    <w:p w14:paraId="2EEE86D1">
      <w:pPr>
        <w:pStyle w:val="109"/>
        <w:numPr>
          <w:ilvl w:val="0"/>
          <w:numId w:val="8"/>
        </w:numPr>
        <w:ind w:firstLine="48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生物量的测定与估算</w:t>
      </w:r>
    </w:p>
    <w:p w14:paraId="34150466">
      <w:pPr>
        <w:pStyle w:val="109"/>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重点测定评价范围内分布广泛的植被类型的生物量，灌木及草本采用收获法进行生物量的测定。其余类型参考国内外有关生物量的相关资料，并根据当地的实际情况作适当调查，估算出评价范围植被类型的生物量。</w:t>
      </w:r>
    </w:p>
    <w:p w14:paraId="6AD646D7">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rPr>
        <w:t>生态功能区划</w:t>
      </w:r>
    </w:p>
    <w:p w14:paraId="3113E1E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2"/>
          <w:highlight w:val="none"/>
          <w:lang w:eastAsia="zh-CN"/>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位于新疆维吾尔自治区阿克苏地区库车市，</w:t>
      </w:r>
      <w:r>
        <w:rPr>
          <w:rFonts w:hint="default" w:ascii="Times New Roman" w:hAnsi="Times New Roman" w:cs="Times New Roman"/>
          <w:color w:val="auto"/>
          <w:highlight w:val="none"/>
          <w:lang w:val="zh-CN"/>
        </w:rPr>
        <w:t>根据《新疆生态功能区划》，评价区域属于塔里木盆地暖温荒漠及绿洲农业生态区，塔里木盆地西部、北部荒漠及绿洲农业生态亚区，塔里木河上中游乔灌草及胡杨林保护生态功能区。塔里木河流域的乔灌草及胡杨林植被是保护绿洲生态环境的天然屏障，区域内的油气资源丰富，油田勘探开发工作已开展多年。项目区生态功能区划见</w:t>
      </w:r>
      <w:r>
        <w:rPr>
          <w:rFonts w:hint="default" w:ascii="Times New Roman" w:hAnsi="Times New Roman" w:cs="Times New Roman"/>
          <w:color w:val="auto"/>
          <w:highlight w:val="none"/>
          <w:lang w:val="en-US" w:eastAsia="zh-CN"/>
        </w:rPr>
        <w:t>图4.6-1</w:t>
      </w:r>
      <w:r>
        <w:rPr>
          <w:rFonts w:hint="default" w:ascii="Times New Roman" w:hAnsi="Times New Roman" w:cs="Times New Roman"/>
          <w:color w:val="auto"/>
          <w:highlight w:val="none"/>
          <w:lang w:val="zh-CN"/>
        </w:rPr>
        <w:t>和表4.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zh-CN"/>
        </w:rPr>
        <w:t>-1。</w:t>
      </w:r>
    </w:p>
    <w:p w14:paraId="642D3609">
      <w:pPr>
        <w:pStyle w:val="9"/>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表4.</w:t>
      </w:r>
      <w:r>
        <w:rPr>
          <w:rFonts w:hint="default" w:ascii="Times New Roman" w:hAnsi="Times New Roman" w:eastAsia="黑体" w:cs="Times New Roman"/>
          <w:color w:val="auto"/>
          <w:sz w:val="21"/>
          <w:szCs w:val="21"/>
          <w:highlight w:val="none"/>
          <w:lang w:val="en-US" w:eastAsia="zh-CN"/>
        </w:rPr>
        <w:t>6</w:t>
      </w:r>
      <w:r>
        <w:rPr>
          <w:rFonts w:hint="default" w:ascii="Times New Roman" w:hAnsi="Times New Roman" w:eastAsia="黑体" w:cs="Times New Roman"/>
          <w:color w:val="auto"/>
          <w:sz w:val="21"/>
          <w:szCs w:val="21"/>
          <w:highlight w:val="none"/>
        </w:rPr>
        <w:t>-1</w:t>
      </w:r>
      <w:r>
        <w:rPr>
          <w:rFonts w:hint="eastAsia" w:ascii="Times New Roman" w:hAnsi="Times New Roman" w:eastAsia="黑体"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lang w:val="en-US" w:eastAsia="zh-CN"/>
        </w:rPr>
        <w:t>项目区</w:t>
      </w:r>
      <w:r>
        <w:rPr>
          <w:rFonts w:hint="default" w:ascii="Times New Roman" w:hAnsi="Times New Roman" w:eastAsia="黑体" w:cs="Times New Roman"/>
          <w:color w:val="auto"/>
          <w:sz w:val="21"/>
          <w:szCs w:val="21"/>
          <w:highlight w:val="none"/>
        </w:rPr>
        <w:t>生态功能区划</w:t>
      </w:r>
    </w:p>
    <w:tbl>
      <w:tblPr>
        <w:tblStyle w:val="60"/>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26"/>
        <w:gridCol w:w="1753"/>
        <w:gridCol w:w="5435"/>
      </w:tblGrid>
      <w:tr w14:paraId="4CFB2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1731" w:type="pct"/>
            <w:gridSpan w:val="2"/>
            <w:tcBorders>
              <w:top w:val="single" w:color="auto" w:sz="4" w:space="0"/>
              <w:left w:val="single" w:color="auto" w:sz="4" w:space="0"/>
              <w:bottom w:val="single" w:color="auto" w:sz="4" w:space="0"/>
              <w:right w:val="single" w:color="auto" w:sz="4" w:space="0"/>
            </w:tcBorders>
            <w:vAlign w:val="center"/>
          </w:tcPr>
          <w:p w14:paraId="621A3C71">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3268" w:type="pct"/>
            <w:tcBorders>
              <w:top w:val="single" w:color="auto" w:sz="4" w:space="0"/>
              <w:left w:val="single" w:color="auto" w:sz="4" w:space="0"/>
              <w:bottom w:val="single" w:color="auto" w:sz="4" w:space="0"/>
              <w:right w:val="single" w:color="auto" w:sz="4" w:space="0"/>
            </w:tcBorders>
            <w:vAlign w:val="center"/>
          </w:tcPr>
          <w:p w14:paraId="0BFFADB2">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主要内容</w:t>
            </w:r>
          </w:p>
        </w:tc>
      </w:tr>
      <w:tr w14:paraId="7A7E9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77" w:type="pct"/>
            <w:vMerge w:val="restart"/>
            <w:tcBorders>
              <w:top w:val="single" w:color="auto" w:sz="4" w:space="0"/>
              <w:left w:val="single" w:color="auto" w:sz="4" w:space="0"/>
              <w:bottom w:val="single" w:color="auto" w:sz="4" w:space="0"/>
              <w:right w:val="single" w:color="auto" w:sz="4" w:space="0"/>
            </w:tcBorders>
            <w:vAlign w:val="center"/>
          </w:tcPr>
          <w:p w14:paraId="5594B419">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生态功能分区单元</w:t>
            </w:r>
          </w:p>
        </w:tc>
        <w:tc>
          <w:tcPr>
            <w:tcW w:w="1053" w:type="pct"/>
            <w:tcBorders>
              <w:top w:val="single" w:color="auto" w:sz="4" w:space="0"/>
              <w:left w:val="single" w:color="auto" w:sz="4" w:space="0"/>
              <w:bottom w:val="single" w:color="auto" w:sz="4" w:space="0"/>
              <w:right w:val="single" w:color="auto" w:sz="4" w:space="0"/>
            </w:tcBorders>
            <w:vAlign w:val="center"/>
          </w:tcPr>
          <w:p w14:paraId="15D075AA">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生态区</w:t>
            </w:r>
          </w:p>
        </w:tc>
        <w:tc>
          <w:tcPr>
            <w:tcW w:w="3268" w:type="pct"/>
            <w:tcBorders>
              <w:top w:val="single" w:color="auto" w:sz="4" w:space="0"/>
              <w:left w:val="single" w:color="auto" w:sz="4" w:space="0"/>
              <w:bottom w:val="single" w:color="auto" w:sz="4" w:space="0"/>
              <w:right w:val="single" w:color="auto" w:sz="4" w:space="0"/>
            </w:tcBorders>
            <w:vAlign w:val="center"/>
          </w:tcPr>
          <w:p w14:paraId="2CB7FD33">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IV.</w:t>
            </w:r>
            <w:r>
              <w:rPr>
                <w:rFonts w:hint="default" w:ascii="Times New Roman" w:hAnsi="Times New Roman" w:cs="Times New Roman"/>
                <w:color w:val="auto"/>
                <w:sz w:val="21"/>
                <w:szCs w:val="21"/>
                <w:highlight w:val="none"/>
              </w:rPr>
              <w:t>塔里木盆地暖温荒漠及绿洲农业生态区</w:t>
            </w:r>
          </w:p>
        </w:tc>
      </w:tr>
      <w:tr w14:paraId="303C0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77" w:type="pct"/>
            <w:vMerge w:val="continue"/>
            <w:tcBorders>
              <w:top w:val="single" w:color="auto" w:sz="4" w:space="0"/>
              <w:left w:val="single" w:color="auto" w:sz="4" w:space="0"/>
              <w:bottom w:val="single" w:color="auto" w:sz="4" w:space="0"/>
              <w:right w:val="single" w:color="auto" w:sz="4" w:space="0"/>
            </w:tcBorders>
            <w:vAlign w:val="center"/>
          </w:tcPr>
          <w:p w14:paraId="4580F184">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1053" w:type="pct"/>
            <w:tcBorders>
              <w:top w:val="single" w:color="auto" w:sz="4" w:space="0"/>
              <w:left w:val="single" w:color="auto" w:sz="4" w:space="0"/>
              <w:bottom w:val="single" w:color="auto" w:sz="4" w:space="0"/>
              <w:right w:val="single" w:color="auto" w:sz="4" w:space="0"/>
            </w:tcBorders>
            <w:vAlign w:val="center"/>
          </w:tcPr>
          <w:p w14:paraId="7B344BAD">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生态亚区</w:t>
            </w:r>
          </w:p>
        </w:tc>
        <w:tc>
          <w:tcPr>
            <w:tcW w:w="3268" w:type="pct"/>
            <w:tcBorders>
              <w:top w:val="single" w:color="auto" w:sz="4" w:space="0"/>
              <w:left w:val="single" w:color="auto" w:sz="4" w:space="0"/>
              <w:bottom w:val="single" w:color="auto" w:sz="4" w:space="0"/>
              <w:right w:val="single" w:color="auto" w:sz="4" w:space="0"/>
            </w:tcBorders>
            <w:vAlign w:val="center"/>
          </w:tcPr>
          <w:p w14:paraId="36C3E525">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r>
              <w:rPr>
                <w:rFonts w:hint="eastAsia" w:cs="Times New Roman"/>
                <w:color w:val="auto"/>
                <w:sz w:val="21"/>
                <w:szCs w:val="21"/>
                <w:highlight w:val="none"/>
                <w:vertAlign w:val="subscript"/>
                <w:lang w:val="en-US" w:eastAsia="zh-CN"/>
              </w:rPr>
              <w:t>1</w:t>
            </w:r>
            <w:r>
              <w:rPr>
                <w:rFonts w:hint="default" w:ascii="Times New Roman" w:hAnsi="Times New Roman" w:cs="Times New Roman"/>
                <w:color w:val="auto"/>
                <w:sz w:val="21"/>
                <w:szCs w:val="21"/>
                <w:highlight w:val="none"/>
              </w:rPr>
              <w:t>.塔里木盆地西部、北部荒漠及绿洲农业生态亚区</w:t>
            </w:r>
          </w:p>
        </w:tc>
      </w:tr>
      <w:tr w14:paraId="72899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77" w:type="pct"/>
            <w:vMerge w:val="continue"/>
            <w:tcBorders>
              <w:top w:val="single" w:color="auto" w:sz="4" w:space="0"/>
              <w:left w:val="single" w:color="auto" w:sz="4" w:space="0"/>
              <w:bottom w:val="single" w:color="auto" w:sz="4" w:space="0"/>
              <w:right w:val="single" w:color="auto" w:sz="4" w:space="0"/>
            </w:tcBorders>
            <w:vAlign w:val="center"/>
          </w:tcPr>
          <w:p w14:paraId="3C2FA751">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1053" w:type="pct"/>
            <w:tcBorders>
              <w:top w:val="single" w:color="auto" w:sz="4" w:space="0"/>
              <w:left w:val="single" w:color="auto" w:sz="4" w:space="0"/>
              <w:bottom w:val="single" w:color="auto" w:sz="4" w:space="0"/>
              <w:right w:val="single" w:color="auto" w:sz="4" w:space="0"/>
            </w:tcBorders>
            <w:vAlign w:val="center"/>
          </w:tcPr>
          <w:p w14:paraId="788E630B">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生态功能区</w:t>
            </w:r>
          </w:p>
        </w:tc>
        <w:tc>
          <w:tcPr>
            <w:tcW w:w="3268" w:type="pct"/>
            <w:tcBorders>
              <w:top w:val="single" w:color="auto" w:sz="4" w:space="0"/>
              <w:left w:val="single" w:color="auto" w:sz="4" w:space="0"/>
              <w:bottom w:val="single" w:color="auto" w:sz="4" w:space="0"/>
              <w:right w:val="single" w:color="auto" w:sz="4" w:space="0"/>
            </w:tcBorders>
            <w:vAlign w:val="center"/>
          </w:tcPr>
          <w:p w14:paraId="68FEF6CC">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59.</w:t>
            </w:r>
            <w:r>
              <w:rPr>
                <w:rFonts w:hint="default" w:ascii="Times New Roman" w:hAnsi="Times New Roman" w:cs="Times New Roman"/>
                <w:color w:val="auto"/>
                <w:sz w:val="21"/>
                <w:szCs w:val="21"/>
                <w:highlight w:val="none"/>
              </w:rPr>
              <w:t>塔里木河上中游乔灌草及胡杨林保护生态功能区</w:t>
            </w:r>
          </w:p>
        </w:tc>
      </w:tr>
      <w:tr w14:paraId="2F6C0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31" w:type="pct"/>
            <w:gridSpan w:val="2"/>
            <w:tcBorders>
              <w:top w:val="single" w:color="auto" w:sz="4" w:space="0"/>
              <w:left w:val="single" w:color="auto" w:sz="4" w:space="0"/>
              <w:bottom w:val="single" w:color="auto" w:sz="4" w:space="0"/>
              <w:right w:val="single" w:color="auto" w:sz="4" w:space="0"/>
            </w:tcBorders>
            <w:vAlign w:val="center"/>
          </w:tcPr>
          <w:p w14:paraId="07469F15">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主要生态服务功能</w:t>
            </w:r>
          </w:p>
        </w:tc>
        <w:tc>
          <w:tcPr>
            <w:tcW w:w="3268" w:type="pct"/>
            <w:tcBorders>
              <w:top w:val="single" w:color="auto" w:sz="4" w:space="0"/>
              <w:left w:val="single" w:color="auto" w:sz="4" w:space="0"/>
              <w:bottom w:val="single" w:color="auto" w:sz="4" w:space="0"/>
              <w:right w:val="single" w:color="auto" w:sz="4" w:space="0"/>
            </w:tcBorders>
            <w:vAlign w:val="center"/>
          </w:tcPr>
          <w:p w14:paraId="0660225C">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沙漠化控制、土壤保持、生物多样性维护、农畜产品生产</w:t>
            </w:r>
          </w:p>
        </w:tc>
      </w:tr>
      <w:tr w14:paraId="79C0F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31" w:type="pct"/>
            <w:gridSpan w:val="2"/>
            <w:tcBorders>
              <w:top w:val="single" w:color="auto" w:sz="4" w:space="0"/>
              <w:left w:val="single" w:color="auto" w:sz="4" w:space="0"/>
              <w:bottom w:val="single" w:color="auto" w:sz="4" w:space="0"/>
              <w:right w:val="single" w:color="auto" w:sz="4" w:space="0"/>
            </w:tcBorders>
            <w:vAlign w:val="center"/>
          </w:tcPr>
          <w:p w14:paraId="46F13C3E">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主要生态环境问题</w:t>
            </w:r>
          </w:p>
        </w:tc>
        <w:tc>
          <w:tcPr>
            <w:tcW w:w="3268" w:type="pct"/>
            <w:tcBorders>
              <w:top w:val="single" w:color="auto" w:sz="4" w:space="0"/>
              <w:left w:val="single" w:color="auto" w:sz="4" w:space="0"/>
              <w:bottom w:val="single" w:color="auto" w:sz="4" w:space="0"/>
              <w:right w:val="single" w:color="auto" w:sz="4" w:space="0"/>
            </w:tcBorders>
            <w:vAlign w:val="center"/>
          </w:tcPr>
          <w:p w14:paraId="77C36024">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河水水量减少、水质恶化、植被破坏、沙漠化扩大、土壤盐渍化、湿地减少、野生动物减少、毁林毁草开荒</w:t>
            </w:r>
          </w:p>
        </w:tc>
      </w:tr>
      <w:tr w14:paraId="2E861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31" w:type="pct"/>
            <w:gridSpan w:val="2"/>
            <w:tcBorders>
              <w:top w:val="single" w:color="auto" w:sz="4" w:space="0"/>
              <w:left w:val="single" w:color="000000" w:sz="6" w:space="0"/>
            </w:tcBorders>
            <w:vAlign w:val="center"/>
          </w:tcPr>
          <w:p w14:paraId="48CBE7F6">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主要生态敏感因子、敏感程度</w:t>
            </w:r>
          </w:p>
        </w:tc>
        <w:tc>
          <w:tcPr>
            <w:tcW w:w="3268" w:type="pct"/>
            <w:tcBorders>
              <w:top w:val="single" w:color="auto" w:sz="4" w:space="0"/>
              <w:right w:val="single" w:color="000000" w:sz="6" w:space="0"/>
            </w:tcBorders>
            <w:vAlign w:val="center"/>
          </w:tcPr>
          <w:p w14:paraId="4E577474">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生物多样性及其生境高度敏感，土壤侵蚀、土地沙漠化中度敏感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土壤盐渍化轻度敏感</w:t>
            </w:r>
          </w:p>
        </w:tc>
      </w:tr>
      <w:tr w14:paraId="51215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31" w:type="pct"/>
            <w:gridSpan w:val="2"/>
            <w:tcBorders>
              <w:left w:val="single" w:color="000000" w:sz="6" w:space="0"/>
            </w:tcBorders>
            <w:vAlign w:val="center"/>
          </w:tcPr>
          <w:p w14:paraId="7FC81C47">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主要保护目标</w:t>
            </w:r>
          </w:p>
        </w:tc>
        <w:tc>
          <w:tcPr>
            <w:tcW w:w="3268" w:type="pct"/>
            <w:tcBorders>
              <w:right w:val="single" w:color="000000" w:sz="6" w:space="0"/>
            </w:tcBorders>
            <w:vAlign w:val="center"/>
          </w:tcPr>
          <w:p w14:paraId="077D2B1F">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保证向下游泄水量、保护胡杨林、保护河岸和防洪堤、保护野生动物、保护湿地、保护甘草和罗布麻</w:t>
            </w:r>
          </w:p>
        </w:tc>
      </w:tr>
      <w:tr w14:paraId="29BA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31" w:type="pct"/>
            <w:gridSpan w:val="2"/>
            <w:tcBorders>
              <w:left w:val="single" w:color="000000" w:sz="6" w:space="0"/>
            </w:tcBorders>
            <w:vAlign w:val="center"/>
          </w:tcPr>
          <w:p w14:paraId="46BD5D17">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主要保护措施</w:t>
            </w:r>
          </w:p>
        </w:tc>
        <w:tc>
          <w:tcPr>
            <w:tcW w:w="3268" w:type="pct"/>
            <w:tcBorders>
              <w:right w:val="single" w:color="000000" w:sz="6" w:space="0"/>
            </w:tcBorders>
            <w:vAlign w:val="center"/>
          </w:tcPr>
          <w:p w14:paraId="5BCD15C6">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退耕还林还草、控制农排水、生态移民、废弃部分平原水库、禁止采伐与</w:t>
            </w:r>
            <w:r>
              <w:rPr>
                <w:rFonts w:hint="eastAsia" w:cs="Times New Roman"/>
                <w:color w:val="auto"/>
                <w:sz w:val="21"/>
                <w:szCs w:val="21"/>
                <w:highlight w:val="none"/>
                <w:lang w:eastAsia="zh-CN"/>
              </w:rPr>
              <w:t>砍伐</w:t>
            </w:r>
            <w:r>
              <w:rPr>
                <w:rFonts w:hint="default" w:ascii="Times New Roman" w:hAnsi="Times New Roman" w:cs="Times New Roman"/>
                <w:color w:val="auto"/>
                <w:sz w:val="21"/>
                <w:szCs w:val="21"/>
                <w:highlight w:val="none"/>
              </w:rPr>
              <w:t>放牧、禁止乱挖甘草和罗布麻</w:t>
            </w:r>
          </w:p>
        </w:tc>
      </w:tr>
      <w:tr w14:paraId="4EB58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31" w:type="pct"/>
            <w:gridSpan w:val="2"/>
            <w:tcBorders>
              <w:left w:val="single" w:color="000000" w:sz="6" w:space="0"/>
              <w:bottom w:val="single" w:color="000000" w:sz="6" w:space="0"/>
            </w:tcBorders>
            <w:vAlign w:val="center"/>
          </w:tcPr>
          <w:p w14:paraId="6A5C2DEB">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适宜发展方向</w:t>
            </w:r>
          </w:p>
        </w:tc>
        <w:tc>
          <w:tcPr>
            <w:tcW w:w="3268" w:type="pct"/>
            <w:tcBorders>
              <w:bottom w:val="single" w:color="000000" w:sz="6" w:space="0"/>
              <w:right w:val="single" w:color="000000" w:sz="6" w:space="0"/>
            </w:tcBorders>
            <w:vAlign w:val="center"/>
          </w:tcPr>
          <w:p w14:paraId="53000E7F">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加大保护力度，建设国家级塔河生态功能保护区和世界最大的胡杨林自然保护区</w:t>
            </w:r>
          </w:p>
        </w:tc>
      </w:tr>
    </w:tbl>
    <w:p w14:paraId="4C294EA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不涉及依法划定的自然保护区、饮用水源保护区、风景名胜区、森林公园等环境敏感区，不在拟定的生态保护红线内。除油区工作人员外，工程区无人居住。评价范围内主要环境敏感保护目标为野生动植物、塔里木河流域水土流失重点治理区。</w:t>
      </w:r>
    </w:p>
    <w:p w14:paraId="20A7496B">
      <w:pPr>
        <w:pStyle w:val="81"/>
        <w:keepNext w:val="0"/>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zh-CN"/>
        </w:rPr>
        <w:t>生态系统</w:t>
      </w:r>
      <w:r>
        <w:rPr>
          <w:rFonts w:hint="default" w:ascii="Times New Roman" w:hAnsi="Times New Roman" w:cs="Times New Roman"/>
          <w:color w:val="auto"/>
          <w:highlight w:val="none"/>
          <w:lang w:val="en-US" w:eastAsia="zh-CN"/>
        </w:rPr>
        <w:t>结构</w:t>
      </w:r>
      <w:r>
        <w:rPr>
          <w:rFonts w:hint="default" w:ascii="Times New Roman" w:hAnsi="Times New Roman" w:cs="Times New Roman"/>
          <w:color w:val="auto"/>
          <w:highlight w:val="none"/>
          <w:lang w:val="zh-CN"/>
        </w:rPr>
        <w:t>和特征</w:t>
      </w:r>
    </w:p>
    <w:p w14:paraId="63FCA51A">
      <w:pPr>
        <w:spacing w:line="360" w:lineRule="auto"/>
        <w:ind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本项目所在区域</w:t>
      </w:r>
      <w:r>
        <w:rPr>
          <w:rFonts w:hint="default" w:ascii="Times New Roman" w:hAnsi="Times New Roman" w:eastAsia="宋体" w:cs="Times New Roman"/>
          <w:color w:val="auto"/>
          <w:highlight w:val="none"/>
          <w:lang w:val="en-US" w:eastAsia="zh-CN"/>
        </w:rPr>
        <w:t>属暖温带大陆性干旱气候，该区域气候干燥，降水稀少。夏季炎热；冬季干冷；春季升温快而不稳，多风沙浮尘天气；秋季降温迅速。年温差和日温较差大。光照充足，热量丰富，蒸发强烈。</w:t>
      </w:r>
    </w:p>
    <w:p w14:paraId="46083821">
      <w:pPr>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本次采用野外调查与遥感技术相结合的手段，根据《全国生态状况调查评估技术规范</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生态系统遥感解译与野外核查》（HJ1166-2021）的分类方法，对评价区生态系统进行分类。</w:t>
      </w:r>
      <w:r>
        <w:rPr>
          <w:rFonts w:hint="default" w:ascii="Times New Roman" w:hAnsi="Times New Roman" w:cs="Times New Roman"/>
          <w:color w:val="auto"/>
          <w:highlight w:val="none"/>
        </w:rPr>
        <w:t>评价区内生态系统类型以</w:t>
      </w:r>
      <w:r>
        <w:rPr>
          <w:rFonts w:hint="eastAsia" w:cs="Times New Roman"/>
          <w:color w:val="auto"/>
          <w:highlight w:val="none"/>
          <w:lang w:val="en-US" w:eastAsia="zh-CN"/>
        </w:rPr>
        <w:t>森林生态系统、</w:t>
      </w:r>
      <w:r>
        <w:rPr>
          <w:rFonts w:hint="default" w:ascii="Times New Roman" w:hAnsi="Times New Roman" w:cs="Times New Roman"/>
          <w:color w:val="auto"/>
          <w:highlight w:val="none"/>
        </w:rPr>
        <w:t>灌丛生态系统、草地生态系统</w:t>
      </w:r>
      <w:r>
        <w:rPr>
          <w:rFonts w:hint="eastAsia" w:cs="Times New Roman"/>
          <w:color w:val="auto"/>
          <w:highlight w:val="none"/>
          <w:lang w:val="en-US" w:eastAsia="zh-CN"/>
        </w:rPr>
        <w:t>及农田生态系统</w:t>
      </w:r>
      <w:r>
        <w:rPr>
          <w:rFonts w:hint="default" w:ascii="Times New Roman" w:hAnsi="Times New Roman" w:cs="Times New Roman"/>
          <w:color w:val="auto"/>
          <w:highlight w:val="none"/>
        </w:rPr>
        <w:t>为主，其中森林生态系统占评价区面积的33.18%，灌丛生态系统占评价区面积的46.02%，草地生态系统占评价区面积的16.59%，农田生态系统占评价区面积的4.21%。各类生态系统统计表见表4.6-2。评价区生态系统类型分布见图4.6-2</w:t>
      </w:r>
      <w:r>
        <w:rPr>
          <w:rFonts w:hint="default" w:ascii="Times New Roman" w:hAnsi="Times New Roman" w:cs="Times New Roman"/>
          <w:color w:val="auto"/>
          <w:highlight w:val="none"/>
          <w:lang w:val="en-US" w:eastAsia="zh-CN"/>
        </w:rPr>
        <w:t>。</w:t>
      </w:r>
    </w:p>
    <w:p w14:paraId="7A788B71">
      <w:pPr>
        <w:pStyle w:val="44"/>
        <w:bidi w:val="0"/>
        <w:outlineLvl w:val="9"/>
        <w:rPr>
          <w:rFonts w:hint="default" w:ascii="Times New Roman" w:hAnsi="Times New Roman" w:eastAsia="黑体" w:cs="Times New Roman"/>
          <w:color w:val="auto"/>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bidi="ar-SA"/>
        </w:rPr>
        <w:t>表4.6-2</w:t>
      </w:r>
      <w:r>
        <w:rPr>
          <w:rFonts w:hint="eastAsia" w:cs="Times New Roman"/>
          <w:color w:val="auto"/>
          <w:sz w:val="21"/>
          <w:szCs w:val="21"/>
          <w:highlight w:val="none"/>
          <w:lang w:val="en-US" w:eastAsia="zh-CN" w:bidi="ar-SA"/>
        </w:rPr>
        <w:t xml:space="preserve">  </w:t>
      </w:r>
      <w:r>
        <w:rPr>
          <w:rFonts w:hint="default" w:ascii="Times New Roman" w:hAnsi="Times New Roman" w:eastAsia="黑体" w:cs="Times New Roman"/>
          <w:color w:val="auto"/>
          <w:sz w:val="21"/>
          <w:szCs w:val="21"/>
          <w:highlight w:val="none"/>
          <w:lang w:val="en-US" w:eastAsia="zh-CN" w:bidi="ar-SA"/>
        </w:rPr>
        <w:t>评价区生态系统类型及特征</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0"/>
        <w:gridCol w:w="2006"/>
        <w:gridCol w:w="1435"/>
        <w:gridCol w:w="1818"/>
        <w:gridCol w:w="2430"/>
      </w:tblGrid>
      <w:tr w14:paraId="3BED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87" w:type="pct"/>
            <w:shd w:val="clear" w:color="auto" w:fill="auto"/>
            <w:vAlign w:val="center"/>
          </w:tcPr>
          <w:p w14:paraId="53A6F8C0">
            <w:pPr>
              <w:pStyle w:val="52"/>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177" w:type="pct"/>
            <w:shd w:val="clear" w:color="auto" w:fill="auto"/>
            <w:vAlign w:val="center"/>
          </w:tcPr>
          <w:p w14:paraId="331CA53D">
            <w:pPr>
              <w:pStyle w:val="52"/>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生态系统类型</w:t>
            </w:r>
          </w:p>
        </w:tc>
        <w:tc>
          <w:tcPr>
            <w:tcW w:w="841" w:type="pct"/>
            <w:shd w:val="clear" w:color="auto" w:fill="auto"/>
            <w:vAlign w:val="center"/>
          </w:tcPr>
          <w:p w14:paraId="16C1E18D">
            <w:pPr>
              <w:pStyle w:val="52"/>
              <w:bidi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二级分类</w:t>
            </w:r>
          </w:p>
        </w:tc>
        <w:tc>
          <w:tcPr>
            <w:tcW w:w="1067" w:type="pct"/>
            <w:shd w:val="clear" w:color="auto" w:fill="auto"/>
            <w:vAlign w:val="center"/>
          </w:tcPr>
          <w:p w14:paraId="52571529">
            <w:pPr>
              <w:pStyle w:val="52"/>
              <w:bidi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面积（km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p>
        </w:tc>
        <w:tc>
          <w:tcPr>
            <w:tcW w:w="1426" w:type="pct"/>
            <w:shd w:val="clear" w:color="auto" w:fill="auto"/>
            <w:vAlign w:val="center"/>
          </w:tcPr>
          <w:p w14:paraId="12D2D933">
            <w:pPr>
              <w:pStyle w:val="52"/>
              <w:bidi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面积百分比（%）</w:t>
            </w:r>
          </w:p>
        </w:tc>
      </w:tr>
      <w:tr w14:paraId="6F1A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7" w:type="pct"/>
            <w:shd w:val="clear" w:color="auto" w:fill="auto"/>
            <w:noWrap/>
            <w:vAlign w:val="center"/>
          </w:tcPr>
          <w:p w14:paraId="4D9B73DC">
            <w:pPr>
              <w:pStyle w:val="52"/>
              <w:bidi w:val="0"/>
              <w:ind w:firstLine="0" w:firstLineChars="0"/>
              <w:jc w:val="center"/>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cs="Times New Roman"/>
                <w:color w:val="auto"/>
                <w:highlight w:val="none"/>
                <w:lang w:val="en-US" w:eastAsia="zh-CN"/>
              </w:rPr>
              <w:t>1</w:t>
            </w:r>
          </w:p>
        </w:tc>
        <w:tc>
          <w:tcPr>
            <w:tcW w:w="1177" w:type="pct"/>
            <w:shd w:val="clear" w:color="auto" w:fill="auto"/>
            <w:noWrap/>
            <w:vAlign w:val="center"/>
          </w:tcPr>
          <w:p w14:paraId="14B41AA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bidi="ar-SA"/>
              </w:rPr>
            </w:pPr>
            <w:r>
              <w:rPr>
                <w:rFonts w:hint="eastAsia" w:cs="Times New Roman"/>
                <w:i w:val="0"/>
                <w:iCs w:val="0"/>
                <w:color w:val="auto"/>
                <w:sz w:val="22"/>
                <w:szCs w:val="22"/>
                <w:highlight w:val="none"/>
                <w:u w:val="none"/>
                <w:lang w:val="en-US" w:eastAsia="zh-CN" w:bidi="ar-SA"/>
              </w:rPr>
              <w:t>森林生态系统</w:t>
            </w:r>
          </w:p>
        </w:tc>
        <w:tc>
          <w:tcPr>
            <w:tcW w:w="841" w:type="pct"/>
            <w:shd w:val="clear" w:color="auto" w:fill="auto"/>
            <w:noWrap/>
            <w:vAlign w:val="center"/>
          </w:tcPr>
          <w:p w14:paraId="472FF8F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bidi="ar-SA"/>
              </w:rPr>
            </w:pPr>
            <w:r>
              <w:rPr>
                <w:rFonts w:hint="eastAsia" w:cs="Times New Roman"/>
                <w:i w:val="0"/>
                <w:iCs w:val="0"/>
                <w:color w:val="auto"/>
                <w:sz w:val="22"/>
                <w:szCs w:val="22"/>
                <w:highlight w:val="none"/>
                <w:u w:val="none"/>
                <w:lang w:val="en-US" w:eastAsia="zh-CN" w:bidi="ar-SA"/>
              </w:rPr>
              <w:t>阔叶林</w:t>
            </w:r>
          </w:p>
        </w:tc>
        <w:tc>
          <w:tcPr>
            <w:tcW w:w="1067" w:type="pct"/>
            <w:shd w:val="clear" w:color="auto" w:fill="auto"/>
            <w:noWrap/>
            <w:vAlign w:val="center"/>
          </w:tcPr>
          <w:p w14:paraId="1BFC87E1">
            <w:pPr>
              <w:pStyle w:val="52"/>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1.42</w:t>
            </w:r>
          </w:p>
        </w:tc>
        <w:tc>
          <w:tcPr>
            <w:tcW w:w="1426" w:type="pct"/>
            <w:shd w:val="clear" w:color="auto" w:fill="auto"/>
            <w:noWrap/>
            <w:vAlign w:val="center"/>
          </w:tcPr>
          <w:p w14:paraId="7D3E4B74">
            <w:pPr>
              <w:pStyle w:val="52"/>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33.18</w:t>
            </w:r>
          </w:p>
        </w:tc>
      </w:tr>
      <w:tr w14:paraId="0A3A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7" w:type="pct"/>
            <w:shd w:val="clear" w:color="auto" w:fill="auto"/>
            <w:noWrap/>
            <w:vAlign w:val="center"/>
          </w:tcPr>
          <w:p w14:paraId="7280918D">
            <w:pPr>
              <w:pStyle w:val="52"/>
              <w:bidi w:val="0"/>
              <w:ind w:firstLine="0" w:firstLineChars="0"/>
              <w:jc w:val="center"/>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cs="Times New Roman"/>
                <w:color w:val="auto"/>
                <w:highlight w:val="none"/>
                <w:lang w:val="en-US" w:eastAsia="zh-CN"/>
              </w:rPr>
              <w:t>2</w:t>
            </w:r>
          </w:p>
        </w:tc>
        <w:tc>
          <w:tcPr>
            <w:tcW w:w="1177" w:type="pct"/>
            <w:shd w:val="clear" w:color="auto" w:fill="auto"/>
            <w:noWrap/>
            <w:vAlign w:val="center"/>
          </w:tcPr>
          <w:p w14:paraId="7B0CE5D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灌丛生态系统</w:t>
            </w:r>
          </w:p>
        </w:tc>
        <w:tc>
          <w:tcPr>
            <w:tcW w:w="841" w:type="pct"/>
            <w:shd w:val="clear" w:color="auto" w:fill="auto"/>
            <w:noWrap/>
            <w:vAlign w:val="center"/>
          </w:tcPr>
          <w:p w14:paraId="578BA68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阔叶</w:t>
            </w:r>
            <w:r>
              <w:rPr>
                <w:rFonts w:hint="default" w:ascii="Times New Roman" w:hAnsi="Times New Roman" w:cs="Times New Roman"/>
                <w:i w:val="0"/>
                <w:iCs w:val="0"/>
                <w:color w:val="auto"/>
                <w:kern w:val="0"/>
                <w:sz w:val="22"/>
                <w:szCs w:val="22"/>
                <w:highlight w:val="none"/>
                <w:u w:val="none"/>
                <w:lang w:val="en-US" w:eastAsia="zh-CN" w:bidi="ar"/>
              </w:rPr>
              <w:t>灌丛</w:t>
            </w:r>
          </w:p>
        </w:tc>
        <w:tc>
          <w:tcPr>
            <w:tcW w:w="1067" w:type="pct"/>
            <w:shd w:val="clear" w:color="auto" w:fill="auto"/>
            <w:noWrap/>
            <w:vAlign w:val="center"/>
          </w:tcPr>
          <w:p w14:paraId="3DDF08BF">
            <w:pPr>
              <w:pStyle w:val="52"/>
              <w:bidi w:val="0"/>
              <w:ind w:firstLine="0" w:firstLineChars="0"/>
              <w:jc w:val="center"/>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eastAsia="宋体" w:cs="Times New Roman"/>
                <w:color w:val="auto"/>
                <w:sz w:val="21"/>
                <w:szCs w:val="18"/>
                <w:highlight w:val="none"/>
                <w:lang w:val="en-US" w:eastAsia="zh-CN" w:bidi="ar-SA"/>
              </w:rPr>
              <w:t>1.97</w:t>
            </w:r>
          </w:p>
        </w:tc>
        <w:tc>
          <w:tcPr>
            <w:tcW w:w="1426" w:type="pct"/>
            <w:shd w:val="clear" w:color="auto" w:fill="auto"/>
            <w:noWrap/>
            <w:vAlign w:val="center"/>
          </w:tcPr>
          <w:p w14:paraId="3295A5B5">
            <w:pPr>
              <w:pStyle w:val="52"/>
              <w:bidi w:val="0"/>
              <w:ind w:firstLine="0" w:firstLineChars="0"/>
              <w:jc w:val="center"/>
              <w:rPr>
                <w:rFonts w:hint="default" w:ascii="Times New Roman" w:hAnsi="Times New Roman" w:eastAsia="宋体" w:cs="Times New Roman"/>
                <w:color w:val="auto"/>
                <w:sz w:val="21"/>
                <w:szCs w:val="18"/>
                <w:highlight w:val="none"/>
                <w:lang w:val="en-US" w:eastAsia="zh-CN" w:bidi="ar-SA"/>
              </w:rPr>
            </w:pPr>
            <w:r>
              <w:rPr>
                <w:rFonts w:hint="eastAsia" w:cs="Times New Roman"/>
                <w:color w:val="auto"/>
                <w:sz w:val="21"/>
                <w:szCs w:val="18"/>
                <w:highlight w:val="none"/>
                <w:lang w:val="en-US" w:eastAsia="zh-CN" w:bidi="ar-SA"/>
              </w:rPr>
              <w:t>46.02</w:t>
            </w:r>
          </w:p>
        </w:tc>
      </w:tr>
      <w:tr w14:paraId="0C9F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7" w:type="pct"/>
            <w:shd w:val="clear" w:color="auto" w:fill="auto"/>
            <w:noWrap/>
            <w:vAlign w:val="center"/>
          </w:tcPr>
          <w:p w14:paraId="532A786F">
            <w:pPr>
              <w:pStyle w:val="52"/>
              <w:bidi w:val="0"/>
              <w:ind w:firstLine="0" w:firstLineChars="0"/>
              <w:jc w:val="center"/>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cs="Times New Roman"/>
                <w:color w:val="auto"/>
                <w:highlight w:val="none"/>
                <w:lang w:val="en-US" w:eastAsia="zh-CN"/>
              </w:rPr>
              <w:t>3</w:t>
            </w:r>
          </w:p>
        </w:tc>
        <w:tc>
          <w:tcPr>
            <w:tcW w:w="1177" w:type="pct"/>
            <w:shd w:val="clear" w:color="auto" w:fill="auto"/>
            <w:noWrap/>
            <w:vAlign w:val="center"/>
          </w:tcPr>
          <w:p w14:paraId="72A9502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草地生态系统</w:t>
            </w:r>
          </w:p>
        </w:tc>
        <w:tc>
          <w:tcPr>
            <w:tcW w:w="841" w:type="pct"/>
            <w:shd w:val="clear" w:color="auto" w:fill="auto"/>
            <w:noWrap/>
            <w:vAlign w:val="center"/>
          </w:tcPr>
          <w:p w14:paraId="3119DB1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bidi="ar-SA"/>
              </w:rPr>
            </w:pPr>
            <w:r>
              <w:rPr>
                <w:rFonts w:hint="default" w:ascii="Times New Roman" w:hAnsi="Times New Roman" w:cs="Times New Roman"/>
                <w:i w:val="0"/>
                <w:iCs w:val="0"/>
                <w:color w:val="auto"/>
                <w:kern w:val="0"/>
                <w:sz w:val="22"/>
                <w:szCs w:val="22"/>
                <w:highlight w:val="none"/>
                <w:u w:val="none"/>
                <w:lang w:val="en-US" w:eastAsia="zh-CN" w:bidi="ar"/>
              </w:rPr>
              <w:t>稀疏草地</w:t>
            </w:r>
          </w:p>
        </w:tc>
        <w:tc>
          <w:tcPr>
            <w:tcW w:w="1067" w:type="pct"/>
            <w:shd w:val="clear" w:color="auto" w:fill="auto"/>
            <w:noWrap/>
            <w:vAlign w:val="center"/>
          </w:tcPr>
          <w:p w14:paraId="564BC345">
            <w:pPr>
              <w:pStyle w:val="52"/>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71</w:t>
            </w:r>
          </w:p>
        </w:tc>
        <w:tc>
          <w:tcPr>
            <w:tcW w:w="1426" w:type="pct"/>
            <w:shd w:val="clear" w:color="auto" w:fill="auto"/>
            <w:noWrap/>
            <w:vAlign w:val="center"/>
          </w:tcPr>
          <w:p w14:paraId="6027F740">
            <w:pPr>
              <w:pStyle w:val="52"/>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16.59</w:t>
            </w:r>
          </w:p>
        </w:tc>
      </w:tr>
      <w:tr w14:paraId="3EC8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487" w:type="pct"/>
            <w:shd w:val="clear" w:color="auto" w:fill="auto"/>
            <w:noWrap/>
            <w:vAlign w:val="center"/>
          </w:tcPr>
          <w:p w14:paraId="30D0A909">
            <w:pPr>
              <w:pStyle w:val="52"/>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p>
        </w:tc>
        <w:tc>
          <w:tcPr>
            <w:tcW w:w="1177" w:type="pct"/>
            <w:shd w:val="clear" w:color="auto" w:fill="auto"/>
            <w:noWrap/>
            <w:vAlign w:val="center"/>
          </w:tcPr>
          <w:p w14:paraId="59BFE8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农田</w:t>
            </w:r>
            <w:r>
              <w:rPr>
                <w:rFonts w:hint="default" w:ascii="Times New Roman" w:hAnsi="Times New Roman" w:eastAsia="宋体" w:cs="Times New Roman"/>
                <w:i w:val="0"/>
                <w:iCs w:val="0"/>
                <w:color w:val="auto"/>
                <w:kern w:val="0"/>
                <w:sz w:val="22"/>
                <w:szCs w:val="22"/>
                <w:highlight w:val="none"/>
                <w:u w:val="none"/>
                <w:lang w:val="en-US" w:eastAsia="zh-CN" w:bidi="ar"/>
              </w:rPr>
              <w:t>生态系统</w:t>
            </w:r>
          </w:p>
        </w:tc>
        <w:tc>
          <w:tcPr>
            <w:tcW w:w="841" w:type="pct"/>
            <w:shd w:val="clear" w:color="auto" w:fill="auto"/>
            <w:noWrap/>
            <w:vAlign w:val="center"/>
          </w:tcPr>
          <w:p w14:paraId="3EB86253">
            <w:pPr>
              <w:keepNext w:val="0"/>
              <w:keepLines w:val="0"/>
              <w:widowControl/>
              <w:suppressLineNumbers w:val="0"/>
              <w:jc w:val="center"/>
              <w:textAlignment w:val="center"/>
              <w:rPr>
                <w:rFonts w:hint="default" w:ascii="Times New Roman" w:hAnsi="Times New Roman"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耕地</w:t>
            </w:r>
          </w:p>
        </w:tc>
        <w:tc>
          <w:tcPr>
            <w:tcW w:w="1067" w:type="pct"/>
            <w:shd w:val="clear" w:color="auto" w:fill="auto"/>
            <w:noWrap/>
            <w:vAlign w:val="center"/>
          </w:tcPr>
          <w:p w14:paraId="59CC5CD0">
            <w:pPr>
              <w:pStyle w:val="52"/>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0.18</w:t>
            </w:r>
          </w:p>
        </w:tc>
        <w:tc>
          <w:tcPr>
            <w:tcW w:w="1426" w:type="pct"/>
            <w:shd w:val="clear" w:color="auto" w:fill="auto"/>
            <w:noWrap/>
            <w:vAlign w:val="center"/>
          </w:tcPr>
          <w:p w14:paraId="21075640">
            <w:pPr>
              <w:pStyle w:val="52"/>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4.21</w:t>
            </w:r>
          </w:p>
        </w:tc>
      </w:tr>
      <w:tr w14:paraId="44D2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6" w:type="pct"/>
            <w:gridSpan w:val="3"/>
            <w:shd w:val="clear" w:color="auto" w:fill="auto"/>
            <w:noWrap/>
            <w:vAlign w:val="center"/>
          </w:tcPr>
          <w:p w14:paraId="71F0E5B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bidi="ar-SA"/>
              </w:rPr>
            </w:pPr>
            <w:r>
              <w:rPr>
                <w:rFonts w:hint="default" w:ascii="Times New Roman" w:hAnsi="Times New Roman" w:cs="Times New Roman"/>
                <w:color w:val="auto"/>
                <w:highlight w:val="none"/>
                <w:lang w:val="en-US" w:eastAsia="zh-CN"/>
              </w:rPr>
              <w:t>合计</w:t>
            </w:r>
          </w:p>
        </w:tc>
        <w:tc>
          <w:tcPr>
            <w:tcW w:w="1067" w:type="pct"/>
            <w:shd w:val="clear" w:color="auto" w:fill="auto"/>
            <w:noWrap/>
            <w:vAlign w:val="center"/>
          </w:tcPr>
          <w:p w14:paraId="14F7EA76">
            <w:pPr>
              <w:pStyle w:val="52"/>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4.28</w:t>
            </w:r>
          </w:p>
        </w:tc>
        <w:tc>
          <w:tcPr>
            <w:tcW w:w="1426" w:type="pct"/>
            <w:shd w:val="clear" w:color="auto" w:fill="auto"/>
            <w:noWrap/>
            <w:vAlign w:val="center"/>
          </w:tcPr>
          <w:p w14:paraId="298E9845">
            <w:pPr>
              <w:pStyle w:val="52"/>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r>
    </w:tbl>
    <w:p w14:paraId="208B954B">
      <w:pPr>
        <w:ind w:left="0" w:leftChars="0" w:right="0" w:rightChars="0" w:firstLine="0" w:firstLineChars="0"/>
        <w:jc w:val="left"/>
        <w:rPr>
          <w:color w:val="auto"/>
          <w:highlight w:val="none"/>
        </w:rPr>
      </w:pPr>
    </w:p>
    <w:p w14:paraId="794FA4F3">
      <w:pPr>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森林生态系统</w:t>
      </w:r>
    </w:p>
    <w:p w14:paraId="323E51F4">
      <w:pPr>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森林生态系统主要指以乔木为建群种或优势种的生物群落与其所在生态环境相互作用，形成一个相对稳定的生态系统。森林生态系统的分布是森林植物区系对特定地区环境条件的综合反映，也是森林植物对自然环境长期相互适应的结果，其中大气热量与水分状况对森林的地理分布有着较深刻的影响。其次，气候也是影响森林</w:t>
      </w:r>
      <w:r>
        <w:rPr>
          <w:rFonts w:hint="eastAsia" w:cs="Times New Roman"/>
          <w:color w:val="auto"/>
          <w:highlight w:val="none"/>
          <w:lang w:val="en-US" w:eastAsia="zh-CN"/>
        </w:rPr>
        <w:t>分布得较</w:t>
      </w:r>
      <w:r>
        <w:rPr>
          <w:rFonts w:hint="eastAsia" w:ascii="Times New Roman" w:hAnsi="Times New Roman" w:cs="Times New Roman"/>
          <w:color w:val="auto"/>
          <w:highlight w:val="none"/>
          <w:lang w:val="en-US" w:eastAsia="zh-CN"/>
        </w:rPr>
        <w:t>重要条件。</w:t>
      </w:r>
    </w:p>
    <w:p w14:paraId="242AFEE3">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1）森林生态系统特征</w:t>
      </w:r>
    </w:p>
    <w:p w14:paraId="5DFF023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垂直结构显著：从地面到树冠形成多层次的空间结构。</w:t>
      </w:r>
    </w:p>
    <w:p w14:paraId="47B833D4">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生物种类繁多：包括乔木、灌木、藤蔓、草本植物等。</w:t>
      </w:r>
    </w:p>
    <w:p w14:paraId="44991227">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物种组成复杂：不同物种之间存在复杂的种间关系，如竞争、共生、捕食等。</w:t>
      </w:r>
    </w:p>
    <w:p w14:paraId="3CC76610">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生产力高：能够高效地利用光能进行光合作用，产生大量的有机物质。</w:t>
      </w:r>
    </w:p>
    <w:p w14:paraId="6105687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对环境变化敏感：受气候变化、土地利用变化等因素的影响较大。</w:t>
      </w:r>
    </w:p>
    <w:p w14:paraId="2B5050A4">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2）森林生态系统的功能</w:t>
      </w:r>
    </w:p>
    <w:p w14:paraId="19E372BF">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涵养水源：森林能够截留降水，减少地表径流，促进水分渗透到地下。</w:t>
      </w:r>
    </w:p>
    <w:p w14:paraId="2632404F">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保持水土：树木的根系可以固定土壤，防止土壤侵蚀。</w:t>
      </w:r>
    </w:p>
    <w:p w14:paraId="2B3516B7">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防风固沙：森林植被能有效阻挡风沙，减少沙漠化扩展的风险。</w:t>
      </w:r>
    </w:p>
    <w:p w14:paraId="03814F1F">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调节气候：森林可以通过蒸腾作用增加大气湿度，影响局部气候条件。</w:t>
      </w:r>
    </w:p>
    <w:p w14:paraId="301919A5">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保护物种多样性：森林为众多生物提供了栖息地，支持着区域大部分的陆生生物多样性</w:t>
      </w:r>
    </w:p>
    <w:p w14:paraId="47925C52">
      <w:pPr>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灌丛生态系统</w:t>
      </w:r>
    </w:p>
    <w:p w14:paraId="0C1684A5">
      <w:pPr>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灌丛生态系统是指由灌木和低矮的树木组成的生物群落，通常分布在干旱或半干旱地区。由于生长环境的限制，这些植物通常具有较长的根系和较小的叶片，以适应干燥和高温的气候条件。</w:t>
      </w:r>
      <w:r>
        <w:rPr>
          <w:rFonts w:hint="eastAsia" w:cs="Times New Roman"/>
          <w:color w:val="auto"/>
          <w:highlight w:val="none"/>
          <w:lang w:val="en-US" w:eastAsia="zh-CN"/>
        </w:rPr>
        <w:t>灌丛</w:t>
      </w:r>
      <w:r>
        <w:rPr>
          <w:rFonts w:hint="eastAsia" w:ascii="Times New Roman" w:hAnsi="Times New Roman" w:cs="Times New Roman"/>
          <w:color w:val="auto"/>
          <w:highlight w:val="none"/>
          <w:lang w:val="en-US" w:eastAsia="zh-CN"/>
        </w:rPr>
        <w:t>生态系统在维持生物多样性和生态平衡方面起着重要作用。首先，</w:t>
      </w:r>
      <w:r>
        <w:rPr>
          <w:rFonts w:hint="eastAsia" w:cs="Times New Roman"/>
          <w:color w:val="auto"/>
          <w:highlight w:val="none"/>
          <w:lang w:val="en-US" w:eastAsia="zh-CN"/>
        </w:rPr>
        <w:t>灌丛</w:t>
      </w:r>
      <w:r>
        <w:rPr>
          <w:rFonts w:hint="eastAsia" w:ascii="Times New Roman" w:hAnsi="Times New Roman" w:cs="Times New Roman"/>
          <w:color w:val="auto"/>
          <w:highlight w:val="none"/>
          <w:lang w:val="en-US" w:eastAsia="zh-CN"/>
        </w:rPr>
        <w:t>为众多动物提供了栖息地和食物来源。许多鸟类、哺乳动物和昆虫都依赖于灌丛生态系统中的植物来寻找庇护和食物。灌丛还为许多植物提供了理想的生长环境，使它们能够在干旱的气候条件下存活和繁衍。灌丛生态系统在土壤保持和水资源管理方面起着重要作用。由于灌丛植物的根系较长，能够固定土壤，减少水土流失的风险</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此外灌丛植物的根系还能够吸收和储存水分，减少土壤中的水分蒸发，提供给其他植物和动物使用。同时灌丛生态系统具有显著的碳汇功能，其碳储量的增加被认为是我国陆地生态系统碳储量增加的主要原因之一。‌</w:t>
      </w:r>
    </w:p>
    <w:p w14:paraId="219E3138">
      <w:pPr>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草地生态系统</w:t>
      </w:r>
    </w:p>
    <w:p w14:paraId="7B6181EC">
      <w:pPr>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草地生态系统由生产者（禾本科等草本植物）、消费者（草食动物</w:t>
      </w:r>
      <w:r>
        <w:rPr>
          <w:rFonts w:hint="eastAsia" w:cs="Times New Roman"/>
          <w:color w:val="auto"/>
          <w:highlight w:val="none"/>
          <w:lang w:val="en-US" w:eastAsia="zh-CN"/>
        </w:rPr>
        <w:t>等</w:t>
      </w:r>
      <w:r>
        <w:rPr>
          <w:rFonts w:hint="eastAsia" w:ascii="Times New Roman" w:hAnsi="Times New Roman" w:cs="Times New Roman"/>
          <w:color w:val="auto"/>
          <w:highlight w:val="none"/>
          <w:lang w:val="en-US" w:eastAsia="zh-CN"/>
        </w:rPr>
        <w:t>）、分解者（微生物）及非生物环境构成。其分布受气候条件影响显著，主要出现在中纬度半湿润/半干旱地区（温带草原）及热带/亚热带季节性干旱区（稀树草原）。全球草地占陆地面积的25%，我国草地占国土面积的30.5%，是面积最大的陆地生态系统</w:t>
      </w:r>
      <w:r>
        <w:rPr>
          <w:rFonts w:hint="eastAsia" w:cs="Times New Roman"/>
          <w:color w:val="auto"/>
          <w:highlight w:val="none"/>
          <w:lang w:val="en-US" w:eastAsia="zh-CN"/>
        </w:rPr>
        <w:t>。评价区域</w:t>
      </w:r>
      <w:r>
        <w:rPr>
          <w:rFonts w:hint="eastAsia" w:ascii="Times New Roman" w:hAnsi="Times New Roman" w:cs="Times New Roman"/>
          <w:color w:val="auto"/>
          <w:highlight w:val="none"/>
          <w:lang w:val="en-US" w:eastAsia="zh-CN"/>
        </w:rPr>
        <w:t>主要</w:t>
      </w:r>
      <w:r>
        <w:rPr>
          <w:rFonts w:hint="eastAsia" w:cs="Times New Roman"/>
          <w:color w:val="auto"/>
          <w:highlight w:val="none"/>
          <w:lang w:val="en-US" w:eastAsia="zh-CN"/>
        </w:rPr>
        <w:t>为</w:t>
      </w:r>
      <w:r>
        <w:rPr>
          <w:rFonts w:hint="eastAsia" w:ascii="Times New Roman" w:hAnsi="Times New Roman" w:cs="Times New Roman"/>
          <w:color w:val="auto"/>
          <w:highlight w:val="none"/>
          <w:lang w:val="en-US" w:eastAsia="zh-CN"/>
        </w:rPr>
        <w:t>稀疏草地，主要建群种为疏叶骆驼刺，骆驼刺多与小獐茅、芦苇组成群落，植被覆盖度在10%～20%之间，混生有花花柴等</w:t>
      </w:r>
      <w:r>
        <w:rPr>
          <w:rFonts w:hint="eastAsia" w:cs="Times New Roman"/>
          <w:color w:val="auto"/>
          <w:highlight w:val="none"/>
          <w:lang w:val="en-US" w:eastAsia="zh-CN"/>
        </w:rPr>
        <w:t>。草地生态系统生态服务功能主要为防风固沙、水土保持，减少土壤侵蚀；碳汇能力显著，地下生物量占比高达60%-80%，全球草地储存约17%的生物量碳；维持生物多样性，承载特有物种如鹅喉羚等。</w:t>
      </w:r>
    </w:p>
    <w:p w14:paraId="6CCA2122">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农田生态系统</w:t>
      </w:r>
    </w:p>
    <w:p w14:paraId="78CB6BE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农田生态系统的植被主要是人工栽培的各种农作物，形状和内部结构比较规则。另外还有人工防护林等，起着防风降尘、保护农田和人群的作用。生产者以驯化农作物为主，辅以少量伴生植物；消费者包括昆虫、鸟类及伴人动物（如家鼠）；分解者以土壤微生物为主导，参与有机物分解。生态服务主要为人工生态系统与自然生态系统的过渡带，调节污染物扩散，固碳能力主要表现在实现CO2的碳吸收；生物栖息功能主要表现在为迁徙鸟类、传粉昆虫等提供临时生境。物质循环形成独特的</w:t>
      </w:r>
      <w:r>
        <w:rPr>
          <w:rFonts w:hint="eastAsia" w:cs="Times New Roman"/>
          <w:color w:val="auto"/>
          <w:highlight w:val="none"/>
          <w:lang w:val="en-US" w:eastAsia="zh-CN"/>
        </w:rPr>
        <w:t>“人工食物链”</w:t>
      </w:r>
      <w:r>
        <w:rPr>
          <w:rFonts w:hint="eastAsia" w:ascii="Times New Roman" w:hAnsi="Times New Roman" w:cs="Times New Roman"/>
          <w:color w:val="auto"/>
          <w:highlight w:val="none"/>
          <w:lang w:val="en-US" w:eastAsia="zh-CN"/>
        </w:rPr>
        <w:t>，通过间作套种、种养结合提升养分利用效率。</w:t>
      </w:r>
    </w:p>
    <w:p w14:paraId="7CD23C05">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生态单元划分</w:t>
      </w:r>
    </w:p>
    <w:p w14:paraId="1D53B2E0">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本项目共</w:t>
      </w:r>
      <w:r>
        <w:rPr>
          <w:rFonts w:hint="eastAsia" w:cs="Times New Roman"/>
          <w:color w:val="auto"/>
          <w:highlight w:val="none"/>
          <w:lang w:val="en-US" w:eastAsia="zh-CN"/>
        </w:rPr>
        <w:t>部署</w:t>
      </w:r>
      <w:r>
        <w:rPr>
          <w:rFonts w:hint="eastAsia"/>
          <w:color w:val="auto"/>
          <w:highlight w:val="none"/>
        </w:rPr>
        <w:t>侧钻</w:t>
      </w:r>
      <w:r>
        <w:rPr>
          <w:rFonts w:hint="eastAsia"/>
          <w:color w:val="auto"/>
          <w:highlight w:val="none"/>
          <w:lang w:val="en-US" w:eastAsia="zh-CN"/>
        </w:rPr>
        <w:t>井4</w:t>
      </w:r>
      <w:r>
        <w:rPr>
          <w:rFonts w:hint="eastAsia"/>
          <w:color w:val="auto"/>
          <w:highlight w:val="none"/>
        </w:rPr>
        <w:t>口</w:t>
      </w:r>
      <w:r>
        <w:rPr>
          <w:rFonts w:hint="eastAsia"/>
          <w:color w:val="auto"/>
          <w:highlight w:val="none"/>
          <w:lang w:eastAsia="zh-CN"/>
        </w:rPr>
        <w:t>（</w:t>
      </w:r>
      <w:r>
        <w:rPr>
          <w:rFonts w:hint="default" w:ascii="Times New Roman" w:hAnsi="Times New Roman" w:cs="Times New Roman"/>
          <w:color w:val="auto"/>
          <w:highlight w:val="none"/>
          <w:lang w:val="en-US" w:eastAsia="zh-CN"/>
        </w:rPr>
        <w:t>TH10294</w:t>
      </w:r>
      <w:r>
        <w:rPr>
          <w:rFonts w:hint="eastAsia" w:ascii="Times New Roman" w:hAnsi="Times New Roman" w:cs="Times New Roman"/>
          <w:color w:val="auto"/>
          <w:highlight w:val="none"/>
          <w:lang w:val="en-US" w:eastAsia="zh-CN"/>
        </w:rPr>
        <w:t>CH</w:t>
      </w:r>
      <w:r>
        <w:rPr>
          <w:rFonts w:hint="default" w:ascii="Times New Roman" w:hAnsi="Times New Roman" w:cs="Times New Roman"/>
          <w:color w:val="auto"/>
          <w:highlight w:val="none"/>
          <w:lang w:val="en-US" w:eastAsia="zh-CN"/>
        </w:rPr>
        <w:t>、TH10250</w:t>
      </w:r>
      <w:r>
        <w:rPr>
          <w:rFonts w:hint="eastAsia" w:ascii="Times New Roman" w:hAnsi="Times New Roman" w:cs="Times New Roman"/>
          <w:color w:val="auto"/>
          <w:highlight w:val="none"/>
          <w:lang w:val="en-US" w:eastAsia="zh-CN"/>
        </w:rPr>
        <w:t>CH</w:t>
      </w:r>
      <w:r>
        <w:rPr>
          <w:rFonts w:hint="default" w:ascii="Times New Roman" w:hAnsi="Times New Roman" w:cs="Times New Roman"/>
          <w:color w:val="auto"/>
          <w:highlight w:val="none"/>
          <w:lang w:val="en-US" w:eastAsia="zh-CN"/>
        </w:rPr>
        <w:t>、TH10298</w:t>
      </w:r>
      <w:r>
        <w:rPr>
          <w:rFonts w:hint="eastAsia" w:ascii="Times New Roman" w:hAnsi="Times New Roman" w:cs="Times New Roman"/>
          <w:color w:val="auto"/>
          <w:highlight w:val="none"/>
          <w:lang w:val="en-US" w:eastAsia="zh-CN"/>
        </w:rPr>
        <w:t>CH</w:t>
      </w:r>
      <w:r>
        <w:rPr>
          <w:rFonts w:hint="default" w:ascii="Times New Roman" w:hAnsi="Times New Roman" w:cs="Times New Roman"/>
          <w:color w:val="auto"/>
          <w:highlight w:val="none"/>
          <w:lang w:val="en-US" w:eastAsia="zh-CN"/>
        </w:rPr>
        <w:t>、TK872</w:t>
      </w:r>
      <w:r>
        <w:rPr>
          <w:rFonts w:hint="eastAsia" w:ascii="Times New Roman" w:hAnsi="Times New Roman" w:cs="Times New Roman"/>
          <w:color w:val="auto"/>
          <w:highlight w:val="none"/>
          <w:lang w:val="en-US" w:eastAsia="zh-CN"/>
        </w:rPr>
        <w:t>CH</w:t>
      </w:r>
      <w:r>
        <w:rPr>
          <w:rFonts w:hint="eastAsia"/>
          <w:color w:val="auto"/>
          <w:highlight w:val="none"/>
          <w:lang w:eastAsia="zh-CN"/>
        </w:rPr>
        <w:t>），</w:t>
      </w:r>
      <w:r>
        <w:rPr>
          <w:rFonts w:hint="eastAsia"/>
          <w:color w:val="auto"/>
          <w:highlight w:val="none"/>
        </w:rPr>
        <w:t>老井不新增地面设施；新建TH102117X井</w:t>
      </w:r>
      <w:r>
        <w:rPr>
          <w:rFonts w:hint="eastAsia"/>
          <w:color w:val="auto"/>
          <w:highlight w:val="none"/>
          <w:lang w:val="en-US" w:eastAsia="zh-CN"/>
        </w:rPr>
        <w:t>采油、掺稀管线、燃料气管线，三条管线同沟敷设，管线长度均为601</w:t>
      </w:r>
      <w:r>
        <w:rPr>
          <w:rFonts w:hint="eastAsia"/>
          <w:color w:val="auto"/>
          <w:highlight w:val="none"/>
        </w:rPr>
        <w:t>m</w:t>
      </w:r>
      <w:r>
        <w:rPr>
          <w:rFonts w:hint="eastAsia"/>
          <w:color w:val="auto"/>
          <w:highlight w:val="none"/>
          <w:lang w:eastAsia="zh-CN"/>
        </w:rPr>
        <w:t>，</w:t>
      </w:r>
      <w:r>
        <w:rPr>
          <w:rFonts w:hint="eastAsia"/>
          <w:color w:val="auto"/>
          <w:highlight w:val="none"/>
          <w:lang w:val="en-US" w:eastAsia="zh-CN"/>
        </w:rPr>
        <w:t>4</w:t>
      </w:r>
      <w:r>
        <w:rPr>
          <w:rFonts w:hint="eastAsia"/>
          <w:color w:val="auto"/>
          <w:sz w:val="24"/>
          <w:szCs w:val="24"/>
          <w:highlight w:val="none"/>
        </w:rPr>
        <w:t>口</w:t>
      </w:r>
      <w:r>
        <w:rPr>
          <w:rFonts w:hint="eastAsia"/>
          <w:color w:val="auto"/>
          <w:sz w:val="24"/>
          <w:szCs w:val="24"/>
          <w:highlight w:val="none"/>
          <w:lang w:val="en-US" w:eastAsia="zh-CN"/>
        </w:rPr>
        <w:t>侧钻老</w:t>
      </w:r>
      <w:r>
        <w:rPr>
          <w:rFonts w:hint="eastAsia"/>
          <w:color w:val="auto"/>
          <w:sz w:val="24"/>
          <w:szCs w:val="24"/>
          <w:highlight w:val="none"/>
        </w:rPr>
        <w:t>井管线均可利旧</w:t>
      </w:r>
      <w:r>
        <w:rPr>
          <w:rFonts w:hint="default" w:ascii="Times New Roman" w:hAnsi="Times New Roman" w:cs="Times New Roman"/>
          <w:color w:val="auto"/>
          <w:highlight w:val="none"/>
          <w:lang w:eastAsia="zh-CN"/>
        </w:rPr>
        <w:t>。</w:t>
      </w:r>
    </w:p>
    <w:p w14:paraId="65B4B5B4">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highlight w:val="none"/>
          <w:lang w:eastAsia="zh-CN"/>
        </w:rPr>
        <w:t>根据现场调查和资料收集，生态评价区域无自然保护区、风景名胜区、水源保护区等敏感区域。根据项目区的环境特征并结合工程特点，将其生态单元划分如表4.</w:t>
      </w:r>
      <w:r>
        <w:rPr>
          <w:rFonts w:hint="default" w:ascii="Times New Roman" w:hAnsi="Times New Roman" w:cs="Times New Roman"/>
          <w:color w:val="auto"/>
          <w:highlight w:val="none"/>
          <w:lang w:val="en-US" w:eastAsia="zh-CN"/>
        </w:rPr>
        <w:t>6-3。</w:t>
      </w:r>
    </w:p>
    <w:bookmarkEnd w:id="440"/>
    <w:bookmarkEnd w:id="441"/>
    <w:bookmarkEnd w:id="442"/>
    <w:p w14:paraId="0E490900">
      <w:pPr>
        <w:pStyle w:val="44"/>
        <w:bidi w:val="0"/>
        <w:outlineLvl w:val="9"/>
        <w:rPr>
          <w:rFonts w:hint="default" w:ascii="Times New Roman" w:hAnsi="Times New Roman" w:eastAsia="黑体" w:cs="Times New Roman"/>
          <w:color w:val="auto"/>
          <w:sz w:val="21"/>
          <w:szCs w:val="21"/>
          <w:highlight w:val="none"/>
          <w:lang w:val="en-US" w:eastAsia="zh-CN" w:bidi="ar-SA"/>
        </w:rPr>
      </w:pPr>
      <w:bookmarkStart w:id="443" w:name="_Toc31583"/>
      <w:bookmarkStart w:id="444" w:name="_Toc152140058"/>
      <w:bookmarkStart w:id="445" w:name="_Toc11794"/>
      <w:bookmarkStart w:id="446" w:name="_Toc184971594"/>
      <w:bookmarkStart w:id="447" w:name="_Toc38102014"/>
    </w:p>
    <w:p w14:paraId="56D923E7">
      <w:pPr>
        <w:pStyle w:val="44"/>
        <w:bidi w:val="0"/>
        <w:outlineLvl w:val="9"/>
        <w:rPr>
          <w:rFonts w:hint="default" w:ascii="Times New Roman" w:hAnsi="Times New Roman" w:eastAsia="黑体" w:cs="Times New Roman"/>
          <w:color w:val="auto"/>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bidi="ar-SA"/>
        </w:rPr>
        <w:t>表4.6-</w:t>
      </w:r>
      <w:r>
        <w:rPr>
          <w:rFonts w:hint="default" w:ascii="Times New Roman" w:hAnsi="Times New Roman" w:cs="Times New Roman"/>
          <w:color w:val="auto"/>
          <w:sz w:val="21"/>
          <w:szCs w:val="21"/>
          <w:highlight w:val="none"/>
          <w:lang w:val="en-US" w:eastAsia="zh-CN" w:bidi="ar-SA"/>
        </w:rPr>
        <w:t>3</w:t>
      </w:r>
      <w:r>
        <w:rPr>
          <w:rFonts w:hint="eastAsia" w:ascii="Times New Roman" w:hAnsi="Times New Roman" w:cs="Times New Roman"/>
          <w:color w:val="auto"/>
          <w:sz w:val="21"/>
          <w:szCs w:val="21"/>
          <w:highlight w:val="none"/>
          <w:lang w:val="en-US" w:eastAsia="zh-CN" w:bidi="ar-SA"/>
        </w:rPr>
        <w:t xml:space="preserve">  </w:t>
      </w:r>
      <w:r>
        <w:rPr>
          <w:rFonts w:hint="default" w:ascii="Times New Roman" w:hAnsi="Times New Roman" w:eastAsia="黑体" w:cs="Times New Roman"/>
          <w:color w:val="auto"/>
          <w:sz w:val="21"/>
          <w:szCs w:val="21"/>
          <w:highlight w:val="none"/>
          <w:lang w:val="en-US" w:eastAsia="zh-CN" w:bidi="ar-SA"/>
        </w:rPr>
        <w:t>区域生态单元划分</w:t>
      </w:r>
    </w:p>
    <w:tbl>
      <w:tblPr>
        <w:tblStyle w:val="60"/>
        <w:tblW w:w="510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03"/>
        <w:gridCol w:w="1021"/>
        <w:gridCol w:w="2123"/>
        <w:gridCol w:w="1745"/>
        <w:gridCol w:w="3108"/>
      </w:tblGrid>
      <w:tr w14:paraId="33B62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296" w:type="pct"/>
            <w:tcBorders>
              <w:top w:val="single" w:color="000000" w:sz="6" w:space="0"/>
              <w:left w:val="single" w:color="000000" w:sz="6" w:space="0"/>
            </w:tcBorders>
            <w:vAlign w:val="center"/>
          </w:tcPr>
          <w:p w14:paraId="30C490CF">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600" w:type="pct"/>
            <w:tcBorders>
              <w:top w:val="single" w:color="000000" w:sz="6" w:space="0"/>
            </w:tcBorders>
            <w:vAlign w:val="center"/>
          </w:tcPr>
          <w:p w14:paraId="4DF349E2">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生态单元</w:t>
            </w:r>
          </w:p>
        </w:tc>
        <w:tc>
          <w:tcPr>
            <w:tcW w:w="1248" w:type="pct"/>
            <w:tcBorders>
              <w:top w:val="single" w:color="000000" w:sz="6" w:space="0"/>
            </w:tcBorders>
            <w:vAlign w:val="center"/>
          </w:tcPr>
          <w:p w14:paraId="50605E33">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工程</w:t>
            </w:r>
            <w:r>
              <w:rPr>
                <w:rFonts w:hint="default" w:ascii="Times New Roman" w:hAnsi="Times New Roman" w:cs="Times New Roman"/>
                <w:color w:val="auto"/>
                <w:highlight w:val="none"/>
              </w:rPr>
              <w:t>内容</w:t>
            </w:r>
          </w:p>
        </w:tc>
        <w:tc>
          <w:tcPr>
            <w:tcW w:w="1026" w:type="pct"/>
            <w:tcBorders>
              <w:top w:val="single" w:color="000000" w:sz="6" w:space="0"/>
            </w:tcBorders>
            <w:vAlign w:val="center"/>
          </w:tcPr>
          <w:p w14:paraId="1A731CCA">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土地利用类型</w:t>
            </w:r>
          </w:p>
        </w:tc>
        <w:tc>
          <w:tcPr>
            <w:tcW w:w="1827" w:type="pct"/>
            <w:tcBorders>
              <w:top w:val="single" w:color="000000" w:sz="6" w:space="0"/>
              <w:right w:val="single" w:color="000000" w:sz="6" w:space="0"/>
            </w:tcBorders>
            <w:vAlign w:val="center"/>
          </w:tcPr>
          <w:p w14:paraId="6999D57A">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植被类型</w:t>
            </w:r>
          </w:p>
        </w:tc>
      </w:tr>
      <w:tr w14:paraId="46F71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jc w:val="center"/>
        </w:trPr>
        <w:tc>
          <w:tcPr>
            <w:tcW w:w="296" w:type="pct"/>
            <w:tcBorders>
              <w:top w:val="single" w:color="000000" w:sz="6" w:space="0"/>
              <w:left w:val="single" w:color="000000" w:sz="6" w:space="0"/>
            </w:tcBorders>
            <w:vAlign w:val="center"/>
          </w:tcPr>
          <w:p w14:paraId="0DCB005D">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600" w:type="pct"/>
            <w:tcBorders>
              <w:top w:val="single" w:color="000000" w:sz="6" w:space="0"/>
            </w:tcBorders>
            <w:vAlign w:val="center"/>
          </w:tcPr>
          <w:p w14:paraId="4C549DA5">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林地区</w:t>
            </w:r>
          </w:p>
        </w:tc>
        <w:tc>
          <w:tcPr>
            <w:tcW w:w="1248" w:type="pct"/>
            <w:tcBorders>
              <w:top w:val="single" w:color="000000" w:sz="6" w:space="0"/>
            </w:tcBorders>
            <w:vAlign w:val="center"/>
          </w:tcPr>
          <w:p w14:paraId="090C79DF">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cs="Times New Roman"/>
                <w:color w:val="auto"/>
                <w:highlight w:val="none"/>
                <w:lang w:val="en-US" w:eastAsia="zh-CN"/>
              </w:rPr>
            </w:pPr>
            <w:r>
              <w:rPr>
                <w:rFonts w:hint="default" w:ascii="Times New Roman" w:hAnsi="Times New Roman" w:cs="Times New Roman"/>
                <w:color w:val="auto"/>
                <w:highlight w:val="none"/>
                <w:lang w:val="en-US" w:eastAsia="zh-CN"/>
              </w:rPr>
              <w:t>TK872</w:t>
            </w:r>
            <w:r>
              <w:rPr>
                <w:rFonts w:hint="eastAsia" w:cs="Times New Roman"/>
                <w:color w:val="auto"/>
                <w:highlight w:val="none"/>
                <w:lang w:val="en-US" w:eastAsia="zh-CN"/>
              </w:rPr>
              <w:t>CH井场、</w:t>
            </w:r>
          </w:p>
          <w:p w14:paraId="781A50F6">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新建601m管线</w:t>
            </w:r>
          </w:p>
        </w:tc>
        <w:tc>
          <w:tcPr>
            <w:tcW w:w="1026" w:type="pct"/>
            <w:tcBorders>
              <w:top w:val="single" w:color="000000" w:sz="6" w:space="0"/>
            </w:tcBorders>
            <w:vAlign w:val="center"/>
          </w:tcPr>
          <w:p w14:paraId="2AA93882">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灌木林地、</w:t>
            </w:r>
          </w:p>
          <w:p w14:paraId="1B1A615F">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采矿用地、公路用地</w:t>
            </w:r>
          </w:p>
        </w:tc>
        <w:tc>
          <w:tcPr>
            <w:tcW w:w="1827" w:type="pct"/>
            <w:tcBorders>
              <w:top w:val="single" w:color="000000" w:sz="6" w:space="0"/>
              <w:right w:val="single" w:color="000000" w:sz="6" w:space="0"/>
            </w:tcBorders>
            <w:vAlign w:val="center"/>
          </w:tcPr>
          <w:p w14:paraId="23909D94">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胡杨疏林、多枝柽柳灌丛</w:t>
            </w:r>
          </w:p>
        </w:tc>
      </w:tr>
      <w:tr w14:paraId="03921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296" w:type="pct"/>
            <w:tcBorders>
              <w:top w:val="single" w:color="000000" w:sz="6" w:space="0"/>
              <w:left w:val="single" w:color="000000" w:sz="6" w:space="0"/>
            </w:tcBorders>
            <w:vAlign w:val="center"/>
          </w:tcPr>
          <w:p w14:paraId="7F7D3F12">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w:t>
            </w:r>
          </w:p>
        </w:tc>
        <w:tc>
          <w:tcPr>
            <w:tcW w:w="600" w:type="pct"/>
            <w:tcBorders>
              <w:top w:val="single" w:color="000000" w:sz="6" w:space="0"/>
            </w:tcBorders>
            <w:vAlign w:val="center"/>
          </w:tcPr>
          <w:p w14:paraId="7FF811B2">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草地区</w:t>
            </w:r>
          </w:p>
        </w:tc>
        <w:tc>
          <w:tcPr>
            <w:tcW w:w="1248" w:type="pct"/>
            <w:tcBorders>
              <w:top w:val="single" w:color="000000" w:sz="6" w:space="0"/>
            </w:tcBorders>
            <w:vAlign w:val="center"/>
          </w:tcPr>
          <w:p w14:paraId="78137A9A">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TH10294</w:t>
            </w:r>
            <w:r>
              <w:rPr>
                <w:rFonts w:hint="eastAsia" w:cs="Times New Roman"/>
                <w:color w:val="auto"/>
                <w:highlight w:val="none"/>
                <w:lang w:val="en-US" w:eastAsia="zh-CN"/>
              </w:rPr>
              <w:t>CH井场、</w:t>
            </w:r>
            <w:r>
              <w:rPr>
                <w:rFonts w:hint="default" w:ascii="Times New Roman" w:hAnsi="Times New Roman" w:cs="Times New Roman"/>
                <w:color w:val="auto"/>
                <w:highlight w:val="none"/>
                <w:lang w:val="en-US" w:eastAsia="zh-CN"/>
              </w:rPr>
              <w:t>TH10250</w:t>
            </w:r>
            <w:r>
              <w:rPr>
                <w:rFonts w:hint="eastAsia" w:cs="Times New Roman"/>
                <w:color w:val="auto"/>
                <w:highlight w:val="none"/>
                <w:lang w:val="en-US" w:eastAsia="zh-CN"/>
              </w:rPr>
              <w:t>CH井场、TH10298CH井场</w:t>
            </w:r>
          </w:p>
        </w:tc>
        <w:tc>
          <w:tcPr>
            <w:tcW w:w="1026" w:type="pct"/>
            <w:tcBorders>
              <w:top w:val="single" w:color="000000" w:sz="6" w:space="0"/>
            </w:tcBorders>
            <w:vAlign w:val="center"/>
          </w:tcPr>
          <w:p w14:paraId="04986F59">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天然牧草地、</w:t>
            </w:r>
          </w:p>
          <w:p w14:paraId="248D18F5">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采矿用地</w:t>
            </w:r>
          </w:p>
        </w:tc>
        <w:tc>
          <w:tcPr>
            <w:tcW w:w="1827" w:type="pct"/>
            <w:tcBorders>
              <w:top w:val="single" w:color="000000" w:sz="6" w:space="0"/>
              <w:right w:val="single" w:color="000000" w:sz="6" w:space="0"/>
            </w:tcBorders>
            <w:vAlign w:val="center"/>
          </w:tcPr>
          <w:p w14:paraId="2CE26839">
            <w:pPr>
              <w:pStyle w:val="52"/>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刚毛柽柳荒漠、疏叶骆驼刺草甸</w:t>
            </w:r>
          </w:p>
        </w:tc>
      </w:tr>
    </w:tbl>
    <w:p w14:paraId="32E00826">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.2土地利用现状</w:t>
      </w:r>
    </w:p>
    <w:p w14:paraId="2A092B5C">
      <w:pPr>
        <w:pStyle w:val="12"/>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本次土地利用现状调查的主要技术方法采用遥感数据分析和解释，即以Landsat8</w:t>
      </w:r>
      <w:r>
        <w:rPr>
          <w:rFonts w:hint="eastAsia" w:ascii="Times New Roman" w:hAnsi="Times New Roman" w:cs="Times New Roman"/>
          <w:color w:val="auto"/>
          <w:highlight w:val="none"/>
          <w:lang w:val="en-US" w:eastAsia="zh-CN"/>
        </w:rPr>
        <w:t>_</w:t>
      </w:r>
      <w:r>
        <w:rPr>
          <w:rFonts w:hint="default" w:ascii="Times New Roman" w:hAnsi="Times New Roman" w:cs="Times New Roman"/>
          <w:color w:val="auto"/>
          <w:highlight w:val="none"/>
        </w:rPr>
        <w:t>OLI卫星遥感影像为基础，采用图形叠加法对评价范围内的生态环境现状进行分析，并参照《土地利用现状分类》（GBT21010-2017），以确定评价范围内的土地利用类型，将成果绘制成土地利用现状图。同时选择有代表性的地物类型，建立遥感影像野外标志数据库，收集能反映区域土地利用特征的野外照片、录像资料，在实地踏勘和调查时进行野外核查。详见表4.</w:t>
      </w:r>
      <w:r>
        <w:rPr>
          <w:rFonts w:hint="default" w:ascii="Times New Roman" w:hAnsi="Times New Roman" w:eastAsia="宋体"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及图4.</w:t>
      </w:r>
      <w:r>
        <w:rPr>
          <w:rFonts w:hint="default" w:ascii="Times New Roman" w:hAnsi="Times New Roman" w:eastAsia="宋体"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3</w:t>
      </w:r>
      <w:r>
        <w:rPr>
          <w:rFonts w:hint="default" w:ascii="Times New Roman" w:hAnsi="Times New Roman" w:cs="Times New Roman"/>
          <w:color w:val="auto"/>
          <w:highlight w:val="none"/>
          <w:lang w:val="en-US" w:eastAsia="zh-CN"/>
        </w:rPr>
        <w:t>。</w:t>
      </w:r>
    </w:p>
    <w:p w14:paraId="07AAE3C8">
      <w:pPr>
        <w:pStyle w:val="44"/>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评价区域土地利用现状表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30"/>
        <w:gridCol w:w="1812"/>
        <w:gridCol w:w="2118"/>
        <w:gridCol w:w="2102"/>
      </w:tblGrid>
      <w:tr w14:paraId="1066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142" w:type="dxa"/>
            <w:gridSpan w:val="2"/>
            <w:vAlign w:val="center"/>
          </w:tcPr>
          <w:p w14:paraId="29F83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r>
              <w:rPr>
                <w:rFonts w:hint="default" w:ascii="Times New Roman" w:hAnsi="Times New Roman" w:eastAsia="宋体" w:cs="Times New Roman"/>
                <w:color w:val="auto"/>
                <w:kern w:val="2"/>
                <w:sz w:val="21"/>
                <w:szCs w:val="18"/>
                <w:highlight w:val="none"/>
              </w:rPr>
              <w:t>土地利用类型</w:t>
            </w:r>
          </w:p>
        </w:tc>
        <w:tc>
          <w:tcPr>
            <w:tcW w:w="2118" w:type="dxa"/>
            <w:vMerge w:val="restart"/>
            <w:vAlign w:val="center"/>
          </w:tcPr>
          <w:p w14:paraId="6F57F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eastAsia="zh-CN"/>
              </w:rPr>
            </w:pPr>
            <w:r>
              <w:rPr>
                <w:rFonts w:hint="default" w:ascii="Times New Roman" w:hAnsi="Times New Roman" w:eastAsia="宋体" w:cs="Times New Roman"/>
                <w:color w:val="auto"/>
                <w:kern w:val="2"/>
                <w:sz w:val="21"/>
                <w:szCs w:val="18"/>
                <w:highlight w:val="none"/>
              </w:rPr>
              <w:t>面积</w:t>
            </w:r>
            <w:r>
              <w:rPr>
                <w:rFonts w:hint="eastAsia" w:ascii="Times New Roman" w:hAnsi="Times New Roman" w:eastAsia="宋体" w:cs="Times New Roman"/>
                <w:color w:val="auto"/>
                <w:kern w:val="2"/>
                <w:sz w:val="21"/>
                <w:szCs w:val="18"/>
                <w:highlight w:val="none"/>
                <w:lang w:eastAsia="zh-CN"/>
              </w:rPr>
              <w:t>（</w:t>
            </w:r>
            <w:r>
              <w:rPr>
                <w:rFonts w:hint="default" w:ascii="Times New Roman" w:hAnsi="Times New Roman" w:eastAsia="宋体" w:cs="Times New Roman"/>
                <w:color w:val="auto"/>
                <w:kern w:val="2"/>
                <w:sz w:val="21"/>
                <w:szCs w:val="18"/>
                <w:highlight w:val="none"/>
              </w:rPr>
              <w:t>km</w:t>
            </w:r>
            <w:r>
              <w:rPr>
                <w:rFonts w:hint="default" w:ascii="Times New Roman" w:hAnsi="Times New Roman" w:eastAsia="宋体" w:cs="Times New Roman"/>
                <w:color w:val="auto"/>
                <w:kern w:val="2"/>
                <w:sz w:val="21"/>
                <w:szCs w:val="18"/>
                <w:highlight w:val="none"/>
                <w:vertAlign w:val="superscript"/>
              </w:rPr>
              <w:t>2</w:t>
            </w:r>
            <w:r>
              <w:rPr>
                <w:rFonts w:hint="eastAsia" w:ascii="Times New Roman" w:hAnsi="Times New Roman" w:eastAsia="宋体" w:cs="Times New Roman"/>
                <w:color w:val="auto"/>
                <w:kern w:val="2"/>
                <w:sz w:val="21"/>
                <w:szCs w:val="18"/>
                <w:highlight w:val="none"/>
                <w:lang w:eastAsia="zh-CN"/>
              </w:rPr>
              <w:t>）</w:t>
            </w:r>
          </w:p>
        </w:tc>
        <w:tc>
          <w:tcPr>
            <w:tcW w:w="2102" w:type="dxa"/>
            <w:vMerge w:val="restart"/>
            <w:vAlign w:val="center"/>
          </w:tcPr>
          <w:p w14:paraId="3137D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r>
              <w:rPr>
                <w:rFonts w:hint="default" w:ascii="Times New Roman" w:hAnsi="Times New Roman" w:eastAsia="宋体" w:cs="Times New Roman"/>
                <w:color w:val="auto"/>
                <w:kern w:val="2"/>
                <w:sz w:val="21"/>
                <w:szCs w:val="18"/>
                <w:highlight w:val="none"/>
              </w:rPr>
              <w:t>比例/%</w:t>
            </w:r>
          </w:p>
        </w:tc>
      </w:tr>
      <w:tr w14:paraId="47E8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Align w:val="center"/>
          </w:tcPr>
          <w:p w14:paraId="4879FC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r>
              <w:rPr>
                <w:rFonts w:hint="default" w:ascii="Times New Roman" w:hAnsi="Times New Roman" w:eastAsia="宋体" w:cs="Times New Roman"/>
                <w:color w:val="auto"/>
                <w:kern w:val="2"/>
                <w:sz w:val="21"/>
                <w:szCs w:val="18"/>
                <w:highlight w:val="none"/>
              </w:rPr>
              <w:t>一级分类</w:t>
            </w:r>
          </w:p>
        </w:tc>
        <w:tc>
          <w:tcPr>
            <w:tcW w:w="1812" w:type="dxa"/>
            <w:vAlign w:val="center"/>
          </w:tcPr>
          <w:p w14:paraId="16412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r>
              <w:rPr>
                <w:rFonts w:hint="default" w:ascii="Times New Roman" w:hAnsi="Times New Roman" w:eastAsia="宋体" w:cs="Times New Roman"/>
                <w:color w:val="auto"/>
                <w:kern w:val="2"/>
                <w:sz w:val="21"/>
                <w:szCs w:val="18"/>
                <w:highlight w:val="none"/>
              </w:rPr>
              <w:t>二级分类</w:t>
            </w:r>
          </w:p>
        </w:tc>
        <w:tc>
          <w:tcPr>
            <w:tcW w:w="2118" w:type="dxa"/>
            <w:vMerge w:val="continue"/>
            <w:vAlign w:val="center"/>
          </w:tcPr>
          <w:p w14:paraId="6DA9B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p>
        </w:tc>
        <w:tc>
          <w:tcPr>
            <w:tcW w:w="2102" w:type="dxa"/>
            <w:vMerge w:val="continue"/>
            <w:vAlign w:val="center"/>
          </w:tcPr>
          <w:p w14:paraId="725F4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p>
        </w:tc>
      </w:tr>
      <w:tr w14:paraId="6367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330" w:type="dxa"/>
            <w:vAlign w:val="center"/>
          </w:tcPr>
          <w:p w14:paraId="2DFFD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r>
              <w:rPr>
                <w:rFonts w:hint="eastAsia" w:ascii="Times New Roman" w:hAnsi="Times New Roman" w:eastAsia="宋体" w:cs="Times New Roman"/>
                <w:color w:val="auto"/>
                <w:kern w:val="2"/>
                <w:sz w:val="21"/>
                <w:szCs w:val="18"/>
                <w:highlight w:val="none"/>
                <w:lang w:val="en-US" w:eastAsia="zh-CN"/>
              </w:rPr>
              <w:t>耕地</w:t>
            </w:r>
          </w:p>
        </w:tc>
        <w:tc>
          <w:tcPr>
            <w:tcW w:w="1812" w:type="dxa"/>
            <w:vAlign w:val="center"/>
          </w:tcPr>
          <w:p w14:paraId="56BEB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水浇地</w:t>
            </w:r>
          </w:p>
        </w:tc>
        <w:tc>
          <w:tcPr>
            <w:tcW w:w="2118" w:type="dxa"/>
            <w:vAlign w:val="center"/>
          </w:tcPr>
          <w:p w14:paraId="09312B9E">
            <w:pPr>
              <w:keepNext w:val="0"/>
              <w:keepLines w:val="0"/>
              <w:widowControl/>
              <w:suppressLineNumbers w:val="0"/>
              <w:jc w:val="center"/>
              <w:textAlignment w:val="center"/>
              <w:rPr>
                <w:rFonts w:hint="default"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0.185</w:t>
            </w:r>
          </w:p>
        </w:tc>
        <w:tc>
          <w:tcPr>
            <w:tcW w:w="2102" w:type="dxa"/>
            <w:vAlign w:val="center"/>
          </w:tcPr>
          <w:p w14:paraId="417F4C06">
            <w:pPr>
              <w:keepNext w:val="0"/>
              <w:keepLines w:val="0"/>
              <w:widowControl/>
              <w:suppressLineNumbers w:val="0"/>
              <w:jc w:val="center"/>
              <w:textAlignment w:val="center"/>
              <w:rPr>
                <w:rFonts w:hint="default"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4.32</w:t>
            </w:r>
          </w:p>
        </w:tc>
      </w:tr>
      <w:tr w14:paraId="19C5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2330" w:type="dxa"/>
            <w:vMerge w:val="restart"/>
            <w:vAlign w:val="center"/>
          </w:tcPr>
          <w:p w14:paraId="78DA1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林地</w:t>
            </w:r>
          </w:p>
        </w:tc>
        <w:tc>
          <w:tcPr>
            <w:tcW w:w="1812" w:type="dxa"/>
            <w:vAlign w:val="center"/>
          </w:tcPr>
          <w:p w14:paraId="3FB53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乔木林地</w:t>
            </w:r>
          </w:p>
        </w:tc>
        <w:tc>
          <w:tcPr>
            <w:tcW w:w="2118" w:type="dxa"/>
            <w:vAlign w:val="center"/>
          </w:tcPr>
          <w:p w14:paraId="106B9070">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1.418</w:t>
            </w:r>
          </w:p>
        </w:tc>
        <w:tc>
          <w:tcPr>
            <w:tcW w:w="2102" w:type="dxa"/>
            <w:vAlign w:val="center"/>
          </w:tcPr>
          <w:p w14:paraId="49DCE8AD">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33.13</w:t>
            </w:r>
          </w:p>
        </w:tc>
      </w:tr>
      <w:tr w14:paraId="16B4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330" w:type="dxa"/>
            <w:vMerge w:val="continue"/>
            <w:vAlign w:val="center"/>
          </w:tcPr>
          <w:p w14:paraId="2DC71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p>
        </w:tc>
        <w:tc>
          <w:tcPr>
            <w:tcW w:w="1812" w:type="dxa"/>
            <w:vAlign w:val="center"/>
          </w:tcPr>
          <w:p w14:paraId="52AB7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灌木林地</w:t>
            </w:r>
          </w:p>
        </w:tc>
        <w:tc>
          <w:tcPr>
            <w:tcW w:w="2118" w:type="dxa"/>
            <w:vAlign w:val="center"/>
          </w:tcPr>
          <w:p w14:paraId="5A6DD909">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0.667</w:t>
            </w:r>
          </w:p>
        </w:tc>
        <w:tc>
          <w:tcPr>
            <w:tcW w:w="2102" w:type="dxa"/>
            <w:vAlign w:val="center"/>
          </w:tcPr>
          <w:p w14:paraId="0FFDF932">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15.59</w:t>
            </w:r>
          </w:p>
        </w:tc>
      </w:tr>
      <w:tr w14:paraId="5848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Merge w:val="continue"/>
            <w:vAlign w:val="center"/>
          </w:tcPr>
          <w:p w14:paraId="4B59F1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p>
        </w:tc>
        <w:tc>
          <w:tcPr>
            <w:tcW w:w="1812" w:type="dxa"/>
            <w:vAlign w:val="center"/>
          </w:tcPr>
          <w:p w14:paraId="1827B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其他林地</w:t>
            </w:r>
          </w:p>
        </w:tc>
        <w:tc>
          <w:tcPr>
            <w:tcW w:w="2118" w:type="dxa"/>
            <w:vAlign w:val="center"/>
          </w:tcPr>
          <w:p w14:paraId="58BA166C">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1.288</w:t>
            </w:r>
          </w:p>
        </w:tc>
        <w:tc>
          <w:tcPr>
            <w:tcW w:w="2102" w:type="dxa"/>
            <w:vAlign w:val="center"/>
          </w:tcPr>
          <w:p w14:paraId="5B8D014A">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30.09</w:t>
            </w:r>
          </w:p>
        </w:tc>
      </w:tr>
      <w:tr w14:paraId="0E99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Merge w:val="restart"/>
            <w:vAlign w:val="center"/>
          </w:tcPr>
          <w:p w14:paraId="3E14D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草地</w:t>
            </w:r>
          </w:p>
        </w:tc>
        <w:tc>
          <w:tcPr>
            <w:tcW w:w="1812" w:type="dxa"/>
            <w:vAlign w:val="center"/>
          </w:tcPr>
          <w:p w14:paraId="788A7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天然牧草地</w:t>
            </w:r>
          </w:p>
        </w:tc>
        <w:tc>
          <w:tcPr>
            <w:tcW w:w="2118" w:type="dxa"/>
            <w:vAlign w:val="center"/>
          </w:tcPr>
          <w:p w14:paraId="44D6C29A">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0.693</w:t>
            </w:r>
          </w:p>
        </w:tc>
        <w:tc>
          <w:tcPr>
            <w:tcW w:w="2102" w:type="dxa"/>
            <w:vAlign w:val="center"/>
          </w:tcPr>
          <w:p w14:paraId="7C003D48">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16.19</w:t>
            </w:r>
          </w:p>
        </w:tc>
      </w:tr>
      <w:tr w14:paraId="6A6A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Merge w:val="continue"/>
            <w:vAlign w:val="center"/>
          </w:tcPr>
          <w:p w14:paraId="534FD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p>
        </w:tc>
        <w:tc>
          <w:tcPr>
            <w:tcW w:w="1812" w:type="dxa"/>
            <w:vAlign w:val="center"/>
          </w:tcPr>
          <w:p w14:paraId="4D32B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人工牧草地</w:t>
            </w:r>
          </w:p>
        </w:tc>
        <w:tc>
          <w:tcPr>
            <w:tcW w:w="2118" w:type="dxa"/>
            <w:vAlign w:val="center"/>
          </w:tcPr>
          <w:p w14:paraId="396C1F16">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2102" w:type="dxa"/>
            <w:vAlign w:val="center"/>
          </w:tcPr>
          <w:p w14:paraId="2193EF04">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14:paraId="555D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Merge w:val="continue"/>
            <w:vAlign w:val="center"/>
          </w:tcPr>
          <w:p w14:paraId="6DB69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p>
        </w:tc>
        <w:tc>
          <w:tcPr>
            <w:tcW w:w="1812" w:type="dxa"/>
            <w:vAlign w:val="center"/>
          </w:tcPr>
          <w:p w14:paraId="3CF77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其他草地</w:t>
            </w:r>
          </w:p>
        </w:tc>
        <w:tc>
          <w:tcPr>
            <w:tcW w:w="2118" w:type="dxa"/>
            <w:vAlign w:val="center"/>
          </w:tcPr>
          <w:p w14:paraId="395FDD96">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2102" w:type="dxa"/>
            <w:vAlign w:val="center"/>
          </w:tcPr>
          <w:p w14:paraId="307937D0">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14:paraId="2B99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Align w:val="center"/>
          </w:tcPr>
          <w:p w14:paraId="47885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工矿仓储用地</w:t>
            </w:r>
          </w:p>
        </w:tc>
        <w:tc>
          <w:tcPr>
            <w:tcW w:w="1812" w:type="dxa"/>
            <w:vAlign w:val="center"/>
          </w:tcPr>
          <w:p w14:paraId="0F982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采矿用地</w:t>
            </w:r>
          </w:p>
        </w:tc>
        <w:tc>
          <w:tcPr>
            <w:tcW w:w="2118" w:type="dxa"/>
            <w:vAlign w:val="center"/>
          </w:tcPr>
          <w:p w14:paraId="082C7F3B">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c>
          <w:tcPr>
            <w:tcW w:w="2102" w:type="dxa"/>
            <w:vAlign w:val="center"/>
          </w:tcPr>
          <w:p w14:paraId="5BE723F6">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 </w:t>
            </w:r>
          </w:p>
        </w:tc>
      </w:tr>
      <w:tr w14:paraId="778A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Align w:val="center"/>
          </w:tcPr>
          <w:p w14:paraId="23D13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lang w:val="en-US" w:eastAsia="zh-CN"/>
              </w:rPr>
            </w:pPr>
            <w:r>
              <w:rPr>
                <w:rFonts w:hint="eastAsia" w:cs="Times New Roman"/>
                <w:color w:val="auto"/>
                <w:kern w:val="2"/>
                <w:sz w:val="21"/>
                <w:szCs w:val="18"/>
                <w:highlight w:val="none"/>
                <w:lang w:val="en-US" w:eastAsia="zh-CN"/>
              </w:rPr>
              <w:t>交通运输用地</w:t>
            </w:r>
          </w:p>
        </w:tc>
        <w:tc>
          <w:tcPr>
            <w:tcW w:w="1812" w:type="dxa"/>
            <w:vAlign w:val="center"/>
          </w:tcPr>
          <w:p w14:paraId="56744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lang w:val="en-US" w:eastAsia="zh-CN"/>
              </w:rPr>
            </w:pPr>
            <w:r>
              <w:rPr>
                <w:rFonts w:hint="eastAsia" w:cs="Times New Roman"/>
                <w:color w:val="auto"/>
                <w:kern w:val="2"/>
                <w:sz w:val="21"/>
                <w:szCs w:val="18"/>
                <w:highlight w:val="none"/>
                <w:lang w:val="en-US" w:eastAsia="zh-CN"/>
              </w:rPr>
              <w:t>公路用地</w:t>
            </w:r>
          </w:p>
        </w:tc>
        <w:tc>
          <w:tcPr>
            <w:tcW w:w="2118" w:type="dxa"/>
            <w:vAlign w:val="center"/>
          </w:tcPr>
          <w:p w14:paraId="5E2EE3F1">
            <w:pPr>
              <w:keepNext w:val="0"/>
              <w:keepLines w:val="0"/>
              <w:widowControl/>
              <w:suppressLineNumbers w:val="0"/>
              <w:jc w:val="center"/>
              <w:textAlignment w:val="center"/>
              <w:rPr>
                <w:rFonts w:hint="default"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2102" w:type="dxa"/>
            <w:vAlign w:val="center"/>
          </w:tcPr>
          <w:p w14:paraId="4BED9E22">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3A01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30" w:type="dxa"/>
            <w:vMerge w:val="restart"/>
            <w:vAlign w:val="center"/>
          </w:tcPr>
          <w:p w14:paraId="04EFE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其他土地</w:t>
            </w:r>
          </w:p>
        </w:tc>
        <w:tc>
          <w:tcPr>
            <w:tcW w:w="1812" w:type="dxa"/>
            <w:vAlign w:val="center"/>
          </w:tcPr>
          <w:p w14:paraId="58C48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沙地</w:t>
            </w:r>
          </w:p>
        </w:tc>
        <w:tc>
          <w:tcPr>
            <w:tcW w:w="2118" w:type="dxa"/>
            <w:vAlign w:val="center"/>
          </w:tcPr>
          <w:p w14:paraId="37C71A3D">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2102" w:type="dxa"/>
            <w:vAlign w:val="center"/>
          </w:tcPr>
          <w:p w14:paraId="22A0497B">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0620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2330" w:type="dxa"/>
            <w:vMerge w:val="continue"/>
            <w:vAlign w:val="center"/>
          </w:tcPr>
          <w:p w14:paraId="42FE3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p>
        </w:tc>
        <w:tc>
          <w:tcPr>
            <w:tcW w:w="1812" w:type="dxa"/>
            <w:vAlign w:val="center"/>
          </w:tcPr>
          <w:p w14:paraId="6C8BE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裸土地</w:t>
            </w:r>
          </w:p>
        </w:tc>
        <w:tc>
          <w:tcPr>
            <w:tcW w:w="2118" w:type="dxa"/>
            <w:vAlign w:val="center"/>
          </w:tcPr>
          <w:p w14:paraId="5CCFD1C3">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2102" w:type="dxa"/>
            <w:vAlign w:val="center"/>
          </w:tcPr>
          <w:p w14:paraId="4738702E">
            <w:pPr>
              <w:keepNext w:val="0"/>
              <w:keepLines w:val="0"/>
              <w:widowControl/>
              <w:suppressLineNumbers w:val="0"/>
              <w:jc w:val="center"/>
              <w:textAlignment w:val="center"/>
              <w:rPr>
                <w:rFonts w:hint="eastAsia" w:ascii="Times New Roman" w:hAnsi="Times New Roman" w:eastAsia="宋体" w:cs="Times New Roman"/>
                <w:color w:val="auto"/>
                <w:kern w:val="2"/>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14:paraId="2AA9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142" w:type="dxa"/>
            <w:gridSpan w:val="2"/>
            <w:vAlign w:val="center"/>
          </w:tcPr>
          <w:p w14:paraId="664EB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rPr>
            </w:pPr>
            <w:r>
              <w:rPr>
                <w:rFonts w:hint="default" w:ascii="Times New Roman" w:hAnsi="Times New Roman" w:eastAsia="宋体" w:cs="Times New Roman"/>
                <w:color w:val="auto"/>
                <w:kern w:val="2"/>
                <w:sz w:val="21"/>
                <w:szCs w:val="18"/>
                <w:highlight w:val="none"/>
              </w:rPr>
              <w:t>合计</w:t>
            </w:r>
          </w:p>
        </w:tc>
        <w:tc>
          <w:tcPr>
            <w:tcW w:w="2118" w:type="dxa"/>
            <w:vAlign w:val="center"/>
          </w:tcPr>
          <w:p w14:paraId="131225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4.28</w:t>
            </w:r>
          </w:p>
        </w:tc>
        <w:tc>
          <w:tcPr>
            <w:tcW w:w="2102" w:type="dxa"/>
            <w:vAlign w:val="center"/>
          </w:tcPr>
          <w:p w14:paraId="013C4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18"/>
                <w:highlight w:val="none"/>
                <w:lang w:val="en-US" w:eastAsia="zh-CN"/>
              </w:rPr>
            </w:pPr>
            <w:r>
              <w:rPr>
                <w:rFonts w:hint="eastAsia" w:ascii="Times New Roman" w:hAnsi="Times New Roman" w:eastAsia="宋体" w:cs="Times New Roman"/>
                <w:color w:val="auto"/>
                <w:kern w:val="2"/>
                <w:sz w:val="21"/>
                <w:szCs w:val="18"/>
                <w:highlight w:val="none"/>
                <w:lang w:val="en-US" w:eastAsia="zh-CN"/>
              </w:rPr>
              <w:t>100</w:t>
            </w:r>
          </w:p>
        </w:tc>
      </w:tr>
    </w:tbl>
    <w:p w14:paraId="6C6EF68A">
      <w:pPr>
        <w:pStyle w:val="13"/>
        <w:rPr>
          <w:rFonts w:hint="eastAsia" w:cs="Times New Roman"/>
          <w:color w:val="auto"/>
          <w:highlight w:val="none"/>
          <w:lang w:val="en-US" w:eastAsia="zh-CN"/>
        </w:rPr>
      </w:pPr>
      <w:r>
        <w:rPr>
          <w:rFonts w:hint="default" w:ascii="Times New Roman" w:hAnsi="Times New Roman" w:cs="Times New Roman"/>
          <w:color w:val="auto"/>
          <w:highlight w:val="none"/>
        </w:rPr>
        <w:t>评价区域</w:t>
      </w:r>
      <w:r>
        <w:rPr>
          <w:rFonts w:hint="default" w:ascii="Times New Roman" w:hAnsi="Times New Roman" w:cs="Times New Roman"/>
          <w:color w:val="auto"/>
          <w:highlight w:val="none"/>
          <w:lang w:val="en-US" w:eastAsia="zh-CN"/>
        </w:rPr>
        <w:t>内</w:t>
      </w:r>
      <w:r>
        <w:rPr>
          <w:rFonts w:hint="default" w:ascii="Times New Roman" w:hAnsi="Times New Roman" w:cs="Times New Roman"/>
          <w:color w:val="auto"/>
          <w:highlight w:val="none"/>
        </w:rPr>
        <w:t>农用地、建设用地、未利用地</w:t>
      </w:r>
      <w:r>
        <w:rPr>
          <w:rFonts w:hint="default" w:ascii="Times New Roman" w:hAnsi="Times New Roman" w:cs="Times New Roman"/>
          <w:color w:val="auto"/>
          <w:highlight w:val="none"/>
          <w:lang w:val="en-US" w:eastAsia="zh-CN"/>
        </w:rPr>
        <w:t>均有分布，参照《土地利用现状分类》（GBT21010-2017）分类，</w:t>
      </w:r>
      <w:r>
        <w:rPr>
          <w:rFonts w:hint="eastAsia" w:cs="Times New Roman"/>
          <w:color w:val="auto"/>
          <w:highlight w:val="none"/>
          <w:lang w:val="en-US" w:eastAsia="zh-CN"/>
        </w:rPr>
        <w:t>评价区域</w:t>
      </w:r>
      <w:r>
        <w:rPr>
          <w:rFonts w:hint="default" w:ascii="Times New Roman" w:hAnsi="Times New Roman" w:cs="Times New Roman"/>
          <w:color w:val="auto"/>
          <w:highlight w:val="none"/>
        </w:rPr>
        <w:t>土地利用类型共</w:t>
      </w:r>
      <w:r>
        <w:rPr>
          <w:rFonts w:hint="eastAsia" w:cs="Times New Roman"/>
          <w:color w:val="auto"/>
          <w:highlight w:val="none"/>
          <w:lang w:val="en-US" w:eastAsia="zh-CN"/>
        </w:rPr>
        <w:t>6大</w:t>
      </w:r>
      <w:r>
        <w:rPr>
          <w:rFonts w:hint="default" w:ascii="Times New Roman" w:hAnsi="Times New Roman" w:cs="Times New Roman"/>
          <w:color w:val="auto"/>
          <w:highlight w:val="none"/>
        </w:rPr>
        <w:t>类</w:t>
      </w:r>
      <w:r>
        <w:rPr>
          <w:rFonts w:hint="eastAsia" w:cs="Times New Roman"/>
          <w:color w:val="auto"/>
          <w:highlight w:val="none"/>
          <w:lang w:val="en-US" w:eastAsia="zh-CN"/>
        </w:rPr>
        <w:t>11小类</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其中主要的土地利用类型为乔木林地</w:t>
      </w:r>
      <w:r>
        <w:rPr>
          <w:rFonts w:hint="eastAsia" w:cs="Times New Roman"/>
          <w:color w:val="auto"/>
          <w:highlight w:val="none"/>
          <w:lang w:val="en-US" w:eastAsia="zh-CN"/>
        </w:rPr>
        <w:t>、</w:t>
      </w:r>
      <w:r>
        <w:rPr>
          <w:rFonts w:hint="default" w:ascii="Times New Roman" w:hAnsi="Times New Roman" w:cs="Times New Roman"/>
          <w:color w:val="auto"/>
          <w:sz w:val="24"/>
          <w:szCs w:val="24"/>
          <w:highlight w:val="none"/>
        </w:rPr>
        <w:t>灌木林地、其他林地</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天然牧草地</w:t>
      </w:r>
      <w:r>
        <w:rPr>
          <w:rFonts w:hint="eastAsia" w:cs="Times New Roman"/>
          <w:color w:val="auto"/>
          <w:sz w:val="24"/>
          <w:szCs w:val="24"/>
          <w:highlight w:val="none"/>
          <w:lang w:val="en-US" w:eastAsia="zh-CN"/>
        </w:rPr>
        <w:t>等</w:t>
      </w:r>
      <w:r>
        <w:rPr>
          <w:rFonts w:hint="default" w:ascii="Times New Roman" w:hAnsi="Times New Roman" w:cs="Times New Roman"/>
          <w:color w:val="auto"/>
          <w:highlight w:val="none"/>
          <w:lang w:val="en-US" w:eastAsia="zh-CN"/>
        </w:rPr>
        <w:t>，分别占评价区域总面积的33.1</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%、15.5</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30.</w:t>
      </w:r>
      <w:r>
        <w:rPr>
          <w:rFonts w:hint="eastAsia" w:cs="Times New Roman"/>
          <w:color w:val="auto"/>
          <w:highlight w:val="none"/>
          <w:lang w:val="en-US" w:eastAsia="zh-CN"/>
        </w:rPr>
        <w:t>09</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、16.19%</w:t>
      </w:r>
      <w:r>
        <w:rPr>
          <w:rFonts w:hint="default" w:ascii="Times New Roman" w:hAnsi="Times New Roman" w:cs="Times New Roman"/>
          <w:color w:val="auto"/>
          <w:highlight w:val="none"/>
          <w:lang w:val="en-US" w:eastAsia="zh-CN"/>
        </w:rPr>
        <w:t>，合计约</w:t>
      </w:r>
      <w:r>
        <w:rPr>
          <w:rFonts w:hint="eastAsia" w:cs="Times New Roman"/>
          <w:color w:val="auto"/>
          <w:highlight w:val="none"/>
          <w:lang w:val="en-US" w:eastAsia="zh-CN"/>
        </w:rPr>
        <w:t>95</w:t>
      </w:r>
      <w:r>
        <w:rPr>
          <w:rFonts w:hint="default" w:ascii="Times New Roman" w:hAnsi="Times New Roman" w:cs="Times New Roman"/>
          <w:color w:val="auto"/>
          <w:highlight w:val="none"/>
          <w:lang w:val="en-US" w:eastAsia="zh-CN"/>
        </w:rPr>
        <w:t>%。建设用地</w:t>
      </w:r>
      <w:r>
        <w:rPr>
          <w:rFonts w:hint="eastAsia" w:cs="Times New Roman"/>
          <w:color w:val="auto"/>
          <w:highlight w:val="none"/>
          <w:lang w:val="en-US" w:eastAsia="zh-CN"/>
        </w:rPr>
        <w:t>主要为塔河油田油气生产设施用地，属采矿用地；沙地均为固定、半固定沙地；公路用地为塔河油田已建油田内部道路。</w:t>
      </w:r>
    </w:p>
    <w:p w14:paraId="5EB94E7D">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448" w:name="_Toc8291"/>
      <w:bookmarkStart w:id="449" w:name="_Toc3616"/>
      <w:bookmarkStart w:id="450" w:name="_Toc6075"/>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植被现状调查与评价</w:t>
      </w:r>
      <w:bookmarkEnd w:id="448"/>
      <w:bookmarkEnd w:id="449"/>
      <w:bookmarkEnd w:id="450"/>
    </w:p>
    <w:p w14:paraId="75530619">
      <w:pPr>
        <w:widowControl w:val="0"/>
        <w:spacing w:line="360" w:lineRule="auto"/>
        <w:ind w:firstLine="502" w:firstLineChars="200"/>
        <w:jc w:val="both"/>
        <w:rPr>
          <w:rFonts w:hint="default" w:ascii="Times New Roman" w:hAnsi="Times New Roman" w:eastAsia="宋体" w:cs="Times New Roman"/>
          <w:color w:val="auto"/>
          <w:spacing w:val="5"/>
          <w:kern w:val="2"/>
          <w:sz w:val="24"/>
          <w:szCs w:val="24"/>
          <w:highlight w:val="none"/>
          <w:lang w:val="en-US" w:eastAsia="zh-CN"/>
        </w:rPr>
      </w:pPr>
      <w:r>
        <w:rPr>
          <w:rFonts w:hint="eastAsia" w:ascii="Times New Roman" w:hAnsi="Times New Roman" w:eastAsia="宋体" w:cs="Times New Roman"/>
          <w:b/>
          <w:bCs/>
          <w:color w:val="auto"/>
          <w:spacing w:val="5"/>
          <w:kern w:val="2"/>
          <w:sz w:val="24"/>
          <w:szCs w:val="24"/>
          <w:highlight w:val="none"/>
          <w:lang w:val="en-US" w:eastAsia="zh-CN"/>
        </w:rPr>
        <w:t>（1）区域自然植被类型</w:t>
      </w:r>
      <w:r>
        <w:rPr>
          <w:rFonts w:hint="eastAsia" w:cs="Times New Roman"/>
          <w:b/>
          <w:bCs/>
          <w:color w:val="auto"/>
          <w:spacing w:val="5"/>
          <w:kern w:val="2"/>
          <w:sz w:val="24"/>
          <w:szCs w:val="24"/>
          <w:highlight w:val="none"/>
          <w:lang w:val="en-US" w:eastAsia="zh-CN"/>
        </w:rPr>
        <w:t>调查与评价</w:t>
      </w:r>
    </w:p>
    <w:p w14:paraId="0305A19D">
      <w:pPr>
        <w:widowControl w:val="0"/>
        <w:spacing w:line="360" w:lineRule="auto"/>
        <w:ind w:firstLine="500" w:firstLineChars="200"/>
        <w:jc w:val="both"/>
        <w:rPr>
          <w:rFonts w:hint="eastAsia" w:ascii="Times New Roman" w:hAnsi="Times New Roman" w:eastAsia="宋体" w:cs="Times New Roman"/>
          <w:color w:val="auto"/>
          <w:spacing w:val="5"/>
          <w:kern w:val="2"/>
          <w:sz w:val="24"/>
          <w:szCs w:val="24"/>
          <w:highlight w:val="none"/>
          <w:lang w:val="en-US" w:eastAsia="zh-CN"/>
        </w:rPr>
      </w:pPr>
      <w:r>
        <w:rPr>
          <w:rFonts w:hint="eastAsia" w:ascii="Times New Roman" w:hAnsi="Times New Roman" w:eastAsia="宋体" w:cs="Times New Roman"/>
          <w:color w:val="auto"/>
          <w:spacing w:val="5"/>
          <w:kern w:val="2"/>
          <w:sz w:val="24"/>
          <w:szCs w:val="24"/>
          <w:highlight w:val="none"/>
          <w:lang w:val="en-US" w:eastAsia="zh-CN"/>
        </w:rPr>
        <w:t>根据《中国植被区划》，工程所在地区属于</w:t>
      </w:r>
      <w:r>
        <w:rPr>
          <w:rFonts w:hint="eastAsia" w:cs="Times New Roman"/>
          <w:color w:val="auto"/>
          <w:spacing w:val="5"/>
          <w:kern w:val="2"/>
          <w:sz w:val="24"/>
          <w:szCs w:val="24"/>
          <w:highlight w:val="none"/>
          <w:lang w:val="en-US" w:eastAsia="zh-CN"/>
        </w:rPr>
        <w:t>暖</w:t>
      </w:r>
      <w:r>
        <w:rPr>
          <w:rFonts w:hint="eastAsia" w:ascii="Times New Roman" w:hAnsi="Times New Roman" w:eastAsia="宋体" w:cs="Times New Roman"/>
          <w:color w:val="auto"/>
          <w:spacing w:val="5"/>
          <w:kern w:val="2"/>
          <w:sz w:val="24"/>
          <w:szCs w:val="24"/>
          <w:highlight w:val="none"/>
          <w:lang w:val="en-US" w:eastAsia="zh-CN"/>
        </w:rPr>
        <w:t>温带荒漠</w:t>
      </w:r>
      <w:r>
        <w:rPr>
          <w:rFonts w:hint="eastAsia" w:cs="Times New Roman"/>
          <w:color w:val="auto"/>
          <w:spacing w:val="5"/>
          <w:kern w:val="2"/>
          <w:sz w:val="24"/>
          <w:szCs w:val="24"/>
          <w:highlight w:val="none"/>
          <w:lang w:val="en-US" w:eastAsia="zh-CN"/>
        </w:rPr>
        <w:t>区域</w:t>
      </w:r>
      <w:r>
        <w:rPr>
          <w:rFonts w:hint="eastAsia" w:ascii="Times New Roman" w:hAnsi="Times New Roman" w:eastAsia="宋体" w:cs="Times New Roman"/>
          <w:color w:val="auto"/>
          <w:spacing w:val="5"/>
          <w:kern w:val="2"/>
          <w:sz w:val="24"/>
          <w:szCs w:val="24"/>
          <w:highlight w:val="none"/>
          <w:lang w:val="en-US" w:eastAsia="zh-CN"/>
        </w:rPr>
        <w:t>（XII</w:t>
      </w:r>
      <w:r>
        <w:rPr>
          <w:rFonts w:hint="eastAsia" w:cs="Times New Roman"/>
          <w:color w:val="auto"/>
          <w:spacing w:val="5"/>
          <w:kern w:val="2"/>
          <w:sz w:val="24"/>
          <w:szCs w:val="24"/>
          <w:highlight w:val="none"/>
          <w:lang w:val="en-US" w:eastAsia="zh-CN"/>
        </w:rPr>
        <w:t>I</w:t>
      </w:r>
      <w:r>
        <w:rPr>
          <w:rFonts w:hint="eastAsia" w:ascii="Times New Roman" w:hAnsi="Times New Roman" w:eastAsia="宋体" w:cs="Times New Roman"/>
          <w:color w:val="auto"/>
          <w:spacing w:val="5"/>
          <w:kern w:val="2"/>
          <w:sz w:val="24"/>
          <w:szCs w:val="24"/>
          <w:highlight w:val="none"/>
          <w:lang w:val="en-US" w:eastAsia="zh-CN"/>
        </w:rPr>
        <w:t>）、</w:t>
      </w:r>
      <w:r>
        <w:rPr>
          <w:rFonts w:hint="eastAsia" w:cs="Times New Roman"/>
          <w:color w:val="auto"/>
          <w:spacing w:val="5"/>
          <w:kern w:val="2"/>
          <w:sz w:val="24"/>
          <w:szCs w:val="24"/>
          <w:highlight w:val="none"/>
          <w:lang w:val="en-US" w:eastAsia="zh-CN"/>
        </w:rPr>
        <w:t>暖温带西部极端干旱灌木、半灌木荒漠地带</w:t>
      </w:r>
      <w:r>
        <w:rPr>
          <w:rFonts w:hint="eastAsia" w:ascii="Times New Roman" w:hAnsi="Times New Roman" w:eastAsia="宋体" w:cs="Times New Roman"/>
          <w:color w:val="auto"/>
          <w:spacing w:val="5"/>
          <w:kern w:val="2"/>
          <w:sz w:val="24"/>
          <w:szCs w:val="24"/>
          <w:highlight w:val="none"/>
          <w:lang w:val="en-US" w:eastAsia="zh-CN"/>
        </w:rPr>
        <w:t>（XIII</w:t>
      </w:r>
      <w:r>
        <w:rPr>
          <w:rFonts w:hint="eastAsia" w:cs="Times New Roman"/>
          <w:color w:val="auto"/>
          <w:spacing w:val="5"/>
          <w:kern w:val="2"/>
          <w:sz w:val="24"/>
          <w:szCs w:val="24"/>
          <w:highlight w:val="none"/>
          <w:vertAlign w:val="subscript"/>
          <w:lang w:val="en-US" w:eastAsia="zh-CN"/>
        </w:rPr>
        <w:t>B</w:t>
      </w:r>
      <w:r>
        <w:rPr>
          <w:rFonts w:hint="eastAsia" w:ascii="Times New Roman" w:hAnsi="Times New Roman" w:eastAsia="宋体" w:cs="Times New Roman"/>
          <w:color w:val="auto"/>
          <w:spacing w:val="5"/>
          <w:kern w:val="2"/>
          <w:sz w:val="24"/>
          <w:szCs w:val="24"/>
          <w:highlight w:val="none"/>
          <w:lang w:val="en-US" w:eastAsia="zh-CN"/>
        </w:rPr>
        <w:t>）、</w:t>
      </w:r>
      <w:r>
        <w:rPr>
          <w:rFonts w:hint="eastAsia" w:cs="Times New Roman"/>
          <w:color w:val="auto"/>
          <w:spacing w:val="5"/>
          <w:kern w:val="2"/>
          <w:sz w:val="24"/>
          <w:szCs w:val="24"/>
          <w:highlight w:val="none"/>
          <w:lang w:val="en-US" w:eastAsia="zh-CN"/>
        </w:rPr>
        <w:t>塔里木盆地裸露荒漠、稀疏灌木、半灌木荒漠区</w:t>
      </w:r>
      <w:r>
        <w:rPr>
          <w:rFonts w:hint="eastAsia" w:ascii="Times New Roman" w:hAnsi="Times New Roman" w:eastAsia="宋体" w:cs="Times New Roman"/>
          <w:color w:val="auto"/>
          <w:spacing w:val="5"/>
          <w:kern w:val="2"/>
          <w:sz w:val="24"/>
          <w:szCs w:val="24"/>
          <w:highlight w:val="none"/>
          <w:lang w:val="en-US" w:eastAsia="zh-CN"/>
        </w:rPr>
        <w:t>（XIII</w:t>
      </w:r>
      <w:r>
        <w:rPr>
          <w:rFonts w:hint="eastAsia" w:cs="Times New Roman"/>
          <w:color w:val="auto"/>
          <w:spacing w:val="5"/>
          <w:kern w:val="2"/>
          <w:sz w:val="24"/>
          <w:szCs w:val="24"/>
          <w:highlight w:val="none"/>
          <w:vertAlign w:val="subscript"/>
          <w:lang w:val="en-US" w:eastAsia="zh-CN"/>
        </w:rPr>
        <w:t>B2</w:t>
      </w:r>
      <w:r>
        <w:rPr>
          <w:rFonts w:hint="eastAsia" w:ascii="Times New Roman" w:hAnsi="Times New Roman" w:eastAsia="宋体" w:cs="Times New Roman"/>
          <w:color w:val="auto"/>
          <w:spacing w:val="5"/>
          <w:kern w:val="2"/>
          <w:sz w:val="24"/>
          <w:szCs w:val="24"/>
          <w:highlight w:val="none"/>
          <w:lang w:val="en-US" w:eastAsia="zh-CN"/>
        </w:rPr>
        <w:t>）。</w:t>
      </w:r>
      <w:r>
        <w:rPr>
          <w:rFonts w:hint="default" w:ascii="Times New Roman" w:hAnsi="Times New Roman" w:eastAsia="宋体" w:cs="Times New Roman"/>
          <w:color w:val="auto"/>
          <w:spacing w:val="5"/>
          <w:kern w:val="2"/>
          <w:sz w:val="24"/>
          <w:szCs w:val="24"/>
          <w:highlight w:val="none"/>
        </w:rPr>
        <w:t>根据</w:t>
      </w:r>
      <w:r>
        <w:rPr>
          <w:rFonts w:hint="eastAsia" w:ascii="Times New Roman" w:hAnsi="Times New Roman" w:eastAsia="宋体" w:cs="Times New Roman"/>
          <w:color w:val="auto"/>
          <w:spacing w:val="5"/>
          <w:kern w:val="2"/>
          <w:sz w:val="24"/>
          <w:szCs w:val="24"/>
          <w:highlight w:val="none"/>
          <w:lang w:eastAsia="zh-CN"/>
        </w:rPr>
        <w:t>《</w:t>
      </w:r>
      <w:r>
        <w:rPr>
          <w:rFonts w:hint="eastAsia" w:ascii="Times New Roman" w:hAnsi="Times New Roman" w:eastAsia="宋体" w:cs="Times New Roman"/>
          <w:color w:val="auto"/>
          <w:spacing w:val="5"/>
          <w:kern w:val="2"/>
          <w:sz w:val="24"/>
          <w:szCs w:val="24"/>
          <w:highlight w:val="none"/>
          <w:lang w:val="en-US" w:eastAsia="zh-CN"/>
        </w:rPr>
        <w:t>新疆植被及其利用</w:t>
      </w:r>
      <w:r>
        <w:rPr>
          <w:rFonts w:hint="eastAsia" w:ascii="Times New Roman" w:hAnsi="Times New Roman" w:eastAsia="宋体"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，工程所在地区属于新疆荒漠区</w:t>
      </w:r>
      <w:r>
        <w:rPr>
          <w:rFonts w:hint="eastAsia" w:cs="Times New Roman"/>
          <w:color w:val="auto"/>
          <w:spacing w:val="5"/>
          <w:kern w:val="2"/>
          <w:sz w:val="24"/>
          <w:szCs w:val="24"/>
          <w:highlight w:val="none"/>
          <w:lang w:eastAsia="zh-CN"/>
        </w:rPr>
        <w:t>（</w:t>
      </w:r>
      <w:r>
        <w:rPr>
          <w:rFonts w:hint="eastAsia" w:cs="Times New Roman"/>
          <w:color w:val="auto"/>
          <w:spacing w:val="5"/>
          <w:kern w:val="2"/>
          <w:sz w:val="24"/>
          <w:szCs w:val="24"/>
          <w:highlight w:val="none"/>
          <w:lang w:val="en-US" w:eastAsia="zh-CN"/>
        </w:rPr>
        <w:t>二</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w:t>
      </w:r>
      <w:r>
        <w:rPr>
          <w:rFonts w:hint="eastAsia" w:cs="Times New Roman"/>
          <w:color w:val="auto"/>
          <w:spacing w:val="5"/>
          <w:kern w:val="2"/>
          <w:sz w:val="24"/>
          <w:szCs w:val="24"/>
          <w:highlight w:val="none"/>
          <w:lang w:val="en-US" w:eastAsia="zh-CN"/>
        </w:rPr>
        <w:t>东疆-南疆</w:t>
      </w:r>
      <w:r>
        <w:rPr>
          <w:rFonts w:hint="default" w:ascii="Times New Roman" w:hAnsi="Times New Roman" w:eastAsia="宋体" w:cs="Times New Roman"/>
          <w:color w:val="auto"/>
          <w:spacing w:val="5"/>
          <w:kern w:val="2"/>
          <w:sz w:val="24"/>
          <w:szCs w:val="24"/>
          <w:highlight w:val="none"/>
        </w:rPr>
        <w:t>荒漠亚区</w:t>
      </w:r>
      <w:r>
        <w:rPr>
          <w:rFonts w:hint="eastAsia" w:cs="Times New Roman"/>
          <w:color w:val="auto"/>
          <w:spacing w:val="5"/>
          <w:kern w:val="2"/>
          <w:sz w:val="24"/>
          <w:szCs w:val="24"/>
          <w:highlight w:val="none"/>
          <w:lang w:eastAsia="zh-CN"/>
        </w:rPr>
        <w:t>（</w:t>
      </w:r>
      <w:r>
        <w:rPr>
          <w:rFonts w:hint="eastAsia" w:cs="Times New Roman"/>
          <w:color w:val="auto"/>
          <w:spacing w:val="5"/>
          <w:kern w:val="2"/>
          <w:sz w:val="24"/>
          <w:szCs w:val="24"/>
          <w:highlight w:val="none"/>
          <w:lang w:val="en-US" w:eastAsia="zh-CN"/>
        </w:rPr>
        <w:t>B</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w:t>
      </w:r>
      <w:r>
        <w:rPr>
          <w:rFonts w:hint="eastAsia" w:cs="Times New Roman"/>
          <w:color w:val="auto"/>
          <w:spacing w:val="5"/>
          <w:kern w:val="2"/>
          <w:sz w:val="24"/>
          <w:szCs w:val="24"/>
          <w:highlight w:val="none"/>
          <w:lang w:val="en-US" w:eastAsia="zh-CN"/>
        </w:rPr>
        <w:t>塔里木</w:t>
      </w:r>
      <w:r>
        <w:rPr>
          <w:rFonts w:hint="default" w:ascii="Times New Roman" w:hAnsi="Times New Roman" w:eastAsia="宋体" w:cs="Times New Roman"/>
          <w:color w:val="auto"/>
          <w:spacing w:val="5"/>
          <w:kern w:val="2"/>
          <w:sz w:val="24"/>
          <w:szCs w:val="24"/>
          <w:highlight w:val="none"/>
        </w:rPr>
        <w:t>荒漠省</w:t>
      </w:r>
      <w:r>
        <w:rPr>
          <w:rFonts w:hint="eastAsia" w:cs="Times New Roman"/>
          <w:color w:val="auto"/>
          <w:spacing w:val="5"/>
          <w:kern w:val="2"/>
          <w:sz w:val="24"/>
          <w:szCs w:val="24"/>
          <w:highlight w:val="none"/>
          <w:lang w:eastAsia="zh-CN"/>
        </w:rPr>
        <w:t>（</w:t>
      </w:r>
      <w:r>
        <w:rPr>
          <w:rFonts w:hint="eastAsia" w:cs="Times New Roman"/>
          <w:color w:val="auto"/>
          <w:spacing w:val="5"/>
          <w:kern w:val="2"/>
          <w:sz w:val="24"/>
          <w:szCs w:val="24"/>
          <w:highlight w:val="none"/>
          <w:lang w:val="en-US" w:eastAsia="zh-CN"/>
        </w:rPr>
        <w:t>VII</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w:t>
      </w:r>
      <w:r>
        <w:rPr>
          <w:rFonts w:hint="eastAsia" w:cs="Times New Roman"/>
          <w:color w:val="auto"/>
          <w:spacing w:val="5"/>
          <w:kern w:val="2"/>
          <w:sz w:val="24"/>
          <w:szCs w:val="24"/>
          <w:highlight w:val="none"/>
          <w:lang w:val="en-US" w:eastAsia="zh-CN"/>
        </w:rPr>
        <w:t>塔克拉玛干</w:t>
      </w:r>
      <w:r>
        <w:rPr>
          <w:rFonts w:hint="eastAsia" w:ascii="Times New Roman" w:hAnsi="Times New Roman" w:eastAsia="宋体" w:cs="Times New Roman"/>
          <w:color w:val="auto"/>
          <w:spacing w:val="5"/>
          <w:kern w:val="2"/>
          <w:sz w:val="24"/>
          <w:szCs w:val="24"/>
          <w:highlight w:val="none"/>
          <w:lang w:val="en-US" w:eastAsia="zh-CN"/>
        </w:rPr>
        <w:t>荒漠亚省</w:t>
      </w:r>
      <w:r>
        <w:rPr>
          <w:rFonts w:hint="eastAsia" w:cs="Times New Roman"/>
          <w:color w:val="auto"/>
          <w:spacing w:val="5"/>
          <w:kern w:val="2"/>
          <w:sz w:val="24"/>
          <w:szCs w:val="24"/>
          <w:highlight w:val="none"/>
          <w:lang w:val="en-US" w:eastAsia="zh-CN"/>
        </w:rPr>
        <w:t>（b）</w:t>
      </w:r>
      <w:r>
        <w:rPr>
          <w:rFonts w:hint="eastAsia" w:ascii="Times New Roman" w:hAnsi="Times New Roman" w:eastAsia="宋体" w:cs="Times New Roman"/>
          <w:color w:val="auto"/>
          <w:spacing w:val="5"/>
          <w:kern w:val="2"/>
          <w:sz w:val="24"/>
          <w:szCs w:val="24"/>
          <w:highlight w:val="none"/>
          <w:lang w:val="en-US" w:eastAsia="zh-CN"/>
        </w:rPr>
        <w:t>、</w:t>
      </w:r>
      <w:r>
        <w:rPr>
          <w:rFonts w:hint="eastAsia" w:cs="Times New Roman"/>
          <w:color w:val="auto"/>
          <w:spacing w:val="5"/>
          <w:kern w:val="2"/>
          <w:sz w:val="24"/>
          <w:szCs w:val="24"/>
          <w:highlight w:val="none"/>
          <w:lang w:val="en-US" w:eastAsia="zh-CN"/>
        </w:rPr>
        <w:t>阿克苏-库尔勒州（45）</w:t>
      </w:r>
      <w:r>
        <w:rPr>
          <w:rFonts w:hint="eastAsia" w:ascii="Times New Roman" w:hAnsi="Times New Roman" w:eastAsia="宋体" w:cs="Times New Roman"/>
          <w:color w:val="auto"/>
          <w:spacing w:val="5"/>
          <w:kern w:val="2"/>
          <w:sz w:val="24"/>
          <w:szCs w:val="24"/>
          <w:highlight w:val="none"/>
          <w:lang w:val="en-US" w:eastAsia="zh-CN"/>
        </w:rPr>
        <w:t>。</w:t>
      </w:r>
    </w:p>
    <w:p w14:paraId="4A9CD854">
      <w:pPr>
        <w:widowControl w:val="0"/>
        <w:spacing w:line="360" w:lineRule="auto"/>
        <w:ind w:firstLine="500" w:firstLineChars="200"/>
        <w:jc w:val="both"/>
        <w:rPr>
          <w:rFonts w:hint="default" w:ascii="Times New Roman" w:hAnsi="Times New Roman" w:eastAsia="宋体" w:cs="Times New Roman"/>
          <w:color w:val="auto"/>
          <w:spacing w:val="5"/>
          <w:kern w:val="2"/>
          <w:sz w:val="24"/>
          <w:szCs w:val="24"/>
          <w:highlight w:val="none"/>
        </w:rPr>
      </w:pPr>
      <w:r>
        <w:rPr>
          <w:rFonts w:hint="default" w:ascii="Times New Roman" w:hAnsi="Times New Roman" w:eastAsia="宋体" w:cs="Times New Roman"/>
          <w:color w:val="auto"/>
          <w:spacing w:val="5"/>
          <w:kern w:val="2"/>
          <w:sz w:val="24"/>
          <w:szCs w:val="24"/>
          <w:highlight w:val="none"/>
        </w:rPr>
        <w:t>本州为从天山南麓前山带至叶尔羌河下游</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塔里木河河谷间的广大山前平原，包括阿克苏、卡拉玉尔滚、渭干、库车、迪纳尔、孔雀等河流形成的大小不一的联合冲积洪积扇及其间的古老冲积平原。在洪积扇和冲积平原上覆盖有半固定沙丘。由于气候和特殊的水文地质条件，盐渍化现象非常普遍而严重。良好的各河流冲积扇也早已辟为绿洲。多雨年份混生大量一年生的盐生草</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i/>
          <w:iCs/>
          <w:color w:val="auto"/>
          <w:spacing w:val="5"/>
          <w:kern w:val="2"/>
          <w:sz w:val="24"/>
          <w:szCs w:val="24"/>
          <w:highlight w:val="none"/>
        </w:rPr>
        <w:t>Halogeton glomeratus</w:t>
      </w:r>
      <w:r>
        <w:rPr>
          <w:rFonts w:hint="eastAsia" w:cs="Times New Roman"/>
          <w:i/>
          <w:iCs/>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。洪积扇下部沙质砾质基质上则常混有塔里木沙拐枣</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i/>
          <w:iCs/>
          <w:color w:val="auto"/>
          <w:spacing w:val="5"/>
          <w:kern w:val="2"/>
          <w:sz w:val="24"/>
          <w:szCs w:val="24"/>
          <w:highlight w:val="none"/>
        </w:rPr>
        <w:t>Calligonum roborowskii</w:t>
      </w:r>
      <w:r>
        <w:rPr>
          <w:rFonts w:hint="default" w:ascii="Times New Roman" w:hAnsi="Times New Roman" w:eastAsia="宋体" w:cs="Times New Roman"/>
          <w:color w:val="auto"/>
          <w:spacing w:val="5"/>
          <w:kern w:val="2"/>
          <w:sz w:val="24"/>
          <w:szCs w:val="24"/>
          <w:highlight w:val="none"/>
        </w:rPr>
        <w:t>）和梭梭柴</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与多枝怪柳</w:t>
      </w:r>
      <w:r>
        <w:rPr>
          <w:rFonts w:hint="eastAsia" w:cs="Times New Roman"/>
          <w:color w:val="auto"/>
          <w:spacing w:val="5"/>
          <w:kern w:val="2"/>
          <w:sz w:val="24"/>
          <w:szCs w:val="24"/>
          <w:highlight w:val="none"/>
          <w:lang w:val="en-US" w:eastAsia="zh-CN"/>
        </w:rPr>
        <w:t>等</w:t>
      </w:r>
      <w:r>
        <w:rPr>
          <w:rFonts w:hint="default" w:ascii="Times New Roman" w:hAnsi="Times New Roman" w:eastAsia="宋体" w:cs="Times New Roman"/>
          <w:color w:val="auto"/>
          <w:spacing w:val="5"/>
          <w:kern w:val="2"/>
          <w:sz w:val="24"/>
          <w:szCs w:val="24"/>
          <w:highlight w:val="none"/>
        </w:rPr>
        <w:t>构成沙丘的主要植被。另外</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在草甸盐土或结皮盐土上分布有怪柳、草本灌丛</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龟裂型盐土上</w:t>
      </w:r>
      <w:r>
        <w:rPr>
          <w:rFonts w:hint="eastAsia" w:cs="Times New Roman"/>
          <w:color w:val="auto"/>
          <w:spacing w:val="5"/>
          <w:kern w:val="2"/>
          <w:sz w:val="24"/>
          <w:szCs w:val="24"/>
          <w:highlight w:val="none"/>
          <w:lang w:val="en-US" w:eastAsia="zh-CN"/>
        </w:rPr>
        <w:t>混生</w:t>
      </w:r>
      <w:r>
        <w:rPr>
          <w:rFonts w:hint="default" w:ascii="Times New Roman" w:hAnsi="Times New Roman" w:eastAsia="宋体" w:cs="Times New Roman"/>
          <w:color w:val="auto"/>
          <w:spacing w:val="5"/>
          <w:kern w:val="2"/>
          <w:sz w:val="24"/>
          <w:szCs w:val="24"/>
          <w:highlight w:val="none"/>
        </w:rPr>
        <w:t>有梭梭柴、琵琶柴的怪柳灌丛</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结壳盐土上则为稀疏的怪柳、木本盐柴类灌丛或纯的多汁木本盐柴类荒漠</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由盐穗木</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i/>
          <w:iCs/>
          <w:color w:val="auto"/>
          <w:spacing w:val="5"/>
          <w:kern w:val="2"/>
          <w:sz w:val="24"/>
          <w:szCs w:val="24"/>
          <w:highlight w:val="none"/>
        </w:rPr>
        <w:t>Halostachys belangeriana</w:t>
      </w:r>
      <w:r>
        <w:rPr>
          <w:rFonts w:hint="eastAsia" w:cs="Times New Roman"/>
          <w:i/>
          <w:iCs/>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、盐节木</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i/>
          <w:iCs/>
          <w:color w:val="auto"/>
          <w:spacing w:val="5"/>
          <w:kern w:val="2"/>
          <w:sz w:val="24"/>
          <w:szCs w:val="24"/>
          <w:highlight w:val="none"/>
        </w:rPr>
        <w:t>Halocnemum strobilaceum</w:t>
      </w:r>
      <w:r>
        <w:rPr>
          <w:rFonts w:hint="eastAsia" w:cs="Times New Roman"/>
          <w:i/>
          <w:iCs/>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、黑果枸杞</w:t>
      </w:r>
      <w:r>
        <w:rPr>
          <w:rFonts w:hint="eastAsia" w:cs="Times New Roman"/>
          <w:color w:val="auto"/>
          <w:spacing w:val="5"/>
          <w:kern w:val="2"/>
          <w:sz w:val="24"/>
          <w:szCs w:val="24"/>
          <w:highlight w:val="none"/>
          <w:lang w:eastAsia="zh-CN"/>
        </w:rPr>
        <w:t>（</w:t>
      </w:r>
      <w:r>
        <w:rPr>
          <w:rFonts w:hint="default" w:ascii="Times New Roman" w:hAnsi="Times New Roman" w:eastAsia="宋体" w:cs="Times New Roman"/>
          <w:i/>
          <w:iCs/>
          <w:color w:val="auto"/>
          <w:spacing w:val="5"/>
          <w:kern w:val="2"/>
          <w:sz w:val="24"/>
          <w:szCs w:val="24"/>
          <w:highlight w:val="none"/>
        </w:rPr>
        <w:t>Lycium ruthenicum</w:t>
      </w:r>
      <w:r>
        <w:rPr>
          <w:rFonts w:hint="eastAsia" w:cs="Times New Roman"/>
          <w:i/>
          <w:iCs/>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组成。怪柳丛下沙丘堆积，形成独特的自然景观。扇缘带分布片段的胡杨疏林和芦苇盐化草甸。灰杨开始出现在本州的南部。</w:t>
      </w:r>
    </w:p>
    <w:p w14:paraId="752045B4">
      <w:pPr>
        <w:widowControl w:val="0"/>
        <w:spacing w:line="360" w:lineRule="auto"/>
        <w:ind w:firstLine="500" w:firstLineChars="200"/>
        <w:jc w:val="both"/>
        <w:rPr>
          <w:rFonts w:hint="eastAsia" w:ascii="Times New Roman" w:hAnsi="Times New Roman" w:eastAsia="宋体" w:cs="Times New Roman"/>
          <w:color w:val="auto"/>
          <w:spacing w:val="5"/>
          <w:kern w:val="2"/>
          <w:sz w:val="24"/>
          <w:szCs w:val="24"/>
          <w:highlight w:val="none"/>
          <w:lang w:eastAsia="zh-CN"/>
        </w:rPr>
      </w:pPr>
      <w:r>
        <w:rPr>
          <w:rFonts w:hint="default" w:ascii="Times New Roman" w:hAnsi="Times New Roman" w:eastAsia="宋体" w:cs="Times New Roman"/>
          <w:color w:val="auto"/>
          <w:spacing w:val="5"/>
          <w:kern w:val="2"/>
          <w:sz w:val="24"/>
          <w:szCs w:val="24"/>
          <w:highlight w:val="none"/>
        </w:rPr>
        <w:t>区域野生植物情况见表4</w:t>
      </w:r>
      <w:r>
        <w:rPr>
          <w:rFonts w:hint="eastAsia" w:cs="Times New Roman"/>
          <w:color w:val="auto"/>
          <w:spacing w:val="5"/>
          <w:kern w:val="2"/>
          <w:sz w:val="24"/>
          <w:szCs w:val="24"/>
          <w:highlight w:val="none"/>
          <w:lang w:val="en-US" w:eastAsia="zh-CN"/>
        </w:rPr>
        <w:t>.6-5</w:t>
      </w:r>
      <w:r>
        <w:rPr>
          <w:rFonts w:hint="eastAsia" w:ascii="Times New Roman" w:hAnsi="Times New Roman" w:eastAsia="宋体" w:cs="Times New Roman"/>
          <w:color w:val="auto"/>
          <w:spacing w:val="5"/>
          <w:kern w:val="2"/>
          <w:sz w:val="24"/>
          <w:szCs w:val="24"/>
          <w:highlight w:val="none"/>
          <w:lang w:eastAsia="zh-CN"/>
        </w:rPr>
        <w:t>，</w:t>
      </w:r>
      <w:r>
        <w:rPr>
          <w:rFonts w:hint="default" w:ascii="Times New Roman" w:hAnsi="Times New Roman" w:eastAsia="宋体" w:cs="Times New Roman"/>
          <w:color w:val="auto"/>
          <w:spacing w:val="5"/>
          <w:kern w:val="2"/>
          <w:sz w:val="24"/>
          <w:szCs w:val="24"/>
          <w:highlight w:val="none"/>
        </w:rPr>
        <w:t>区域植被类型图见图4.</w:t>
      </w:r>
      <w:r>
        <w:rPr>
          <w:rFonts w:hint="eastAsia" w:cs="Times New Roman"/>
          <w:color w:val="auto"/>
          <w:spacing w:val="5"/>
          <w:kern w:val="2"/>
          <w:sz w:val="24"/>
          <w:szCs w:val="24"/>
          <w:highlight w:val="none"/>
          <w:lang w:val="en-US" w:eastAsia="zh-CN"/>
        </w:rPr>
        <w:t>6</w:t>
      </w:r>
      <w:r>
        <w:rPr>
          <w:rFonts w:hint="default" w:ascii="Times New Roman" w:hAnsi="Times New Roman" w:eastAsia="宋体" w:cs="Times New Roman"/>
          <w:color w:val="auto"/>
          <w:spacing w:val="5"/>
          <w:kern w:val="2"/>
          <w:sz w:val="24"/>
          <w:szCs w:val="24"/>
          <w:highlight w:val="none"/>
        </w:rPr>
        <w:t>-4</w:t>
      </w:r>
      <w:r>
        <w:rPr>
          <w:rFonts w:hint="eastAsia" w:ascii="Times New Roman" w:hAnsi="Times New Roman" w:eastAsia="宋体" w:cs="Times New Roman"/>
          <w:color w:val="auto"/>
          <w:spacing w:val="5"/>
          <w:kern w:val="2"/>
          <w:sz w:val="24"/>
          <w:szCs w:val="24"/>
          <w:highlight w:val="none"/>
          <w:lang w:eastAsia="zh-CN"/>
        </w:rPr>
        <w:t>。</w:t>
      </w:r>
    </w:p>
    <w:p w14:paraId="6ABD1F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Cs/>
          <w:color w:val="auto"/>
          <w:spacing w:val="5"/>
          <w:kern w:val="2"/>
          <w:sz w:val="21"/>
          <w:szCs w:val="21"/>
          <w:highlight w:val="none"/>
        </w:rPr>
        <w:t>表4.6-</w:t>
      </w:r>
      <w:r>
        <w:rPr>
          <w:rFonts w:hint="eastAsia" w:eastAsia="黑体" w:cs="Times New Roman"/>
          <w:bCs/>
          <w:color w:val="auto"/>
          <w:spacing w:val="5"/>
          <w:kern w:val="2"/>
          <w:sz w:val="21"/>
          <w:szCs w:val="21"/>
          <w:highlight w:val="none"/>
          <w:lang w:val="en-US" w:eastAsia="zh-CN"/>
        </w:rPr>
        <w:t>5</w:t>
      </w:r>
      <w:r>
        <w:rPr>
          <w:rFonts w:hint="default" w:ascii="Times New Roman" w:hAnsi="Times New Roman" w:eastAsia="黑体" w:cs="Times New Roman"/>
          <w:bCs/>
          <w:color w:val="auto"/>
          <w:spacing w:val="5"/>
          <w:kern w:val="2"/>
          <w:sz w:val="21"/>
          <w:szCs w:val="21"/>
          <w:highlight w:val="none"/>
        </w:rPr>
        <w:t xml:space="preserve">  区域野生植物情况一览表</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547"/>
        <w:gridCol w:w="2558"/>
        <w:gridCol w:w="3254"/>
      </w:tblGrid>
      <w:tr w14:paraId="6F4C9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1523" w:type="pct"/>
            <w:noWrap w:val="0"/>
            <w:vAlign w:val="center"/>
          </w:tcPr>
          <w:p w14:paraId="725AEBD3">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科</w:t>
            </w:r>
          </w:p>
        </w:tc>
        <w:tc>
          <w:tcPr>
            <w:tcW w:w="1530" w:type="pct"/>
            <w:noWrap w:val="0"/>
            <w:vAlign w:val="center"/>
          </w:tcPr>
          <w:p w14:paraId="0A5F7E3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种名</w:t>
            </w:r>
          </w:p>
        </w:tc>
        <w:tc>
          <w:tcPr>
            <w:tcW w:w="1946" w:type="pct"/>
            <w:noWrap w:val="0"/>
            <w:vAlign w:val="center"/>
          </w:tcPr>
          <w:p w14:paraId="6468801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拉丁名</w:t>
            </w:r>
          </w:p>
        </w:tc>
      </w:tr>
      <w:tr w14:paraId="0F6E4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41E5AAF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杨柳科</w:t>
            </w:r>
          </w:p>
        </w:tc>
        <w:tc>
          <w:tcPr>
            <w:tcW w:w="1530" w:type="pct"/>
            <w:noWrap w:val="0"/>
            <w:vAlign w:val="center"/>
          </w:tcPr>
          <w:p w14:paraId="104C2D5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灰胡杨</w:t>
            </w:r>
          </w:p>
        </w:tc>
        <w:tc>
          <w:tcPr>
            <w:tcW w:w="1946" w:type="pct"/>
            <w:noWrap w:val="0"/>
            <w:vAlign w:val="center"/>
          </w:tcPr>
          <w:p w14:paraId="5356798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Populus pruinosa Schrenk</w:t>
            </w:r>
          </w:p>
        </w:tc>
      </w:tr>
      <w:tr w14:paraId="3AD9F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0718B74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69E4BCD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胡杨</w:t>
            </w:r>
          </w:p>
        </w:tc>
        <w:tc>
          <w:tcPr>
            <w:tcW w:w="1946" w:type="pct"/>
            <w:noWrap w:val="0"/>
            <w:vAlign w:val="center"/>
          </w:tcPr>
          <w:p w14:paraId="45DC51F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Populus euphratica</w:t>
            </w:r>
          </w:p>
        </w:tc>
      </w:tr>
      <w:tr w14:paraId="4F9EA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44BDC50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3B53A22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线叶柳</w:t>
            </w:r>
          </w:p>
        </w:tc>
        <w:tc>
          <w:tcPr>
            <w:tcW w:w="1946" w:type="pct"/>
            <w:noWrap w:val="0"/>
            <w:vAlign w:val="center"/>
          </w:tcPr>
          <w:p w14:paraId="5031543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Salix wilhelmsiana</w:t>
            </w:r>
          </w:p>
        </w:tc>
      </w:tr>
      <w:tr w14:paraId="29862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7CE1126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蓼科</w:t>
            </w:r>
          </w:p>
        </w:tc>
        <w:tc>
          <w:tcPr>
            <w:tcW w:w="1530" w:type="pct"/>
            <w:noWrap w:val="0"/>
            <w:vAlign w:val="center"/>
          </w:tcPr>
          <w:p w14:paraId="212ADDB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沙拐枣</w:t>
            </w:r>
          </w:p>
        </w:tc>
        <w:tc>
          <w:tcPr>
            <w:tcW w:w="1946" w:type="pct"/>
            <w:noWrap w:val="0"/>
            <w:vAlign w:val="center"/>
          </w:tcPr>
          <w:p w14:paraId="0A91722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Calligonum roborowskii</w:t>
            </w:r>
          </w:p>
        </w:tc>
      </w:tr>
      <w:tr w14:paraId="29B8A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2172318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5B6741C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盐穂木</w:t>
            </w:r>
          </w:p>
        </w:tc>
        <w:tc>
          <w:tcPr>
            <w:tcW w:w="1946" w:type="pct"/>
            <w:noWrap w:val="0"/>
            <w:vAlign w:val="center"/>
          </w:tcPr>
          <w:p w14:paraId="013BD80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Halostachys belangeriana</w:t>
            </w:r>
          </w:p>
        </w:tc>
      </w:tr>
      <w:tr w14:paraId="40A0A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7FF8021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479836F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盐节木</w:t>
            </w:r>
          </w:p>
        </w:tc>
        <w:tc>
          <w:tcPr>
            <w:tcW w:w="1946" w:type="pct"/>
            <w:noWrap w:val="0"/>
            <w:vAlign w:val="center"/>
          </w:tcPr>
          <w:p w14:paraId="178E21D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Halocnemum shrobilaceum</w:t>
            </w:r>
          </w:p>
        </w:tc>
      </w:tr>
      <w:tr w14:paraId="47200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13F9896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10CFB61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盐生草</w:t>
            </w:r>
          </w:p>
        </w:tc>
        <w:tc>
          <w:tcPr>
            <w:tcW w:w="1946" w:type="pct"/>
            <w:noWrap w:val="0"/>
            <w:vAlign w:val="center"/>
          </w:tcPr>
          <w:p w14:paraId="2F1F965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Halogeton glomeratus</w:t>
            </w:r>
          </w:p>
        </w:tc>
      </w:tr>
      <w:tr w14:paraId="60C27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7C8BC82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68250D3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圆叶盐爪爪</w:t>
            </w:r>
          </w:p>
        </w:tc>
        <w:tc>
          <w:tcPr>
            <w:tcW w:w="1946" w:type="pct"/>
            <w:noWrap w:val="0"/>
            <w:vAlign w:val="center"/>
          </w:tcPr>
          <w:p w14:paraId="1EB8A0E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Kalidium schrenkianum</w:t>
            </w:r>
          </w:p>
        </w:tc>
      </w:tr>
      <w:tr w14:paraId="6CF40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1117EE4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藜科</w:t>
            </w:r>
          </w:p>
        </w:tc>
        <w:tc>
          <w:tcPr>
            <w:tcW w:w="1530" w:type="pct"/>
            <w:noWrap w:val="0"/>
            <w:vAlign w:val="center"/>
          </w:tcPr>
          <w:p w14:paraId="0013AB3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碱蓬</w:t>
            </w:r>
          </w:p>
        </w:tc>
        <w:tc>
          <w:tcPr>
            <w:tcW w:w="1946" w:type="pct"/>
            <w:noWrap w:val="0"/>
            <w:vAlign w:val="center"/>
          </w:tcPr>
          <w:p w14:paraId="1EEDD70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Suaed salsa</w:t>
            </w:r>
          </w:p>
        </w:tc>
      </w:tr>
      <w:tr w14:paraId="20C7D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2D1C9CA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2E9B0D3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刺蓬</w:t>
            </w:r>
          </w:p>
        </w:tc>
        <w:tc>
          <w:tcPr>
            <w:tcW w:w="1946" w:type="pct"/>
            <w:noWrap w:val="0"/>
            <w:vAlign w:val="center"/>
          </w:tcPr>
          <w:p w14:paraId="094881A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Sallsola pestifer</w:t>
            </w:r>
          </w:p>
        </w:tc>
      </w:tr>
      <w:tr w14:paraId="05B74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6637D8D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6274D54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细叶虫实</w:t>
            </w:r>
          </w:p>
        </w:tc>
        <w:tc>
          <w:tcPr>
            <w:tcW w:w="1946" w:type="pct"/>
            <w:noWrap w:val="0"/>
            <w:vAlign w:val="center"/>
          </w:tcPr>
          <w:p w14:paraId="2DAACAE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Corispormum heptapotamicum</w:t>
            </w:r>
          </w:p>
        </w:tc>
      </w:tr>
      <w:tr w14:paraId="2189B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288E148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36D2032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星状刺果藜</w:t>
            </w:r>
          </w:p>
        </w:tc>
        <w:tc>
          <w:tcPr>
            <w:tcW w:w="1946" w:type="pct"/>
            <w:noWrap w:val="0"/>
            <w:vAlign w:val="center"/>
          </w:tcPr>
          <w:p w14:paraId="678BFA3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Bassia dasyphylla</w:t>
            </w:r>
          </w:p>
        </w:tc>
      </w:tr>
      <w:tr w14:paraId="7D68D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73B1279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7375FDF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假木贼</w:t>
            </w:r>
          </w:p>
        </w:tc>
        <w:tc>
          <w:tcPr>
            <w:tcW w:w="1946" w:type="pct"/>
            <w:noWrap w:val="0"/>
            <w:vAlign w:val="center"/>
          </w:tcPr>
          <w:p w14:paraId="5843AE2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Anabasis aphylla</w:t>
            </w:r>
          </w:p>
        </w:tc>
      </w:tr>
      <w:tr w14:paraId="15A37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noWrap w:val="0"/>
            <w:vAlign w:val="center"/>
          </w:tcPr>
          <w:p w14:paraId="64BCB11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毛莨科</w:t>
            </w:r>
          </w:p>
        </w:tc>
        <w:tc>
          <w:tcPr>
            <w:tcW w:w="1530" w:type="pct"/>
            <w:noWrap w:val="0"/>
            <w:vAlign w:val="center"/>
          </w:tcPr>
          <w:p w14:paraId="0D0E4C23">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东方铁线莲</w:t>
            </w:r>
          </w:p>
        </w:tc>
        <w:tc>
          <w:tcPr>
            <w:tcW w:w="1946" w:type="pct"/>
            <w:noWrap w:val="0"/>
            <w:vAlign w:val="center"/>
          </w:tcPr>
          <w:p w14:paraId="24B1EE3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Cleamatis orientalis</w:t>
            </w:r>
          </w:p>
        </w:tc>
      </w:tr>
      <w:tr w14:paraId="32C98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31063DF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豆科</w:t>
            </w:r>
          </w:p>
        </w:tc>
        <w:tc>
          <w:tcPr>
            <w:tcW w:w="1530" w:type="pct"/>
            <w:noWrap w:val="0"/>
            <w:vAlign w:val="center"/>
          </w:tcPr>
          <w:p w14:paraId="2455F26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铃铛刺</w:t>
            </w:r>
          </w:p>
        </w:tc>
        <w:tc>
          <w:tcPr>
            <w:tcW w:w="1946" w:type="pct"/>
            <w:noWrap w:val="0"/>
            <w:vAlign w:val="center"/>
          </w:tcPr>
          <w:p w14:paraId="6500AE1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Halimodendron halodendron</w:t>
            </w:r>
          </w:p>
        </w:tc>
      </w:tr>
      <w:tr w14:paraId="6E62D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30382E9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51DE70F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白花苦豆子</w:t>
            </w:r>
          </w:p>
        </w:tc>
        <w:tc>
          <w:tcPr>
            <w:tcW w:w="1946" w:type="pct"/>
            <w:noWrap w:val="0"/>
            <w:vAlign w:val="center"/>
          </w:tcPr>
          <w:p w14:paraId="1DDF27F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Sophora alopecuroides</w:t>
            </w:r>
          </w:p>
        </w:tc>
      </w:tr>
      <w:tr w14:paraId="63E38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75A700F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107253F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苦马豆</w:t>
            </w:r>
          </w:p>
        </w:tc>
        <w:tc>
          <w:tcPr>
            <w:tcW w:w="1946" w:type="pct"/>
            <w:noWrap w:val="0"/>
            <w:vAlign w:val="center"/>
          </w:tcPr>
          <w:p w14:paraId="1CB7165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Sphaorophysa salsula</w:t>
            </w:r>
          </w:p>
        </w:tc>
      </w:tr>
      <w:tr w14:paraId="56920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57C4534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3A028E0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胀果甘草</w:t>
            </w:r>
          </w:p>
        </w:tc>
        <w:tc>
          <w:tcPr>
            <w:tcW w:w="1946" w:type="pct"/>
            <w:noWrap w:val="0"/>
            <w:vAlign w:val="center"/>
          </w:tcPr>
          <w:p w14:paraId="7305E26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Glycyrrhiza inflata Batal</w:t>
            </w:r>
          </w:p>
        </w:tc>
      </w:tr>
      <w:tr w14:paraId="7E288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5A09391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464B6DE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疏叶骆驼刺</w:t>
            </w:r>
          </w:p>
        </w:tc>
        <w:tc>
          <w:tcPr>
            <w:tcW w:w="1946" w:type="pct"/>
            <w:noWrap w:val="0"/>
            <w:vAlign w:val="center"/>
          </w:tcPr>
          <w:p w14:paraId="6186FED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Althagi sparsifolia</w:t>
            </w:r>
          </w:p>
        </w:tc>
      </w:tr>
      <w:tr w14:paraId="348DF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3183D79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蒺藜科</w:t>
            </w:r>
          </w:p>
        </w:tc>
        <w:tc>
          <w:tcPr>
            <w:tcW w:w="1530" w:type="pct"/>
            <w:noWrap w:val="0"/>
            <w:vAlign w:val="center"/>
          </w:tcPr>
          <w:p w14:paraId="497B3D0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骆驼篷</w:t>
            </w:r>
          </w:p>
        </w:tc>
        <w:tc>
          <w:tcPr>
            <w:tcW w:w="1946" w:type="pct"/>
            <w:noWrap w:val="0"/>
            <w:vAlign w:val="center"/>
          </w:tcPr>
          <w:p w14:paraId="1196061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Peganum harmala</w:t>
            </w:r>
          </w:p>
        </w:tc>
      </w:tr>
      <w:tr w14:paraId="31B99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010638F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5CE1B35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西伯利亚白刺</w:t>
            </w:r>
          </w:p>
        </w:tc>
        <w:tc>
          <w:tcPr>
            <w:tcW w:w="1946" w:type="pct"/>
            <w:noWrap w:val="0"/>
            <w:vAlign w:val="center"/>
          </w:tcPr>
          <w:p w14:paraId="4DFF150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Nitraria sibirica</w:t>
            </w:r>
          </w:p>
        </w:tc>
      </w:tr>
      <w:tr w14:paraId="188C3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57AE79E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柽柳科</w:t>
            </w:r>
          </w:p>
        </w:tc>
        <w:tc>
          <w:tcPr>
            <w:tcW w:w="1530" w:type="pct"/>
            <w:noWrap w:val="0"/>
            <w:vAlign w:val="center"/>
          </w:tcPr>
          <w:p w14:paraId="1AA8B2C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多枝柽柳</w:t>
            </w:r>
          </w:p>
        </w:tc>
        <w:tc>
          <w:tcPr>
            <w:tcW w:w="1946" w:type="pct"/>
            <w:noWrap w:val="0"/>
            <w:vAlign w:val="center"/>
          </w:tcPr>
          <w:p w14:paraId="07909E3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Tamarix ramosissima</w:t>
            </w:r>
          </w:p>
        </w:tc>
      </w:tr>
      <w:tr w14:paraId="50A77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013CCC8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7604246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刚毛柽柳</w:t>
            </w:r>
          </w:p>
        </w:tc>
        <w:tc>
          <w:tcPr>
            <w:tcW w:w="1946" w:type="pct"/>
            <w:noWrap w:val="0"/>
            <w:vAlign w:val="center"/>
          </w:tcPr>
          <w:p w14:paraId="22DC67C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Tamarix hispida</w:t>
            </w:r>
          </w:p>
        </w:tc>
      </w:tr>
      <w:tr w14:paraId="2E6F9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155EDA5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73525EF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短穗柽柳</w:t>
            </w:r>
          </w:p>
        </w:tc>
        <w:tc>
          <w:tcPr>
            <w:tcW w:w="1946" w:type="pct"/>
            <w:noWrap w:val="0"/>
            <w:vAlign w:val="center"/>
          </w:tcPr>
          <w:p w14:paraId="2F82A31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Tamarix laxa Willd</w:t>
            </w:r>
          </w:p>
        </w:tc>
      </w:tr>
      <w:tr w14:paraId="53C9C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4B60C67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5E3863A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多花柽柳</w:t>
            </w:r>
          </w:p>
        </w:tc>
        <w:tc>
          <w:tcPr>
            <w:tcW w:w="1946" w:type="pct"/>
            <w:noWrap w:val="0"/>
            <w:vAlign w:val="center"/>
          </w:tcPr>
          <w:p w14:paraId="60F5496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Tamarix hohenackeri  Bunge</w:t>
            </w:r>
          </w:p>
        </w:tc>
      </w:tr>
      <w:tr w14:paraId="500AC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5A7669A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shd w:val="clear" w:color="auto" w:fill="auto"/>
            <w:noWrap w:val="0"/>
            <w:vAlign w:val="center"/>
          </w:tcPr>
          <w:p w14:paraId="516FBD62">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rPr>
              <w:t>长穗柽柳</w:t>
            </w:r>
          </w:p>
        </w:tc>
        <w:tc>
          <w:tcPr>
            <w:tcW w:w="1946" w:type="pct"/>
            <w:shd w:val="clear" w:color="auto" w:fill="auto"/>
            <w:noWrap w:val="0"/>
            <w:vAlign w:val="center"/>
          </w:tcPr>
          <w:p w14:paraId="7A82D7D6">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i/>
                <w:iCs/>
                <w:color w:val="auto"/>
                <w:spacing w:val="0"/>
                <w:kern w:val="2"/>
                <w:sz w:val="21"/>
                <w:szCs w:val="21"/>
                <w:highlight w:val="none"/>
                <w:lang w:val="en-US" w:eastAsia="zh-CN" w:bidi="ar-SA"/>
              </w:rPr>
            </w:pPr>
            <w:r>
              <w:rPr>
                <w:rFonts w:hint="default" w:ascii="Times New Roman" w:hAnsi="Times New Roman" w:eastAsia="宋体" w:cs="Times New Roman"/>
                <w:i/>
                <w:iCs/>
                <w:color w:val="auto"/>
                <w:spacing w:val="0"/>
                <w:kern w:val="2"/>
                <w:sz w:val="21"/>
                <w:szCs w:val="21"/>
                <w:highlight w:val="none"/>
              </w:rPr>
              <w:t>Tamarix elongata  Ledeb</w:t>
            </w:r>
          </w:p>
        </w:tc>
      </w:tr>
      <w:tr w14:paraId="7E16C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40F9163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2FF8BDDF">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红砂（</w:t>
            </w:r>
            <w:r>
              <w:rPr>
                <w:rFonts w:hint="default" w:ascii="Times New Roman" w:hAnsi="Times New Roman" w:eastAsia="宋体" w:cs="Times New Roman"/>
                <w:color w:val="auto"/>
                <w:spacing w:val="0"/>
                <w:kern w:val="2"/>
                <w:sz w:val="21"/>
                <w:szCs w:val="21"/>
                <w:highlight w:val="none"/>
              </w:rPr>
              <w:t>琵琶柴</w:t>
            </w:r>
            <w:r>
              <w:rPr>
                <w:rFonts w:hint="eastAsia" w:cs="Times New Roman"/>
                <w:color w:val="auto"/>
                <w:spacing w:val="0"/>
                <w:kern w:val="2"/>
                <w:sz w:val="21"/>
                <w:szCs w:val="21"/>
                <w:highlight w:val="none"/>
                <w:lang w:eastAsia="zh-CN"/>
              </w:rPr>
              <w:t>）</w:t>
            </w:r>
          </w:p>
        </w:tc>
        <w:tc>
          <w:tcPr>
            <w:tcW w:w="1946" w:type="pct"/>
            <w:noWrap w:val="0"/>
            <w:vAlign w:val="center"/>
          </w:tcPr>
          <w:p w14:paraId="7F1A7ED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Reaumuria songarica</w:t>
            </w:r>
          </w:p>
        </w:tc>
      </w:tr>
      <w:tr w14:paraId="53E80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noWrap w:val="0"/>
            <w:vAlign w:val="center"/>
          </w:tcPr>
          <w:p w14:paraId="716898C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夹竹桃科</w:t>
            </w:r>
          </w:p>
        </w:tc>
        <w:tc>
          <w:tcPr>
            <w:tcW w:w="1530" w:type="pct"/>
            <w:noWrap w:val="0"/>
            <w:vAlign w:val="center"/>
          </w:tcPr>
          <w:p w14:paraId="13FBEB0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茶叶花</w:t>
            </w:r>
          </w:p>
        </w:tc>
        <w:tc>
          <w:tcPr>
            <w:tcW w:w="1946" w:type="pct"/>
            <w:noWrap w:val="0"/>
            <w:vAlign w:val="center"/>
          </w:tcPr>
          <w:p w14:paraId="6B14058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Trachomitum lancifolium</w:t>
            </w:r>
          </w:p>
        </w:tc>
      </w:tr>
      <w:tr w14:paraId="0DE06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noWrap w:val="0"/>
            <w:vAlign w:val="center"/>
          </w:tcPr>
          <w:p w14:paraId="331D788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牛皮科</w:t>
            </w:r>
          </w:p>
        </w:tc>
        <w:tc>
          <w:tcPr>
            <w:tcW w:w="1530" w:type="pct"/>
            <w:noWrap w:val="0"/>
            <w:vAlign w:val="center"/>
          </w:tcPr>
          <w:p w14:paraId="6378ED4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牛皮消</w:t>
            </w:r>
          </w:p>
        </w:tc>
        <w:tc>
          <w:tcPr>
            <w:tcW w:w="1946" w:type="pct"/>
            <w:noWrap w:val="0"/>
            <w:vAlign w:val="center"/>
          </w:tcPr>
          <w:p w14:paraId="7E85657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Cynanchum auriculatum</w:t>
            </w:r>
          </w:p>
        </w:tc>
      </w:tr>
      <w:tr w14:paraId="216F0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noWrap w:val="0"/>
            <w:vAlign w:val="center"/>
          </w:tcPr>
          <w:p w14:paraId="0C736C8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茄科</w:t>
            </w:r>
          </w:p>
        </w:tc>
        <w:tc>
          <w:tcPr>
            <w:tcW w:w="1530" w:type="pct"/>
            <w:noWrap w:val="0"/>
            <w:vAlign w:val="center"/>
          </w:tcPr>
          <w:p w14:paraId="7A29338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黑果枸杞</w:t>
            </w:r>
          </w:p>
        </w:tc>
        <w:tc>
          <w:tcPr>
            <w:tcW w:w="1946" w:type="pct"/>
            <w:noWrap w:val="0"/>
            <w:vAlign w:val="center"/>
          </w:tcPr>
          <w:p w14:paraId="0F12C8E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Lycium ruthenicum</w:t>
            </w:r>
          </w:p>
        </w:tc>
      </w:tr>
      <w:tr w14:paraId="5D5E9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noWrap w:val="0"/>
            <w:vAlign w:val="center"/>
          </w:tcPr>
          <w:p w14:paraId="7836E5E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旋花科</w:t>
            </w:r>
          </w:p>
        </w:tc>
        <w:tc>
          <w:tcPr>
            <w:tcW w:w="1530" w:type="pct"/>
            <w:noWrap w:val="0"/>
            <w:vAlign w:val="center"/>
          </w:tcPr>
          <w:p w14:paraId="24D75D93">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打碗花</w:t>
            </w:r>
          </w:p>
        </w:tc>
        <w:tc>
          <w:tcPr>
            <w:tcW w:w="1946" w:type="pct"/>
            <w:noWrap w:val="0"/>
            <w:vAlign w:val="center"/>
          </w:tcPr>
          <w:p w14:paraId="1177E58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Calystegia hederacea</w:t>
            </w:r>
          </w:p>
        </w:tc>
      </w:tr>
      <w:tr w14:paraId="4CB21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0CAD538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菊科</w:t>
            </w:r>
          </w:p>
        </w:tc>
        <w:tc>
          <w:tcPr>
            <w:tcW w:w="1530" w:type="pct"/>
            <w:noWrap w:val="0"/>
            <w:vAlign w:val="center"/>
          </w:tcPr>
          <w:p w14:paraId="4DE4CFF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分枝鸦葱</w:t>
            </w:r>
          </w:p>
        </w:tc>
        <w:tc>
          <w:tcPr>
            <w:tcW w:w="1946" w:type="pct"/>
            <w:noWrap w:val="0"/>
            <w:vAlign w:val="center"/>
          </w:tcPr>
          <w:p w14:paraId="0B88170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Scorzonera divaricata</w:t>
            </w:r>
          </w:p>
        </w:tc>
      </w:tr>
      <w:tr w14:paraId="434B7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513A271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4E5AC67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盐生鸦葱</w:t>
            </w:r>
          </w:p>
        </w:tc>
        <w:tc>
          <w:tcPr>
            <w:tcW w:w="1946" w:type="pct"/>
            <w:noWrap w:val="0"/>
            <w:vAlign w:val="center"/>
          </w:tcPr>
          <w:p w14:paraId="1529B02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Scorzonera Salsula</w:t>
            </w:r>
          </w:p>
        </w:tc>
      </w:tr>
      <w:tr w14:paraId="57198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2612C28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菊科</w:t>
            </w:r>
          </w:p>
        </w:tc>
        <w:tc>
          <w:tcPr>
            <w:tcW w:w="1530" w:type="pct"/>
            <w:noWrap w:val="0"/>
            <w:vAlign w:val="center"/>
          </w:tcPr>
          <w:p w14:paraId="5788051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新疆绢蒿</w:t>
            </w:r>
          </w:p>
        </w:tc>
        <w:tc>
          <w:tcPr>
            <w:tcW w:w="1946" w:type="pct"/>
            <w:noWrap w:val="0"/>
            <w:vAlign w:val="center"/>
          </w:tcPr>
          <w:p w14:paraId="7EA04A8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Seriphidium kaschgaricum</w:t>
            </w:r>
          </w:p>
        </w:tc>
      </w:tr>
      <w:tr w14:paraId="1C97B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5C16455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4C63F7C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小蓟</w:t>
            </w:r>
          </w:p>
        </w:tc>
        <w:tc>
          <w:tcPr>
            <w:tcW w:w="1946" w:type="pct"/>
            <w:noWrap w:val="0"/>
            <w:vAlign w:val="center"/>
          </w:tcPr>
          <w:p w14:paraId="3BA43A1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Ciriium setosum</w:t>
            </w:r>
          </w:p>
        </w:tc>
      </w:tr>
      <w:tr w14:paraId="355EB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10B50BB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5DDC5B0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花花柴</w:t>
            </w:r>
          </w:p>
        </w:tc>
        <w:tc>
          <w:tcPr>
            <w:tcW w:w="1946" w:type="pct"/>
            <w:noWrap w:val="0"/>
            <w:vAlign w:val="center"/>
          </w:tcPr>
          <w:p w14:paraId="6B418B0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Karelinia caspica</w:t>
            </w:r>
          </w:p>
        </w:tc>
      </w:tr>
      <w:tr w14:paraId="1155C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77EF1B1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rPr>
              <w:t>禾本科</w:t>
            </w:r>
          </w:p>
        </w:tc>
        <w:tc>
          <w:tcPr>
            <w:tcW w:w="1530" w:type="pct"/>
            <w:noWrap w:val="0"/>
            <w:vAlign w:val="center"/>
          </w:tcPr>
          <w:p w14:paraId="57B3545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芦苇</w:t>
            </w:r>
          </w:p>
        </w:tc>
        <w:tc>
          <w:tcPr>
            <w:tcW w:w="1946" w:type="pct"/>
            <w:noWrap w:val="0"/>
            <w:vAlign w:val="center"/>
          </w:tcPr>
          <w:p w14:paraId="22D1EB1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Phragmites australis</w:t>
            </w:r>
          </w:p>
        </w:tc>
      </w:tr>
      <w:tr w14:paraId="32C7A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101BFA0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val="en-US" w:eastAsia="zh-CN" w:bidi="ar-SA"/>
              </w:rPr>
            </w:pPr>
          </w:p>
        </w:tc>
        <w:tc>
          <w:tcPr>
            <w:tcW w:w="1530" w:type="pct"/>
            <w:noWrap w:val="0"/>
            <w:vAlign w:val="center"/>
          </w:tcPr>
          <w:p w14:paraId="350107C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假苇拂子茅</w:t>
            </w:r>
          </w:p>
        </w:tc>
        <w:tc>
          <w:tcPr>
            <w:tcW w:w="1946" w:type="pct"/>
            <w:noWrap w:val="0"/>
            <w:vAlign w:val="center"/>
          </w:tcPr>
          <w:p w14:paraId="5768BBC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Calamagrostis pseudophramites</w:t>
            </w:r>
          </w:p>
        </w:tc>
      </w:tr>
      <w:tr w14:paraId="59C94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1DCB17A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5478011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小獐茅</w:t>
            </w:r>
          </w:p>
        </w:tc>
        <w:tc>
          <w:tcPr>
            <w:tcW w:w="1946" w:type="pct"/>
            <w:noWrap w:val="0"/>
            <w:vAlign w:val="center"/>
          </w:tcPr>
          <w:p w14:paraId="2F6F43C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Aeluropus pungens</w:t>
            </w:r>
          </w:p>
        </w:tc>
      </w:tr>
      <w:tr w14:paraId="752C6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75CF6FB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2B44D59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拂子茅</w:t>
            </w:r>
          </w:p>
        </w:tc>
        <w:tc>
          <w:tcPr>
            <w:tcW w:w="1946" w:type="pct"/>
            <w:noWrap w:val="0"/>
            <w:vAlign w:val="center"/>
          </w:tcPr>
          <w:p w14:paraId="35ECF9D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Calamagrostis epigeios</w:t>
            </w:r>
          </w:p>
        </w:tc>
      </w:tr>
      <w:tr w14:paraId="2840B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23330EA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530" w:type="pct"/>
            <w:noWrap w:val="0"/>
            <w:vAlign w:val="center"/>
          </w:tcPr>
          <w:p w14:paraId="7AD5E6B3">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赖草</w:t>
            </w:r>
          </w:p>
        </w:tc>
        <w:tc>
          <w:tcPr>
            <w:tcW w:w="1946" w:type="pct"/>
            <w:noWrap w:val="0"/>
            <w:vAlign w:val="center"/>
          </w:tcPr>
          <w:p w14:paraId="1CF9942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rPr>
            </w:pPr>
            <w:r>
              <w:rPr>
                <w:rFonts w:hint="default" w:ascii="Times New Roman" w:hAnsi="Times New Roman" w:eastAsia="宋体" w:cs="Times New Roman"/>
                <w:i/>
                <w:iCs/>
                <w:color w:val="auto"/>
                <w:spacing w:val="0"/>
                <w:kern w:val="2"/>
                <w:sz w:val="21"/>
                <w:szCs w:val="21"/>
                <w:highlight w:val="none"/>
              </w:rPr>
              <w:t>Leymus secalinus</w:t>
            </w:r>
          </w:p>
        </w:tc>
      </w:tr>
      <w:tr w14:paraId="52003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noWrap w:val="0"/>
            <w:vAlign w:val="center"/>
          </w:tcPr>
          <w:p w14:paraId="199D1A6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bidi="ar"/>
              </w:rPr>
            </w:pPr>
            <w:r>
              <w:rPr>
                <w:rFonts w:hint="default" w:ascii="Times New Roman" w:hAnsi="Times New Roman" w:eastAsia="宋体" w:cs="Times New Roman"/>
                <w:color w:val="auto"/>
                <w:spacing w:val="0"/>
                <w:kern w:val="2"/>
                <w:sz w:val="21"/>
                <w:szCs w:val="21"/>
                <w:highlight w:val="none"/>
                <w:lang w:bidi="ar"/>
              </w:rPr>
              <w:t>列当科</w:t>
            </w:r>
          </w:p>
        </w:tc>
        <w:tc>
          <w:tcPr>
            <w:tcW w:w="1530" w:type="pct"/>
            <w:noWrap w:val="0"/>
            <w:vAlign w:val="center"/>
          </w:tcPr>
          <w:p w14:paraId="1DE5D9C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bidi="ar"/>
              </w:rPr>
            </w:pPr>
            <w:r>
              <w:rPr>
                <w:rFonts w:hint="default" w:ascii="Times New Roman" w:hAnsi="Times New Roman" w:eastAsia="宋体" w:cs="Times New Roman"/>
                <w:color w:val="auto"/>
                <w:spacing w:val="0"/>
                <w:kern w:val="2"/>
                <w:sz w:val="21"/>
                <w:szCs w:val="21"/>
                <w:highlight w:val="none"/>
                <w:lang w:bidi="ar"/>
              </w:rPr>
              <w:t>肉苁蓉</w:t>
            </w:r>
          </w:p>
        </w:tc>
        <w:tc>
          <w:tcPr>
            <w:tcW w:w="1946" w:type="pct"/>
            <w:noWrap w:val="0"/>
            <w:vAlign w:val="center"/>
          </w:tcPr>
          <w:p w14:paraId="065DC12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lang w:bidi="ar"/>
              </w:rPr>
            </w:pPr>
            <w:r>
              <w:rPr>
                <w:rFonts w:hint="default" w:ascii="Times New Roman" w:hAnsi="Times New Roman" w:eastAsia="宋体" w:cs="Times New Roman"/>
                <w:i/>
                <w:iCs/>
                <w:color w:val="auto"/>
                <w:spacing w:val="0"/>
                <w:kern w:val="2"/>
                <w:sz w:val="21"/>
                <w:szCs w:val="21"/>
                <w:highlight w:val="none"/>
                <w:lang w:bidi="ar"/>
              </w:rPr>
              <w:t>Cistanche deserticola</w:t>
            </w:r>
          </w:p>
        </w:tc>
      </w:tr>
      <w:tr w14:paraId="5FA94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restart"/>
            <w:noWrap w:val="0"/>
            <w:vAlign w:val="center"/>
          </w:tcPr>
          <w:p w14:paraId="5200899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bidi="ar"/>
              </w:rPr>
            </w:pPr>
            <w:r>
              <w:rPr>
                <w:rFonts w:hint="default" w:ascii="Times New Roman" w:hAnsi="Times New Roman" w:eastAsia="宋体" w:cs="Times New Roman"/>
                <w:color w:val="auto"/>
                <w:spacing w:val="0"/>
                <w:kern w:val="2"/>
                <w:sz w:val="21"/>
                <w:szCs w:val="21"/>
                <w:highlight w:val="none"/>
                <w:lang w:bidi="ar"/>
              </w:rPr>
              <w:t>苋科</w:t>
            </w:r>
          </w:p>
        </w:tc>
        <w:tc>
          <w:tcPr>
            <w:tcW w:w="1530" w:type="pct"/>
            <w:noWrap w:val="0"/>
            <w:vAlign w:val="center"/>
          </w:tcPr>
          <w:p w14:paraId="5C8CB1B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bidi="ar"/>
              </w:rPr>
            </w:pPr>
            <w:r>
              <w:rPr>
                <w:rFonts w:hint="default" w:ascii="Times New Roman" w:hAnsi="Times New Roman" w:eastAsia="宋体" w:cs="Times New Roman"/>
                <w:color w:val="auto"/>
                <w:spacing w:val="0"/>
                <w:kern w:val="2"/>
                <w:sz w:val="21"/>
                <w:szCs w:val="21"/>
                <w:highlight w:val="none"/>
                <w:lang w:bidi="ar"/>
              </w:rPr>
              <w:t>梭梭</w:t>
            </w:r>
          </w:p>
        </w:tc>
        <w:tc>
          <w:tcPr>
            <w:tcW w:w="1946" w:type="pct"/>
            <w:noWrap w:val="0"/>
            <w:vAlign w:val="center"/>
          </w:tcPr>
          <w:p w14:paraId="444563D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lang w:bidi="ar"/>
              </w:rPr>
            </w:pPr>
            <w:r>
              <w:rPr>
                <w:rFonts w:hint="default" w:ascii="Times New Roman" w:hAnsi="Times New Roman" w:eastAsia="宋体" w:cs="Times New Roman"/>
                <w:i/>
                <w:iCs/>
                <w:color w:val="auto"/>
                <w:spacing w:val="0"/>
                <w:kern w:val="2"/>
                <w:sz w:val="21"/>
                <w:szCs w:val="21"/>
                <w:highlight w:val="none"/>
                <w:lang w:bidi="ar"/>
              </w:rPr>
              <w:t>Haloxylon ammodendron</w:t>
            </w:r>
          </w:p>
        </w:tc>
      </w:tr>
      <w:tr w14:paraId="72F10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23" w:type="pct"/>
            <w:vMerge w:val="continue"/>
            <w:noWrap w:val="0"/>
            <w:vAlign w:val="center"/>
          </w:tcPr>
          <w:p w14:paraId="5CA8502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bidi="ar"/>
              </w:rPr>
            </w:pPr>
          </w:p>
        </w:tc>
        <w:tc>
          <w:tcPr>
            <w:tcW w:w="1530" w:type="pct"/>
            <w:noWrap w:val="0"/>
            <w:vAlign w:val="center"/>
          </w:tcPr>
          <w:p w14:paraId="5BED84B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lang w:bidi="ar"/>
              </w:rPr>
            </w:pPr>
            <w:r>
              <w:rPr>
                <w:rFonts w:hint="default" w:ascii="Times New Roman" w:hAnsi="Times New Roman" w:eastAsia="宋体" w:cs="Times New Roman"/>
                <w:color w:val="auto"/>
                <w:spacing w:val="0"/>
                <w:kern w:val="2"/>
                <w:sz w:val="21"/>
                <w:szCs w:val="21"/>
                <w:highlight w:val="none"/>
                <w:lang w:bidi="ar"/>
              </w:rPr>
              <w:t>盐穗木</w:t>
            </w:r>
          </w:p>
        </w:tc>
        <w:tc>
          <w:tcPr>
            <w:tcW w:w="1946" w:type="pct"/>
            <w:noWrap w:val="0"/>
            <w:vAlign w:val="center"/>
          </w:tcPr>
          <w:p w14:paraId="2F34B83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i/>
                <w:iCs/>
                <w:color w:val="auto"/>
                <w:spacing w:val="0"/>
                <w:kern w:val="2"/>
                <w:sz w:val="21"/>
                <w:szCs w:val="21"/>
                <w:highlight w:val="none"/>
                <w:lang w:bidi="ar"/>
              </w:rPr>
            </w:pPr>
            <w:r>
              <w:rPr>
                <w:rFonts w:hint="default" w:ascii="Times New Roman" w:hAnsi="Times New Roman" w:eastAsia="宋体" w:cs="Times New Roman"/>
                <w:i/>
                <w:iCs/>
                <w:color w:val="auto"/>
                <w:spacing w:val="0"/>
                <w:kern w:val="2"/>
                <w:sz w:val="21"/>
                <w:szCs w:val="21"/>
                <w:highlight w:val="none"/>
                <w:lang w:bidi="ar"/>
              </w:rPr>
              <w:t>Halostachys caspica</w:t>
            </w:r>
          </w:p>
        </w:tc>
      </w:tr>
    </w:tbl>
    <w:p w14:paraId="275DE1E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21"/>
          <w:sz w:val="24"/>
          <w:highlight w:val="none"/>
          <w:lang w:eastAsia="zh-CN"/>
        </w:rPr>
      </w:pPr>
      <w:r>
        <w:rPr>
          <w:rFonts w:hint="eastAsia" w:cs="Times New Roman"/>
          <w:color w:val="auto"/>
          <w:kern w:val="21"/>
          <w:sz w:val="24"/>
          <w:highlight w:val="none"/>
          <w:lang w:val="en-US" w:eastAsia="zh-CN"/>
        </w:rPr>
        <w:t>根据现场调查，评价区北部</w:t>
      </w:r>
      <w:r>
        <w:rPr>
          <w:rFonts w:hint="default" w:ascii="Times New Roman" w:hAnsi="Times New Roman" w:cs="Times New Roman"/>
          <w:color w:val="auto"/>
          <w:kern w:val="21"/>
          <w:sz w:val="24"/>
          <w:highlight w:val="none"/>
        </w:rPr>
        <w:t>植被</w:t>
      </w:r>
      <w:r>
        <w:rPr>
          <w:rFonts w:hint="eastAsia" w:cs="Times New Roman"/>
          <w:color w:val="auto"/>
          <w:kern w:val="21"/>
          <w:sz w:val="24"/>
          <w:highlight w:val="none"/>
          <w:lang w:val="en-US" w:eastAsia="zh-CN"/>
        </w:rPr>
        <w:t>类型</w:t>
      </w:r>
      <w:r>
        <w:rPr>
          <w:rFonts w:hint="default" w:ascii="Times New Roman" w:hAnsi="Times New Roman" w:cs="Times New Roman"/>
          <w:color w:val="auto"/>
          <w:kern w:val="21"/>
          <w:sz w:val="24"/>
          <w:highlight w:val="none"/>
        </w:rPr>
        <w:t>主要为</w:t>
      </w:r>
      <w:r>
        <w:rPr>
          <w:rFonts w:hint="eastAsia" w:cs="Times New Roman"/>
          <w:color w:val="auto"/>
          <w:kern w:val="21"/>
          <w:sz w:val="24"/>
          <w:highlight w:val="none"/>
          <w:lang w:val="en-US" w:eastAsia="zh-CN"/>
        </w:rPr>
        <w:t>刚毛柽柳荒漠、疏叶骆驼刺草甸，植被覆盖度为10-20%；评价区南部植被类型主要为胡杨疏林</w:t>
      </w:r>
      <w:r>
        <w:rPr>
          <w:rFonts w:hint="default" w:ascii="Times New Roman" w:hAnsi="Times New Roman" w:cs="Times New Roman"/>
          <w:color w:val="auto"/>
          <w:kern w:val="21"/>
          <w:sz w:val="24"/>
          <w:highlight w:val="none"/>
        </w:rPr>
        <w:t>等，植被覆盖度为</w:t>
      </w:r>
      <w:r>
        <w:rPr>
          <w:rFonts w:hint="eastAsia" w:cs="Times New Roman"/>
          <w:color w:val="auto"/>
          <w:kern w:val="21"/>
          <w:sz w:val="24"/>
          <w:highlight w:val="none"/>
          <w:lang w:val="en-US" w:eastAsia="zh-CN"/>
        </w:rPr>
        <w:t>20</w:t>
      </w:r>
      <w:r>
        <w:rPr>
          <w:rFonts w:hint="default" w:ascii="Times New Roman" w:hAnsi="Times New Roman" w:cs="Times New Roman"/>
          <w:color w:val="auto"/>
          <w:kern w:val="21"/>
          <w:sz w:val="24"/>
          <w:highlight w:val="none"/>
        </w:rPr>
        <w:t>-</w:t>
      </w:r>
      <w:r>
        <w:rPr>
          <w:rFonts w:hint="eastAsia" w:cs="Times New Roman"/>
          <w:color w:val="auto"/>
          <w:kern w:val="21"/>
          <w:sz w:val="24"/>
          <w:highlight w:val="none"/>
          <w:lang w:val="en-US" w:eastAsia="zh-CN"/>
        </w:rPr>
        <w:t>30</w:t>
      </w:r>
      <w:r>
        <w:rPr>
          <w:rFonts w:hint="default" w:ascii="Times New Roman" w:hAnsi="Times New Roman" w:cs="Times New Roman"/>
          <w:color w:val="auto"/>
          <w:kern w:val="21"/>
          <w:sz w:val="24"/>
          <w:highlight w:val="none"/>
        </w:rPr>
        <w:t>%。总体来说群落结构比较简单</w:t>
      </w:r>
      <w:r>
        <w:rPr>
          <w:rFonts w:hint="eastAsia" w:cs="Times New Roman"/>
          <w:color w:val="auto"/>
          <w:kern w:val="21"/>
          <w:sz w:val="24"/>
          <w:highlight w:val="none"/>
          <w:lang w:eastAsia="zh-CN"/>
        </w:rPr>
        <w:t>。</w:t>
      </w:r>
    </w:p>
    <w:p w14:paraId="5D6B4404">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color w:val="auto"/>
          <w:kern w:val="21"/>
          <w:sz w:val="24"/>
          <w:highlight w:val="none"/>
          <w:lang w:eastAsia="zh-CN"/>
        </w:rPr>
      </w:pPr>
      <w:r>
        <w:rPr>
          <w:rFonts w:hint="eastAsia" w:cs="Times New Roman"/>
          <w:b/>
          <w:bCs/>
          <w:color w:val="auto"/>
          <w:kern w:val="21"/>
          <w:sz w:val="24"/>
          <w:highlight w:val="none"/>
          <w:lang w:eastAsia="zh-CN"/>
        </w:rPr>
        <w:t>（</w:t>
      </w:r>
      <w:r>
        <w:rPr>
          <w:rFonts w:hint="eastAsia" w:cs="Times New Roman"/>
          <w:b/>
          <w:bCs/>
          <w:color w:val="auto"/>
          <w:kern w:val="21"/>
          <w:sz w:val="24"/>
          <w:highlight w:val="none"/>
          <w:lang w:val="en-US" w:eastAsia="zh-CN"/>
        </w:rPr>
        <w:t>2</w:t>
      </w:r>
      <w:r>
        <w:rPr>
          <w:rFonts w:hint="eastAsia" w:cs="Times New Roman"/>
          <w:b/>
          <w:bCs/>
          <w:color w:val="auto"/>
          <w:kern w:val="21"/>
          <w:sz w:val="24"/>
          <w:highlight w:val="none"/>
          <w:lang w:eastAsia="zh-CN"/>
        </w:rPr>
        <w:t>）样方调查</w:t>
      </w:r>
    </w:p>
    <w:p w14:paraId="48B2110B">
      <w:pPr>
        <w:keepNext w:val="0"/>
        <w:keepLines w:val="0"/>
        <w:pageBreakBefore w:val="0"/>
        <w:widowControl/>
        <w:kinsoku/>
        <w:wordWrap/>
        <w:overflowPunct/>
        <w:topLinePunct w:val="0"/>
        <w:autoSpaceDE/>
        <w:autoSpaceDN/>
        <w:bidi w:val="0"/>
        <w:adjustRightInd/>
        <w:snapToGrid/>
        <w:spacing w:line="360" w:lineRule="auto"/>
        <w:ind w:firstLine="500" w:firstLineChars="200"/>
        <w:textAlignment w:val="auto"/>
        <w:rPr>
          <w:rFonts w:hint="eastAsia" w:ascii="Times New Roman" w:hAnsi="Times New Roman" w:eastAsia="宋体" w:cs="Times New Roman"/>
          <w:color w:val="auto"/>
          <w:spacing w:val="5"/>
          <w:kern w:val="2"/>
          <w:sz w:val="24"/>
          <w:szCs w:val="24"/>
          <w:highlight w:val="none"/>
          <w:lang w:val="en-US" w:eastAsia="zh-CN"/>
        </w:rPr>
      </w:pPr>
      <w:r>
        <w:rPr>
          <w:rFonts w:hint="eastAsia" w:ascii="Times New Roman" w:hAnsi="Times New Roman" w:eastAsia="宋体" w:cs="Times New Roman"/>
          <w:color w:val="auto"/>
          <w:spacing w:val="5"/>
          <w:kern w:val="2"/>
          <w:sz w:val="24"/>
          <w:szCs w:val="24"/>
          <w:highlight w:val="none"/>
          <w:lang w:val="en-US" w:eastAsia="zh-CN"/>
        </w:rPr>
        <w:t>评价区域共调查自然植被型组为阔叶林</w:t>
      </w:r>
      <w:r>
        <w:rPr>
          <w:rFonts w:hint="eastAsia" w:cs="Times New Roman"/>
          <w:color w:val="auto"/>
          <w:spacing w:val="5"/>
          <w:kern w:val="2"/>
          <w:sz w:val="24"/>
          <w:szCs w:val="24"/>
          <w:highlight w:val="none"/>
          <w:lang w:val="en-US" w:eastAsia="zh-CN"/>
        </w:rPr>
        <w:t>、</w:t>
      </w:r>
      <w:r>
        <w:rPr>
          <w:rFonts w:hint="eastAsia" w:ascii="Times New Roman" w:hAnsi="Times New Roman" w:eastAsia="宋体" w:cs="Times New Roman"/>
          <w:color w:val="auto"/>
          <w:spacing w:val="5"/>
          <w:kern w:val="2"/>
          <w:sz w:val="24"/>
          <w:szCs w:val="24"/>
          <w:highlight w:val="none"/>
          <w:lang w:val="en-US" w:eastAsia="zh-CN"/>
        </w:rPr>
        <w:t>荒漠</w:t>
      </w:r>
      <w:r>
        <w:rPr>
          <w:rFonts w:hint="eastAsia" w:cs="Times New Roman"/>
          <w:color w:val="auto"/>
          <w:spacing w:val="5"/>
          <w:kern w:val="2"/>
          <w:sz w:val="24"/>
          <w:szCs w:val="24"/>
          <w:highlight w:val="none"/>
          <w:lang w:val="en-US" w:eastAsia="zh-CN"/>
        </w:rPr>
        <w:t>、</w:t>
      </w:r>
      <w:r>
        <w:rPr>
          <w:rFonts w:hint="eastAsia" w:ascii="Times New Roman" w:hAnsi="Times New Roman" w:eastAsia="宋体" w:cs="Times New Roman"/>
          <w:color w:val="auto"/>
          <w:spacing w:val="5"/>
          <w:kern w:val="2"/>
          <w:sz w:val="24"/>
          <w:szCs w:val="24"/>
          <w:highlight w:val="none"/>
          <w:lang w:val="en-US" w:eastAsia="zh-CN"/>
        </w:rPr>
        <w:t>草甸等</w:t>
      </w:r>
      <w:r>
        <w:rPr>
          <w:rFonts w:hint="eastAsia" w:cs="Times New Roman"/>
          <w:color w:val="auto"/>
          <w:spacing w:val="5"/>
          <w:kern w:val="2"/>
          <w:sz w:val="24"/>
          <w:szCs w:val="24"/>
          <w:highlight w:val="none"/>
          <w:lang w:val="en-US" w:eastAsia="zh-CN"/>
        </w:rPr>
        <w:t>3</w:t>
      </w:r>
      <w:r>
        <w:rPr>
          <w:rFonts w:hint="eastAsia" w:ascii="Times New Roman" w:hAnsi="Times New Roman" w:eastAsia="宋体" w:cs="Times New Roman"/>
          <w:color w:val="auto"/>
          <w:spacing w:val="5"/>
          <w:kern w:val="2"/>
          <w:sz w:val="24"/>
          <w:szCs w:val="24"/>
          <w:highlight w:val="none"/>
          <w:lang w:val="en-US" w:eastAsia="zh-CN"/>
        </w:rPr>
        <w:t>类</w:t>
      </w:r>
      <w:r>
        <w:rPr>
          <w:rFonts w:hint="eastAsia" w:cs="Times New Roman"/>
          <w:color w:val="auto"/>
          <w:spacing w:val="5"/>
          <w:kern w:val="2"/>
          <w:sz w:val="24"/>
          <w:szCs w:val="24"/>
          <w:highlight w:val="none"/>
          <w:lang w:val="en-US" w:eastAsia="zh-CN"/>
        </w:rPr>
        <w:t>；</w:t>
      </w:r>
      <w:r>
        <w:rPr>
          <w:rFonts w:hint="eastAsia" w:ascii="Times New Roman" w:hAnsi="Times New Roman" w:eastAsia="宋体" w:cs="Times New Roman"/>
          <w:color w:val="auto"/>
          <w:spacing w:val="5"/>
          <w:kern w:val="2"/>
          <w:sz w:val="24"/>
          <w:szCs w:val="24"/>
          <w:highlight w:val="none"/>
          <w:lang w:val="en-US" w:eastAsia="zh-CN"/>
        </w:rPr>
        <w:t>植被型有温带落叶小叶林</w:t>
      </w:r>
      <w:r>
        <w:rPr>
          <w:rFonts w:hint="eastAsia" w:cs="Times New Roman"/>
          <w:color w:val="auto"/>
          <w:spacing w:val="5"/>
          <w:kern w:val="2"/>
          <w:sz w:val="24"/>
          <w:szCs w:val="24"/>
          <w:highlight w:val="none"/>
          <w:lang w:val="en-US" w:eastAsia="zh-CN"/>
        </w:rPr>
        <w:t>，</w:t>
      </w:r>
      <w:r>
        <w:rPr>
          <w:rFonts w:hint="eastAsia" w:ascii="Times New Roman" w:hAnsi="Times New Roman" w:eastAsia="宋体" w:cs="Times New Roman"/>
          <w:color w:val="auto"/>
          <w:spacing w:val="5"/>
          <w:kern w:val="2"/>
          <w:sz w:val="24"/>
          <w:szCs w:val="24"/>
          <w:highlight w:val="none"/>
          <w:lang w:val="en-US" w:eastAsia="zh-CN"/>
        </w:rPr>
        <w:t>灌木荒漠</w:t>
      </w:r>
      <w:r>
        <w:rPr>
          <w:rFonts w:hint="eastAsia" w:cs="Times New Roman"/>
          <w:color w:val="auto"/>
          <w:spacing w:val="5"/>
          <w:kern w:val="2"/>
          <w:sz w:val="24"/>
          <w:szCs w:val="24"/>
          <w:highlight w:val="none"/>
          <w:lang w:val="en-US" w:eastAsia="zh-CN"/>
        </w:rPr>
        <w:t>，</w:t>
      </w:r>
      <w:r>
        <w:rPr>
          <w:rFonts w:hint="eastAsia" w:ascii="Times New Roman" w:hAnsi="Times New Roman" w:eastAsia="宋体" w:cs="Times New Roman"/>
          <w:color w:val="auto"/>
          <w:spacing w:val="5"/>
          <w:kern w:val="2"/>
          <w:sz w:val="24"/>
          <w:szCs w:val="24"/>
          <w:highlight w:val="none"/>
          <w:lang w:val="en-US" w:eastAsia="zh-CN"/>
        </w:rPr>
        <w:t>禾草、杂类草盐生草甸等共计</w:t>
      </w:r>
      <w:r>
        <w:rPr>
          <w:rFonts w:hint="eastAsia" w:cs="Times New Roman"/>
          <w:color w:val="auto"/>
          <w:spacing w:val="5"/>
          <w:kern w:val="2"/>
          <w:sz w:val="24"/>
          <w:szCs w:val="24"/>
          <w:highlight w:val="none"/>
          <w:lang w:val="en-US" w:eastAsia="zh-CN"/>
        </w:rPr>
        <w:t>3</w:t>
      </w:r>
      <w:r>
        <w:rPr>
          <w:rFonts w:hint="eastAsia" w:ascii="Times New Roman" w:hAnsi="Times New Roman" w:eastAsia="宋体" w:cs="Times New Roman"/>
          <w:color w:val="auto"/>
          <w:spacing w:val="5"/>
          <w:kern w:val="2"/>
          <w:sz w:val="24"/>
          <w:szCs w:val="24"/>
          <w:highlight w:val="none"/>
          <w:lang w:val="en-US" w:eastAsia="zh-CN"/>
        </w:rPr>
        <w:t>种，是新疆荒漠植被中具有重要作用的显域性植被</w:t>
      </w:r>
      <w:r>
        <w:rPr>
          <w:rFonts w:hint="eastAsia" w:cs="Times New Roman"/>
          <w:color w:val="auto"/>
          <w:spacing w:val="5"/>
          <w:kern w:val="2"/>
          <w:sz w:val="24"/>
          <w:szCs w:val="24"/>
          <w:highlight w:val="none"/>
          <w:lang w:val="en-US" w:eastAsia="zh-CN"/>
        </w:rPr>
        <w:t>；植被群落分别为胡杨疏林、刚毛柽柳荒漠、疏叶骆驼刺草甸等3类，3类植被群落</w:t>
      </w:r>
      <w:r>
        <w:rPr>
          <w:rFonts w:hint="eastAsia" w:ascii="Times New Roman" w:hAnsi="Times New Roman" w:eastAsia="宋体" w:cs="Times New Roman"/>
          <w:color w:val="auto"/>
          <w:spacing w:val="5"/>
          <w:kern w:val="2"/>
          <w:sz w:val="24"/>
          <w:szCs w:val="24"/>
          <w:highlight w:val="none"/>
          <w:lang w:val="en-US" w:eastAsia="zh-CN"/>
        </w:rPr>
        <w:t>分布在整个油田开发区，所适应的土壤为风沙土</w:t>
      </w:r>
      <w:r>
        <w:rPr>
          <w:rFonts w:hint="eastAsia" w:cs="Times New Roman"/>
          <w:color w:val="auto"/>
          <w:spacing w:val="5"/>
          <w:kern w:val="2"/>
          <w:sz w:val="24"/>
          <w:szCs w:val="24"/>
          <w:highlight w:val="none"/>
          <w:lang w:val="en-US" w:eastAsia="zh-CN"/>
        </w:rPr>
        <w:t>、草甸土</w:t>
      </w:r>
      <w:r>
        <w:rPr>
          <w:rFonts w:hint="eastAsia" w:ascii="Times New Roman" w:hAnsi="Times New Roman" w:eastAsia="宋体" w:cs="Times New Roman"/>
          <w:color w:val="auto"/>
          <w:spacing w:val="5"/>
          <w:kern w:val="2"/>
          <w:sz w:val="24"/>
          <w:szCs w:val="24"/>
          <w:highlight w:val="none"/>
          <w:lang w:val="en-US" w:eastAsia="zh-CN"/>
        </w:rPr>
        <w:t>等。群落种类组成单一，优势度较高。</w:t>
      </w:r>
      <w:r>
        <w:rPr>
          <w:rFonts w:hint="eastAsia" w:cs="Times New Roman"/>
          <w:color w:val="auto"/>
          <w:kern w:val="21"/>
          <w:sz w:val="24"/>
          <w:highlight w:val="none"/>
          <w:lang w:val="en-US" w:eastAsia="zh-CN"/>
        </w:rPr>
        <w:t>优势种</w:t>
      </w:r>
      <w:r>
        <w:rPr>
          <w:rFonts w:hint="eastAsia" w:cs="Times New Roman"/>
          <w:color w:val="auto"/>
          <w:kern w:val="21"/>
          <w:sz w:val="24"/>
          <w:highlight w:val="none"/>
          <w:lang w:eastAsia="zh-CN"/>
        </w:rPr>
        <w:t>以胡杨、刚毛柽柳、多枝柽柳、疏叶骆驼刺、花花柴等。工程占地区域地表植被生境较好。胡杨主要分布在渭-库三角洲绿洲下缘的冲洪积地带，呈连片分布；柽柳群系分布于塔里木盆地河漫滩及古老冲沟分布区，是向盐化草甸过渡的类型。群落中建群种为刚毛柽柳、多枝柽柳，在评价区范围内多数呈单优群落出现，灌木层高度2-3m。灌木层下有草本分布，在水分条件较好的部分地段，灌木层下的草本较丰富，伴生种主要有花花柴、疏叶骆驼刺等。在盐渍化较强的地段，灌木和草本层有稀疏的多浆半灌木层片，主要为盐穗木等。</w:t>
      </w:r>
    </w:p>
    <w:p w14:paraId="720BBF42">
      <w:pPr>
        <w:widowControl w:val="0"/>
        <w:autoSpaceDE w:val="0"/>
        <w:autoSpaceDN w:val="0"/>
        <w:adjustRightInd w:val="0"/>
        <w:spacing w:line="250" w:lineRule="auto"/>
        <w:ind w:firstLine="0" w:firstLineChars="0"/>
        <w:jc w:val="center"/>
        <w:rPr>
          <w:rFonts w:hint="default" w:ascii="Times New Roman" w:hAnsi="Times New Roman" w:eastAsia="黑体" w:cs="Times New Roman"/>
          <w:bCs/>
          <w:color w:val="auto"/>
          <w:spacing w:val="5"/>
          <w:kern w:val="2"/>
          <w:sz w:val="21"/>
          <w:szCs w:val="21"/>
          <w:highlight w:val="none"/>
        </w:rPr>
      </w:pPr>
      <w:r>
        <w:rPr>
          <w:rFonts w:hint="default" w:ascii="Times New Roman" w:hAnsi="Times New Roman" w:eastAsia="黑体" w:cs="Times New Roman"/>
          <w:bCs/>
          <w:color w:val="auto"/>
          <w:spacing w:val="5"/>
          <w:kern w:val="2"/>
          <w:sz w:val="21"/>
          <w:szCs w:val="21"/>
          <w:highlight w:val="none"/>
        </w:rPr>
        <w:t>表4.6-</w:t>
      </w:r>
      <w:r>
        <w:rPr>
          <w:rFonts w:hint="eastAsia" w:eastAsia="黑体" w:cs="Times New Roman"/>
          <w:bCs/>
          <w:color w:val="auto"/>
          <w:spacing w:val="5"/>
          <w:kern w:val="2"/>
          <w:sz w:val="21"/>
          <w:szCs w:val="21"/>
          <w:highlight w:val="none"/>
          <w:lang w:val="en-US" w:eastAsia="zh-CN"/>
        </w:rPr>
        <w:t>6</w:t>
      </w:r>
      <w:r>
        <w:rPr>
          <w:rFonts w:hint="default" w:ascii="Times New Roman" w:hAnsi="Times New Roman" w:eastAsia="黑体" w:cs="Times New Roman"/>
          <w:bCs/>
          <w:color w:val="auto"/>
          <w:spacing w:val="5"/>
          <w:kern w:val="2"/>
          <w:sz w:val="21"/>
          <w:szCs w:val="21"/>
          <w:highlight w:val="none"/>
        </w:rPr>
        <w:t xml:space="preserve">  区域野生植物情况一览表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853"/>
        <w:gridCol w:w="2591"/>
        <w:gridCol w:w="2224"/>
      </w:tblGrid>
      <w:tr w14:paraId="434F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086" w:type="pct"/>
            <w:noWrap w:val="0"/>
            <w:vAlign w:val="center"/>
          </w:tcPr>
          <w:p w14:paraId="2DFF0CD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植被大类</w:t>
            </w:r>
          </w:p>
        </w:tc>
        <w:tc>
          <w:tcPr>
            <w:tcW w:w="1087" w:type="pct"/>
            <w:noWrap w:val="0"/>
            <w:vAlign w:val="center"/>
          </w:tcPr>
          <w:p w14:paraId="08A6437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植被型组</w:t>
            </w:r>
          </w:p>
        </w:tc>
        <w:tc>
          <w:tcPr>
            <w:tcW w:w="1520" w:type="pct"/>
            <w:noWrap w:val="0"/>
            <w:vAlign w:val="center"/>
          </w:tcPr>
          <w:p w14:paraId="226F01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植被型</w:t>
            </w:r>
          </w:p>
        </w:tc>
        <w:tc>
          <w:tcPr>
            <w:tcW w:w="1305" w:type="pct"/>
            <w:noWrap w:val="0"/>
            <w:vAlign w:val="center"/>
          </w:tcPr>
          <w:p w14:paraId="7D8A42F5">
            <w:pPr>
              <w:keepNext w:val="0"/>
              <w:keepLines w:val="0"/>
              <w:widowControl w:val="0"/>
              <w:suppressLineNumbers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植被群落</w:t>
            </w:r>
          </w:p>
        </w:tc>
      </w:tr>
      <w:tr w14:paraId="015A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086" w:type="pct"/>
            <w:noWrap w:val="0"/>
            <w:vAlign w:val="center"/>
          </w:tcPr>
          <w:p w14:paraId="240AFBE8">
            <w:pPr>
              <w:keepNext w:val="0"/>
              <w:keepLines w:val="0"/>
              <w:widowControl w:val="0"/>
              <w:suppressLineNumbers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自然植被</w:t>
            </w:r>
          </w:p>
        </w:tc>
        <w:tc>
          <w:tcPr>
            <w:tcW w:w="1087" w:type="pct"/>
            <w:noWrap w:val="0"/>
            <w:vAlign w:val="center"/>
          </w:tcPr>
          <w:p w14:paraId="0E13F8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阔叶林</w:t>
            </w:r>
          </w:p>
        </w:tc>
        <w:tc>
          <w:tcPr>
            <w:tcW w:w="1520" w:type="pct"/>
            <w:noWrap w:val="0"/>
            <w:vAlign w:val="center"/>
          </w:tcPr>
          <w:p w14:paraId="24C98E12">
            <w:pPr>
              <w:keepNext w:val="0"/>
              <w:keepLines w:val="0"/>
              <w:widowControl w:val="0"/>
              <w:suppressLineNumbers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温带落叶小叶林</w:t>
            </w:r>
          </w:p>
        </w:tc>
        <w:tc>
          <w:tcPr>
            <w:tcW w:w="1305" w:type="pct"/>
            <w:noWrap w:val="0"/>
            <w:vAlign w:val="center"/>
          </w:tcPr>
          <w:p w14:paraId="5159FE3D">
            <w:pPr>
              <w:keepNext w:val="0"/>
              <w:keepLines w:val="0"/>
              <w:widowControl w:val="0"/>
              <w:suppressLineNumbers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胡杨疏林</w:t>
            </w:r>
          </w:p>
        </w:tc>
      </w:tr>
      <w:tr w14:paraId="5338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086" w:type="pct"/>
            <w:shd w:val="clear" w:color="auto" w:fill="auto"/>
            <w:noWrap w:val="0"/>
            <w:vAlign w:val="center"/>
          </w:tcPr>
          <w:p w14:paraId="5EE6ACF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自然植被</w:t>
            </w:r>
          </w:p>
        </w:tc>
        <w:tc>
          <w:tcPr>
            <w:tcW w:w="1087" w:type="pct"/>
            <w:shd w:val="clear" w:color="auto" w:fill="auto"/>
            <w:noWrap w:val="0"/>
            <w:vAlign w:val="center"/>
          </w:tcPr>
          <w:p w14:paraId="544B20F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荒漠</w:t>
            </w:r>
          </w:p>
        </w:tc>
        <w:tc>
          <w:tcPr>
            <w:tcW w:w="1520" w:type="pct"/>
            <w:shd w:val="clear" w:color="auto" w:fill="auto"/>
            <w:noWrap w:val="0"/>
            <w:vAlign w:val="center"/>
          </w:tcPr>
          <w:p w14:paraId="22326E1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灌木荒漠</w:t>
            </w:r>
          </w:p>
        </w:tc>
        <w:tc>
          <w:tcPr>
            <w:tcW w:w="1305" w:type="pct"/>
            <w:shd w:val="clear" w:color="auto" w:fill="auto"/>
            <w:noWrap w:val="0"/>
            <w:vAlign w:val="center"/>
          </w:tcPr>
          <w:p w14:paraId="7C01489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刚毛柽柳荒漠</w:t>
            </w:r>
          </w:p>
        </w:tc>
      </w:tr>
      <w:tr w14:paraId="1F39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pct"/>
            <w:noWrap w:val="0"/>
            <w:vAlign w:val="center"/>
          </w:tcPr>
          <w:p w14:paraId="29B1EE8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自然植被</w:t>
            </w:r>
          </w:p>
        </w:tc>
        <w:tc>
          <w:tcPr>
            <w:tcW w:w="1087" w:type="pct"/>
            <w:noWrap w:val="0"/>
            <w:vAlign w:val="center"/>
          </w:tcPr>
          <w:p w14:paraId="0528013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草甸</w:t>
            </w:r>
          </w:p>
        </w:tc>
        <w:tc>
          <w:tcPr>
            <w:tcW w:w="1520" w:type="pct"/>
            <w:noWrap w:val="0"/>
            <w:vAlign w:val="center"/>
          </w:tcPr>
          <w:p w14:paraId="3CF7BFC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禾草、杂类草盐生草甸</w:t>
            </w:r>
          </w:p>
        </w:tc>
        <w:tc>
          <w:tcPr>
            <w:tcW w:w="1305" w:type="pct"/>
            <w:noWrap w:val="0"/>
            <w:vAlign w:val="center"/>
          </w:tcPr>
          <w:p w14:paraId="7EE7D2F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疏叶骆驼刺草甸</w:t>
            </w:r>
          </w:p>
        </w:tc>
      </w:tr>
    </w:tbl>
    <w:p w14:paraId="1B55EE63">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A.</w:t>
      </w:r>
      <w:r>
        <w:rPr>
          <w:rFonts w:hint="eastAsia" w:cs="Times New Roman"/>
          <w:snapToGrid w:val="0"/>
          <w:color w:val="auto"/>
          <w:kern w:val="0"/>
          <w:sz w:val="24"/>
          <w:szCs w:val="24"/>
          <w:highlight w:val="none"/>
          <w:lang w:val="en-US" w:eastAsia="zh-CN"/>
        </w:rPr>
        <w:t>样方</w:t>
      </w:r>
      <w:r>
        <w:rPr>
          <w:rFonts w:hint="default" w:ascii="Times New Roman" w:hAnsi="Times New Roman" w:eastAsia="宋体" w:cs="Times New Roman"/>
          <w:snapToGrid w:val="0"/>
          <w:color w:val="auto"/>
          <w:kern w:val="0"/>
          <w:sz w:val="24"/>
          <w:szCs w:val="24"/>
          <w:highlight w:val="none"/>
        </w:rPr>
        <w:t>布设原则</w:t>
      </w:r>
    </w:p>
    <w:p w14:paraId="211EE328">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为了获取评价区植被类型及其生长状况信息（覆盖度、生物量、分布特征等），评价人员采取了遥感影像解译、实地踏勘、样方分析、查阅资料等多种方法。下面着重说明样方调查情况。</w:t>
      </w:r>
    </w:p>
    <w:p w14:paraId="5361858E">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B.样方调查内容</w:t>
      </w:r>
    </w:p>
    <w:p w14:paraId="28AB7E3F">
      <w:pPr>
        <w:widowControl w:val="0"/>
        <w:spacing w:line="360" w:lineRule="auto"/>
        <w:ind w:firstLine="540" w:firstLineChars="225"/>
        <w:jc w:val="both"/>
        <w:rPr>
          <w:rFonts w:hint="eastAsia"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rPr>
        <w:t>本工程生态环境影响评价等级为二级，根据《环境影响评价技术导则 生态影响》（HJ19-2022），陆生生态调查根据植物群落类型（宜以群系及以下分类单位为调查单元）设置调查样地，二级评价每种群落类型不少于3个。本评价自然植被实地调查中主要采用样方法。在样方中统计植物种类、群落结构等数据，详细记录样方中的植物种类、盖度、建群种等信息。</w:t>
      </w:r>
    </w:p>
    <w:p w14:paraId="66B1437A">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本次评价范围涉及胡杨疏林、刚毛柽柳荒漠、疏叶骆驼刺草甸等3类植被群落，每种类型设置3个样方，共调查</w:t>
      </w:r>
      <w:r>
        <w:rPr>
          <w:rFonts w:hint="eastAsia" w:cs="Times New Roman"/>
          <w:snapToGrid w:val="0"/>
          <w:color w:val="auto"/>
          <w:kern w:val="0"/>
          <w:sz w:val="24"/>
          <w:szCs w:val="24"/>
          <w:highlight w:val="none"/>
          <w:lang w:val="en-US" w:eastAsia="zh-CN"/>
        </w:rPr>
        <w:t>9</w:t>
      </w:r>
      <w:r>
        <w:rPr>
          <w:rFonts w:hint="eastAsia" w:ascii="Times New Roman" w:hAnsi="Times New Roman" w:eastAsia="宋体" w:cs="Times New Roman"/>
          <w:snapToGrid w:val="0"/>
          <w:color w:val="auto"/>
          <w:kern w:val="0"/>
          <w:sz w:val="24"/>
          <w:szCs w:val="24"/>
          <w:highlight w:val="none"/>
          <w:lang w:val="en-US" w:eastAsia="zh-CN"/>
        </w:rPr>
        <w:t>个样方，</w:t>
      </w:r>
      <w:r>
        <w:rPr>
          <w:rFonts w:hint="default" w:ascii="Times New Roman" w:hAnsi="Times New Roman" w:eastAsia="宋体" w:cs="Times New Roman"/>
          <w:snapToGrid w:val="0"/>
          <w:color w:val="auto"/>
          <w:kern w:val="0"/>
          <w:sz w:val="24"/>
          <w:szCs w:val="24"/>
          <w:highlight w:val="none"/>
        </w:rPr>
        <w:t>布设天然植被调查样方的方法和记录内容如下所述：</w:t>
      </w:r>
    </w:p>
    <w:p w14:paraId="4A3C09A4">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①</w:t>
      </w:r>
      <w:r>
        <w:rPr>
          <w:rFonts w:hint="eastAsia" w:cs="Times New Roman"/>
          <w:snapToGrid w:val="0"/>
          <w:color w:val="auto"/>
          <w:kern w:val="0"/>
          <w:sz w:val="24"/>
          <w:szCs w:val="24"/>
          <w:highlight w:val="none"/>
          <w:lang w:eastAsia="zh-CN"/>
        </w:rPr>
        <w:t>胡杨疏林</w:t>
      </w:r>
      <w:r>
        <w:rPr>
          <w:rFonts w:hint="eastAsia" w:ascii="Times New Roman" w:hAnsi="Times New Roman" w:eastAsia="宋体" w:cs="Times New Roman"/>
          <w:snapToGrid w:val="0"/>
          <w:color w:val="auto"/>
          <w:kern w:val="0"/>
          <w:sz w:val="24"/>
          <w:szCs w:val="24"/>
          <w:highlight w:val="none"/>
          <w:lang w:val="en-US" w:eastAsia="zh-CN"/>
        </w:rPr>
        <w:t>植被</w:t>
      </w:r>
      <w:r>
        <w:rPr>
          <w:rFonts w:hint="default" w:ascii="Times New Roman" w:hAnsi="Times New Roman" w:eastAsia="宋体" w:cs="Times New Roman"/>
          <w:snapToGrid w:val="0"/>
          <w:color w:val="auto"/>
          <w:kern w:val="0"/>
          <w:sz w:val="24"/>
          <w:szCs w:val="24"/>
          <w:highlight w:val="none"/>
        </w:rPr>
        <w:t>样方调查：设置10m×10m的植被样方3个，记录该样方的坐标和周围地形，同时记录样方内的植物种名称、株数、平均高、各物种盖度、生物量等信息。</w:t>
      </w:r>
    </w:p>
    <w:p w14:paraId="7D6DAC87">
      <w:pPr>
        <w:widowControl w:val="0"/>
        <w:spacing w:line="360" w:lineRule="auto"/>
        <w:ind w:firstLine="540" w:firstLineChars="225"/>
        <w:jc w:val="both"/>
        <w:rPr>
          <w:rFonts w:hint="eastAsia" w:cs="Times New Roman"/>
          <w:snapToGrid w:val="0"/>
          <w:color w:val="auto"/>
          <w:kern w:val="0"/>
          <w:sz w:val="24"/>
          <w:szCs w:val="24"/>
          <w:highlight w:val="none"/>
          <w:lang w:eastAsia="zh-CN"/>
        </w:rPr>
      </w:pPr>
      <w:r>
        <w:rPr>
          <w:rFonts w:hint="eastAsia" w:ascii="Times New Roman" w:hAnsi="Times New Roman" w:eastAsia="宋体" w:cs="Times New Roman"/>
          <w:snapToGrid w:val="0"/>
          <w:color w:val="auto"/>
          <w:kern w:val="0"/>
          <w:sz w:val="24"/>
          <w:szCs w:val="24"/>
          <w:highlight w:val="none"/>
          <w:lang w:val="en-US" w:eastAsia="zh-CN"/>
        </w:rPr>
        <w:t>②</w:t>
      </w:r>
      <w:r>
        <w:rPr>
          <w:rFonts w:hint="eastAsia" w:cs="Times New Roman"/>
          <w:snapToGrid w:val="0"/>
          <w:color w:val="auto"/>
          <w:kern w:val="0"/>
          <w:sz w:val="24"/>
          <w:szCs w:val="24"/>
          <w:highlight w:val="none"/>
          <w:lang w:eastAsia="zh-CN"/>
        </w:rPr>
        <w:t>刚毛柽柳荒漠</w:t>
      </w:r>
      <w:r>
        <w:rPr>
          <w:rFonts w:hint="eastAsia" w:ascii="Times New Roman" w:hAnsi="Times New Roman" w:eastAsia="宋体" w:cs="Times New Roman"/>
          <w:snapToGrid w:val="0"/>
          <w:color w:val="auto"/>
          <w:kern w:val="0"/>
          <w:sz w:val="24"/>
          <w:szCs w:val="24"/>
          <w:highlight w:val="none"/>
          <w:lang w:val="en-US" w:eastAsia="zh-CN"/>
        </w:rPr>
        <w:t>植被</w:t>
      </w:r>
      <w:r>
        <w:rPr>
          <w:rFonts w:hint="default" w:ascii="Times New Roman" w:hAnsi="Times New Roman" w:eastAsia="宋体" w:cs="Times New Roman"/>
          <w:snapToGrid w:val="0"/>
          <w:color w:val="auto"/>
          <w:kern w:val="0"/>
          <w:sz w:val="24"/>
          <w:szCs w:val="24"/>
          <w:highlight w:val="none"/>
        </w:rPr>
        <w:t>样方调查：设置</w:t>
      </w:r>
      <w:r>
        <w:rPr>
          <w:rFonts w:hint="eastAsia" w:ascii="Times New Roman" w:hAnsi="Times New Roman" w:eastAsia="宋体" w:cs="Times New Roman"/>
          <w:snapToGrid w:val="0"/>
          <w:color w:val="auto"/>
          <w:kern w:val="0"/>
          <w:sz w:val="24"/>
          <w:szCs w:val="24"/>
          <w:highlight w:val="none"/>
          <w:lang w:val="en-US" w:eastAsia="zh-CN"/>
        </w:rPr>
        <w:t>5</w:t>
      </w:r>
      <w:r>
        <w:rPr>
          <w:rFonts w:hint="default" w:ascii="Times New Roman" w:hAnsi="Times New Roman" w:eastAsia="宋体" w:cs="Times New Roman"/>
          <w:snapToGrid w:val="0"/>
          <w:color w:val="auto"/>
          <w:kern w:val="0"/>
          <w:sz w:val="24"/>
          <w:szCs w:val="24"/>
          <w:highlight w:val="none"/>
        </w:rPr>
        <w:t>m×</w:t>
      </w:r>
      <w:r>
        <w:rPr>
          <w:rFonts w:hint="eastAsia" w:ascii="Times New Roman" w:hAnsi="Times New Roman" w:eastAsia="宋体" w:cs="Times New Roman"/>
          <w:snapToGrid w:val="0"/>
          <w:color w:val="auto"/>
          <w:kern w:val="0"/>
          <w:sz w:val="24"/>
          <w:szCs w:val="24"/>
          <w:highlight w:val="none"/>
          <w:lang w:val="en-US" w:eastAsia="zh-CN"/>
        </w:rPr>
        <w:t>5</w:t>
      </w:r>
      <w:r>
        <w:rPr>
          <w:rFonts w:hint="default" w:ascii="Times New Roman" w:hAnsi="Times New Roman" w:eastAsia="宋体" w:cs="Times New Roman"/>
          <w:snapToGrid w:val="0"/>
          <w:color w:val="auto"/>
          <w:kern w:val="0"/>
          <w:sz w:val="24"/>
          <w:szCs w:val="24"/>
          <w:highlight w:val="none"/>
        </w:rPr>
        <w:t>m的植被样方3个，记录该样方的坐标和周围地形，同时记录样方内的植物种名称、株数、平均高、各物种盖度、生物量等信息</w:t>
      </w:r>
      <w:r>
        <w:rPr>
          <w:rFonts w:hint="eastAsia" w:cs="Times New Roman"/>
          <w:snapToGrid w:val="0"/>
          <w:color w:val="auto"/>
          <w:kern w:val="0"/>
          <w:sz w:val="24"/>
          <w:szCs w:val="24"/>
          <w:highlight w:val="none"/>
          <w:lang w:eastAsia="zh-CN"/>
        </w:rPr>
        <w:t>。</w:t>
      </w:r>
    </w:p>
    <w:p w14:paraId="0770DCD0">
      <w:pPr>
        <w:widowControl w:val="0"/>
        <w:spacing w:line="360" w:lineRule="auto"/>
        <w:ind w:firstLine="540" w:firstLineChars="225"/>
        <w:jc w:val="both"/>
        <w:rPr>
          <w:rFonts w:hint="eastAsia" w:ascii="Times New Roman" w:hAnsi="Times New Roman" w:eastAsia="宋体" w:cs="Times New Roman"/>
          <w:snapToGrid w:val="0"/>
          <w:color w:val="auto"/>
          <w:kern w:val="0"/>
          <w:sz w:val="24"/>
          <w:szCs w:val="24"/>
          <w:highlight w:val="none"/>
          <w:lang w:eastAsia="zh-CN"/>
        </w:rPr>
      </w:pPr>
      <w:r>
        <w:rPr>
          <w:rFonts w:hint="eastAsia" w:cs="Times New Roman"/>
          <w:snapToGrid w:val="0"/>
          <w:color w:val="auto"/>
          <w:kern w:val="0"/>
          <w:sz w:val="24"/>
          <w:szCs w:val="24"/>
          <w:highlight w:val="none"/>
          <w:lang w:val="en-US" w:eastAsia="zh-CN"/>
        </w:rPr>
        <w:t>③</w:t>
      </w:r>
      <w:r>
        <w:rPr>
          <w:rFonts w:hint="eastAsia" w:ascii="Times New Roman" w:hAnsi="Times New Roman" w:eastAsia="宋体" w:cs="Times New Roman"/>
          <w:snapToGrid w:val="0"/>
          <w:color w:val="auto"/>
          <w:kern w:val="0"/>
          <w:sz w:val="24"/>
          <w:szCs w:val="24"/>
          <w:highlight w:val="none"/>
          <w:lang w:eastAsia="zh-CN"/>
        </w:rPr>
        <w:t>疏叶骆驼刺草甸植被样方调查：设置5m×5m的植被样方3个，记录该样方的坐标和周围地形，同时记录样方内的植物种名称、株数、平均高、各物种盖度、生物量等信息。</w:t>
      </w:r>
    </w:p>
    <w:p w14:paraId="63ED06CF">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C.样方信息统计</w:t>
      </w:r>
    </w:p>
    <w:p w14:paraId="2DBD123E">
      <w:pPr>
        <w:widowControl w:val="0"/>
        <w:spacing w:line="360" w:lineRule="auto"/>
        <w:ind w:firstLine="540" w:firstLineChars="225"/>
        <w:jc w:val="both"/>
        <w:rPr>
          <w:rFonts w:hint="eastAsia"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rPr>
        <w:t>调查过程共做实测和记录样方</w:t>
      </w:r>
      <w:r>
        <w:rPr>
          <w:rFonts w:hint="eastAsia" w:cs="Times New Roman"/>
          <w:snapToGrid w:val="0"/>
          <w:color w:val="auto"/>
          <w:kern w:val="0"/>
          <w:sz w:val="24"/>
          <w:szCs w:val="24"/>
          <w:highlight w:val="none"/>
          <w:lang w:val="en-US" w:eastAsia="zh-CN"/>
        </w:rPr>
        <w:t>9</w:t>
      </w:r>
      <w:r>
        <w:rPr>
          <w:rFonts w:hint="default" w:ascii="Times New Roman" w:hAnsi="Times New Roman" w:eastAsia="宋体" w:cs="Times New Roman"/>
          <w:snapToGrid w:val="0"/>
          <w:color w:val="auto"/>
          <w:kern w:val="0"/>
          <w:sz w:val="24"/>
          <w:szCs w:val="24"/>
          <w:highlight w:val="none"/>
        </w:rPr>
        <w:t>个，主要样方情况见表4.6-</w:t>
      </w:r>
      <w:r>
        <w:rPr>
          <w:rFonts w:hint="eastAsia" w:cs="Times New Roman"/>
          <w:snapToGrid w:val="0"/>
          <w:color w:val="auto"/>
          <w:kern w:val="0"/>
          <w:sz w:val="24"/>
          <w:szCs w:val="24"/>
          <w:highlight w:val="none"/>
          <w:lang w:val="en-US" w:eastAsia="zh-CN"/>
        </w:rPr>
        <w:t>7</w:t>
      </w:r>
      <w:r>
        <w:rPr>
          <w:rFonts w:hint="eastAsia" w:ascii="Times New Roman" w:hAnsi="Times New Roman" w:eastAsia="宋体" w:cs="Times New Roman"/>
          <w:snapToGrid w:val="0"/>
          <w:color w:val="auto"/>
          <w:kern w:val="0"/>
          <w:sz w:val="24"/>
          <w:szCs w:val="24"/>
          <w:highlight w:val="none"/>
          <w:lang w:val="en-US" w:eastAsia="zh-CN"/>
        </w:rPr>
        <w:t>~表4.6-</w:t>
      </w:r>
      <w:r>
        <w:rPr>
          <w:rFonts w:hint="eastAsia" w:cs="Times New Roman"/>
          <w:snapToGrid w:val="0"/>
          <w:color w:val="auto"/>
          <w:kern w:val="0"/>
          <w:sz w:val="24"/>
          <w:szCs w:val="24"/>
          <w:highlight w:val="none"/>
          <w:lang w:val="en-US" w:eastAsia="zh-CN"/>
        </w:rPr>
        <w:t>9</w:t>
      </w:r>
      <w:r>
        <w:rPr>
          <w:rFonts w:hint="default" w:ascii="Times New Roman" w:hAnsi="Times New Roman" w:eastAsia="宋体" w:cs="Times New Roman"/>
          <w:snapToGrid w:val="0"/>
          <w:color w:val="auto"/>
          <w:kern w:val="0"/>
          <w:sz w:val="24"/>
          <w:szCs w:val="24"/>
          <w:highlight w:val="none"/>
        </w:rPr>
        <w:t>。根据样内和样外记录，结合以往有关研究等资料进行分析，由此对调查区植被及植物资源状况获得初步认识</w:t>
      </w:r>
      <w:r>
        <w:rPr>
          <w:rFonts w:hint="eastAsia" w:ascii="Times New Roman" w:hAnsi="Times New Roman" w:eastAsia="宋体" w:cs="Times New Roman"/>
          <w:snapToGrid w:val="0"/>
          <w:color w:val="auto"/>
          <w:kern w:val="0"/>
          <w:sz w:val="24"/>
          <w:szCs w:val="24"/>
          <w:highlight w:val="none"/>
          <w:lang w:eastAsia="zh-CN"/>
        </w:rPr>
        <w:t>。</w:t>
      </w:r>
    </w:p>
    <w:p w14:paraId="4066191E">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①</w:t>
      </w:r>
      <w:r>
        <w:rPr>
          <w:rFonts w:hint="eastAsia" w:cs="Times New Roman"/>
          <w:snapToGrid w:val="0"/>
          <w:color w:val="auto"/>
          <w:kern w:val="0"/>
          <w:sz w:val="24"/>
          <w:szCs w:val="24"/>
          <w:highlight w:val="none"/>
          <w:lang w:eastAsia="zh-CN"/>
        </w:rPr>
        <w:t>胡杨疏林</w:t>
      </w:r>
      <w:r>
        <w:rPr>
          <w:rFonts w:hint="default" w:ascii="Times New Roman" w:hAnsi="Times New Roman" w:eastAsia="宋体" w:cs="Times New Roman"/>
          <w:snapToGrid w:val="0"/>
          <w:color w:val="auto"/>
          <w:kern w:val="0"/>
          <w:sz w:val="24"/>
          <w:szCs w:val="24"/>
          <w:highlight w:val="none"/>
        </w:rPr>
        <w:t>植被样方调查，调查地点：分别在</w:t>
      </w:r>
      <w:r>
        <w:rPr>
          <w:rFonts w:hint="eastAsia" w:cs="Times New Roman"/>
          <w:snapToGrid w:val="0"/>
          <w:color w:val="auto"/>
          <w:kern w:val="0"/>
          <w:sz w:val="24"/>
          <w:szCs w:val="24"/>
          <w:highlight w:val="none"/>
          <w:lang w:val="en-US" w:eastAsia="zh-CN"/>
        </w:rPr>
        <w:t>管线路由区、TH102117X、TK872CH</w:t>
      </w:r>
      <w:r>
        <w:rPr>
          <w:rFonts w:hint="default" w:ascii="Times New Roman" w:hAnsi="Times New Roman" w:eastAsia="宋体" w:cs="Times New Roman"/>
          <w:snapToGrid w:val="0"/>
          <w:color w:val="auto"/>
          <w:kern w:val="0"/>
          <w:sz w:val="24"/>
          <w:szCs w:val="24"/>
          <w:highlight w:val="none"/>
        </w:rPr>
        <w:t>布设样方，土壤类型：</w:t>
      </w:r>
      <w:r>
        <w:rPr>
          <w:rFonts w:hint="eastAsia" w:cs="Times New Roman"/>
          <w:snapToGrid w:val="0"/>
          <w:color w:val="auto"/>
          <w:kern w:val="0"/>
          <w:sz w:val="24"/>
          <w:szCs w:val="24"/>
          <w:highlight w:val="none"/>
          <w:lang w:val="en-US" w:eastAsia="zh-CN"/>
        </w:rPr>
        <w:t>草甸</w:t>
      </w:r>
      <w:r>
        <w:rPr>
          <w:rFonts w:hint="eastAsia" w:ascii="Times New Roman" w:hAnsi="Times New Roman" w:eastAsia="宋体" w:cs="Times New Roman"/>
          <w:snapToGrid w:val="0"/>
          <w:color w:val="auto"/>
          <w:kern w:val="0"/>
          <w:sz w:val="24"/>
          <w:szCs w:val="24"/>
          <w:highlight w:val="none"/>
          <w:lang w:val="en-US" w:eastAsia="zh-CN"/>
        </w:rPr>
        <w:t>土</w:t>
      </w:r>
      <w:r>
        <w:rPr>
          <w:rFonts w:hint="default" w:ascii="Times New Roman" w:hAnsi="Times New Roman" w:eastAsia="宋体" w:cs="Times New Roman"/>
          <w:snapToGrid w:val="0"/>
          <w:color w:val="auto"/>
          <w:kern w:val="0"/>
          <w:sz w:val="24"/>
          <w:szCs w:val="24"/>
          <w:highlight w:val="none"/>
        </w:rPr>
        <w:t>等；地形地貌为</w:t>
      </w:r>
      <w:r>
        <w:rPr>
          <w:rFonts w:hint="eastAsia" w:cs="Times New Roman"/>
          <w:snapToGrid w:val="0"/>
          <w:color w:val="auto"/>
          <w:kern w:val="0"/>
          <w:sz w:val="24"/>
          <w:szCs w:val="24"/>
          <w:highlight w:val="none"/>
          <w:lang w:val="en-US" w:eastAsia="zh-CN"/>
        </w:rPr>
        <w:t>平原</w:t>
      </w:r>
      <w:r>
        <w:rPr>
          <w:rFonts w:hint="default" w:ascii="Times New Roman" w:hAnsi="Times New Roman" w:eastAsia="宋体" w:cs="Times New Roman"/>
          <w:snapToGrid w:val="0"/>
          <w:color w:val="auto"/>
          <w:kern w:val="0"/>
          <w:sz w:val="24"/>
          <w:szCs w:val="24"/>
          <w:highlight w:val="none"/>
        </w:rPr>
        <w:t>，</w:t>
      </w:r>
      <w:r>
        <w:rPr>
          <w:rFonts w:hint="eastAsia" w:ascii="Times New Roman" w:hAnsi="Times New Roman" w:eastAsia="宋体" w:cs="Times New Roman"/>
          <w:snapToGrid w:val="0"/>
          <w:color w:val="auto"/>
          <w:kern w:val="0"/>
          <w:sz w:val="24"/>
          <w:szCs w:val="24"/>
          <w:highlight w:val="none"/>
          <w:lang w:val="en-US" w:eastAsia="zh-CN"/>
        </w:rPr>
        <w:t>植被盖度约</w:t>
      </w:r>
      <w:r>
        <w:rPr>
          <w:rFonts w:hint="default" w:ascii="Times New Roman" w:hAnsi="Times New Roman" w:eastAsia="宋体" w:cs="Times New Roman"/>
          <w:snapToGrid w:val="0"/>
          <w:color w:val="auto"/>
          <w:kern w:val="0"/>
          <w:sz w:val="24"/>
          <w:szCs w:val="24"/>
          <w:highlight w:val="none"/>
        </w:rPr>
        <w:t>为</w:t>
      </w:r>
      <w:r>
        <w:rPr>
          <w:rFonts w:hint="eastAsia" w:cs="Times New Roman"/>
          <w:snapToGrid w:val="0"/>
          <w:color w:val="auto"/>
          <w:kern w:val="0"/>
          <w:sz w:val="24"/>
          <w:szCs w:val="24"/>
          <w:highlight w:val="none"/>
          <w:lang w:val="en-US" w:eastAsia="zh-CN"/>
        </w:rPr>
        <w:t>20-30</w:t>
      </w:r>
      <w:r>
        <w:rPr>
          <w:rFonts w:hint="default" w:ascii="Times New Roman" w:hAnsi="Times New Roman" w:eastAsia="宋体" w:cs="Times New Roman"/>
          <w:snapToGrid w:val="0"/>
          <w:color w:val="auto"/>
          <w:kern w:val="0"/>
          <w:sz w:val="24"/>
          <w:szCs w:val="24"/>
          <w:highlight w:val="none"/>
        </w:rPr>
        <w:t>%。</w:t>
      </w:r>
    </w:p>
    <w:p w14:paraId="6EC58FDE">
      <w:pPr>
        <w:widowControl w:val="0"/>
        <w:spacing w:line="360" w:lineRule="auto"/>
        <w:ind w:firstLine="540" w:firstLineChars="225"/>
        <w:jc w:val="both"/>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样方大小：</w:t>
      </w:r>
      <w:r>
        <w:rPr>
          <w:rFonts w:hint="eastAsia" w:ascii="Times New Roman" w:hAnsi="Times New Roman" w:eastAsia="宋体" w:cs="Times New Roman"/>
          <w:snapToGrid w:val="0"/>
          <w:color w:val="auto"/>
          <w:kern w:val="0"/>
          <w:sz w:val="24"/>
          <w:szCs w:val="24"/>
          <w:highlight w:val="none"/>
          <w:lang w:val="en-US" w:eastAsia="zh-CN"/>
        </w:rPr>
        <w:t>10</w:t>
      </w:r>
      <w:r>
        <w:rPr>
          <w:rFonts w:hint="default" w:ascii="Times New Roman" w:hAnsi="Times New Roman" w:eastAsia="宋体" w:cs="Times New Roman"/>
          <w:snapToGrid w:val="0"/>
          <w:color w:val="auto"/>
          <w:kern w:val="0"/>
          <w:sz w:val="24"/>
          <w:szCs w:val="24"/>
          <w:highlight w:val="none"/>
        </w:rPr>
        <w:t>m×</w:t>
      </w:r>
      <w:r>
        <w:rPr>
          <w:rFonts w:hint="eastAsia" w:ascii="Times New Roman" w:hAnsi="Times New Roman" w:eastAsia="宋体" w:cs="Times New Roman"/>
          <w:snapToGrid w:val="0"/>
          <w:color w:val="auto"/>
          <w:kern w:val="0"/>
          <w:sz w:val="24"/>
          <w:szCs w:val="24"/>
          <w:highlight w:val="none"/>
          <w:lang w:val="en-US" w:eastAsia="zh-CN"/>
        </w:rPr>
        <w:t>10</w:t>
      </w:r>
      <w:r>
        <w:rPr>
          <w:rFonts w:hint="default" w:ascii="Times New Roman" w:hAnsi="Times New Roman" w:eastAsia="宋体" w:cs="Times New Roman"/>
          <w:snapToGrid w:val="0"/>
          <w:color w:val="auto"/>
          <w:kern w:val="0"/>
          <w:sz w:val="24"/>
          <w:szCs w:val="24"/>
          <w:highlight w:val="none"/>
        </w:rPr>
        <w:t>m；统计结果见表4.6-</w:t>
      </w:r>
      <w:r>
        <w:rPr>
          <w:rFonts w:hint="eastAsia" w:cs="Times New Roman"/>
          <w:snapToGrid w:val="0"/>
          <w:color w:val="auto"/>
          <w:kern w:val="0"/>
          <w:sz w:val="24"/>
          <w:szCs w:val="24"/>
          <w:highlight w:val="none"/>
          <w:lang w:val="en-US" w:eastAsia="zh-CN"/>
        </w:rPr>
        <w:t>7</w:t>
      </w:r>
      <w:r>
        <w:rPr>
          <w:rFonts w:hint="default" w:ascii="Times New Roman" w:hAnsi="Times New Roman" w:eastAsia="宋体" w:cs="Times New Roman"/>
          <w:snapToGrid w:val="0"/>
          <w:color w:val="auto"/>
          <w:kern w:val="0"/>
          <w:sz w:val="24"/>
          <w:szCs w:val="24"/>
          <w:highlight w:val="none"/>
        </w:rPr>
        <w:t>。</w:t>
      </w:r>
    </w:p>
    <w:p w14:paraId="15EA4C7D">
      <w:pPr>
        <w:widowControl w:val="0"/>
        <w:spacing w:line="240" w:lineRule="auto"/>
        <w:ind w:firstLine="0" w:firstLineChars="0"/>
        <w:jc w:val="center"/>
        <w:rPr>
          <w:rFonts w:hint="default" w:ascii="Times New Roman" w:hAnsi="Times New Roman" w:eastAsia="黑体" w:cs="Times New Roman"/>
          <w:color w:val="auto"/>
          <w:kern w:val="2"/>
          <w:sz w:val="21"/>
          <w:szCs w:val="21"/>
          <w:highlight w:val="none"/>
        </w:rPr>
      </w:pPr>
      <w:r>
        <w:rPr>
          <w:rFonts w:hint="default" w:ascii="Times New Roman" w:hAnsi="Times New Roman" w:eastAsia="黑体" w:cs="Times New Roman"/>
          <w:color w:val="auto"/>
          <w:kern w:val="2"/>
          <w:sz w:val="21"/>
          <w:szCs w:val="21"/>
          <w:highlight w:val="none"/>
        </w:rPr>
        <w:t>表4.6-</w:t>
      </w:r>
      <w:r>
        <w:rPr>
          <w:rFonts w:hint="eastAsia" w:eastAsia="黑体" w:cs="Times New Roman"/>
          <w:color w:val="auto"/>
          <w:kern w:val="2"/>
          <w:sz w:val="21"/>
          <w:szCs w:val="21"/>
          <w:highlight w:val="none"/>
          <w:lang w:val="en-US" w:eastAsia="zh-CN"/>
        </w:rPr>
        <w:t>7</w:t>
      </w:r>
      <w:r>
        <w:rPr>
          <w:rFonts w:hint="default" w:ascii="Times New Roman" w:hAnsi="Times New Roman" w:eastAsia="黑体" w:cs="Times New Roman"/>
          <w:color w:val="auto"/>
          <w:kern w:val="2"/>
          <w:sz w:val="21"/>
          <w:szCs w:val="21"/>
          <w:highlight w:val="none"/>
        </w:rPr>
        <w:t xml:space="preserve">  </w:t>
      </w:r>
      <w:r>
        <w:rPr>
          <w:rFonts w:hint="eastAsia" w:eastAsia="黑体" w:cs="Times New Roman"/>
          <w:color w:val="auto"/>
          <w:kern w:val="2"/>
          <w:sz w:val="21"/>
          <w:szCs w:val="21"/>
          <w:highlight w:val="none"/>
          <w:lang w:eastAsia="zh-CN"/>
        </w:rPr>
        <w:t>胡杨疏林</w:t>
      </w:r>
      <w:r>
        <w:rPr>
          <w:rFonts w:hint="default" w:ascii="Times New Roman" w:hAnsi="Times New Roman" w:eastAsia="黑体" w:cs="Times New Roman"/>
          <w:color w:val="auto"/>
          <w:kern w:val="2"/>
          <w:sz w:val="21"/>
          <w:szCs w:val="21"/>
          <w:highlight w:val="none"/>
        </w:rPr>
        <w:t>植被样方调查统计表</w:t>
      </w:r>
    </w:p>
    <w:tbl>
      <w:tblPr>
        <w:tblStyle w:val="35"/>
        <w:tblpPr w:leftFromText="180" w:rightFromText="180" w:vertAnchor="text" w:tblpXSpec="center" w:tblpY="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2013"/>
        <w:gridCol w:w="1534"/>
        <w:gridCol w:w="1210"/>
        <w:gridCol w:w="820"/>
        <w:gridCol w:w="907"/>
      </w:tblGrid>
      <w:tr w14:paraId="7775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restart"/>
            <w:vAlign w:val="center"/>
          </w:tcPr>
          <w:p w14:paraId="1B557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地点</w:t>
            </w:r>
          </w:p>
        </w:tc>
        <w:tc>
          <w:tcPr>
            <w:tcW w:w="3803" w:type="pct"/>
            <w:gridSpan w:val="5"/>
            <w:vAlign w:val="center"/>
          </w:tcPr>
          <w:p w14:paraId="77699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植被生长状况</w:t>
            </w:r>
          </w:p>
        </w:tc>
      </w:tr>
      <w:tr w14:paraId="39F0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continue"/>
            <w:vAlign w:val="center"/>
          </w:tcPr>
          <w:p w14:paraId="19059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1181" w:type="pct"/>
            <w:vAlign w:val="center"/>
          </w:tcPr>
          <w:p w14:paraId="41B25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种类</w:t>
            </w:r>
          </w:p>
        </w:tc>
        <w:tc>
          <w:tcPr>
            <w:tcW w:w="900" w:type="pct"/>
            <w:vAlign w:val="center"/>
          </w:tcPr>
          <w:p w14:paraId="0FFF8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高度（cm）</w:t>
            </w:r>
          </w:p>
        </w:tc>
        <w:tc>
          <w:tcPr>
            <w:tcW w:w="710" w:type="pct"/>
            <w:vAlign w:val="center"/>
          </w:tcPr>
          <w:p w14:paraId="729A1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数量</w:t>
            </w:r>
          </w:p>
        </w:tc>
        <w:tc>
          <w:tcPr>
            <w:tcW w:w="481" w:type="pct"/>
            <w:vAlign w:val="center"/>
          </w:tcPr>
          <w:p w14:paraId="198EF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盖度</w:t>
            </w:r>
            <w:r>
              <w:rPr>
                <w:rFonts w:hint="eastAsia"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rPr>
              <w:t>%</w:t>
            </w:r>
          </w:p>
        </w:tc>
        <w:tc>
          <w:tcPr>
            <w:tcW w:w="531" w:type="pct"/>
            <w:vAlign w:val="center"/>
          </w:tcPr>
          <w:p w14:paraId="3772C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多度</w:t>
            </w:r>
          </w:p>
        </w:tc>
      </w:tr>
      <w:tr w14:paraId="3229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28180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rPr>
              <w:t>样方1</w:t>
            </w:r>
            <w:r>
              <w:rPr>
                <w:rFonts w:hint="eastAsia" w:ascii="Times New Roman" w:hAnsi="Times New Roman" w:eastAsia="宋体" w:cs="Times New Roman"/>
                <w:b/>
                <w:bCs/>
                <w:color w:val="auto"/>
                <w:kern w:val="2"/>
                <w:sz w:val="21"/>
                <w:szCs w:val="21"/>
                <w:highlight w:val="none"/>
                <w:lang w:val="en-US" w:eastAsia="zh-CN"/>
              </w:rPr>
              <w:t>-1</w:t>
            </w:r>
          </w:p>
        </w:tc>
      </w:tr>
      <w:tr w14:paraId="2368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restart"/>
            <w:vAlign w:val="center"/>
          </w:tcPr>
          <w:p w14:paraId="5BA07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管线</w:t>
            </w:r>
            <w:r>
              <w:rPr>
                <w:rFonts w:hint="eastAsia" w:cs="Times New Roman"/>
                <w:color w:val="auto"/>
                <w:kern w:val="2"/>
                <w:sz w:val="21"/>
                <w:szCs w:val="21"/>
                <w:highlight w:val="none"/>
                <w:lang w:val="en-US" w:eastAsia="zh-CN"/>
              </w:rPr>
              <w:t>路由区</w:t>
            </w:r>
          </w:p>
        </w:tc>
        <w:tc>
          <w:tcPr>
            <w:tcW w:w="1181" w:type="pct"/>
            <w:vAlign w:val="center"/>
          </w:tcPr>
          <w:p w14:paraId="1A73F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胡杨</w:t>
            </w:r>
          </w:p>
        </w:tc>
        <w:tc>
          <w:tcPr>
            <w:tcW w:w="900" w:type="pct"/>
            <w:vAlign w:val="center"/>
          </w:tcPr>
          <w:p w14:paraId="72239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410-650</w:t>
            </w:r>
          </w:p>
        </w:tc>
        <w:tc>
          <w:tcPr>
            <w:tcW w:w="710" w:type="pct"/>
            <w:vAlign w:val="center"/>
          </w:tcPr>
          <w:p w14:paraId="08687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81" w:type="pct"/>
            <w:vAlign w:val="center"/>
          </w:tcPr>
          <w:p w14:paraId="611FB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531" w:type="pct"/>
            <w:vAlign w:val="center"/>
          </w:tcPr>
          <w:p w14:paraId="0F155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Cop2</w:t>
            </w:r>
          </w:p>
        </w:tc>
      </w:tr>
      <w:tr w14:paraId="70B1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continue"/>
            <w:vAlign w:val="center"/>
          </w:tcPr>
          <w:p w14:paraId="4DB38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1181" w:type="pct"/>
            <w:vAlign w:val="center"/>
          </w:tcPr>
          <w:p w14:paraId="30E2B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多枝柽柳</w:t>
            </w:r>
          </w:p>
        </w:tc>
        <w:tc>
          <w:tcPr>
            <w:tcW w:w="900" w:type="pct"/>
            <w:vAlign w:val="center"/>
          </w:tcPr>
          <w:p w14:paraId="1003D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65-125</w:t>
            </w:r>
          </w:p>
        </w:tc>
        <w:tc>
          <w:tcPr>
            <w:tcW w:w="710" w:type="pct"/>
            <w:vAlign w:val="center"/>
          </w:tcPr>
          <w:p w14:paraId="7D61A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481" w:type="pct"/>
            <w:vAlign w:val="center"/>
          </w:tcPr>
          <w:p w14:paraId="03171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531" w:type="pct"/>
            <w:vAlign w:val="center"/>
          </w:tcPr>
          <w:p w14:paraId="57243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Sp</w:t>
            </w:r>
          </w:p>
        </w:tc>
      </w:tr>
      <w:tr w14:paraId="15D1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255FD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ascii="Times New Roman" w:hAnsi="Times New Roman" w:eastAsia="宋体" w:cs="Times New Roman"/>
                <w:b/>
                <w:bCs/>
                <w:color w:val="auto"/>
                <w:kern w:val="2"/>
                <w:sz w:val="21"/>
                <w:szCs w:val="21"/>
                <w:highlight w:val="none"/>
                <w:lang w:val="en-US" w:eastAsia="zh-CN"/>
              </w:rPr>
              <w:t>1-</w:t>
            </w:r>
            <w:r>
              <w:rPr>
                <w:rFonts w:hint="default" w:ascii="Times New Roman" w:hAnsi="Times New Roman" w:eastAsia="宋体" w:cs="Times New Roman"/>
                <w:b/>
                <w:bCs/>
                <w:color w:val="auto"/>
                <w:kern w:val="2"/>
                <w:sz w:val="21"/>
                <w:szCs w:val="21"/>
                <w:highlight w:val="none"/>
              </w:rPr>
              <w:t>2</w:t>
            </w:r>
          </w:p>
        </w:tc>
      </w:tr>
      <w:tr w14:paraId="656B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restart"/>
            <w:vAlign w:val="center"/>
          </w:tcPr>
          <w:p w14:paraId="592D3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TH102117X</w:t>
            </w:r>
          </w:p>
        </w:tc>
        <w:tc>
          <w:tcPr>
            <w:tcW w:w="1181" w:type="pct"/>
            <w:vAlign w:val="center"/>
          </w:tcPr>
          <w:p w14:paraId="627CDF9B">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胡杨</w:t>
            </w:r>
          </w:p>
        </w:tc>
        <w:tc>
          <w:tcPr>
            <w:tcW w:w="900" w:type="pct"/>
            <w:vAlign w:val="center"/>
          </w:tcPr>
          <w:p w14:paraId="0FDC0E6A">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450-680</w:t>
            </w:r>
          </w:p>
        </w:tc>
        <w:tc>
          <w:tcPr>
            <w:tcW w:w="710" w:type="pct"/>
            <w:vAlign w:val="center"/>
          </w:tcPr>
          <w:p w14:paraId="443D1F05">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8</w:t>
            </w:r>
          </w:p>
        </w:tc>
        <w:tc>
          <w:tcPr>
            <w:tcW w:w="481" w:type="pct"/>
            <w:vAlign w:val="center"/>
          </w:tcPr>
          <w:p w14:paraId="1FB687EC">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20</w:t>
            </w:r>
          </w:p>
        </w:tc>
        <w:tc>
          <w:tcPr>
            <w:tcW w:w="531" w:type="pct"/>
            <w:vAlign w:val="center"/>
          </w:tcPr>
          <w:p w14:paraId="4A759054">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
              </w:rPr>
              <w:t>Cop</w:t>
            </w:r>
            <w:r>
              <w:rPr>
                <w:rFonts w:hint="eastAsia" w:cs="Times New Roman"/>
                <w:color w:val="auto"/>
                <w:kern w:val="2"/>
                <w:sz w:val="21"/>
                <w:szCs w:val="21"/>
                <w:highlight w:val="none"/>
                <w:lang w:val="en-US" w:eastAsia="zh-CN" w:bidi="ar"/>
              </w:rPr>
              <w:t>2</w:t>
            </w:r>
          </w:p>
        </w:tc>
      </w:tr>
      <w:tr w14:paraId="0E54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continue"/>
            <w:vAlign w:val="center"/>
          </w:tcPr>
          <w:p w14:paraId="1AECF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1181" w:type="pct"/>
            <w:shd w:val="clear" w:color="auto" w:fill="auto"/>
            <w:vAlign w:val="center"/>
          </w:tcPr>
          <w:p w14:paraId="43288624">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多枝柽柳</w:t>
            </w:r>
          </w:p>
        </w:tc>
        <w:tc>
          <w:tcPr>
            <w:tcW w:w="900" w:type="pct"/>
            <w:shd w:val="clear" w:color="auto" w:fill="auto"/>
            <w:vAlign w:val="center"/>
          </w:tcPr>
          <w:p w14:paraId="4C75CC7D">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60-110</w:t>
            </w:r>
          </w:p>
        </w:tc>
        <w:tc>
          <w:tcPr>
            <w:tcW w:w="710" w:type="pct"/>
            <w:shd w:val="clear" w:color="auto" w:fill="auto"/>
            <w:vAlign w:val="center"/>
          </w:tcPr>
          <w:p w14:paraId="354BD886">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481" w:type="pct"/>
            <w:shd w:val="clear" w:color="auto" w:fill="auto"/>
            <w:vAlign w:val="center"/>
          </w:tcPr>
          <w:p w14:paraId="79B8440B">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531" w:type="pct"/>
            <w:shd w:val="clear" w:color="auto" w:fill="auto"/>
            <w:vAlign w:val="center"/>
          </w:tcPr>
          <w:p w14:paraId="175763CA">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Sp</w:t>
            </w:r>
          </w:p>
        </w:tc>
      </w:tr>
      <w:tr w14:paraId="2970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continue"/>
            <w:vAlign w:val="center"/>
          </w:tcPr>
          <w:p w14:paraId="3F84F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1181" w:type="pct"/>
            <w:vAlign w:val="center"/>
          </w:tcPr>
          <w:p w14:paraId="60BCE5B3">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疏叶骆驼刺</w:t>
            </w:r>
          </w:p>
        </w:tc>
        <w:tc>
          <w:tcPr>
            <w:tcW w:w="900" w:type="pct"/>
            <w:vAlign w:val="center"/>
          </w:tcPr>
          <w:p w14:paraId="0C13AA50">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30-50</w:t>
            </w:r>
          </w:p>
        </w:tc>
        <w:tc>
          <w:tcPr>
            <w:tcW w:w="710" w:type="pct"/>
            <w:vAlign w:val="center"/>
          </w:tcPr>
          <w:p w14:paraId="78910E00">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481" w:type="pct"/>
            <w:vAlign w:val="center"/>
          </w:tcPr>
          <w:p w14:paraId="041DD271">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531" w:type="pct"/>
            <w:vAlign w:val="center"/>
          </w:tcPr>
          <w:p w14:paraId="0F21D9BB">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Sp</w:t>
            </w:r>
          </w:p>
        </w:tc>
      </w:tr>
      <w:tr w14:paraId="2C92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7B813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ascii="Times New Roman" w:hAnsi="Times New Roman" w:eastAsia="宋体" w:cs="Times New Roman"/>
                <w:b/>
                <w:bCs/>
                <w:color w:val="auto"/>
                <w:kern w:val="2"/>
                <w:sz w:val="21"/>
                <w:szCs w:val="21"/>
                <w:highlight w:val="none"/>
                <w:lang w:val="en-US" w:eastAsia="zh-CN"/>
              </w:rPr>
              <w:t>1-</w:t>
            </w:r>
            <w:r>
              <w:rPr>
                <w:rFonts w:hint="default" w:ascii="Times New Roman" w:hAnsi="Times New Roman" w:eastAsia="宋体" w:cs="Times New Roman"/>
                <w:b/>
                <w:bCs/>
                <w:color w:val="auto"/>
                <w:kern w:val="2"/>
                <w:sz w:val="21"/>
                <w:szCs w:val="21"/>
                <w:highlight w:val="none"/>
              </w:rPr>
              <w:t>3</w:t>
            </w:r>
          </w:p>
        </w:tc>
      </w:tr>
      <w:tr w14:paraId="069E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restart"/>
            <w:vAlign w:val="center"/>
          </w:tcPr>
          <w:p w14:paraId="28128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TK872CH</w:t>
            </w:r>
          </w:p>
        </w:tc>
        <w:tc>
          <w:tcPr>
            <w:tcW w:w="1181" w:type="pct"/>
            <w:vAlign w:val="center"/>
          </w:tcPr>
          <w:p w14:paraId="43143370">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胡杨</w:t>
            </w:r>
          </w:p>
        </w:tc>
        <w:tc>
          <w:tcPr>
            <w:tcW w:w="900" w:type="pct"/>
            <w:vAlign w:val="center"/>
          </w:tcPr>
          <w:p w14:paraId="6C1AC51F">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w:t>
            </w:r>
            <w:r>
              <w:rPr>
                <w:rFonts w:hint="eastAsia" w:cs="Times New Roman"/>
                <w:color w:val="auto"/>
                <w:kern w:val="2"/>
                <w:sz w:val="21"/>
                <w:szCs w:val="21"/>
                <w:highlight w:val="none"/>
                <w:lang w:val="en-US" w:eastAsia="zh-CN"/>
              </w:rPr>
              <w:t>4</w:t>
            </w:r>
            <w:r>
              <w:rPr>
                <w:rFonts w:hint="default" w:ascii="Times New Roman" w:hAnsi="Times New Roman" w:eastAsia="宋体" w:cs="Times New Roman"/>
                <w:color w:val="auto"/>
                <w:kern w:val="2"/>
                <w:sz w:val="21"/>
                <w:szCs w:val="21"/>
                <w:highlight w:val="none"/>
              </w:rPr>
              <w:t>0-6</w:t>
            </w:r>
            <w:r>
              <w:rPr>
                <w:rFonts w:hint="eastAsia"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0</w:t>
            </w:r>
          </w:p>
        </w:tc>
        <w:tc>
          <w:tcPr>
            <w:tcW w:w="710" w:type="pct"/>
            <w:vAlign w:val="center"/>
          </w:tcPr>
          <w:p w14:paraId="37BAA85B">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w:t>
            </w:r>
          </w:p>
        </w:tc>
        <w:tc>
          <w:tcPr>
            <w:tcW w:w="481" w:type="pct"/>
            <w:vAlign w:val="center"/>
          </w:tcPr>
          <w:p w14:paraId="1957A453">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20</w:t>
            </w:r>
          </w:p>
        </w:tc>
        <w:tc>
          <w:tcPr>
            <w:tcW w:w="531" w:type="pct"/>
            <w:vAlign w:val="center"/>
          </w:tcPr>
          <w:p w14:paraId="78CD234B">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Cop</w:t>
            </w:r>
            <w:r>
              <w:rPr>
                <w:rFonts w:hint="eastAsia" w:cs="Times New Roman"/>
                <w:color w:val="auto"/>
                <w:kern w:val="2"/>
                <w:sz w:val="21"/>
                <w:szCs w:val="21"/>
                <w:highlight w:val="none"/>
                <w:lang w:val="en-US" w:eastAsia="zh-CN" w:bidi="ar"/>
              </w:rPr>
              <w:t>2</w:t>
            </w:r>
          </w:p>
        </w:tc>
      </w:tr>
      <w:tr w14:paraId="4697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continue"/>
            <w:vAlign w:val="center"/>
          </w:tcPr>
          <w:p w14:paraId="47FB6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1181" w:type="pct"/>
            <w:shd w:val="clear" w:color="auto" w:fill="auto"/>
            <w:vAlign w:val="center"/>
          </w:tcPr>
          <w:p w14:paraId="433DC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多枝柽柳</w:t>
            </w:r>
          </w:p>
        </w:tc>
        <w:tc>
          <w:tcPr>
            <w:tcW w:w="900" w:type="pct"/>
            <w:shd w:val="clear" w:color="auto" w:fill="auto"/>
            <w:vAlign w:val="center"/>
          </w:tcPr>
          <w:p w14:paraId="4D26C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145</w:t>
            </w:r>
          </w:p>
        </w:tc>
        <w:tc>
          <w:tcPr>
            <w:tcW w:w="710" w:type="pct"/>
            <w:shd w:val="clear" w:color="auto" w:fill="auto"/>
            <w:vAlign w:val="center"/>
          </w:tcPr>
          <w:p w14:paraId="17532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481" w:type="pct"/>
            <w:shd w:val="clear" w:color="auto" w:fill="auto"/>
            <w:vAlign w:val="center"/>
          </w:tcPr>
          <w:p w14:paraId="5962F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531" w:type="pct"/>
            <w:shd w:val="clear" w:color="auto" w:fill="auto"/>
            <w:vAlign w:val="center"/>
          </w:tcPr>
          <w:p w14:paraId="7D861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Sp</w:t>
            </w:r>
          </w:p>
        </w:tc>
      </w:tr>
      <w:tr w14:paraId="3C23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6" w:type="pct"/>
            <w:vMerge w:val="continue"/>
            <w:vAlign w:val="center"/>
          </w:tcPr>
          <w:p w14:paraId="253FB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1181" w:type="pct"/>
            <w:vAlign w:val="center"/>
          </w:tcPr>
          <w:p w14:paraId="6F4A44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花花柴</w:t>
            </w:r>
          </w:p>
        </w:tc>
        <w:tc>
          <w:tcPr>
            <w:tcW w:w="900" w:type="pct"/>
            <w:vAlign w:val="center"/>
          </w:tcPr>
          <w:p w14:paraId="1CA8C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35-45</w:t>
            </w:r>
          </w:p>
        </w:tc>
        <w:tc>
          <w:tcPr>
            <w:tcW w:w="710" w:type="pct"/>
            <w:vAlign w:val="center"/>
          </w:tcPr>
          <w:p w14:paraId="797C1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481" w:type="pct"/>
            <w:vAlign w:val="center"/>
          </w:tcPr>
          <w:p w14:paraId="6F827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531" w:type="pct"/>
            <w:vAlign w:val="center"/>
          </w:tcPr>
          <w:p w14:paraId="0FD08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Sol</w:t>
            </w:r>
          </w:p>
        </w:tc>
      </w:tr>
      <w:tr w14:paraId="120D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blHeader/>
          <w:jc w:val="center"/>
        </w:trPr>
        <w:tc>
          <w:tcPr>
            <w:tcW w:w="2377" w:type="pct"/>
            <w:gridSpan w:val="2"/>
            <w:vAlign w:val="center"/>
          </w:tcPr>
          <w:p w14:paraId="56F08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2622" w:type="pct"/>
            <w:gridSpan w:val="4"/>
            <w:vAlign w:val="center"/>
          </w:tcPr>
          <w:p w14:paraId="5FCC9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p>
        </w:tc>
      </w:tr>
    </w:tbl>
    <w:p w14:paraId="632F1EE9">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②</w:t>
      </w:r>
      <w:r>
        <w:rPr>
          <w:rFonts w:hint="eastAsia" w:cs="Times New Roman"/>
          <w:snapToGrid w:val="0"/>
          <w:color w:val="auto"/>
          <w:kern w:val="0"/>
          <w:sz w:val="24"/>
          <w:szCs w:val="24"/>
          <w:highlight w:val="none"/>
          <w:lang w:eastAsia="zh-CN"/>
        </w:rPr>
        <w:t>刚毛柽柳荒漠</w:t>
      </w:r>
      <w:r>
        <w:rPr>
          <w:rFonts w:hint="default" w:ascii="Times New Roman" w:hAnsi="Times New Roman" w:eastAsia="宋体" w:cs="Times New Roman"/>
          <w:snapToGrid w:val="0"/>
          <w:color w:val="auto"/>
          <w:kern w:val="0"/>
          <w:sz w:val="24"/>
          <w:szCs w:val="24"/>
          <w:highlight w:val="none"/>
        </w:rPr>
        <w:t>植被样方调查，调查地点：</w:t>
      </w:r>
      <w:r>
        <w:rPr>
          <w:rFonts w:hint="eastAsia" w:cs="Times New Roman"/>
          <w:snapToGrid w:val="0"/>
          <w:color w:val="auto"/>
          <w:kern w:val="0"/>
          <w:sz w:val="24"/>
          <w:szCs w:val="24"/>
          <w:highlight w:val="none"/>
          <w:lang w:val="en-US" w:eastAsia="zh-CN"/>
        </w:rPr>
        <w:t>分别在TH10250CH北侧、TH10250CH南侧、TH10298CH西侧布设样方，土壤类型：风沙土等；地形地貌为平原，植被盖度约为10-20%</w:t>
      </w:r>
      <w:r>
        <w:rPr>
          <w:rFonts w:hint="default" w:ascii="Times New Roman" w:hAnsi="Times New Roman" w:eastAsia="宋体" w:cs="Times New Roman"/>
          <w:snapToGrid w:val="0"/>
          <w:color w:val="auto"/>
          <w:kern w:val="0"/>
          <w:sz w:val="24"/>
          <w:szCs w:val="24"/>
          <w:highlight w:val="none"/>
        </w:rPr>
        <w:t>。</w:t>
      </w:r>
    </w:p>
    <w:p w14:paraId="35D39304">
      <w:pPr>
        <w:widowControl w:val="0"/>
        <w:spacing w:line="360" w:lineRule="auto"/>
        <w:ind w:firstLine="540" w:firstLineChars="225"/>
        <w:jc w:val="both"/>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样方大小：5m×5m；统计结果见表4.6-</w:t>
      </w:r>
      <w:r>
        <w:rPr>
          <w:rFonts w:hint="eastAsia" w:cs="Times New Roman"/>
          <w:snapToGrid w:val="0"/>
          <w:color w:val="auto"/>
          <w:kern w:val="0"/>
          <w:sz w:val="24"/>
          <w:szCs w:val="24"/>
          <w:highlight w:val="none"/>
          <w:lang w:val="en-US" w:eastAsia="zh-CN"/>
        </w:rPr>
        <w:t>8</w:t>
      </w:r>
      <w:r>
        <w:rPr>
          <w:rFonts w:hint="default" w:ascii="Times New Roman" w:hAnsi="Times New Roman" w:eastAsia="宋体" w:cs="Times New Roman"/>
          <w:snapToGrid w:val="0"/>
          <w:color w:val="auto"/>
          <w:kern w:val="0"/>
          <w:sz w:val="24"/>
          <w:szCs w:val="24"/>
          <w:highlight w:val="none"/>
        </w:rPr>
        <w:t>。</w:t>
      </w:r>
    </w:p>
    <w:p w14:paraId="64235838">
      <w:pPr>
        <w:widowControl w:val="0"/>
        <w:spacing w:line="240" w:lineRule="auto"/>
        <w:ind w:firstLine="0" w:firstLineChars="0"/>
        <w:jc w:val="center"/>
        <w:rPr>
          <w:rFonts w:hint="default" w:ascii="Times New Roman" w:hAnsi="Times New Roman" w:eastAsia="黑体" w:cs="Times New Roman"/>
          <w:color w:val="auto"/>
          <w:kern w:val="2"/>
          <w:sz w:val="21"/>
          <w:szCs w:val="21"/>
          <w:highlight w:val="none"/>
        </w:rPr>
      </w:pPr>
      <w:r>
        <w:rPr>
          <w:rFonts w:hint="default" w:ascii="Times New Roman" w:hAnsi="Times New Roman" w:eastAsia="黑体" w:cs="Times New Roman"/>
          <w:color w:val="auto"/>
          <w:kern w:val="2"/>
          <w:sz w:val="21"/>
          <w:szCs w:val="21"/>
          <w:highlight w:val="none"/>
        </w:rPr>
        <w:t>表4.6-</w:t>
      </w:r>
      <w:r>
        <w:rPr>
          <w:rFonts w:hint="eastAsia" w:eastAsia="黑体" w:cs="Times New Roman"/>
          <w:color w:val="auto"/>
          <w:kern w:val="2"/>
          <w:sz w:val="21"/>
          <w:szCs w:val="21"/>
          <w:highlight w:val="none"/>
          <w:lang w:val="en-US" w:eastAsia="zh-CN"/>
        </w:rPr>
        <w:t>8</w:t>
      </w:r>
      <w:r>
        <w:rPr>
          <w:rFonts w:hint="default" w:ascii="Times New Roman" w:hAnsi="Times New Roman" w:eastAsia="黑体" w:cs="Times New Roman"/>
          <w:color w:val="auto"/>
          <w:kern w:val="2"/>
          <w:sz w:val="21"/>
          <w:szCs w:val="21"/>
          <w:highlight w:val="none"/>
        </w:rPr>
        <w:t xml:space="preserve">  </w:t>
      </w:r>
      <w:r>
        <w:rPr>
          <w:rFonts w:hint="eastAsia" w:eastAsia="黑体" w:cs="Times New Roman"/>
          <w:color w:val="auto"/>
          <w:kern w:val="2"/>
          <w:sz w:val="21"/>
          <w:szCs w:val="21"/>
          <w:highlight w:val="none"/>
          <w:lang w:eastAsia="zh-CN"/>
        </w:rPr>
        <w:t>刚毛柽柳荒漠</w:t>
      </w:r>
      <w:r>
        <w:rPr>
          <w:rFonts w:hint="eastAsia" w:ascii="Times New Roman" w:hAnsi="Times New Roman" w:eastAsia="黑体" w:cs="Times New Roman"/>
          <w:color w:val="auto"/>
          <w:kern w:val="2"/>
          <w:sz w:val="21"/>
          <w:szCs w:val="21"/>
          <w:highlight w:val="none"/>
          <w:lang w:val="en-US" w:eastAsia="zh-CN"/>
        </w:rPr>
        <w:t>样</w:t>
      </w:r>
      <w:r>
        <w:rPr>
          <w:rFonts w:hint="default" w:ascii="Times New Roman" w:hAnsi="Times New Roman" w:eastAsia="黑体" w:cs="Times New Roman"/>
          <w:color w:val="auto"/>
          <w:kern w:val="2"/>
          <w:sz w:val="21"/>
          <w:szCs w:val="21"/>
          <w:highlight w:val="none"/>
        </w:rPr>
        <w:t>方调查统计表</w:t>
      </w:r>
    </w:p>
    <w:tbl>
      <w:tblPr>
        <w:tblStyle w:val="35"/>
        <w:tblpPr w:leftFromText="180" w:rightFromText="180" w:vertAnchor="text" w:tblpXSpec="center" w:tblpY="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2013"/>
        <w:gridCol w:w="1544"/>
        <w:gridCol w:w="997"/>
        <w:gridCol w:w="1047"/>
        <w:gridCol w:w="879"/>
      </w:tblGrid>
      <w:tr w14:paraId="62C4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0B2657F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地点</w:t>
            </w:r>
          </w:p>
        </w:tc>
        <w:tc>
          <w:tcPr>
            <w:tcW w:w="3801" w:type="pct"/>
            <w:gridSpan w:val="5"/>
            <w:vAlign w:val="center"/>
          </w:tcPr>
          <w:p w14:paraId="2067BAD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植被生长状况</w:t>
            </w:r>
          </w:p>
        </w:tc>
      </w:tr>
      <w:tr w14:paraId="392E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66441E7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572B4260">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种类</w:t>
            </w:r>
          </w:p>
        </w:tc>
        <w:tc>
          <w:tcPr>
            <w:tcW w:w="906" w:type="pct"/>
            <w:vAlign w:val="center"/>
          </w:tcPr>
          <w:p w14:paraId="18AD7A9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高度（cm）</w:t>
            </w:r>
          </w:p>
        </w:tc>
        <w:tc>
          <w:tcPr>
            <w:tcW w:w="585" w:type="pct"/>
            <w:vAlign w:val="center"/>
          </w:tcPr>
          <w:p w14:paraId="421B3580">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数量</w:t>
            </w:r>
          </w:p>
        </w:tc>
        <w:tc>
          <w:tcPr>
            <w:tcW w:w="614" w:type="pct"/>
            <w:vAlign w:val="center"/>
          </w:tcPr>
          <w:p w14:paraId="1BF4359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盖度</w:t>
            </w:r>
            <w:r>
              <w:rPr>
                <w:rFonts w:hint="eastAsia"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rPr>
              <w:t>%</w:t>
            </w:r>
          </w:p>
        </w:tc>
        <w:tc>
          <w:tcPr>
            <w:tcW w:w="513" w:type="pct"/>
            <w:vAlign w:val="center"/>
          </w:tcPr>
          <w:p w14:paraId="64CA7C7E">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多度</w:t>
            </w:r>
          </w:p>
        </w:tc>
      </w:tr>
      <w:tr w14:paraId="3E73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50FF772F">
            <w:pPr>
              <w:keepNext w:val="0"/>
              <w:keepLines w:val="0"/>
              <w:widowControl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ascii="Times New Roman" w:hAnsi="Times New Roman" w:eastAsia="宋体" w:cs="Times New Roman"/>
                <w:b/>
                <w:bCs/>
                <w:color w:val="auto"/>
                <w:kern w:val="2"/>
                <w:sz w:val="21"/>
                <w:szCs w:val="21"/>
                <w:highlight w:val="none"/>
                <w:lang w:val="en-US" w:eastAsia="zh-CN"/>
              </w:rPr>
              <w:t>2-</w:t>
            </w:r>
            <w:r>
              <w:rPr>
                <w:rFonts w:hint="default" w:ascii="Times New Roman" w:hAnsi="Times New Roman" w:eastAsia="宋体" w:cs="Times New Roman"/>
                <w:b/>
                <w:bCs/>
                <w:color w:val="auto"/>
                <w:kern w:val="2"/>
                <w:sz w:val="21"/>
                <w:szCs w:val="21"/>
                <w:highlight w:val="none"/>
              </w:rPr>
              <w:t>1</w:t>
            </w:r>
          </w:p>
        </w:tc>
      </w:tr>
      <w:tr w14:paraId="309E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58BBA9D3">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TH10250CH北侧</w:t>
            </w:r>
          </w:p>
        </w:tc>
        <w:tc>
          <w:tcPr>
            <w:tcW w:w="1180" w:type="pct"/>
            <w:vAlign w:val="center"/>
          </w:tcPr>
          <w:p w14:paraId="27EEE879">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刚毛柽柳</w:t>
            </w:r>
          </w:p>
        </w:tc>
        <w:tc>
          <w:tcPr>
            <w:tcW w:w="906" w:type="pct"/>
            <w:vAlign w:val="center"/>
          </w:tcPr>
          <w:p w14:paraId="6DF77DC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145-185</w:t>
            </w:r>
          </w:p>
        </w:tc>
        <w:tc>
          <w:tcPr>
            <w:tcW w:w="585" w:type="pct"/>
            <w:vAlign w:val="center"/>
          </w:tcPr>
          <w:p w14:paraId="39038A2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w:t>
            </w:r>
          </w:p>
        </w:tc>
        <w:tc>
          <w:tcPr>
            <w:tcW w:w="614" w:type="pct"/>
            <w:vAlign w:val="center"/>
          </w:tcPr>
          <w:p w14:paraId="4ADF041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w:t>
            </w:r>
          </w:p>
        </w:tc>
        <w:tc>
          <w:tcPr>
            <w:tcW w:w="513" w:type="pct"/>
            <w:vAlign w:val="center"/>
          </w:tcPr>
          <w:p w14:paraId="07A7D2F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Sp</w:t>
            </w:r>
          </w:p>
        </w:tc>
      </w:tr>
      <w:tr w14:paraId="2110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28DAFD0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6478998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多枝柽柳</w:t>
            </w:r>
          </w:p>
        </w:tc>
        <w:tc>
          <w:tcPr>
            <w:tcW w:w="906" w:type="pct"/>
            <w:vAlign w:val="center"/>
          </w:tcPr>
          <w:p w14:paraId="17148DE7">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85-155</w:t>
            </w:r>
          </w:p>
        </w:tc>
        <w:tc>
          <w:tcPr>
            <w:tcW w:w="585" w:type="pct"/>
            <w:vAlign w:val="center"/>
          </w:tcPr>
          <w:p w14:paraId="6AE59D8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614" w:type="pct"/>
            <w:vAlign w:val="center"/>
          </w:tcPr>
          <w:p w14:paraId="075860E0">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513" w:type="pct"/>
            <w:vAlign w:val="center"/>
          </w:tcPr>
          <w:p w14:paraId="6B66258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Sol</w:t>
            </w:r>
          </w:p>
        </w:tc>
      </w:tr>
      <w:tr w14:paraId="7843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200689B7">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ascii="Times New Roman" w:hAnsi="Times New Roman" w:eastAsia="宋体" w:cs="Times New Roman"/>
                <w:b/>
                <w:bCs/>
                <w:color w:val="auto"/>
                <w:kern w:val="2"/>
                <w:sz w:val="21"/>
                <w:szCs w:val="21"/>
                <w:highlight w:val="none"/>
                <w:lang w:val="en-US" w:eastAsia="zh-CN"/>
              </w:rPr>
              <w:t>2-</w:t>
            </w:r>
            <w:r>
              <w:rPr>
                <w:rFonts w:hint="default" w:ascii="Times New Roman" w:hAnsi="Times New Roman" w:eastAsia="宋体" w:cs="Times New Roman"/>
                <w:b/>
                <w:bCs/>
                <w:color w:val="auto"/>
                <w:kern w:val="2"/>
                <w:sz w:val="21"/>
                <w:szCs w:val="21"/>
                <w:highlight w:val="none"/>
              </w:rPr>
              <w:t>2</w:t>
            </w:r>
          </w:p>
        </w:tc>
      </w:tr>
      <w:tr w14:paraId="1E6F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3AD0CED6">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TH10250CH南侧</w:t>
            </w:r>
          </w:p>
        </w:tc>
        <w:tc>
          <w:tcPr>
            <w:tcW w:w="1180" w:type="pct"/>
            <w:vAlign w:val="center"/>
          </w:tcPr>
          <w:p w14:paraId="774E5A2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刚毛柽柳</w:t>
            </w:r>
          </w:p>
        </w:tc>
        <w:tc>
          <w:tcPr>
            <w:tcW w:w="906" w:type="pct"/>
            <w:vAlign w:val="center"/>
          </w:tcPr>
          <w:p w14:paraId="6743024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125-165</w:t>
            </w:r>
          </w:p>
        </w:tc>
        <w:tc>
          <w:tcPr>
            <w:tcW w:w="585" w:type="pct"/>
            <w:vAlign w:val="center"/>
          </w:tcPr>
          <w:p w14:paraId="207FC61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614" w:type="pct"/>
            <w:vAlign w:val="center"/>
          </w:tcPr>
          <w:p w14:paraId="2ECFD39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w:t>
            </w:r>
          </w:p>
        </w:tc>
        <w:tc>
          <w:tcPr>
            <w:tcW w:w="513" w:type="pct"/>
            <w:vAlign w:val="center"/>
          </w:tcPr>
          <w:p w14:paraId="15A0BA7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Sp</w:t>
            </w:r>
          </w:p>
        </w:tc>
      </w:tr>
      <w:tr w14:paraId="78E0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5B07786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3268ECD2">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多枝柽柳</w:t>
            </w:r>
          </w:p>
        </w:tc>
        <w:tc>
          <w:tcPr>
            <w:tcW w:w="906" w:type="pct"/>
            <w:vAlign w:val="center"/>
          </w:tcPr>
          <w:p w14:paraId="532D3BE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80-150</w:t>
            </w:r>
          </w:p>
        </w:tc>
        <w:tc>
          <w:tcPr>
            <w:tcW w:w="585" w:type="pct"/>
            <w:vAlign w:val="center"/>
          </w:tcPr>
          <w:p w14:paraId="5EF132CC">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614" w:type="pct"/>
            <w:vAlign w:val="center"/>
          </w:tcPr>
          <w:p w14:paraId="17D69CF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13" w:type="pct"/>
            <w:vAlign w:val="center"/>
          </w:tcPr>
          <w:p w14:paraId="243CA391">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Sol</w:t>
            </w:r>
          </w:p>
        </w:tc>
      </w:tr>
      <w:tr w14:paraId="1CDD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0946DFE2">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ascii="Times New Roman" w:hAnsi="Times New Roman" w:eastAsia="宋体" w:cs="Times New Roman"/>
                <w:b/>
                <w:bCs/>
                <w:color w:val="auto"/>
                <w:kern w:val="2"/>
                <w:sz w:val="21"/>
                <w:szCs w:val="21"/>
                <w:highlight w:val="none"/>
                <w:lang w:val="en-US" w:eastAsia="zh-CN"/>
              </w:rPr>
              <w:t>2-</w:t>
            </w:r>
            <w:r>
              <w:rPr>
                <w:rFonts w:hint="default" w:ascii="Times New Roman" w:hAnsi="Times New Roman" w:eastAsia="宋体" w:cs="Times New Roman"/>
                <w:b/>
                <w:bCs/>
                <w:color w:val="auto"/>
                <w:kern w:val="2"/>
                <w:sz w:val="21"/>
                <w:szCs w:val="21"/>
                <w:highlight w:val="none"/>
              </w:rPr>
              <w:t>3</w:t>
            </w:r>
          </w:p>
        </w:tc>
      </w:tr>
      <w:tr w14:paraId="49EB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768FC3CF">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TH10298CH西侧</w:t>
            </w:r>
          </w:p>
        </w:tc>
        <w:tc>
          <w:tcPr>
            <w:tcW w:w="1180" w:type="pct"/>
            <w:vAlign w:val="center"/>
          </w:tcPr>
          <w:p w14:paraId="00C19DF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刚毛柽柳</w:t>
            </w:r>
          </w:p>
        </w:tc>
        <w:tc>
          <w:tcPr>
            <w:tcW w:w="906" w:type="pct"/>
            <w:vAlign w:val="center"/>
          </w:tcPr>
          <w:p w14:paraId="560E05B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125-160</w:t>
            </w:r>
          </w:p>
        </w:tc>
        <w:tc>
          <w:tcPr>
            <w:tcW w:w="585" w:type="pct"/>
            <w:vAlign w:val="center"/>
          </w:tcPr>
          <w:p w14:paraId="0220051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614" w:type="pct"/>
            <w:vAlign w:val="center"/>
          </w:tcPr>
          <w:p w14:paraId="78881E1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8</w:t>
            </w:r>
          </w:p>
        </w:tc>
        <w:tc>
          <w:tcPr>
            <w:tcW w:w="513" w:type="pct"/>
            <w:vAlign w:val="center"/>
          </w:tcPr>
          <w:p w14:paraId="33D62850">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Sp</w:t>
            </w:r>
          </w:p>
        </w:tc>
      </w:tr>
      <w:tr w14:paraId="3D1D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5BAA66A1">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19577BBD">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疏叶骆驼刺</w:t>
            </w:r>
          </w:p>
        </w:tc>
        <w:tc>
          <w:tcPr>
            <w:tcW w:w="906" w:type="pct"/>
            <w:vAlign w:val="center"/>
          </w:tcPr>
          <w:p w14:paraId="39645E7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35-45</w:t>
            </w:r>
          </w:p>
        </w:tc>
        <w:tc>
          <w:tcPr>
            <w:tcW w:w="585" w:type="pct"/>
            <w:vAlign w:val="center"/>
          </w:tcPr>
          <w:p w14:paraId="367D45F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w:t>
            </w:r>
          </w:p>
        </w:tc>
        <w:tc>
          <w:tcPr>
            <w:tcW w:w="614" w:type="pct"/>
            <w:vAlign w:val="center"/>
          </w:tcPr>
          <w:p w14:paraId="1F676CD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513" w:type="pct"/>
            <w:vAlign w:val="center"/>
          </w:tcPr>
          <w:p w14:paraId="2DACEA5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Sp</w:t>
            </w:r>
          </w:p>
        </w:tc>
      </w:tr>
      <w:tr w14:paraId="5910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blHeader/>
          <w:jc w:val="center"/>
        </w:trPr>
        <w:tc>
          <w:tcPr>
            <w:tcW w:w="2379" w:type="pct"/>
            <w:gridSpan w:val="2"/>
            <w:vAlign w:val="center"/>
          </w:tcPr>
          <w:p w14:paraId="077BAA25">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p>
        </w:tc>
        <w:tc>
          <w:tcPr>
            <w:tcW w:w="2620" w:type="pct"/>
            <w:gridSpan w:val="4"/>
            <w:vAlign w:val="center"/>
          </w:tcPr>
          <w:p w14:paraId="3F940C68">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p>
        </w:tc>
      </w:tr>
    </w:tbl>
    <w:p w14:paraId="4618605F">
      <w:pPr>
        <w:widowControl w:val="0"/>
        <w:spacing w:line="360" w:lineRule="auto"/>
        <w:ind w:firstLine="540" w:firstLineChars="225"/>
        <w:jc w:val="both"/>
        <w:rPr>
          <w:rFonts w:hint="default" w:ascii="Times New Roman" w:hAnsi="Times New Roman" w:eastAsia="宋体" w:cs="Times New Roman"/>
          <w:snapToGrid w:val="0"/>
          <w:color w:val="auto"/>
          <w:kern w:val="0"/>
          <w:sz w:val="24"/>
          <w:szCs w:val="24"/>
          <w:highlight w:val="none"/>
        </w:rPr>
      </w:pPr>
      <w:r>
        <w:rPr>
          <w:rFonts w:hint="eastAsia" w:cs="Times New Roman"/>
          <w:snapToGrid w:val="0"/>
          <w:color w:val="auto"/>
          <w:kern w:val="0"/>
          <w:sz w:val="24"/>
          <w:szCs w:val="24"/>
          <w:highlight w:val="none"/>
          <w:lang w:val="en-US" w:eastAsia="zh-CN"/>
        </w:rPr>
        <w:t>③</w:t>
      </w:r>
      <w:r>
        <w:rPr>
          <w:rFonts w:hint="eastAsia" w:cs="Times New Roman"/>
          <w:snapToGrid w:val="0"/>
          <w:color w:val="auto"/>
          <w:kern w:val="0"/>
          <w:sz w:val="24"/>
          <w:szCs w:val="24"/>
          <w:highlight w:val="none"/>
          <w:lang w:eastAsia="zh-CN"/>
        </w:rPr>
        <w:t>疏叶骆驼刺草甸</w:t>
      </w:r>
      <w:r>
        <w:rPr>
          <w:rFonts w:hint="default" w:ascii="Times New Roman" w:hAnsi="Times New Roman" w:eastAsia="宋体" w:cs="Times New Roman"/>
          <w:snapToGrid w:val="0"/>
          <w:color w:val="auto"/>
          <w:kern w:val="0"/>
          <w:sz w:val="24"/>
          <w:szCs w:val="24"/>
          <w:highlight w:val="none"/>
        </w:rPr>
        <w:t>植被样方调查，调查地点：</w:t>
      </w:r>
      <w:r>
        <w:rPr>
          <w:rFonts w:hint="eastAsia" w:cs="Times New Roman"/>
          <w:snapToGrid w:val="0"/>
          <w:color w:val="auto"/>
          <w:kern w:val="0"/>
          <w:sz w:val="24"/>
          <w:szCs w:val="24"/>
          <w:highlight w:val="none"/>
          <w:lang w:val="en-US" w:eastAsia="zh-CN"/>
        </w:rPr>
        <w:t>分别在TH10298CH东侧、TH10294CH南侧、TH10294CH东侧布设样方，土壤类型：风沙土等；地形地貌为平原，植被盖度约为10-15%</w:t>
      </w:r>
      <w:r>
        <w:rPr>
          <w:rFonts w:hint="default" w:ascii="Times New Roman" w:hAnsi="Times New Roman" w:eastAsia="宋体" w:cs="Times New Roman"/>
          <w:snapToGrid w:val="0"/>
          <w:color w:val="auto"/>
          <w:kern w:val="0"/>
          <w:sz w:val="24"/>
          <w:szCs w:val="24"/>
          <w:highlight w:val="none"/>
        </w:rPr>
        <w:t>。</w:t>
      </w:r>
    </w:p>
    <w:p w14:paraId="137C4DEA">
      <w:pPr>
        <w:widowControl w:val="0"/>
        <w:spacing w:line="360" w:lineRule="auto"/>
        <w:ind w:firstLine="540" w:firstLineChars="225"/>
        <w:jc w:val="both"/>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样方大小：5m×5m；统计结果见表4.6-</w:t>
      </w:r>
      <w:r>
        <w:rPr>
          <w:rFonts w:hint="eastAsia" w:cs="Times New Roman"/>
          <w:snapToGrid w:val="0"/>
          <w:color w:val="auto"/>
          <w:kern w:val="0"/>
          <w:sz w:val="24"/>
          <w:szCs w:val="24"/>
          <w:highlight w:val="none"/>
          <w:lang w:val="en-US" w:eastAsia="zh-CN"/>
        </w:rPr>
        <w:t>8</w:t>
      </w:r>
      <w:r>
        <w:rPr>
          <w:rFonts w:hint="default" w:ascii="Times New Roman" w:hAnsi="Times New Roman" w:eastAsia="宋体" w:cs="Times New Roman"/>
          <w:snapToGrid w:val="0"/>
          <w:color w:val="auto"/>
          <w:kern w:val="0"/>
          <w:sz w:val="24"/>
          <w:szCs w:val="24"/>
          <w:highlight w:val="none"/>
        </w:rPr>
        <w:t>。</w:t>
      </w:r>
    </w:p>
    <w:p w14:paraId="7326DDF8">
      <w:pPr>
        <w:widowControl w:val="0"/>
        <w:spacing w:line="240" w:lineRule="auto"/>
        <w:ind w:firstLine="0" w:firstLineChars="0"/>
        <w:jc w:val="center"/>
        <w:rPr>
          <w:rFonts w:hint="default" w:ascii="Times New Roman" w:hAnsi="Times New Roman" w:eastAsia="黑体" w:cs="Times New Roman"/>
          <w:color w:val="auto"/>
          <w:kern w:val="2"/>
          <w:sz w:val="21"/>
          <w:szCs w:val="21"/>
          <w:highlight w:val="none"/>
        </w:rPr>
      </w:pPr>
      <w:r>
        <w:rPr>
          <w:rFonts w:hint="default" w:ascii="Times New Roman" w:hAnsi="Times New Roman" w:eastAsia="黑体" w:cs="Times New Roman"/>
          <w:color w:val="auto"/>
          <w:kern w:val="2"/>
          <w:sz w:val="21"/>
          <w:szCs w:val="21"/>
          <w:highlight w:val="none"/>
        </w:rPr>
        <w:t>表4.6-</w:t>
      </w:r>
      <w:r>
        <w:rPr>
          <w:rFonts w:hint="eastAsia" w:eastAsia="黑体" w:cs="Times New Roman"/>
          <w:color w:val="auto"/>
          <w:kern w:val="2"/>
          <w:sz w:val="21"/>
          <w:szCs w:val="21"/>
          <w:highlight w:val="none"/>
          <w:lang w:val="en-US" w:eastAsia="zh-CN"/>
        </w:rPr>
        <w:t>8</w:t>
      </w:r>
      <w:r>
        <w:rPr>
          <w:rFonts w:hint="default" w:ascii="Times New Roman" w:hAnsi="Times New Roman" w:eastAsia="黑体" w:cs="Times New Roman"/>
          <w:color w:val="auto"/>
          <w:kern w:val="2"/>
          <w:sz w:val="21"/>
          <w:szCs w:val="21"/>
          <w:highlight w:val="none"/>
        </w:rPr>
        <w:t xml:space="preserve">  </w:t>
      </w:r>
      <w:r>
        <w:rPr>
          <w:rFonts w:hint="eastAsia" w:ascii="Times New Roman" w:hAnsi="Times New Roman" w:eastAsia="黑体" w:cs="Times New Roman"/>
          <w:color w:val="auto"/>
          <w:kern w:val="2"/>
          <w:sz w:val="21"/>
          <w:szCs w:val="21"/>
          <w:highlight w:val="none"/>
          <w:lang w:val="en-US" w:eastAsia="zh-CN"/>
        </w:rPr>
        <w:t xml:space="preserve"> </w:t>
      </w:r>
      <w:r>
        <w:rPr>
          <w:rFonts w:hint="eastAsia" w:eastAsia="黑体" w:cs="Times New Roman"/>
          <w:color w:val="auto"/>
          <w:kern w:val="2"/>
          <w:sz w:val="21"/>
          <w:szCs w:val="21"/>
          <w:highlight w:val="none"/>
          <w:lang w:eastAsia="zh-CN"/>
        </w:rPr>
        <w:t>疏叶骆驼刺草甸</w:t>
      </w:r>
      <w:r>
        <w:rPr>
          <w:rFonts w:hint="eastAsia" w:ascii="Times New Roman" w:hAnsi="Times New Roman" w:eastAsia="黑体" w:cs="Times New Roman"/>
          <w:color w:val="auto"/>
          <w:kern w:val="2"/>
          <w:sz w:val="21"/>
          <w:szCs w:val="21"/>
          <w:highlight w:val="none"/>
          <w:lang w:val="en-US" w:eastAsia="zh-CN"/>
        </w:rPr>
        <w:t>样</w:t>
      </w:r>
      <w:r>
        <w:rPr>
          <w:rFonts w:hint="default" w:ascii="Times New Roman" w:hAnsi="Times New Roman" w:eastAsia="黑体" w:cs="Times New Roman"/>
          <w:color w:val="auto"/>
          <w:kern w:val="2"/>
          <w:sz w:val="21"/>
          <w:szCs w:val="21"/>
          <w:highlight w:val="none"/>
        </w:rPr>
        <w:t>方调查统计表</w:t>
      </w:r>
    </w:p>
    <w:tbl>
      <w:tblPr>
        <w:tblStyle w:val="35"/>
        <w:tblpPr w:leftFromText="180" w:rightFromText="180" w:vertAnchor="text" w:tblpXSpec="center" w:tblpY="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2013"/>
        <w:gridCol w:w="1544"/>
        <w:gridCol w:w="1132"/>
        <w:gridCol w:w="912"/>
        <w:gridCol w:w="879"/>
      </w:tblGrid>
      <w:tr w14:paraId="49F4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36FA76C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地点</w:t>
            </w:r>
          </w:p>
        </w:tc>
        <w:tc>
          <w:tcPr>
            <w:tcW w:w="3801" w:type="pct"/>
            <w:gridSpan w:val="5"/>
            <w:vAlign w:val="center"/>
          </w:tcPr>
          <w:p w14:paraId="6BF88EA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植被生长状况</w:t>
            </w:r>
          </w:p>
        </w:tc>
      </w:tr>
      <w:tr w14:paraId="3161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05FD974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3C805AA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种类</w:t>
            </w:r>
          </w:p>
        </w:tc>
        <w:tc>
          <w:tcPr>
            <w:tcW w:w="906" w:type="pct"/>
            <w:vAlign w:val="center"/>
          </w:tcPr>
          <w:p w14:paraId="05EC919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高度（cm）</w:t>
            </w:r>
          </w:p>
        </w:tc>
        <w:tc>
          <w:tcPr>
            <w:tcW w:w="664" w:type="pct"/>
            <w:vAlign w:val="center"/>
          </w:tcPr>
          <w:p w14:paraId="428BE9D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数量</w:t>
            </w:r>
          </w:p>
        </w:tc>
        <w:tc>
          <w:tcPr>
            <w:tcW w:w="535" w:type="pct"/>
            <w:vAlign w:val="center"/>
          </w:tcPr>
          <w:p w14:paraId="6812815E">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盖度</w:t>
            </w:r>
            <w:r>
              <w:rPr>
                <w:rFonts w:hint="eastAsia"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rPr>
              <w:t>%</w:t>
            </w:r>
          </w:p>
        </w:tc>
        <w:tc>
          <w:tcPr>
            <w:tcW w:w="513" w:type="pct"/>
            <w:vAlign w:val="center"/>
          </w:tcPr>
          <w:p w14:paraId="309EA0D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多度</w:t>
            </w:r>
          </w:p>
        </w:tc>
      </w:tr>
      <w:tr w14:paraId="791A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5B48CF55">
            <w:pPr>
              <w:keepNext w:val="0"/>
              <w:keepLines w:val="0"/>
              <w:widowControl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cs="Times New Roman"/>
                <w:b/>
                <w:bCs/>
                <w:color w:val="auto"/>
                <w:kern w:val="2"/>
                <w:sz w:val="21"/>
                <w:szCs w:val="21"/>
                <w:highlight w:val="none"/>
                <w:lang w:val="en-US" w:eastAsia="zh-CN"/>
              </w:rPr>
              <w:t>3</w:t>
            </w:r>
            <w:r>
              <w:rPr>
                <w:rFonts w:hint="eastAsia" w:ascii="Times New Roman" w:hAnsi="Times New Roman" w:eastAsia="宋体" w:cs="Times New Roman"/>
                <w:b/>
                <w:bCs/>
                <w:color w:val="auto"/>
                <w:kern w:val="2"/>
                <w:sz w:val="21"/>
                <w:szCs w:val="21"/>
                <w:highlight w:val="none"/>
                <w:lang w:val="en-US" w:eastAsia="zh-CN"/>
              </w:rPr>
              <w:t>-</w:t>
            </w:r>
            <w:r>
              <w:rPr>
                <w:rFonts w:hint="default" w:ascii="Times New Roman" w:hAnsi="Times New Roman" w:eastAsia="宋体" w:cs="Times New Roman"/>
                <w:b/>
                <w:bCs/>
                <w:color w:val="auto"/>
                <w:kern w:val="2"/>
                <w:sz w:val="21"/>
                <w:szCs w:val="21"/>
                <w:highlight w:val="none"/>
              </w:rPr>
              <w:t>1</w:t>
            </w:r>
          </w:p>
        </w:tc>
      </w:tr>
      <w:tr w14:paraId="6C19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5290C7D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TH10298CH</w:t>
            </w:r>
            <w:r>
              <w:rPr>
                <w:rFonts w:hint="eastAsia" w:cs="Times New Roman"/>
                <w:color w:val="auto"/>
                <w:kern w:val="2"/>
                <w:sz w:val="21"/>
                <w:szCs w:val="21"/>
                <w:highlight w:val="none"/>
                <w:lang w:val="en-US" w:eastAsia="zh-CN"/>
              </w:rPr>
              <w:t>东侧</w:t>
            </w:r>
          </w:p>
        </w:tc>
        <w:tc>
          <w:tcPr>
            <w:tcW w:w="1180" w:type="pct"/>
            <w:vAlign w:val="center"/>
          </w:tcPr>
          <w:p w14:paraId="2AFA18E9">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疏叶骆驼刺</w:t>
            </w:r>
          </w:p>
        </w:tc>
        <w:tc>
          <w:tcPr>
            <w:tcW w:w="906" w:type="pct"/>
            <w:vAlign w:val="center"/>
          </w:tcPr>
          <w:p w14:paraId="23717AD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30-40</w:t>
            </w:r>
          </w:p>
        </w:tc>
        <w:tc>
          <w:tcPr>
            <w:tcW w:w="664" w:type="pct"/>
            <w:vAlign w:val="center"/>
          </w:tcPr>
          <w:p w14:paraId="667A07D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535" w:type="pct"/>
            <w:vAlign w:val="center"/>
          </w:tcPr>
          <w:p w14:paraId="218B2D4E">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513" w:type="pct"/>
            <w:vAlign w:val="center"/>
          </w:tcPr>
          <w:p w14:paraId="6577D19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Sp</w:t>
            </w:r>
          </w:p>
        </w:tc>
      </w:tr>
      <w:tr w14:paraId="7E13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79EAB28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4E013DCA">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多枝柽柳</w:t>
            </w:r>
          </w:p>
        </w:tc>
        <w:tc>
          <w:tcPr>
            <w:tcW w:w="906" w:type="pct"/>
            <w:vAlign w:val="center"/>
          </w:tcPr>
          <w:p w14:paraId="6123A0F2">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105</w:t>
            </w:r>
          </w:p>
        </w:tc>
        <w:tc>
          <w:tcPr>
            <w:tcW w:w="664" w:type="pct"/>
            <w:vAlign w:val="center"/>
          </w:tcPr>
          <w:p w14:paraId="1FA14E4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35" w:type="pct"/>
            <w:vAlign w:val="center"/>
          </w:tcPr>
          <w:p w14:paraId="22AEE8B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513" w:type="pct"/>
            <w:vAlign w:val="center"/>
          </w:tcPr>
          <w:p w14:paraId="1D2BF91C">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UN</w:t>
            </w:r>
          </w:p>
        </w:tc>
      </w:tr>
      <w:tr w14:paraId="1087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21D7AFF4">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cs="Times New Roman"/>
                <w:b/>
                <w:bCs/>
                <w:color w:val="auto"/>
                <w:kern w:val="2"/>
                <w:sz w:val="21"/>
                <w:szCs w:val="21"/>
                <w:highlight w:val="none"/>
                <w:lang w:val="en-US" w:eastAsia="zh-CN"/>
              </w:rPr>
              <w:t>3</w:t>
            </w:r>
            <w:r>
              <w:rPr>
                <w:rFonts w:hint="eastAsia" w:ascii="Times New Roman" w:hAnsi="Times New Roman" w:eastAsia="宋体" w:cs="Times New Roman"/>
                <w:b/>
                <w:bCs/>
                <w:color w:val="auto"/>
                <w:kern w:val="2"/>
                <w:sz w:val="21"/>
                <w:szCs w:val="21"/>
                <w:highlight w:val="none"/>
                <w:lang w:val="en-US" w:eastAsia="zh-CN"/>
              </w:rPr>
              <w:t>-</w:t>
            </w:r>
            <w:r>
              <w:rPr>
                <w:rFonts w:hint="default" w:ascii="Times New Roman" w:hAnsi="Times New Roman" w:eastAsia="宋体" w:cs="Times New Roman"/>
                <w:b/>
                <w:bCs/>
                <w:color w:val="auto"/>
                <w:kern w:val="2"/>
                <w:sz w:val="21"/>
                <w:szCs w:val="21"/>
                <w:highlight w:val="none"/>
              </w:rPr>
              <w:t>2</w:t>
            </w:r>
          </w:p>
        </w:tc>
      </w:tr>
      <w:tr w14:paraId="4DC9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1448E92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TH10294CH南侧</w:t>
            </w:r>
          </w:p>
        </w:tc>
        <w:tc>
          <w:tcPr>
            <w:tcW w:w="1180" w:type="pct"/>
            <w:vAlign w:val="center"/>
          </w:tcPr>
          <w:p w14:paraId="0A7122B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疏叶骆驼刺</w:t>
            </w:r>
          </w:p>
        </w:tc>
        <w:tc>
          <w:tcPr>
            <w:tcW w:w="906" w:type="pct"/>
            <w:vAlign w:val="center"/>
          </w:tcPr>
          <w:p w14:paraId="6EE492B1">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35-45</w:t>
            </w:r>
          </w:p>
        </w:tc>
        <w:tc>
          <w:tcPr>
            <w:tcW w:w="664" w:type="pct"/>
            <w:vAlign w:val="center"/>
          </w:tcPr>
          <w:p w14:paraId="481C7CC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535" w:type="pct"/>
            <w:vAlign w:val="center"/>
          </w:tcPr>
          <w:p w14:paraId="664131A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8</w:t>
            </w:r>
          </w:p>
        </w:tc>
        <w:tc>
          <w:tcPr>
            <w:tcW w:w="513" w:type="pct"/>
            <w:vAlign w:val="center"/>
          </w:tcPr>
          <w:p w14:paraId="3DA39AE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Sp</w:t>
            </w:r>
          </w:p>
        </w:tc>
      </w:tr>
      <w:tr w14:paraId="4945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2513B87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6B9113EA">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多枝柽柳</w:t>
            </w:r>
          </w:p>
        </w:tc>
        <w:tc>
          <w:tcPr>
            <w:tcW w:w="906" w:type="pct"/>
            <w:vAlign w:val="center"/>
          </w:tcPr>
          <w:p w14:paraId="63C82779">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664" w:type="pct"/>
            <w:vAlign w:val="center"/>
          </w:tcPr>
          <w:p w14:paraId="033073D3">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35" w:type="pct"/>
            <w:vAlign w:val="center"/>
          </w:tcPr>
          <w:p w14:paraId="03E12F7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513" w:type="pct"/>
            <w:vAlign w:val="center"/>
          </w:tcPr>
          <w:p w14:paraId="10E66F24">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UNl</w:t>
            </w:r>
          </w:p>
        </w:tc>
      </w:tr>
      <w:tr w14:paraId="11BA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6E089B40">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样方</w:t>
            </w:r>
            <w:r>
              <w:rPr>
                <w:rFonts w:hint="eastAsia" w:cs="Times New Roman"/>
                <w:b/>
                <w:bCs/>
                <w:color w:val="auto"/>
                <w:kern w:val="2"/>
                <w:sz w:val="21"/>
                <w:szCs w:val="21"/>
                <w:highlight w:val="none"/>
                <w:lang w:val="en-US" w:eastAsia="zh-CN"/>
              </w:rPr>
              <w:t>3</w:t>
            </w:r>
            <w:r>
              <w:rPr>
                <w:rFonts w:hint="eastAsia" w:ascii="Times New Roman" w:hAnsi="Times New Roman" w:eastAsia="宋体" w:cs="Times New Roman"/>
                <w:b/>
                <w:bCs/>
                <w:color w:val="auto"/>
                <w:kern w:val="2"/>
                <w:sz w:val="21"/>
                <w:szCs w:val="21"/>
                <w:highlight w:val="none"/>
                <w:lang w:val="en-US" w:eastAsia="zh-CN"/>
              </w:rPr>
              <w:t>-</w:t>
            </w:r>
            <w:r>
              <w:rPr>
                <w:rFonts w:hint="default" w:ascii="Times New Roman" w:hAnsi="Times New Roman" w:eastAsia="宋体" w:cs="Times New Roman"/>
                <w:b/>
                <w:bCs/>
                <w:color w:val="auto"/>
                <w:kern w:val="2"/>
                <w:sz w:val="21"/>
                <w:szCs w:val="21"/>
                <w:highlight w:val="none"/>
              </w:rPr>
              <w:t>3</w:t>
            </w:r>
          </w:p>
        </w:tc>
      </w:tr>
      <w:tr w14:paraId="1121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67781756">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TH10294CH</w:t>
            </w:r>
            <w:r>
              <w:rPr>
                <w:rFonts w:hint="eastAsia" w:cs="Times New Roman"/>
                <w:color w:val="auto"/>
                <w:kern w:val="2"/>
                <w:sz w:val="21"/>
                <w:szCs w:val="21"/>
                <w:highlight w:val="none"/>
                <w:lang w:val="en-US" w:eastAsia="zh-CN"/>
              </w:rPr>
              <w:t>东侧</w:t>
            </w:r>
          </w:p>
        </w:tc>
        <w:tc>
          <w:tcPr>
            <w:tcW w:w="1180" w:type="pct"/>
            <w:vAlign w:val="center"/>
          </w:tcPr>
          <w:p w14:paraId="1EF686E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疏叶骆驼刺</w:t>
            </w:r>
          </w:p>
        </w:tc>
        <w:tc>
          <w:tcPr>
            <w:tcW w:w="906" w:type="pct"/>
            <w:vAlign w:val="center"/>
          </w:tcPr>
          <w:p w14:paraId="12E17D5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35-45</w:t>
            </w:r>
          </w:p>
        </w:tc>
        <w:tc>
          <w:tcPr>
            <w:tcW w:w="664" w:type="pct"/>
            <w:vAlign w:val="center"/>
          </w:tcPr>
          <w:p w14:paraId="3E00EF9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w:t>
            </w:r>
          </w:p>
        </w:tc>
        <w:tc>
          <w:tcPr>
            <w:tcW w:w="535" w:type="pct"/>
            <w:vAlign w:val="center"/>
          </w:tcPr>
          <w:p w14:paraId="74588F7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w:t>
            </w:r>
          </w:p>
        </w:tc>
        <w:tc>
          <w:tcPr>
            <w:tcW w:w="513" w:type="pct"/>
            <w:vAlign w:val="center"/>
          </w:tcPr>
          <w:p w14:paraId="5B12174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Sp</w:t>
            </w:r>
          </w:p>
        </w:tc>
      </w:tr>
      <w:tr w14:paraId="2597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4E89A78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180" w:type="pct"/>
            <w:vAlign w:val="center"/>
          </w:tcPr>
          <w:p w14:paraId="04329F9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多枝柽柳</w:t>
            </w:r>
          </w:p>
        </w:tc>
        <w:tc>
          <w:tcPr>
            <w:tcW w:w="906" w:type="pct"/>
            <w:vAlign w:val="center"/>
          </w:tcPr>
          <w:p w14:paraId="225046A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110</w:t>
            </w:r>
          </w:p>
        </w:tc>
        <w:tc>
          <w:tcPr>
            <w:tcW w:w="664" w:type="pct"/>
            <w:vAlign w:val="center"/>
          </w:tcPr>
          <w:p w14:paraId="1335F93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w:t>
            </w:r>
          </w:p>
        </w:tc>
        <w:tc>
          <w:tcPr>
            <w:tcW w:w="535" w:type="pct"/>
            <w:vAlign w:val="center"/>
          </w:tcPr>
          <w:p w14:paraId="6D3E016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8</w:t>
            </w:r>
          </w:p>
        </w:tc>
        <w:tc>
          <w:tcPr>
            <w:tcW w:w="513" w:type="pct"/>
            <w:vAlign w:val="center"/>
          </w:tcPr>
          <w:p w14:paraId="0ED0380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UN</w:t>
            </w:r>
          </w:p>
        </w:tc>
      </w:tr>
      <w:tr w14:paraId="2941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blHeader/>
          <w:jc w:val="center"/>
        </w:trPr>
        <w:tc>
          <w:tcPr>
            <w:tcW w:w="2379" w:type="pct"/>
            <w:gridSpan w:val="2"/>
            <w:vAlign w:val="center"/>
          </w:tcPr>
          <w:p w14:paraId="11C9F963">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p>
        </w:tc>
        <w:tc>
          <w:tcPr>
            <w:tcW w:w="2620" w:type="pct"/>
            <w:gridSpan w:val="4"/>
            <w:vAlign w:val="center"/>
          </w:tcPr>
          <w:p w14:paraId="7ED64BC7">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p>
        </w:tc>
      </w:tr>
    </w:tbl>
    <w:p w14:paraId="74A4C993">
      <w:pPr>
        <w:pStyle w:val="44"/>
        <w:bidi w:val="0"/>
        <w:outlineLvl w:val="9"/>
        <w:rPr>
          <w:rFonts w:hint="default" w:ascii="Times New Roman" w:hAnsi="Times New Roman" w:cs="Times New Roman"/>
          <w:color w:val="auto"/>
          <w:highlight w:val="none"/>
        </w:rPr>
      </w:pPr>
    </w:p>
    <w:p w14:paraId="3755ABD3">
      <w:pPr>
        <w:pStyle w:val="6"/>
        <w:pageBreakBefore w:val="0"/>
        <w:widowControl w:val="0"/>
        <w:kinsoku/>
        <w:wordWrap/>
        <w:overflowPunct/>
        <w:autoSpaceDN/>
        <w:bidi w:val="0"/>
        <w:adjustRightInd w:val="0"/>
        <w:snapToGrid w:val="0"/>
        <w:spacing w:beforeLines="0" w:afterLines="0"/>
        <w:textAlignment w:val="auto"/>
        <w:rPr>
          <w:rFonts w:hint="default" w:ascii="Times New Roman" w:hAnsi="Times New Roman" w:cs="Times New Roman"/>
          <w:color w:val="auto"/>
          <w:highlight w:val="none"/>
        </w:rPr>
      </w:pPr>
      <w:bookmarkStart w:id="451" w:name="_Toc6527"/>
      <w:bookmarkStart w:id="452" w:name="_Toc10357"/>
      <w:bookmarkStart w:id="453" w:name="_Toc18971"/>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野生动物资源现状调查与评价</w:t>
      </w:r>
      <w:bookmarkEnd w:id="451"/>
      <w:bookmarkEnd w:id="452"/>
      <w:bookmarkEnd w:id="453"/>
    </w:p>
    <w:p w14:paraId="5B879AA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（1）野生动物区划</w:t>
      </w:r>
    </w:p>
    <w:p w14:paraId="570758F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根据《中国动物地理》的动物地理区划标准，拟建油田开发所在区域的动物区系属于古北界、蒙新区、西部荒漠亚区、塔里木盆地省、天山南麓平原洲、塔里木河中上游区。</w:t>
      </w:r>
    </w:p>
    <w:p w14:paraId="6B6ED42E">
      <w:pPr>
        <w:spacing w:line="360" w:lineRule="auto"/>
        <w:ind w:firstLine="480" w:firstLineChars="200"/>
        <w:rPr>
          <w:rFonts w:ascii="Times New Roman" w:hAnsi="Times New Roman" w:eastAsia="宋体" w:cs="Times New Roman"/>
          <w:b w:val="0"/>
          <w:bCs w:val="0"/>
          <w:color w:val="auto"/>
          <w:szCs w:val="20"/>
          <w:highlight w:val="none"/>
        </w:rPr>
      </w:pPr>
      <w:r>
        <w:rPr>
          <w:rFonts w:ascii="Times New Roman" w:hAnsi="Times New Roman" w:eastAsia="宋体" w:cs="Times New Roman"/>
          <w:b w:val="0"/>
          <w:bCs w:val="0"/>
          <w:color w:val="auto"/>
          <w:szCs w:val="20"/>
          <w:highlight w:val="none"/>
        </w:rPr>
        <w:t>（</w:t>
      </w:r>
      <w:r>
        <w:rPr>
          <w:rFonts w:hint="eastAsia" w:cs="Times New Roman"/>
          <w:b w:val="0"/>
          <w:bCs w:val="0"/>
          <w:color w:val="auto"/>
          <w:szCs w:val="20"/>
          <w:highlight w:val="none"/>
          <w:lang w:val="en-US" w:eastAsia="zh-CN"/>
        </w:rPr>
        <w:t>2</w:t>
      </w:r>
      <w:r>
        <w:rPr>
          <w:rFonts w:ascii="Times New Roman" w:hAnsi="Times New Roman" w:eastAsia="宋体" w:cs="Times New Roman"/>
          <w:b w:val="0"/>
          <w:bCs w:val="0"/>
          <w:color w:val="auto"/>
          <w:szCs w:val="20"/>
          <w:highlight w:val="none"/>
        </w:rPr>
        <w:t>）野生动物种类及分布</w:t>
      </w:r>
    </w:p>
    <w:p w14:paraId="14F48474">
      <w:pPr>
        <w:spacing w:line="360" w:lineRule="auto"/>
        <w:ind w:firstLine="480" w:firstLineChars="200"/>
        <w:rPr>
          <w:rFonts w:ascii="Times New Roman" w:hAnsi="Times New Roman" w:eastAsia="宋体" w:cs="Times New Roman"/>
          <w:color w:val="auto"/>
          <w:szCs w:val="20"/>
          <w:highlight w:val="none"/>
          <w:lang w:val="zh-CN"/>
        </w:rPr>
      </w:pPr>
      <w:r>
        <w:rPr>
          <w:rFonts w:hint="eastAsia" w:cs="Times New Roman"/>
          <w:color w:val="auto"/>
          <w:szCs w:val="20"/>
          <w:highlight w:val="none"/>
          <w:lang w:val="en-US" w:eastAsia="zh-CN"/>
        </w:rPr>
        <w:t>根据《中国石油化工股份有限公司西北油田分公司“十四五”规划环境影响报告书》，结合</w:t>
      </w:r>
      <w:r>
        <w:rPr>
          <w:rFonts w:ascii="Times New Roman" w:hAnsi="Times New Roman" w:eastAsia="宋体" w:cs="Times New Roman"/>
          <w:color w:val="auto"/>
          <w:szCs w:val="20"/>
          <w:highlight w:val="none"/>
          <w:lang w:val="zh-CN"/>
        </w:rPr>
        <w:t>对区域动物的实地调查和有关调查资料的查询，项目区各种野生脊椎动物分布状况见表4.</w:t>
      </w:r>
      <w:r>
        <w:rPr>
          <w:rFonts w:hint="eastAsia" w:cs="Times New Roman"/>
          <w:color w:val="auto"/>
          <w:szCs w:val="20"/>
          <w:highlight w:val="none"/>
          <w:lang w:val="en-US" w:eastAsia="zh-CN"/>
        </w:rPr>
        <w:t>3-9</w:t>
      </w:r>
      <w:r>
        <w:rPr>
          <w:rFonts w:hint="eastAsia" w:ascii="Times New Roman" w:hAnsi="Times New Roman" w:eastAsia="宋体" w:cs="Times New Roman"/>
          <w:color w:val="auto"/>
          <w:szCs w:val="20"/>
          <w:highlight w:val="none"/>
          <w:lang w:val="zh-CN"/>
        </w:rPr>
        <w:t>。</w:t>
      </w:r>
    </w:p>
    <w:p w14:paraId="2A79DB1A">
      <w:pPr>
        <w:adjustRightInd w:val="0"/>
        <w:snapToGrid w:val="0"/>
        <w:ind w:left="0" w:leftChars="0" w:right="0" w:rightChars="0" w:firstLine="0" w:firstLineChars="0"/>
        <w:jc w:val="center"/>
        <w:rPr>
          <w:rFonts w:hint="eastAsia" w:ascii="黑体" w:hAnsi="黑体" w:eastAsia="黑体" w:cs="黑体"/>
          <w:b w:val="0"/>
          <w:bCs/>
          <w:color w:val="auto"/>
          <w:sz w:val="21"/>
          <w:szCs w:val="16"/>
          <w:highlight w:val="none"/>
        </w:rPr>
      </w:pPr>
      <w:r>
        <w:rPr>
          <w:rFonts w:hint="eastAsia" w:ascii="黑体" w:hAnsi="黑体" w:eastAsia="黑体" w:cs="黑体"/>
          <w:b w:val="0"/>
          <w:bCs/>
          <w:color w:val="auto"/>
          <w:sz w:val="21"/>
          <w:szCs w:val="16"/>
          <w:highlight w:val="none"/>
        </w:rPr>
        <w:t>表4.</w:t>
      </w:r>
      <w:r>
        <w:rPr>
          <w:rFonts w:hint="eastAsia" w:ascii="黑体" w:hAnsi="黑体" w:eastAsia="黑体" w:cs="黑体"/>
          <w:b w:val="0"/>
          <w:bCs/>
          <w:color w:val="auto"/>
          <w:sz w:val="21"/>
          <w:szCs w:val="16"/>
          <w:highlight w:val="none"/>
          <w:lang w:val="en-US" w:eastAsia="zh-CN"/>
        </w:rPr>
        <w:t>3-9</w:t>
      </w:r>
      <w:r>
        <w:rPr>
          <w:rFonts w:hint="eastAsia" w:ascii="黑体" w:hAnsi="黑体" w:eastAsia="黑体" w:cs="黑体"/>
          <w:b w:val="0"/>
          <w:bCs/>
          <w:color w:val="auto"/>
          <w:sz w:val="21"/>
          <w:szCs w:val="16"/>
          <w:highlight w:val="none"/>
        </w:rPr>
        <w:t xml:space="preserve">  评价区主要脊椎动物名录及其种类和分布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3286"/>
        <w:gridCol w:w="1159"/>
        <w:gridCol w:w="708"/>
        <w:gridCol w:w="708"/>
        <w:gridCol w:w="708"/>
      </w:tblGrid>
      <w:tr w14:paraId="23E6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27" w:type="dxa"/>
            <w:vMerge w:val="restart"/>
            <w:vAlign w:val="center"/>
          </w:tcPr>
          <w:p w14:paraId="5559815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 名</w:t>
            </w:r>
          </w:p>
        </w:tc>
        <w:tc>
          <w:tcPr>
            <w:tcW w:w="3286" w:type="dxa"/>
            <w:vMerge w:val="restart"/>
            <w:vAlign w:val="center"/>
          </w:tcPr>
          <w:p w14:paraId="0DC7E0B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拉丁名</w:t>
            </w:r>
          </w:p>
        </w:tc>
        <w:tc>
          <w:tcPr>
            <w:tcW w:w="1159" w:type="dxa"/>
            <w:vMerge w:val="restart"/>
            <w:vAlign w:val="center"/>
          </w:tcPr>
          <w:p w14:paraId="102BC73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居留特性</w:t>
            </w:r>
          </w:p>
        </w:tc>
        <w:tc>
          <w:tcPr>
            <w:tcW w:w="2124" w:type="dxa"/>
            <w:gridSpan w:val="3"/>
            <w:vAlign w:val="center"/>
          </w:tcPr>
          <w:p w14:paraId="181C404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分布及频度</w:t>
            </w:r>
          </w:p>
        </w:tc>
      </w:tr>
      <w:tr w14:paraId="0D2C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27" w:type="dxa"/>
            <w:vMerge w:val="continue"/>
            <w:vAlign w:val="center"/>
          </w:tcPr>
          <w:p w14:paraId="111F3EA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3286" w:type="dxa"/>
            <w:vMerge w:val="continue"/>
            <w:vAlign w:val="center"/>
          </w:tcPr>
          <w:p w14:paraId="52D9281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1159" w:type="dxa"/>
            <w:vMerge w:val="continue"/>
            <w:vAlign w:val="center"/>
          </w:tcPr>
          <w:p w14:paraId="268CA16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743A4D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p>
        </w:tc>
        <w:tc>
          <w:tcPr>
            <w:tcW w:w="708" w:type="dxa"/>
            <w:vAlign w:val="center"/>
          </w:tcPr>
          <w:p w14:paraId="29D81B1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w:t>
            </w:r>
          </w:p>
        </w:tc>
        <w:tc>
          <w:tcPr>
            <w:tcW w:w="708" w:type="dxa"/>
            <w:vAlign w:val="center"/>
          </w:tcPr>
          <w:p w14:paraId="74ED60B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r>
      <w:tr w14:paraId="28AB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47C4DE5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爬行类</w:t>
            </w:r>
          </w:p>
        </w:tc>
        <w:tc>
          <w:tcPr>
            <w:tcW w:w="3286" w:type="dxa"/>
            <w:vAlign w:val="center"/>
          </w:tcPr>
          <w:p w14:paraId="1627C09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p>
        </w:tc>
        <w:tc>
          <w:tcPr>
            <w:tcW w:w="1159" w:type="dxa"/>
            <w:vAlign w:val="center"/>
          </w:tcPr>
          <w:p w14:paraId="771B7B3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7D8627D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0619662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17790D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2BCC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74EB628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新疆鬣蜥</w:t>
            </w:r>
          </w:p>
        </w:tc>
        <w:tc>
          <w:tcPr>
            <w:tcW w:w="3286" w:type="dxa"/>
            <w:vAlign w:val="center"/>
          </w:tcPr>
          <w:p w14:paraId="75B6D61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Agama stoliczkana</w:t>
            </w:r>
          </w:p>
        </w:tc>
        <w:tc>
          <w:tcPr>
            <w:tcW w:w="1159" w:type="dxa"/>
            <w:vAlign w:val="center"/>
          </w:tcPr>
          <w:p w14:paraId="06CD8B7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B8A22B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6C3524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8D16F5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5F3C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2D20836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南疆沙蜥</w:t>
            </w:r>
          </w:p>
        </w:tc>
        <w:tc>
          <w:tcPr>
            <w:tcW w:w="3286" w:type="dxa"/>
            <w:vAlign w:val="center"/>
          </w:tcPr>
          <w:p w14:paraId="5A36AAE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Phrynocephalus forsythi</w:t>
            </w:r>
          </w:p>
        </w:tc>
        <w:tc>
          <w:tcPr>
            <w:tcW w:w="1159" w:type="dxa"/>
            <w:vAlign w:val="center"/>
          </w:tcPr>
          <w:p w14:paraId="623D5A9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D17CD5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B42A21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6C56C99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628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24A7788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密点麻蜥</w:t>
            </w:r>
          </w:p>
        </w:tc>
        <w:tc>
          <w:tcPr>
            <w:tcW w:w="3286" w:type="dxa"/>
            <w:vAlign w:val="center"/>
          </w:tcPr>
          <w:p w14:paraId="34EEEA2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Eremias multionllata</w:t>
            </w:r>
          </w:p>
        </w:tc>
        <w:tc>
          <w:tcPr>
            <w:tcW w:w="1159" w:type="dxa"/>
            <w:vAlign w:val="center"/>
          </w:tcPr>
          <w:p w14:paraId="4FBB697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050CAAC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E37F42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62E40E3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498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4D9C098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荒漠麻蜥</w:t>
            </w:r>
          </w:p>
        </w:tc>
        <w:tc>
          <w:tcPr>
            <w:tcW w:w="3286" w:type="dxa"/>
            <w:vAlign w:val="center"/>
          </w:tcPr>
          <w:p w14:paraId="7659079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Eremias przewalskii</w:t>
            </w:r>
          </w:p>
        </w:tc>
        <w:tc>
          <w:tcPr>
            <w:tcW w:w="1159" w:type="dxa"/>
            <w:vAlign w:val="center"/>
          </w:tcPr>
          <w:p w14:paraId="6EF5D37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63D62B0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3B6EFA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6FA526C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E2A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4BA468C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鸟类</w:t>
            </w:r>
          </w:p>
        </w:tc>
        <w:tc>
          <w:tcPr>
            <w:tcW w:w="3286" w:type="dxa"/>
            <w:vAlign w:val="center"/>
          </w:tcPr>
          <w:p w14:paraId="65C360E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p>
        </w:tc>
        <w:tc>
          <w:tcPr>
            <w:tcW w:w="1159" w:type="dxa"/>
            <w:vAlign w:val="center"/>
          </w:tcPr>
          <w:p w14:paraId="6B1A533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E6D9D0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2F5421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BE29D6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35A3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1B8105B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环颈雉</w:t>
            </w:r>
          </w:p>
        </w:tc>
        <w:tc>
          <w:tcPr>
            <w:tcW w:w="3286" w:type="dxa"/>
            <w:vAlign w:val="center"/>
          </w:tcPr>
          <w:p w14:paraId="77D397B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Phasianus colchicus</w:t>
            </w:r>
          </w:p>
        </w:tc>
        <w:tc>
          <w:tcPr>
            <w:tcW w:w="1159" w:type="dxa"/>
            <w:vAlign w:val="center"/>
          </w:tcPr>
          <w:p w14:paraId="78E2186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5133AF7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6CF9233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31D5E88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1AEE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063606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银鸥</w:t>
            </w:r>
          </w:p>
        </w:tc>
        <w:tc>
          <w:tcPr>
            <w:tcW w:w="3286" w:type="dxa"/>
            <w:vAlign w:val="center"/>
          </w:tcPr>
          <w:p w14:paraId="2C217EB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Larus argentatus</w:t>
            </w:r>
          </w:p>
        </w:tc>
        <w:tc>
          <w:tcPr>
            <w:tcW w:w="1159" w:type="dxa"/>
            <w:vAlign w:val="center"/>
          </w:tcPr>
          <w:p w14:paraId="1084443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094C9F4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092646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572F76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7CED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64C19C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红嘴鸥</w:t>
            </w:r>
          </w:p>
        </w:tc>
        <w:tc>
          <w:tcPr>
            <w:tcW w:w="3286" w:type="dxa"/>
            <w:vAlign w:val="center"/>
          </w:tcPr>
          <w:p w14:paraId="135C081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Lraus ridibundus</w:t>
            </w:r>
          </w:p>
        </w:tc>
        <w:tc>
          <w:tcPr>
            <w:tcW w:w="1159" w:type="dxa"/>
            <w:vAlign w:val="center"/>
          </w:tcPr>
          <w:p w14:paraId="0E6067F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0BA06E7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1B74E2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21DC78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3545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5B73352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原鸥</w:t>
            </w:r>
          </w:p>
        </w:tc>
        <w:tc>
          <w:tcPr>
            <w:tcW w:w="3286" w:type="dxa"/>
            <w:vAlign w:val="center"/>
          </w:tcPr>
          <w:p w14:paraId="74C76AF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Columba livia</w:t>
            </w:r>
          </w:p>
        </w:tc>
        <w:tc>
          <w:tcPr>
            <w:tcW w:w="1159" w:type="dxa"/>
            <w:vAlign w:val="center"/>
          </w:tcPr>
          <w:p w14:paraId="7299D07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376BED0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47E009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E7C741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01F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6C0F327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欧斑鸠</w:t>
            </w:r>
          </w:p>
        </w:tc>
        <w:tc>
          <w:tcPr>
            <w:tcW w:w="3286" w:type="dxa"/>
            <w:vAlign w:val="center"/>
          </w:tcPr>
          <w:p w14:paraId="5234688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Streptopelia turtur</w:t>
            </w:r>
          </w:p>
        </w:tc>
        <w:tc>
          <w:tcPr>
            <w:tcW w:w="1159" w:type="dxa"/>
            <w:vAlign w:val="center"/>
          </w:tcPr>
          <w:p w14:paraId="172E92C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1C33CF9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09F3377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3346F3C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1867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4370943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灰斑鸠</w:t>
            </w:r>
          </w:p>
        </w:tc>
        <w:tc>
          <w:tcPr>
            <w:tcW w:w="3286" w:type="dxa"/>
            <w:vAlign w:val="center"/>
          </w:tcPr>
          <w:p w14:paraId="55566ED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Streptopelia decaocto</w:t>
            </w:r>
          </w:p>
        </w:tc>
        <w:tc>
          <w:tcPr>
            <w:tcW w:w="1159" w:type="dxa"/>
            <w:vAlign w:val="center"/>
          </w:tcPr>
          <w:p w14:paraId="0FA8787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6799AA1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E02967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0149B83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740B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45A1567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戴胜</w:t>
            </w:r>
          </w:p>
        </w:tc>
        <w:tc>
          <w:tcPr>
            <w:tcW w:w="3286" w:type="dxa"/>
            <w:vAlign w:val="center"/>
          </w:tcPr>
          <w:p w14:paraId="3C27FF0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Upup epops</w:t>
            </w:r>
          </w:p>
        </w:tc>
        <w:tc>
          <w:tcPr>
            <w:tcW w:w="1159" w:type="dxa"/>
            <w:vAlign w:val="center"/>
          </w:tcPr>
          <w:p w14:paraId="10FF531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39C4489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61B4AF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09F9BC5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47C4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6F83CB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白翅啄木鸟</w:t>
            </w:r>
          </w:p>
        </w:tc>
        <w:tc>
          <w:tcPr>
            <w:tcW w:w="3286" w:type="dxa"/>
            <w:vAlign w:val="center"/>
          </w:tcPr>
          <w:p w14:paraId="713E4EE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Dendrocopos leucopterus</w:t>
            </w:r>
          </w:p>
        </w:tc>
        <w:tc>
          <w:tcPr>
            <w:tcW w:w="1159" w:type="dxa"/>
            <w:vAlign w:val="center"/>
          </w:tcPr>
          <w:p w14:paraId="27F245E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1F66CF1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9F5061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DF8940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6203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624DFCC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沙百灵</w:t>
            </w:r>
          </w:p>
        </w:tc>
        <w:tc>
          <w:tcPr>
            <w:tcW w:w="3286" w:type="dxa"/>
            <w:vAlign w:val="center"/>
          </w:tcPr>
          <w:p w14:paraId="5322659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Calandrella rufescens</w:t>
            </w:r>
          </w:p>
        </w:tc>
        <w:tc>
          <w:tcPr>
            <w:tcW w:w="1159" w:type="dxa"/>
            <w:vAlign w:val="center"/>
          </w:tcPr>
          <w:p w14:paraId="43CD23C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046CF5F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2DEFE0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4EF0D5E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4E0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201D31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凤头百灵</w:t>
            </w:r>
          </w:p>
        </w:tc>
        <w:tc>
          <w:tcPr>
            <w:tcW w:w="3286" w:type="dxa"/>
            <w:vAlign w:val="center"/>
          </w:tcPr>
          <w:p w14:paraId="7580BDD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Galerida cristata</w:t>
            </w:r>
          </w:p>
        </w:tc>
        <w:tc>
          <w:tcPr>
            <w:tcW w:w="1159" w:type="dxa"/>
            <w:vAlign w:val="center"/>
          </w:tcPr>
          <w:p w14:paraId="66D1A64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4073F0E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512EB6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42A6BE4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CB0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56A8ED2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云雀</w:t>
            </w:r>
          </w:p>
        </w:tc>
        <w:tc>
          <w:tcPr>
            <w:tcW w:w="3286" w:type="dxa"/>
            <w:vAlign w:val="center"/>
          </w:tcPr>
          <w:p w14:paraId="01FF301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kern w:val="0"/>
                <w:sz w:val="21"/>
                <w:szCs w:val="21"/>
                <w:highlight w:val="none"/>
                <w:lang w:val="en-US" w:eastAsia="zh-CN" w:bidi="ar"/>
              </w:rPr>
              <w:t>Alauda arvensis</w:t>
            </w:r>
          </w:p>
        </w:tc>
        <w:tc>
          <w:tcPr>
            <w:tcW w:w="1159" w:type="dxa"/>
            <w:vAlign w:val="center"/>
          </w:tcPr>
          <w:p w14:paraId="52B831F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B</w:t>
            </w:r>
          </w:p>
        </w:tc>
        <w:tc>
          <w:tcPr>
            <w:tcW w:w="708" w:type="dxa"/>
            <w:vAlign w:val="center"/>
          </w:tcPr>
          <w:p w14:paraId="6CFF228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p>
        </w:tc>
        <w:tc>
          <w:tcPr>
            <w:tcW w:w="708" w:type="dxa"/>
            <w:vAlign w:val="center"/>
          </w:tcPr>
          <w:p w14:paraId="7235088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w:t>
            </w:r>
          </w:p>
        </w:tc>
        <w:tc>
          <w:tcPr>
            <w:tcW w:w="708" w:type="dxa"/>
            <w:vAlign w:val="center"/>
          </w:tcPr>
          <w:p w14:paraId="5365547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p>
        </w:tc>
      </w:tr>
      <w:tr w14:paraId="6B7F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6216785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红尾伯劳</w:t>
            </w:r>
          </w:p>
        </w:tc>
        <w:tc>
          <w:tcPr>
            <w:tcW w:w="3286" w:type="dxa"/>
            <w:vAlign w:val="center"/>
          </w:tcPr>
          <w:p w14:paraId="21CB230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Laniun cristatus</w:t>
            </w:r>
          </w:p>
        </w:tc>
        <w:tc>
          <w:tcPr>
            <w:tcW w:w="1159" w:type="dxa"/>
            <w:vAlign w:val="center"/>
          </w:tcPr>
          <w:p w14:paraId="0AA71DB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3DA4DB3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3027ACC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6AA8292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B7D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16FCEB7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紫翅椋鸟</w:t>
            </w:r>
          </w:p>
        </w:tc>
        <w:tc>
          <w:tcPr>
            <w:tcW w:w="3286" w:type="dxa"/>
            <w:vAlign w:val="center"/>
          </w:tcPr>
          <w:p w14:paraId="149CC6B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Sturnus vulgaris</w:t>
            </w:r>
          </w:p>
        </w:tc>
        <w:tc>
          <w:tcPr>
            <w:tcW w:w="1159" w:type="dxa"/>
            <w:vAlign w:val="center"/>
          </w:tcPr>
          <w:p w14:paraId="5A8A28B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708" w:type="dxa"/>
            <w:vAlign w:val="center"/>
          </w:tcPr>
          <w:p w14:paraId="30EB4C0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38142DA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170BF17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0A9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205DE86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喜鹊</w:t>
            </w:r>
          </w:p>
        </w:tc>
        <w:tc>
          <w:tcPr>
            <w:tcW w:w="3286" w:type="dxa"/>
            <w:vAlign w:val="center"/>
          </w:tcPr>
          <w:p w14:paraId="73B1CAD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Pica Pica</w:t>
            </w:r>
          </w:p>
        </w:tc>
        <w:tc>
          <w:tcPr>
            <w:tcW w:w="1159" w:type="dxa"/>
            <w:vAlign w:val="center"/>
          </w:tcPr>
          <w:p w14:paraId="5E33405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59CF6AA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5C79D5F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DF8012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2ACD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2FC0A5C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白尾地鸦</w:t>
            </w:r>
          </w:p>
        </w:tc>
        <w:tc>
          <w:tcPr>
            <w:tcW w:w="3286" w:type="dxa"/>
            <w:vAlign w:val="center"/>
          </w:tcPr>
          <w:p w14:paraId="4A608AB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kern w:val="0"/>
                <w:sz w:val="21"/>
                <w:szCs w:val="21"/>
                <w:highlight w:val="none"/>
                <w:lang w:val="en-US" w:eastAsia="zh-CN" w:bidi="ar"/>
              </w:rPr>
              <w:t>Podoces hiddulphi</w:t>
            </w:r>
          </w:p>
        </w:tc>
        <w:tc>
          <w:tcPr>
            <w:tcW w:w="1159" w:type="dxa"/>
            <w:vAlign w:val="center"/>
          </w:tcPr>
          <w:p w14:paraId="38A1D74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R</w:t>
            </w:r>
          </w:p>
        </w:tc>
        <w:tc>
          <w:tcPr>
            <w:tcW w:w="708" w:type="dxa"/>
            <w:vAlign w:val="center"/>
          </w:tcPr>
          <w:p w14:paraId="364460A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p>
        </w:tc>
        <w:tc>
          <w:tcPr>
            <w:tcW w:w="708" w:type="dxa"/>
            <w:vAlign w:val="center"/>
          </w:tcPr>
          <w:p w14:paraId="0A81E29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p>
        </w:tc>
        <w:tc>
          <w:tcPr>
            <w:tcW w:w="708" w:type="dxa"/>
            <w:vAlign w:val="center"/>
          </w:tcPr>
          <w:p w14:paraId="1DF5A0F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w:t>
            </w:r>
          </w:p>
        </w:tc>
      </w:tr>
      <w:tr w14:paraId="1E8B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372FF87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寒鸦</w:t>
            </w:r>
          </w:p>
        </w:tc>
        <w:tc>
          <w:tcPr>
            <w:tcW w:w="3286" w:type="dxa"/>
            <w:vAlign w:val="center"/>
          </w:tcPr>
          <w:p w14:paraId="056C5AC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Corvus monedual</w:t>
            </w:r>
          </w:p>
        </w:tc>
        <w:tc>
          <w:tcPr>
            <w:tcW w:w="1159" w:type="dxa"/>
            <w:vAlign w:val="center"/>
          </w:tcPr>
          <w:p w14:paraId="7A54972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w:t>
            </w:r>
          </w:p>
        </w:tc>
        <w:tc>
          <w:tcPr>
            <w:tcW w:w="708" w:type="dxa"/>
            <w:vAlign w:val="center"/>
          </w:tcPr>
          <w:p w14:paraId="2EE1397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0558583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EFD43C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5CC5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77E7013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小嘴乌鸦</w:t>
            </w:r>
          </w:p>
        </w:tc>
        <w:tc>
          <w:tcPr>
            <w:tcW w:w="3286" w:type="dxa"/>
            <w:vAlign w:val="center"/>
          </w:tcPr>
          <w:p w14:paraId="3D13871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Corvua corone</w:t>
            </w:r>
          </w:p>
        </w:tc>
        <w:tc>
          <w:tcPr>
            <w:tcW w:w="1159" w:type="dxa"/>
            <w:vAlign w:val="center"/>
          </w:tcPr>
          <w:p w14:paraId="4057899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430A9A9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07AB7B1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643B91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7136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FA252A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沙 即鸟</w:t>
            </w:r>
          </w:p>
        </w:tc>
        <w:tc>
          <w:tcPr>
            <w:tcW w:w="3286" w:type="dxa"/>
            <w:vAlign w:val="center"/>
          </w:tcPr>
          <w:p w14:paraId="6BBDAEE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Oenanthe isabellina</w:t>
            </w:r>
          </w:p>
        </w:tc>
        <w:tc>
          <w:tcPr>
            <w:tcW w:w="1159" w:type="dxa"/>
            <w:vAlign w:val="center"/>
          </w:tcPr>
          <w:p w14:paraId="5C799FC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7CD3898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C9390D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0C24934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572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1D4EB0B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漠 即鸟</w:t>
            </w:r>
          </w:p>
        </w:tc>
        <w:tc>
          <w:tcPr>
            <w:tcW w:w="3286" w:type="dxa"/>
            <w:vAlign w:val="center"/>
          </w:tcPr>
          <w:p w14:paraId="4017091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Oenanthe seserti</w:t>
            </w:r>
          </w:p>
        </w:tc>
        <w:tc>
          <w:tcPr>
            <w:tcW w:w="1159" w:type="dxa"/>
            <w:vAlign w:val="center"/>
          </w:tcPr>
          <w:p w14:paraId="2D37E41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6C46990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66F656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376228F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038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56F6A39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沙白喉莺</w:t>
            </w:r>
          </w:p>
        </w:tc>
        <w:tc>
          <w:tcPr>
            <w:tcW w:w="3286" w:type="dxa"/>
            <w:vAlign w:val="center"/>
          </w:tcPr>
          <w:p w14:paraId="66E28D1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Sylvia minual</w:t>
            </w:r>
          </w:p>
        </w:tc>
        <w:tc>
          <w:tcPr>
            <w:tcW w:w="1159" w:type="dxa"/>
            <w:vAlign w:val="center"/>
          </w:tcPr>
          <w:p w14:paraId="4045B23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4C07138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6FC0F8C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1F5566E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66C1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942A65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树麻雀</w:t>
            </w:r>
          </w:p>
        </w:tc>
        <w:tc>
          <w:tcPr>
            <w:tcW w:w="3286" w:type="dxa"/>
            <w:vAlign w:val="center"/>
          </w:tcPr>
          <w:p w14:paraId="3DB87E3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Passer montanus</w:t>
            </w:r>
          </w:p>
        </w:tc>
        <w:tc>
          <w:tcPr>
            <w:tcW w:w="1159" w:type="dxa"/>
            <w:vAlign w:val="center"/>
          </w:tcPr>
          <w:p w14:paraId="2E3264E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p>
        </w:tc>
        <w:tc>
          <w:tcPr>
            <w:tcW w:w="708" w:type="dxa"/>
            <w:vAlign w:val="center"/>
          </w:tcPr>
          <w:p w14:paraId="338ACBD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696133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0E99FA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7595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4CE8E30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巨嘴沙雀</w:t>
            </w:r>
          </w:p>
        </w:tc>
        <w:tc>
          <w:tcPr>
            <w:tcW w:w="3286" w:type="dxa"/>
            <w:vAlign w:val="center"/>
          </w:tcPr>
          <w:p w14:paraId="1881C90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Rhodopechys obsoleta</w:t>
            </w:r>
          </w:p>
        </w:tc>
        <w:tc>
          <w:tcPr>
            <w:tcW w:w="1159" w:type="dxa"/>
            <w:vAlign w:val="center"/>
          </w:tcPr>
          <w:p w14:paraId="25FB87F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498DAA1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55C414C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47E76B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BC8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A859DE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苍鹰</w:t>
            </w:r>
          </w:p>
        </w:tc>
        <w:tc>
          <w:tcPr>
            <w:tcW w:w="3286" w:type="dxa"/>
            <w:vAlign w:val="center"/>
          </w:tcPr>
          <w:p w14:paraId="5D26D9A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Accipiter gentilis</w:t>
            </w:r>
          </w:p>
        </w:tc>
        <w:tc>
          <w:tcPr>
            <w:tcW w:w="1159" w:type="dxa"/>
            <w:vAlign w:val="center"/>
          </w:tcPr>
          <w:p w14:paraId="3F90C25A">
            <w:pPr>
              <w:keepNext w:val="0"/>
              <w:keepLines w:val="0"/>
              <w:widowControl/>
              <w:suppressLineNumbers w:val="0"/>
              <w:spacing w:before="0" w:beforeAutospacing="0" w:after="0" w:afterAutospacing="0" w:line="30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B</w:t>
            </w:r>
          </w:p>
        </w:tc>
        <w:tc>
          <w:tcPr>
            <w:tcW w:w="708" w:type="dxa"/>
            <w:vAlign w:val="center"/>
          </w:tcPr>
          <w:p w14:paraId="350A5A28">
            <w:pPr>
              <w:keepNext w:val="0"/>
              <w:keepLines w:val="0"/>
              <w:widowControl/>
              <w:suppressLineNumbers w:val="0"/>
              <w:spacing w:before="0" w:beforeAutospacing="0" w:after="0" w:afterAutospacing="0" w:line="30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8" w:type="dxa"/>
            <w:vAlign w:val="center"/>
          </w:tcPr>
          <w:p w14:paraId="77BD624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01627DD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11D9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0CC96F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红隼</w:t>
            </w:r>
          </w:p>
        </w:tc>
        <w:tc>
          <w:tcPr>
            <w:tcW w:w="3286" w:type="dxa"/>
            <w:vAlign w:val="center"/>
          </w:tcPr>
          <w:p w14:paraId="6B926F2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Faloco tinnunculus</w:t>
            </w:r>
          </w:p>
        </w:tc>
        <w:tc>
          <w:tcPr>
            <w:tcW w:w="1159" w:type="dxa"/>
            <w:vAlign w:val="center"/>
          </w:tcPr>
          <w:p w14:paraId="7FE57540">
            <w:pPr>
              <w:keepNext w:val="0"/>
              <w:keepLines w:val="0"/>
              <w:widowControl/>
              <w:suppressLineNumbers w:val="0"/>
              <w:spacing w:before="0" w:beforeAutospacing="0" w:after="0" w:afterAutospacing="0" w:line="30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B</w:t>
            </w:r>
          </w:p>
        </w:tc>
        <w:tc>
          <w:tcPr>
            <w:tcW w:w="708" w:type="dxa"/>
            <w:vAlign w:val="center"/>
          </w:tcPr>
          <w:p w14:paraId="725B5E49">
            <w:pPr>
              <w:keepNext w:val="0"/>
              <w:keepLines w:val="0"/>
              <w:widowControl/>
              <w:suppressLineNumbers w:val="0"/>
              <w:spacing w:before="0" w:beforeAutospacing="0" w:after="0" w:afterAutospacing="0" w:line="30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8" w:type="dxa"/>
            <w:vAlign w:val="center"/>
          </w:tcPr>
          <w:p w14:paraId="63129D4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6C4DD77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7B21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54AA211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漠雀</w:t>
            </w:r>
          </w:p>
        </w:tc>
        <w:tc>
          <w:tcPr>
            <w:tcW w:w="3286" w:type="dxa"/>
            <w:vAlign w:val="center"/>
          </w:tcPr>
          <w:p w14:paraId="3EF1D6A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Rhodopechys githagineus</w:t>
            </w:r>
          </w:p>
        </w:tc>
        <w:tc>
          <w:tcPr>
            <w:tcW w:w="1159" w:type="dxa"/>
            <w:vAlign w:val="center"/>
          </w:tcPr>
          <w:p w14:paraId="195925C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708" w:type="dxa"/>
            <w:vAlign w:val="center"/>
          </w:tcPr>
          <w:p w14:paraId="4EC85EB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5DAF6D6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638A6F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CE8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2ADB8C4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哺乳类</w:t>
            </w:r>
          </w:p>
        </w:tc>
        <w:tc>
          <w:tcPr>
            <w:tcW w:w="3286" w:type="dxa"/>
            <w:vAlign w:val="center"/>
          </w:tcPr>
          <w:p w14:paraId="3F8BFF4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p>
        </w:tc>
        <w:tc>
          <w:tcPr>
            <w:tcW w:w="1159" w:type="dxa"/>
            <w:vAlign w:val="center"/>
          </w:tcPr>
          <w:p w14:paraId="134FB5D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C2A4BD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860CFC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018BD40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r w14:paraId="1A06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6047A9B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塔里木兔</w:t>
            </w:r>
          </w:p>
        </w:tc>
        <w:tc>
          <w:tcPr>
            <w:tcW w:w="3286" w:type="dxa"/>
            <w:vAlign w:val="center"/>
          </w:tcPr>
          <w:p w14:paraId="6C5DD10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Lepusyarkandensis</w:t>
            </w:r>
          </w:p>
        </w:tc>
        <w:tc>
          <w:tcPr>
            <w:tcW w:w="1159" w:type="dxa"/>
            <w:vAlign w:val="center"/>
          </w:tcPr>
          <w:p w14:paraId="37035A3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654848D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1B2080B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47E6A37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5CC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11FABE1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三趾心颅跳鼠</w:t>
            </w:r>
          </w:p>
        </w:tc>
        <w:tc>
          <w:tcPr>
            <w:tcW w:w="3286" w:type="dxa"/>
            <w:vAlign w:val="center"/>
          </w:tcPr>
          <w:p w14:paraId="0280923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Salpingotus kozlovi</w:t>
            </w:r>
          </w:p>
        </w:tc>
        <w:tc>
          <w:tcPr>
            <w:tcW w:w="1159" w:type="dxa"/>
            <w:vAlign w:val="center"/>
          </w:tcPr>
          <w:p w14:paraId="6768003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5412A9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CC8128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0794AE3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70E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44C1D0F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长耳跳鼠</w:t>
            </w:r>
          </w:p>
        </w:tc>
        <w:tc>
          <w:tcPr>
            <w:tcW w:w="3286" w:type="dxa"/>
            <w:vAlign w:val="center"/>
          </w:tcPr>
          <w:p w14:paraId="08FC8D5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Euchoueutes naso</w:t>
            </w:r>
          </w:p>
        </w:tc>
        <w:tc>
          <w:tcPr>
            <w:tcW w:w="1159" w:type="dxa"/>
            <w:vAlign w:val="center"/>
          </w:tcPr>
          <w:p w14:paraId="6F4106F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0C883D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081055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453B1E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EF1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0CCDD9E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子午沙鼠</w:t>
            </w:r>
          </w:p>
        </w:tc>
        <w:tc>
          <w:tcPr>
            <w:tcW w:w="3286" w:type="dxa"/>
            <w:vAlign w:val="center"/>
          </w:tcPr>
          <w:p w14:paraId="1A90F80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Euchoreutes naso</w:t>
            </w:r>
          </w:p>
        </w:tc>
        <w:tc>
          <w:tcPr>
            <w:tcW w:w="1159" w:type="dxa"/>
            <w:vAlign w:val="center"/>
          </w:tcPr>
          <w:p w14:paraId="5492FE1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DA86B3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BD9BDE3">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B8C63B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78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31E851B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大耳 虫胃</w:t>
            </w:r>
          </w:p>
        </w:tc>
        <w:tc>
          <w:tcPr>
            <w:tcW w:w="3286" w:type="dxa"/>
            <w:vAlign w:val="center"/>
          </w:tcPr>
          <w:p w14:paraId="216FF358">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Hemiechinus auritus</w:t>
            </w:r>
          </w:p>
        </w:tc>
        <w:tc>
          <w:tcPr>
            <w:tcW w:w="1159" w:type="dxa"/>
            <w:vAlign w:val="center"/>
          </w:tcPr>
          <w:p w14:paraId="18A892C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2FB674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FAF371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3743E5E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88A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6412E98B">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沙狐</w:t>
            </w:r>
          </w:p>
        </w:tc>
        <w:tc>
          <w:tcPr>
            <w:tcW w:w="3286" w:type="dxa"/>
            <w:vAlign w:val="center"/>
          </w:tcPr>
          <w:p w14:paraId="22CA238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Vulpes corsac</w:t>
            </w:r>
          </w:p>
        </w:tc>
        <w:tc>
          <w:tcPr>
            <w:tcW w:w="1159" w:type="dxa"/>
            <w:vAlign w:val="center"/>
          </w:tcPr>
          <w:p w14:paraId="2428DA0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A484F1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3312B0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4886533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328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1F9C33B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鹅喉羚</w:t>
            </w:r>
          </w:p>
        </w:tc>
        <w:tc>
          <w:tcPr>
            <w:tcW w:w="3286" w:type="dxa"/>
            <w:vAlign w:val="center"/>
          </w:tcPr>
          <w:p w14:paraId="01C16D9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Gazella subgutturosa</w:t>
            </w:r>
          </w:p>
        </w:tc>
        <w:tc>
          <w:tcPr>
            <w:tcW w:w="1159" w:type="dxa"/>
            <w:vAlign w:val="center"/>
          </w:tcPr>
          <w:p w14:paraId="4400B8B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559A2AE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0FA4686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70B1AD5">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07A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Align w:val="center"/>
          </w:tcPr>
          <w:p w14:paraId="394F56E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塔里木马鹿</w:t>
            </w:r>
          </w:p>
        </w:tc>
        <w:tc>
          <w:tcPr>
            <w:tcW w:w="3286" w:type="dxa"/>
            <w:vAlign w:val="center"/>
          </w:tcPr>
          <w:p w14:paraId="64469AFF">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i/>
                <w:iCs/>
                <w:color w:val="auto"/>
                <w:sz w:val="21"/>
                <w:szCs w:val="21"/>
                <w:highlight w:val="none"/>
                <w:lang w:val="en-US" w:eastAsia="zh-CN"/>
              </w:rPr>
            </w:pPr>
            <w:r>
              <w:rPr>
                <w:rFonts w:hint="eastAsia" w:ascii="Times New Roman" w:hAnsi="Times New Roman" w:eastAsia="宋体" w:cs="Times New Roman"/>
                <w:i/>
                <w:iCs/>
                <w:color w:val="auto"/>
                <w:sz w:val="21"/>
                <w:szCs w:val="21"/>
                <w:highlight w:val="none"/>
                <w:lang w:val="en-US" w:eastAsia="zh-CN"/>
              </w:rPr>
              <w:t>Cervus yarkandensis Linnaeus</w:t>
            </w:r>
          </w:p>
        </w:tc>
        <w:tc>
          <w:tcPr>
            <w:tcW w:w="1159" w:type="dxa"/>
            <w:vAlign w:val="center"/>
          </w:tcPr>
          <w:p w14:paraId="03D441B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2ABB77A7">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8" w:type="dxa"/>
            <w:vAlign w:val="center"/>
          </w:tcPr>
          <w:p w14:paraId="753EB2B0">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c>
          <w:tcPr>
            <w:tcW w:w="708" w:type="dxa"/>
            <w:vAlign w:val="center"/>
          </w:tcPr>
          <w:p w14:paraId="1535F74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p>
        </w:tc>
      </w:tr>
    </w:tbl>
    <w:p w14:paraId="31E0ADE5">
      <w:pPr>
        <w:keepNext w:val="0"/>
        <w:keepLines w:val="0"/>
        <w:pageBreakBefore w:val="0"/>
        <w:widowControl/>
        <w:kinsoku/>
        <w:wordWrap/>
        <w:overflowPunct/>
        <w:topLinePunct w:val="0"/>
        <w:autoSpaceDE/>
        <w:autoSpaceDN/>
        <w:bidi w:val="0"/>
        <w:adjustRightInd/>
        <w:snapToGrid/>
        <w:spacing w:line="240" w:lineRule="auto"/>
        <w:ind w:firstLine="360" w:firstLineChars="200"/>
        <w:textAlignment w:val="auto"/>
        <w:rPr>
          <w:rFonts w:hint="eastAsia" w:ascii="楷体" w:hAnsi="楷体" w:eastAsia="楷体" w:cs="楷体"/>
          <w:color w:val="auto"/>
          <w:sz w:val="18"/>
          <w:szCs w:val="20"/>
          <w:highlight w:val="none"/>
        </w:rPr>
      </w:pPr>
      <w:r>
        <w:rPr>
          <w:rFonts w:hint="eastAsia" w:ascii="楷体" w:hAnsi="楷体" w:eastAsia="楷体" w:cs="楷体"/>
          <w:color w:val="auto"/>
          <w:sz w:val="18"/>
          <w:szCs w:val="20"/>
          <w:highlight w:val="none"/>
        </w:rPr>
        <w:t>注：（1）R—留鸟；  B—繁殖鸟；   W—冬候鸟；   S—夏候鸟；</w:t>
      </w:r>
      <w:r>
        <w:rPr>
          <w:rFonts w:hint="eastAsia" w:ascii="楷体" w:hAnsi="楷体" w:eastAsia="楷体" w:cs="楷体"/>
          <w:color w:val="auto"/>
          <w:sz w:val="18"/>
          <w:szCs w:val="20"/>
          <w:highlight w:val="none"/>
          <w:lang w:eastAsia="zh-CN"/>
        </w:rPr>
        <w:t>（</w:t>
      </w:r>
      <w:r>
        <w:rPr>
          <w:rFonts w:hint="eastAsia" w:ascii="楷体" w:hAnsi="楷体" w:eastAsia="楷体" w:cs="楷体"/>
          <w:color w:val="auto"/>
          <w:sz w:val="18"/>
          <w:szCs w:val="20"/>
          <w:highlight w:val="none"/>
        </w:rPr>
        <w:t>2</w:t>
      </w:r>
      <w:r>
        <w:rPr>
          <w:rFonts w:hint="eastAsia" w:ascii="楷体" w:hAnsi="楷体" w:eastAsia="楷体" w:cs="楷体"/>
          <w:color w:val="auto"/>
          <w:sz w:val="18"/>
          <w:szCs w:val="20"/>
          <w:highlight w:val="none"/>
          <w:lang w:eastAsia="zh-CN"/>
        </w:rPr>
        <w:t>）</w:t>
      </w:r>
      <w:r>
        <w:rPr>
          <w:rFonts w:hint="eastAsia" w:ascii="楷体" w:hAnsi="楷体" w:eastAsia="楷体" w:cs="楷体"/>
          <w:color w:val="auto"/>
          <w:sz w:val="18"/>
          <w:szCs w:val="20"/>
          <w:highlight w:val="none"/>
        </w:rPr>
        <w:t xml:space="preserve"> ±：偶见种；   +：常见种；  ++：多见种；</w:t>
      </w:r>
      <w:r>
        <w:rPr>
          <w:rFonts w:hint="eastAsia" w:ascii="楷体" w:hAnsi="楷体" w:eastAsia="楷体" w:cs="楷体"/>
          <w:color w:val="auto"/>
          <w:sz w:val="18"/>
          <w:szCs w:val="20"/>
          <w:highlight w:val="none"/>
          <w:lang w:eastAsia="zh-CN"/>
        </w:rPr>
        <w:t>（</w:t>
      </w:r>
      <w:r>
        <w:rPr>
          <w:rFonts w:hint="eastAsia" w:ascii="楷体" w:hAnsi="楷体" w:eastAsia="楷体" w:cs="楷体"/>
          <w:color w:val="auto"/>
          <w:sz w:val="18"/>
          <w:szCs w:val="20"/>
          <w:highlight w:val="none"/>
        </w:rPr>
        <w:t>3</w:t>
      </w:r>
      <w:r>
        <w:rPr>
          <w:rFonts w:hint="eastAsia" w:ascii="楷体" w:hAnsi="楷体" w:eastAsia="楷体" w:cs="楷体"/>
          <w:color w:val="auto"/>
          <w:sz w:val="18"/>
          <w:szCs w:val="20"/>
          <w:highlight w:val="none"/>
          <w:lang w:eastAsia="zh-CN"/>
        </w:rPr>
        <w:t>）</w:t>
      </w:r>
      <w:r>
        <w:rPr>
          <w:rFonts w:hint="eastAsia" w:ascii="楷体" w:hAnsi="楷体" w:eastAsia="楷体" w:cs="楷体"/>
          <w:color w:val="auto"/>
          <w:sz w:val="18"/>
          <w:szCs w:val="20"/>
          <w:highlight w:val="none"/>
        </w:rPr>
        <w:t xml:space="preserve"> Ⅰ胡杨林区；Ⅱ柽柳灌丛区；Ⅲ荒漠区。</w:t>
      </w:r>
    </w:p>
    <w:p w14:paraId="00668267">
      <w:pPr>
        <w:widowControl w:val="0"/>
        <w:spacing w:line="360" w:lineRule="auto"/>
        <w:ind w:firstLine="480" w:firstLineChars="200"/>
        <w:jc w:val="both"/>
        <w:rPr>
          <w:rFonts w:hint="eastAsia" w:ascii="Times New Roman" w:hAnsi="Times New Roman" w:eastAsia="宋体" w:cs="Times New Roman"/>
          <w:b w:val="0"/>
          <w:bCs w:val="0"/>
          <w:color w:val="auto"/>
          <w:kern w:val="2"/>
          <w:szCs w:val="20"/>
          <w:highlight w:val="none"/>
          <w:lang w:val="zh-CN"/>
        </w:rPr>
      </w:pPr>
      <w:r>
        <w:rPr>
          <w:rFonts w:hint="eastAsia" w:ascii="Times New Roman" w:hAnsi="Times New Roman" w:eastAsia="宋体" w:cs="Times New Roman"/>
          <w:b w:val="0"/>
          <w:bCs w:val="0"/>
          <w:color w:val="auto"/>
          <w:kern w:val="2"/>
          <w:szCs w:val="20"/>
          <w:highlight w:val="none"/>
          <w:lang w:val="zh-CN"/>
        </w:rPr>
        <w:t>（</w:t>
      </w:r>
      <w:r>
        <w:rPr>
          <w:rFonts w:hint="eastAsia" w:cs="Times New Roman"/>
          <w:b w:val="0"/>
          <w:bCs w:val="0"/>
          <w:color w:val="auto"/>
          <w:kern w:val="2"/>
          <w:szCs w:val="20"/>
          <w:highlight w:val="none"/>
          <w:lang w:val="en-US" w:eastAsia="zh-CN"/>
        </w:rPr>
        <w:t>3</w:t>
      </w:r>
      <w:r>
        <w:rPr>
          <w:rFonts w:hint="eastAsia" w:ascii="Times New Roman" w:hAnsi="Times New Roman" w:eastAsia="宋体" w:cs="Times New Roman"/>
          <w:b w:val="0"/>
          <w:bCs w:val="0"/>
          <w:color w:val="auto"/>
          <w:kern w:val="2"/>
          <w:szCs w:val="20"/>
          <w:highlight w:val="none"/>
          <w:lang w:val="zh-CN"/>
        </w:rPr>
        <w:t>）项目区野生动物分布情况调查</w:t>
      </w:r>
    </w:p>
    <w:p w14:paraId="729E287A">
      <w:pPr>
        <w:widowControl w:val="0"/>
        <w:spacing w:line="360" w:lineRule="auto"/>
        <w:ind w:firstLine="480" w:firstLineChars="200"/>
        <w:jc w:val="both"/>
        <w:rPr>
          <w:rFonts w:hint="eastAsia" w:ascii="Times New Roman" w:hAnsi="Times New Roman" w:eastAsia="宋体" w:cs="Times New Roman"/>
          <w:color w:val="auto"/>
          <w:kern w:val="2"/>
          <w:szCs w:val="20"/>
          <w:highlight w:val="none"/>
          <w:lang w:val="zh-CN"/>
        </w:rPr>
      </w:pPr>
      <w:r>
        <w:rPr>
          <w:rFonts w:hint="eastAsia" w:ascii="Times New Roman" w:hAnsi="Times New Roman" w:eastAsia="宋体" w:cs="Times New Roman"/>
          <w:color w:val="auto"/>
          <w:kern w:val="2"/>
          <w:szCs w:val="20"/>
          <w:highlight w:val="none"/>
          <w:lang w:val="zh-CN"/>
        </w:rPr>
        <w:t>按照《生物多样性观测技术导则 陆生哺乳动物</w:t>
      </w:r>
      <w:r>
        <w:rPr>
          <w:rFonts w:hint="eastAsia" w:cs="Times New Roman"/>
          <w:color w:val="auto"/>
          <w:kern w:val="2"/>
          <w:szCs w:val="20"/>
          <w:highlight w:val="none"/>
          <w:lang w:val="zh-CN"/>
        </w:rPr>
        <w:t>（</w:t>
      </w:r>
      <w:r>
        <w:rPr>
          <w:rFonts w:hint="eastAsia" w:ascii="Times New Roman" w:hAnsi="Times New Roman" w:eastAsia="宋体" w:cs="Times New Roman"/>
          <w:color w:val="auto"/>
          <w:kern w:val="2"/>
          <w:szCs w:val="20"/>
          <w:highlight w:val="none"/>
          <w:lang w:val="zh-CN"/>
        </w:rPr>
        <w:t xml:space="preserve"> HJ 710.3-2014）》《生物多样性观测技术导则 鸟类</w:t>
      </w:r>
      <w:r>
        <w:rPr>
          <w:rFonts w:hint="eastAsia" w:cs="Times New Roman"/>
          <w:color w:val="auto"/>
          <w:kern w:val="2"/>
          <w:szCs w:val="20"/>
          <w:highlight w:val="none"/>
          <w:lang w:val="zh-CN"/>
        </w:rPr>
        <w:t>（</w:t>
      </w:r>
      <w:r>
        <w:rPr>
          <w:rFonts w:hint="eastAsia" w:ascii="Times New Roman" w:hAnsi="Times New Roman" w:eastAsia="宋体" w:cs="Times New Roman"/>
          <w:color w:val="auto"/>
          <w:kern w:val="2"/>
          <w:szCs w:val="20"/>
          <w:highlight w:val="none"/>
          <w:lang w:val="zh-CN"/>
        </w:rPr>
        <w:t xml:space="preserve"> HJ 710.4-2014）》《生物多样性观测技术导则 爬行动物</w:t>
      </w:r>
      <w:r>
        <w:rPr>
          <w:rFonts w:hint="eastAsia" w:cs="Times New Roman"/>
          <w:color w:val="auto"/>
          <w:kern w:val="2"/>
          <w:szCs w:val="20"/>
          <w:highlight w:val="none"/>
          <w:lang w:val="zh-CN"/>
        </w:rPr>
        <w:t>（</w:t>
      </w:r>
      <w:r>
        <w:rPr>
          <w:rFonts w:hint="eastAsia" w:ascii="Times New Roman" w:hAnsi="Times New Roman" w:eastAsia="宋体" w:cs="Times New Roman"/>
          <w:color w:val="auto"/>
          <w:kern w:val="2"/>
          <w:szCs w:val="20"/>
          <w:highlight w:val="none"/>
          <w:lang w:val="zh-CN"/>
        </w:rPr>
        <w:t xml:space="preserve"> HJ 710.5-2014）》《生物多样性观测技术导则 两栖动物</w:t>
      </w:r>
      <w:r>
        <w:rPr>
          <w:rFonts w:hint="eastAsia" w:cs="Times New Roman"/>
          <w:color w:val="auto"/>
          <w:kern w:val="2"/>
          <w:szCs w:val="20"/>
          <w:highlight w:val="none"/>
          <w:lang w:val="zh-CN"/>
        </w:rPr>
        <w:t>（</w:t>
      </w:r>
      <w:r>
        <w:rPr>
          <w:rFonts w:hint="eastAsia" w:ascii="Times New Roman" w:hAnsi="Times New Roman" w:eastAsia="宋体" w:cs="Times New Roman"/>
          <w:color w:val="auto"/>
          <w:kern w:val="2"/>
          <w:szCs w:val="20"/>
          <w:highlight w:val="none"/>
          <w:lang w:val="zh-CN"/>
        </w:rPr>
        <w:t xml:space="preserve"> HJ 710.6-2014）》等确定的技术方法，对评价区域各类野生动物开展了调查。</w:t>
      </w:r>
    </w:p>
    <w:p w14:paraId="36460385">
      <w:pPr>
        <w:widowControl w:val="0"/>
        <w:spacing w:line="360" w:lineRule="auto"/>
        <w:ind w:firstLine="480" w:firstLineChars="200"/>
        <w:jc w:val="both"/>
        <w:rPr>
          <w:rFonts w:hint="eastAsia" w:ascii="Times New Roman" w:hAnsi="Times New Roman" w:eastAsia="宋体" w:cs="Times New Roman"/>
          <w:color w:val="auto"/>
          <w:kern w:val="2"/>
          <w:szCs w:val="20"/>
          <w:highlight w:val="none"/>
          <w:lang w:val="zh-CN"/>
        </w:rPr>
      </w:pPr>
      <w:r>
        <w:rPr>
          <w:rFonts w:hint="eastAsia" w:ascii="Times New Roman" w:hAnsi="Times New Roman" w:eastAsia="宋体" w:cs="Times New Roman"/>
          <w:color w:val="auto"/>
          <w:kern w:val="2"/>
          <w:szCs w:val="20"/>
          <w:highlight w:val="none"/>
          <w:lang w:val="zh-CN"/>
        </w:rPr>
        <w:t>野生动物调查主要采用样线法，样线法是指观测者在观测样地内沿着选定的一条线路记录一定空间范围内出现的物种相关信息的方法。按照评价区域</w:t>
      </w:r>
      <w:r>
        <w:rPr>
          <w:rFonts w:hint="eastAsia" w:cs="Times New Roman"/>
          <w:color w:val="auto"/>
          <w:kern w:val="2"/>
          <w:szCs w:val="20"/>
          <w:highlight w:val="none"/>
          <w:lang w:val="en-US" w:eastAsia="zh-CN"/>
        </w:rPr>
        <w:t>每种</w:t>
      </w:r>
      <w:r>
        <w:rPr>
          <w:rFonts w:hint="eastAsia" w:ascii="Times New Roman" w:hAnsi="Times New Roman" w:eastAsia="宋体" w:cs="Times New Roman"/>
          <w:color w:val="auto"/>
          <w:kern w:val="2"/>
          <w:szCs w:val="20"/>
          <w:highlight w:val="none"/>
          <w:lang w:val="zh-CN"/>
        </w:rPr>
        <w:t>生境类型分别设置3条样线</w:t>
      </w:r>
      <w:r>
        <w:rPr>
          <w:rFonts w:hint="eastAsia" w:cs="Times New Roman"/>
          <w:color w:val="auto"/>
          <w:kern w:val="2"/>
          <w:szCs w:val="20"/>
          <w:highlight w:val="none"/>
          <w:lang w:val="zh-CN"/>
        </w:rPr>
        <w:t>的</w:t>
      </w:r>
      <w:r>
        <w:rPr>
          <w:rFonts w:hint="eastAsia" w:cs="Times New Roman"/>
          <w:color w:val="auto"/>
          <w:kern w:val="2"/>
          <w:szCs w:val="20"/>
          <w:highlight w:val="none"/>
          <w:lang w:val="en-US" w:eastAsia="zh-CN"/>
        </w:rPr>
        <w:t>原则设置</w:t>
      </w:r>
      <w:r>
        <w:rPr>
          <w:rFonts w:hint="eastAsia" w:ascii="Times New Roman" w:hAnsi="Times New Roman" w:eastAsia="宋体" w:cs="Times New Roman"/>
          <w:color w:val="auto"/>
          <w:kern w:val="2"/>
          <w:szCs w:val="20"/>
          <w:highlight w:val="none"/>
          <w:lang w:val="zh-CN"/>
        </w:rPr>
        <w:t>，每条样线500m左右，观测时行进速度1.5-3km/h。针对一些不容易捕捉的哺乳动物及两栖类动物，借助其遗留下的且易于鉴定的活动痕迹，推测动物的种类，估算其种类和数量。本次调查发现了一些野生动物的粪便、毛发等痕迹及多处动物巢穴。本次调查使用8倍双筒望远镜，观测到的主要为野生鸟类和爬行类。</w:t>
      </w:r>
    </w:p>
    <w:p w14:paraId="1E9B75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kern w:val="2"/>
          <w:szCs w:val="20"/>
          <w:highlight w:val="none"/>
          <w:lang w:val="zh-CN"/>
        </w:rPr>
        <w:t>本次野生动物调查在评价区域共设置了</w:t>
      </w:r>
      <w:r>
        <w:rPr>
          <w:rFonts w:hint="eastAsia" w:cs="Times New Roman"/>
          <w:color w:val="auto"/>
          <w:kern w:val="2"/>
          <w:szCs w:val="20"/>
          <w:highlight w:val="none"/>
          <w:lang w:val="en-US" w:eastAsia="zh-CN"/>
        </w:rPr>
        <w:t>9</w:t>
      </w:r>
      <w:r>
        <w:rPr>
          <w:rFonts w:hint="eastAsia" w:ascii="Times New Roman" w:hAnsi="Times New Roman" w:eastAsia="宋体" w:cs="Times New Roman"/>
          <w:color w:val="auto"/>
          <w:kern w:val="2"/>
          <w:szCs w:val="20"/>
          <w:highlight w:val="none"/>
          <w:lang w:val="zh-CN"/>
        </w:rPr>
        <w:t>条样线</w:t>
      </w:r>
      <w:r>
        <w:rPr>
          <w:rFonts w:hint="eastAsia" w:cs="Times New Roman"/>
          <w:color w:val="auto"/>
          <w:kern w:val="2"/>
          <w:szCs w:val="20"/>
          <w:highlight w:val="none"/>
          <w:lang w:val="zh-CN"/>
        </w:rPr>
        <w:t>，</w:t>
      </w:r>
      <w:r>
        <w:rPr>
          <w:rFonts w:hint="eastAsia" w:ascii="Times New Roman" w:hAnsi="Times New Roman" w:eastAsia="宋体" w:cs="Times New Roman"/>
          <w:color w:val="auto"/>
          <w:kern w:val="2"/>
          <w:szCs w:val="21"/>
          <w:highlight w:val="none"/>
        </w:rPr>
        <w:t>鸟类共观测到麻雀、喜鹊、凤头百灵、灰斑鸠等</w:t>
      </w:r>
      <w:r>
        <w:rPr>
          <w:rFonts w:hint="eastAsia" w:ascii="Times New Roman" w:hAnsi="Times New Roman" w:eastAsia="宋体" w:cs="Times New Roman"/>
          <w:color w:val="auto"/>
          <w:kern w:val="2"/>
          <w:szCs w:val="21"/>
          <w:highlight w:val="none"/>
          <w:lang w:val="en-US" w:eastAsia="zh-CN"/>
        </w:rPr>
        <w:t>4</w:t>
      </w:r>
      <w:r>
        <w:rPr>
          <w:rFonts w:hint="eastAsia" w:ascii="Times New Roman" w:hAnsi="Times New Roman" w:eastAsia="宋体" w:cs="Times New Roman"/>
          <w:color w:val="auto"/>
          <w:kern w:val="2"/>
          <w:szCs w:val="21"/>
          <w:highlight w:val="none"/>
        </w:rPr>
        <w:t>种，两栖动物密点麻蜥、荒漠麻蜥等</w:t>
      </w:r>
      <w:r>
        <w:rPr>
          <w:rFonts w:hint="eastAsia" w:ascii="Times New Roman" w:hAnsi="Times New Roman" w:eastAsia="宋体" w:cs="Times New Roman"/>
          <w:color w:val="auto"/>
          <w:kern w:val="2"/>
          <w:szCs w:val="21"/>
          <w:highlight w:val="none"/>
          <w:lang w:val="en-US" w:eastAsia="zh-CN"/>
        </w:rPr>
        <w:t>2</w:t>
      </w:r>
      <w:r>
        <w:rPr>
          <w:rFonts w:hint="eastAsia" w:ascii="Times New Roman" w:hAnsi="Times New Roman" w:eastAsia="宋体" w:cs="Times New Roman"/>
          <w:color w:val="auto"/>
          <w:kern w:val="2"/>
          <w:szCs w:val="21"/>
          <w:highlight w:val="none"/>
        </w:rPr>
        <w:t>种</w:t>
      </w:r>
      <w:r>
        <w:rPr>
          <w:rFonts w:hint="eastAsia" w:cs="Times New Roman"/>
          <w:color w:val="auto"/>
          <w:highlight w:val="none"/>
          <w:lang w:eastAsia="zh-CN"/>
        </w:rPr>
        <w:t>。</w:t>
      </w:r>
    </w:p>
    <w:p w14:paraId="2BBE5BBA">
      <w:pPr>
        <w:widowControl w:val="0"/>
        <w:tabs>
          <w:tab w:val="left" w:pos="3465"/>
        </w:tabs>
        <w:spacing w:line="360" w:lineRule="auto"/>
        <w:jc w:val="both"/>
        <w:outlineLvl w:val="2"/>
        <w:rPr>
          <w:rFonts w:hint="default" w:ascii="Times New Roman" w:hAnsi="Times New Roman" w:eastAsia="宋体" w:cs="Times New Roman"/>
          <w:b/>
          <w:color w:val="auto"/>
          <w:kern w:val="2"/>
          <w:sz w:val="28"/>
          <w:szCs w:val="28"/>
          <w:highlight w:val="none"/>
        </w:rPr>
      </w:pPr>
      <w:bookmarkStart w:id="454" w:name="_Toc20148"/>
      <w:r>
        <w:rPr>
          <w:rFonts w:hint="eastAsia" w:ascii="Times New Roman" w:hAnsi="Times New Roman" w:eastAsia="宋体" w:cs="Times New Roman"/>
          <w:b/>
          <w:color w:val="auto"/>
          <w:kern w:val="2"/>
          <w:sz w:val="28"/>
          <w:szCs w:val="28"/>
          <w:highlight w:val="none"/>
          <w:lang w:eastAsia="zh-CN"/>
        </w:rPr>
        <w:t>4.</w:t>
      </w:r>
      <w:r>
        <w:rPr>
          <w:rFonts w:hint="eastAsia" w:ascii="Times New Roman" w:hAnsi="Times New Roman" w:eastAsia="宋体" w:cs="Times New Roman"/>
          <w:b/>
          <w:color w:val="auto"/>
          <w:kern w:val="2"/>
          <w:sz w:val="28"/>
          <w:szCs w:val="28"/>
          <w:highlight w:val="none"/>
          <w:lang w:val="en-US" w:eastAsia="zh-CN"/>
        </w:rPr>
        <w:t>6</w:t>
      </w:r>
      <w:r>
        <w:rPr>
          <w:rFonts w:hint="default" w:ascii="Times New Roman" w:hAnsi="Times New Roman" w:eastAsia="宋体" w:cs="Times New Roman"/>
          <w:b/>
          <w:color w:val="auto"/>
          <w:kern w:val="2"/>
          <w:sz w:val="28"/>
          <w:szCs w:val="28"/>
          <w:highlight w:val="none"/>
        </w:rPr>
        <w:t>.</w:t>
      </w:r>
      <w:r>
        <w:rPr>
          <w:rFonts w:hint="eastAsia" w:cs="Times New Roman"/>
          <w:b/>
          <w:color w:val="auto"/>
          <w:kern w:val="2"/>
          <w:sz w:val="28"/>
          <w:szCs w:val="28"/>
          <w:highlight w:val="none"/>
          <w:lang w:val="en-US" w:eastAsia="zh-CN"/>
        </w:rPr>
        <w:t>5</w:t>
      </w:r>
      <w:r>
        <w:rPr>
          <w:rFonts w:hint="default" w:ascii="Times New Roman" w:hAnsi="Times New Roman" w:eastAsia="宋体" w:cs="Times New Roman"/>
          <w:b/>
          <w:color w:val="auto"/>
          <w:kern w:val="2"/>
          <w:sz w:val="28"/>
          <w:szCs w:val="28"/>
          <w:highlight w:val="none"/>
        </w:rPr>
        <w:t>评价区域生态保护目标调查及评价</w:t>
      </w:r>
    </w:p>
    <w:p w14:paraId="1C7D38D2">
      <w:pPr>
        <w:pStyle w:val="83"/>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outlineLvl w:val="9"/>
        <w:rPr>
          <w:rFonts w:hint="eastAsia" w:cs="Times New Roman"/>
          <w:color w:val="auto"/>
          <w:szCs w:val="20"/>
          <w:highlight w:val="none"/>
          <w:lang w:val="en-US" w:eastAsia="zh-CN"/>
        </w:rPr>
      </w:pPr>
      <w:r>
        <w:rPr>
          <w:rFonts w:hint="eastAsia" w:cs="Times New Roman"/>
          <w:color w:val="auto"/>
          <w:szCs w:val="20"/>
          <w:highlight w:val="none"/>
          <w:lang w:val="en-US" w:eastAsia="zh-CN"/>
        </w:rPr>
        <w:t>根据《环境影响评价技术导则 生态影响》（HJ19-2022），生态保护目标主要为受影响的重要物种、其他需要保护的物种、种群、生物群落及生态空间等。</w:t>
      </w:r>
    </w:p>
    <w:p w14:paraId="23A95622">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4.6.5.1</w:t>
      </w:r>
      <w:r>
        <w:rPr>
          <w:rFonts w:hint="eastAsia" w:ascii="Times New Roman" w:hAnsi="Times New Roman" w:eastAsia="宋体" w:cs="Times New Roman"/>
          <w:color w:val="auto"/>
          <w:highlight w:val="none"/>
          <w:lang w:eastAsia="zh-CN"/>
        </w:rPr>
        <w:t>重要物种</w:t>
      </w:r>
    </w:p>
    <w:p w14:paraId="64482689">
      <w:pPr>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rPr>
        <w:t>（1）保护植物</w:t>
      </w:r>
    </w:p>
    <w:p w14:paraId="1CB23320">
      <w:pPr>
        <w:spacing w:line="360" w:lineRule="auto"/>
        <w:ind w:firstLine="480" w:firstLineChars="200"/>
        <w:jc w:val="both"/>
        <w:rPr>
          <w:rFonts w:hint="eastAsia" w:ascii="Times New Roman" w:hAnsi="Times New Roman" w:eastAsia="宋体" w:cs="Times New Roman"/>
          <w:color w:val="auto"/>
          <w:szCs w:val="28"/>
          <w:highlight w:val="none"/>
          <w:lang w:eastAsia="zh-CN"/>
        </w:rPr>
      </w:pPr>
      <w:r>
        <w:rPr>
          <w:rFonts w:hint="eastAsia" w:ascii="Times New Roman" w:hAnsi="Times New Roman" w:eastAsia="宋体" w:cs="Times New Roman"/>
          <w:color w:val="auto"/>
          <w:kern w:val="2"/>
          <w:sz w:val="24"/>
          <w:szCs w:val="24"/>
          <w:highlight w:val="none"/>
          <w:lang w:val="en-US" w:eastAsia="zh-CN"/>
        </w:rPr>
        <w:t>根据《新疆维吾尔自治区人民政府关于公布新疆维吾尔自治区重点保护野生植物名录的通知》</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新政发〔20</w:t>
      </w:r>
      <w:r>
        <w:rPr>
          <w:rFonts w:hint="eastAsia" w:cs="Times New Roman"/>
          <w:color w:val="auto"/>
          <w:kern w:val="2"/>
          <w:sz w:val="24"/>
          <w:szCs w:val="24"/>
          <w:highlight w:val="none"/>
          <w:lang w:val="en-US" w:eastAsia="zh-CN"/>
        </w:rPr>
        <w:t>23</w:t>
      </w:r>
      <w:r>
        <w:rPr>
          <w:rFonts w:hint="eastAsia" w:ascii="Times New Roman" w:hAnsi="Times New Roman" w:eastAsia="宋体" w:cs="Times New Roman"/>
          <w:color w:val="auto"/>
          <w:kern w:val="2"/>
          <w:sz w:val="24"/>
          <w:szCs w:val="24"/>
          <w:highlight w:val="none"/>
          <w:lang w:val="en-US" w:eastAsia="zh-CN"/>
        </w:rPr>
        <w:t>〕63号</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及《关于印发</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新疆国家重点保护野生植物名录</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的通知》</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新林护字〔20</w:t>
      </w:r>
      <w:r>
        <w:rPr>
          <w:rFonts w:hint="eastAsia" w:cs="Times New Roman"/>
          <w:color w:val="auto"/>
          <w:kern w:val="2"/>
          <w:sz w:val="24"/>
          <w:szCs w:val="24"/>
          <w:highlight w:val="none"/>
          <w:lang w:val="en-US" w:eastAsia="zh-CN"/>
        </w:rPr>
        <w:t>22</w:t>
      </w:r>
      <w:r>
        <w:rPr>
          <w:rFonts w:hint="eastAsia" w:ascii="Times New Roman" w:hAnsi="Times New Roman" w:eastAsia="宋体" w:cs="Times New Roman"/>
          <w:color w:val="auto"/>
          <w:kern w:val="2"/>
          <w:sz w:val="24"/>
          <w:szCs w:val="24"/>
          <w:highlight w:val="none"/>
          <w:lang w:val="en-US" w:eastAsia="zh-CN"/>
        </w:rPr>
        <w:t>〕8号</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，区域内分布的国家</w:t>
      </w:r>
      <w:r>
        <w:rPr>
          <w:rFonts w:hint="eastAsia" w:cs="Times New Roman"/>
          <w:color w:val="auto"/>
          <w:kern w:val="2"/>
          <w:sz w:val="24"/>
          <w:szCs w:val="24"/>
          <w:highlight w:val="none"/>
          <w:lang w:val="en-US" w:eastAsia="zh-CN"/>
        </w:rPr>
        <w:t>二级</w:t>
      </w:r>
      <w:r>
        <w:rPr>
          <w:rFonts w:hint="eastAsia" w:ascii="Times New Roman" w:hAnsi="Times New Roman" w:eastAsia="宋体" w:cs="Times New Roman"/>
          <w:color w:val="auto"/>
          <w:kern w:val="2"/>
          <w:sz w:val="24"/>
          <w:szCs w:val="24"/>
          <w:highlight w:val="none"/>
          <w:lang w:val="en-US" w:eastAsia="zh-CN"/>
        </w:rPr>
        <w:t>保护植物胀果甘草、黑果枸杞、肉苁蓉，灰胡杨为自治区</w:t>
      </w:r>
      <w:r>
        <w:rPr>
          <w:rFonts w:hint="eastAsia" w:cs="Times New Roman"/>
          <w:color w:val="auto"/>
          <w:kern w:val="2"/>
          <w:sz w:val="24"/>
          <w:szCs w:val="24"/>
          <w:highlight w:val="none"/>
          <w:lang w:val="en-US" w:eastAsia="zh-CN"/>
        </w:rPr>
        <w:t>二级</w:t>
      </w:r>
      <w:r>
        <w:rPr>
          <w:rFonts w:hint="eastAsia" w:ascii="Times New Roman" w:hAnsi="Times New Roman" w:eastAsia="宋体" w:cs="Times New Roman"/>
          <w:color w:val="auto"/>
          <w:kern w:val="2"/>
          <w:sz w:val="24"/>
          <w:szCs w:val="24"/>
          <w:highlight w:val="none"/>
          <w:lang w:val="en-US" w:eastAsia="zh-CN"/>
        </w:rPr>
        <w:t>保护植物。</w:t>
      </w:r>
      <w:r>
        <w:rPr>
          <w:rFonts w:hint="eastAsia" w:ascii="Times New Roman" w:hAnsi="Times New Roman" w:eastAsia="宋体" w:cs="Times New Roman"/>
          <w:color w:val="auto"/>
          <w:szCs w:val="28"/>
          <w:highlight w:val="none"/>
          <w:lang w:val="en-US" w:eastAsia="zh-CN"/>
        </w:rPr>
        <w:t>详见表4.3-</w:t>
      </w:r>
      <w:r>
        <w:rPr>
          <w:rFonts w:hint="eastAsia" w:cs="Times New Roman"/>
          <w:color w:val="auto"/>
          <w:szCs w:val="28"/>
          <w:highlight w:val="none"/>
          <w:lang w:val="en-US" w:eastAsia="zh-CN"/>
        </w:rPr>
        <w:t>10</w:t>
      </w:r>
      <w:r>
        <w:rPr>
          <w:rFonts w:hint="eastAsia" w:ascii="Times New Roman" w:hAnsi="Times New Roman" w:eastAsia="宋体" w:cs="Times New Roman"/>
          <w:color w:val="auto"/>
          <w:szCs w:val="28"/>
          <w:highlight w:val="none"/>
          <w:lang w:eastAsia="zh-CN"/>
        </w:rPr>
        <w:t>。</w:t>
      </w:r>
    </w:p>
    <w:p w14:paraId="06B66515">
      <w:pPr>
        <w:adjustRightInd w:val="0"/>
        <w:snapToGrid w:val="0"/>
        <w:jc w:val="center"/>
        <w:rPr>
          <w:rFonts w:hint="eastAsia" w:ascii="黑体" w:hAnsi="黑体" w:eastAsia="黑体" w:cs="黑体"/>
          <w:b w:val="0"/>
          <w:bCs/>
          <w:color w:val="auto"/>
          <w:sz w:val="21"/>
          <w:szCs w:val="16"/>
          <w:highlight w:val="none"/>
          <w:lang w:val="zh-CN"/>
        </w:rPr>
      </w:pPr>
      <w:r>
        <w:rPr>
          <w:rFonts w:hint="eastAsia" w:ascii="黑体" w:hAnsi="黑体" w:eastAsia="黑体" w:cs="黑体"/>
          <w:b w:val="0"/>
          <w:bCs/>
          <w:color w:val="auto"/>
          <w:sz w:val="21"/>
          <w:szCs w:val="16"/>
          <w:highlight w:val="none"/>
          <w:lang w:val="zh-CN"/>
        </w:rPr>
        <w:t>表4.</w:t>
      </w:r>
      <w:r>
        <w:rPr>
          <w:rFonts w:hint="eastAsia" w:ascii="黑体" w:hAnsi="黑体" w:eastAsia="黑体" w:cs="黑体"/>
          <w:b w:val="0"/>
          <w:bCs/>
          <w:color w:val="auto"/>
          <w:sz w:val="21"/>
          <w:szCs w:val="16"/>
          <w:highlight w:val="none"/>
          <w:lang w:val="en-US" w:eastAsia="zh-CN"/>
        </w:rPr>
        <w:t>3-10</w:t>
      </w:r>
      <w:r>
        <w:rPr>
          <w:rFonts w:hint="eastAsia" w:ascii="黑体" w:hAnsi="黑体" w:eastAsia="黑体" w:cs="黑体"/>
          <w:b w:val="0"/>
          <w:bCs/>
          <w:color w:val="auto"/>
          <w:sz w:val="21"/>
          <w:szCs w:val="16"/>
          <w:highlight w:val="none"/>
          <w:lang w:val="zh-CN"/>
        </w:rPr>
        <w:t xml:space="preserve">  重点保护野生植物</w:t>
      </w:r>
      <w:r>
        <w:rPr>
          <w:rFonts w:hint="eastAsia" w:ascii="黑体" w:hAnsi="黑体" w:eastAsia="黑体" w:cs="黑体"/>
          <w:b w:val="0"/>
          <w:bCs/>
          <w:color w:val="auto"/>
          <w:sz w:val="21"/>
          <w:szCs w:val="16"/>
          <w:highlight w:val="none"/>
        </w:rPr>
        <w:t>分布</w:t>
      </w:r>
      <w:r>
        <w:rPr>
          <w:rFonts w:hint="eastAsia" w:ascii="黑体" w:hAnsi="黑体" w:eastAsia="黑体" w:cs="黑体"/>
          <w:b w:val="0"/>
          <w:bCs/>
          <w:color w:val="auto"/>
          <w:sz w:val="21"/>
          <w:szCs w:val="16"/>
          <w:highlight w:val="none"/>
          <w:lang w:val="zh-CN"/>
        </w:rPr>
        <w:t>表</w:t>
      </w:r>
    </w:p>
    <w:tbl>
      <w:tblPr>
        <w:tblStyle w:val="35"/>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52"/>
        <w:gridCol w:w="1244"/>
        <w:gridCol w:w="900"/>
        <w:gridCol w:w="652"/>
        <w:gridCol w:w="724"/>
        <w:gridCol w:w="1054"/>
        <w:gridCol w:w="1708"/>
        <w:gridCol w:w="701"/>
        <w:gridCol w:w="919"/>
      </w:tblGrid>
      <w:tr w14:paraId="7E8F7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0" w:type="pct"/>
            <w:vAlign w:val="center"/>
          </w:tcPr>
          <w:p w14:paraId="1103DC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序号</w:t>
            </w:r>
          </w:p>
        </w:tc>
        <w:tc>
          <w:tcPr>
            <w:tcW w:w="745" w:type="pct"/>
            <w:vAlign w:val="center"/>
          </w:tcPr>
          <w:p w14:paraId="6C8E22B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物种名称</w:t>
            </w:r>
            <w:r>
              <w:rPr>
                <w:rFonts w:hint="eastAsia"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中文名/拉丁名</w:t>
            </w:r>
            <w:r>
              <w:rPr>
                <w:rFonts w:hint="eastAsia" w:cs="Times New Roman"/>
                <w:color w:val="auto"/>
                <w:kern w:val="2"/>
                <w:sz w:val="21"/>
                <w:szCs w:val="21"/>
                <w:highlight w:val="none"/>
                <w:lang w:eastAsia="zh-CN"/>
              </w:rPr>
              <w:t>）</w:t>
            </w:r>
          </w:p>
        </w:tc>
        <w:tc>
          <w:tcPr>
            <w:tcW w:w="538" w:type="pct"/>
            <w:vAlign w:val="center"/>
          </w:tcPr>
          <w:p w14:paraId="4A361C4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保护级别</w:t>
            </w:r>
          </w:p>
        </w:tc>
        <w:tc>
          <w:tcPr>
            <w:tcW w:w="390" w:type="pct"/>
            <w:vAlign w:val="center"/>
          </w:tcPr>
          <w:p w14:paraId="2E1DB5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濒危级别</w:t>
            </w:r>
          </w:p>
        </w:tc>
        <w:tc>
          <w:tcPr>
            <w:tcW w:w="433" w:type="pct"/>
            <w:vAlign w:val="center"/>
          </w:tcPr>
          <w:p w14:paraId="61FA7F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特有种</w:t>
            </w:r>
            <w:r>
              <w:rPr>
                <w:rFonts w:hint="eastAsia"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是/否</w:t>
            </w:r>
            <w:r>
              <w:rPr>
                <w:rFonts w:hint="eastAsia" w:cs="Times New Roman"/>
                <w:color w:val="auto"/>
                <w:kern w:val="2"/>
                <w:sz w:val="21"/>
                <w:szCs w:val="21"/>
                <w:highlight w:val="none"/>
                <w:lang w:eastAsia="zh-CN"/>
              </w:rPr>
              <w:t>）</w:t>
            </w:r>
          </w:p>
        </w:tc>
        <w:tc>
          <w:tcPr>
            <w:tcW w:w="630" w:type="pct"/>
            <w:vAlign w:val="center"/>
          </w:tcPr>
          <w:p w14:paraId="1356E8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极小种群野生植物</w:t>
            </w:r>
            <w:r>
              <w:rPr>
                <w:rFonts w:hint="eastAsia"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是/否</w:t>
            </w:r>
            <w:r>
              <w:rPr>
                <w:rFonts w:hint="eastAsia" w:cs="Times New Roman"/>
                <w:color w:val="auto"/>
                <w:kern w:val="2"/>
                <w:sz w:val="21"/>
                <w:szCs w:val="21"/>
                <w:highlight w:val="none"/>
                <w:lang w:eastAsia="zh-CN"/>
              </w:rPr>
              <w:t>）</w:t>
            </w:r>
          </w:p>
        </w:tc>
        <w:tc>
          <w:tcPr>
            <w:tcW w:w="1022" w:type="pct"/>
            <w:vAlign w:val="center"/>
          </w:tcPr>
          <w:p w14:paraId="7D211B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分布区域</w:t>
            </w:r>
          </w:p>
        </w:tc>
        <w:tc>
          <w:tcPr>
            <w:tcW w:w="419" w:type="pct"/>
            <w:vAlign w:val="center"/>
          </w:tcPr>
          <w:p w14:paraId="584652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资料来源</w:t>
            </w:r>
          </w:p>
        </w:tc>
        <w:tc>
          <w:tcPr>
            <w:tcW w:w="550" w:type="pct"/>
            <w:vAlign w:val="center"/>
          </w:tcPr>
          <w:p w14:paraId="4ECF06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工程占用情况</w:t>
            </w:r>
            <w:r>
              <w:rPr>
                <w:rFonts w:hint="eastAsia"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是/否</w:t>
            </w:r>
            <w:r>
              <w:rPr>
                <w:rFonts w:hint="eastAsia" w:cs="Times New Roman"/>
                <w:color w:val="auto"/>
                <w:kern w:val="2"/>
                <w:sz w:val="21"/>
                <w:szCs w:val="21"/>
                <w:highlight w:val="none"/>
                <w:lang w:eastAsia="zh-CN"/>
              </w:rPr>
              <w:t>）</w:t>
            </w:r>
          </w:p>
        </w:tc>
      </w:tr>
      <w:tr w14:paraId="2E4F8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69" w:hRule="atLeast"/>
          <w:jc w:val="center"/>
        </w:trPr>
        <w:tc>
          <w:tcPr>
            <w:tcW w:w="270" w:type="pct"/>
            <w:vAlign w:val="center"/>
          </w:tcPr>
          <w:p w14:paraId="1B2C5C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w:t>
            </w:r>
          </w:p>
        </w:tc>
        <w:tc>
          <w:tcPr>
            <w:tcW w:w="745" w:type="pct"/>
            <w:vAlign w:val="center"/>
          </w:tcPr>
          <w:p w14:paraId="7DB07543">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rPr>
              <w:t>胀果甘草</w:t>
            </w:r>
            <w:r>
              <w:rPr>
                <w:rFonts w:hint="eastAsia" w:cs="Times New Roman"/>
                <w:color w:val="auto"/>
                <w:kern w:val="2"/>
                <w:sz w:val="21"/>
                <w:szCs w:val="21"/>
                <w:highlight w:val="none"/>
                <w:lang w:eastAsia="zh-CN"/>
              </w:rPr>
              <w:t>（</w:t>
            </w:r>
            <w:r>
              <w:rPr>
                <w:rFonts w:hint="eastAsia" w:cs="Times New Roman"/>
                <w:i/>
                <w:iCs/>
                <w:color w:val="auto"/>
                <w:kern w:val="2"/>
                <w:sz w:val="21"/>
                <w:szCs w:val="21"/>
                <w:highlight w:val="none"/>
                <w:lang w:eastAsia="zh-CN"/>
              </w:rPr>
              <w:t>Glycyrrhiza inflata</w:t>
            </w:r>
            <w:r>
              <w:rPr>
                <w:rFonts w:hint="eastAsia" w:cs="Times New Roman"/>
                <w:color w:val="auto"/>
                <w:kern w:val="2"/>
                <w:sz w:val="21"/>
                <w:szCs w:val="21"/>
                <w:highlight w:val="none"/>
                <w:lang w:eastAsia="zh-CN"/>
              </w:rPr>
              <w:t>）</w:t>
            </w:r>
          </w:p>
        </w:tc>
        <w:tc>
          <w:tcPr>
            <w:tcW w:w="538" w:type="pct"/>
            <w:vAlign w:val="center"/>
          </w:tcPr>
          <w:p w14:paraId="7783DF0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rPr>
              <w:t>国家</w:t>
            </w:r>
            <w:r>
              <w:rPr>
                <w:rFonts w:hint="eastAsia" w:cs="Times New Roman"/>
                <w:color w:val="auto"/>
                <w:kern w:val="2"/>
                <w:sz w:val="21"/>
                <w:szCs w:val="21"/>
                <w:highlight w:val="none"/>
                <w:lang w:val="en-US" w:eastAsia="zh-CN"/>
              </w:rPr>
              <w:t>二级</w:t>
            </w:r>
          </w:p>
        </w:tc>
        <w:tc>
          <w:tcPr>
            <w:tcW w:w="390" w:type="pct"/>
            <w:vAlign w:val="center"/>
          </w:tcPr>
          <w:p w14:paraId="090B636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无危LC</w:t>
            </w:r>
          </w:p>
        </w:tc>
        <w:tc>
          <w:tcPr>
            <w:tcW w:w="433" w:type="pct"/>
            <w:vAlign w:val="center"/>
          </w:tcPr>
          <w:p w14:paraId="2319179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否</w:t>
            </w:r>
          </w:p>
        </w:tc>
        <w:tc>
          <w:tcPr>
            <w:tcW w:w="630" w:type="pct"/>
            <w:vAlign w:val="center"/>
          </w:tcPr>
          <w:p w14:paraId="02C4BBC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否</w:t>
            </w:r>
          </w:p>
        </w:tc>
        <w:tc>
          <w:tcPr>
            <w:tcW w:w="1022" w:type="pct"/>
            <w:vAlign w:val="center"/>
          </w:tcPr>
          <w:p w14:paraId="713269C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常生于河岸阶地、水边、农田边或荒地中</w:t>
            </w:r>
          </w:p>
        </w:tc>
        <w:tc>
          <w:tcPr>
            <w:tcW w:w="419" w:type="pct"/>
            <w:vMerge w:val="restart"/>
            <w:vAlign w:val="center"/>
          </w:tcPr>
          <w:p w14:paraId="1AB529B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现场调查、文献记录、历史调查资料</w:t>
            </w:r>
          </w:p>
        </w:tc>
        <w:tc>
          <w:tcPr>
            <w:tcW w:w="550" w:type="pct"/>
            <w:vAlign w:val="center"/>
          </w:tcPr>
          <w:p w14:paraId="1C0C84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否</w:t>
            </w:r>
          </w:p>
        </w:tc>
      </w:tr>
      <w:tr w14:paraId="6C543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69" w:hRule="atLeast"/>
          <w:jc w:val="center"/>
        </w:trPr>
        <w:tc>
          <w:tcPr>
            <w:tcW w:w="270" w:type="pct"/>
            <w:vAlign w:val="center"/>
          </w:tcPr>
          <w:p w14:paraId="29BFD2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w:t>
            </w:r>
          </w:p>
        </w:tc>
        <w:tc>
          <w:tcPr>
            <w:tcW w:w="745" w:type="pct"/>
            <w:vAlign w:val="center"/>
          </w:tcPr>
          <w:p w14:paraId="768547BF">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rPr>
              <w:t>肉苁蓉</w:t>
            </w:r>
            <w:r>
              <w:rPr>
                <w:rFonts w:hint="eastAsia" w:cs="Times New Roman"/>
                <w:color w:val="auto"/>
                <w:kern w:val="2"/>
                <w:sz w:val="21"/>
                <w:szCs w:val="21"/>
                <w:highlight w:val="none"/>
                <w:lang w:eastAsia="zh-CN"/>
              </w:rPr>
              <w:t>（</w:t>
            </w:r>
            <w:r>
              <w:rPr>
                <w:rFonts w:hint="eastAsia" w:cs="Times New Roman"/>
                <w:i/>
                <w:iCs/>
                <w:color w:val="auto"/>
                <w:kern w:val="2"/>
                <w:sz w:val="21"/>
                <w:szCs w:val="21"/>
                <w:highlight w:val="none"/>
                <w:lang w:eastAsia="zh-CN"/>
              </w:rPr>
              <w:t>Cistanche deserticola</w:t>
            </w:r>
            <w:r>
              <w:rPr>
                <w:rFonts w:hint="eastAsia" w:cs="Times New Roman"/>
                <w:color w:val="auto"/>
                <w:kern w:val="2"/>
                <w:sz w:val="21"/>
                <w:szCs w:val="21"/>
                <w:highlight w:val="none"/>
                <w:lang w:eastAsia="zh-CN"/>
              </w:rPr>
              <w:t>）</w:t>
            </w:r>
          </w:p>
        </w:tc>
        <w:tc>
          <w:tcPr>
            <w:tcW w:w="538" w:type="pct"/>
            <w:vAlign w:val="center"/>
          </w:tcPr>
          <w:p w14:paraId="6F589A9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rPr>
              <w:t>国家</w:t>
            </w:r>
            <w:r>
              <w:rPr>
                <w:rFonts w:hint="eastAsia" w:cs="Times New Roman"/>
                <w:color w:val="auto"/>
                <w:kern w:val="2"/>
                <w:sz w:val="21"/>
                <w:szCs w:val="21"/>
                <w:highlight w:val="none"/>
                <w:lang w:val="en-US" w:eastAsia="zh-CN"/>
              </w:rPr>
              <w:t>二级</w:t>
            </w:r>
          </w:p>
        </w:tc>
        <w:tc>
          <w:tcPr>
            <w:tcW w:w="390" w:type="pct"/>
            <w:vAlign w:val="center"/>
          </w:tcPr>
          <w:p w14:paraId="281843B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濒危EN</w:t>
            </w:r>
          </w:p>
        </w:tc>
        <w:tc>
          <w:tcPr>
            <w:tcW w:w="433" w:type="pct"/>
            <w:vAlign w:val="center"/>
          </w:tcPr>
          <w:p w14:paraId="230B3EB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否</w:t>
            </w:r>
          </w:p>
        </w:tc>
        <w:tc>
          <w:tcPr>
            <w:tcW w:w="630" w:type="pct"/>
            <w:vAlign w:val="center"/>
          </w:tcPr>
          <w:p w14:paraId="18D7933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否</w:t>
            </w:r>
          </w:p>
        </w:tc>
        <w:tc>
          <w:tcPr>
            <w:tcW w:w="1022" w:type="pct"/>
            <w:vAlign w:val="center"/>
          </w:tcPr>
          <w:p w14:paraId="2D8FDDE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喜生于轻度盐渍化的松软沙地上</w:t>
            </w:r>
          </w:p>
        </w:tc>
        <w:tc>
          <w:tcPr>
            <w:tcW w:w="419" w:type="pct"/>
            <w:vMerge w:val="continue"/>
            <w:vAlign w:val="center"/>
          </w:tcPr>
          <w:p w14:paraId="716899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550" w:type="pct"/>
            <w:vAlign w:val="center"/>
          </w:tcPr>
          <w:p w14:paraId="33CEAA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否</w:t>
            </w:r>
          </w:p>
        </w:tc>
      </w:tr>
      <w:tr w14:paraId="0F891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69" w:hRule="atLeast"/>
          <w:jc w:val="center"/>
        </w:trPr>
        <w:tc>
          <w:tcPr>
            <w:tcW w:w="270" w:type="pct"/>
            <w:vAlign w:val="center"/>
          </w:tcPr>
          <w:p w14:paraId="4FB3FFAC">
            <w:pPr>
              <w:keepNext w:val="0"/>
              <w:keepLines w:val="0"/>
              <w:widowControl/>
              <w:suppressLineNumbers w:val="0"/>
              <w:spacing w:before="0" w:beforeAutospacing="0" w:after="0" w:afterAutospacing="0"/>
              <w:ind w:left="0" w:right="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745" w:type="pct"/>
            <w:vAlign w:val="center"/>
          </w:tcPr>
          <w:p w14:paraId="11C4A666">
            <w:pPr>
              <w:keepNext w:val="0"/>
              <w:keepLines w:val="0"/>
              <w:widowControl/>
              <w:suppressLineNumbers w:val="0"/>
              <w:spacing w:before="0" w:beforeAutospacing="0" w:after="120" w:afterLines="0" w:afterAutospacing="0"/>
              <w:ind w:left="0" w:leftChars="0" w:right="0" w:rightChars="0" w:firstLine="0" w:firstLineChars="0"/>
              <w:jc w:val="center"/>
              <w:rPr>
                <w:rFonts w:hint="eastAsia" w:ascii="Times New Roman" w:hAnsi="Times New Roman" w:eastAsia="宋体" w:cs="宋体"/>
                <w:color w:val="auto"/>
                <w:spacing w:val="4"/>
                <w:kern w:val="0"/>
                <w:sz w:val="21"/>
                <w:szCs w:val="21"/>
                <w:highlight w:val="none"/>
              </w:rPr>
            </w:pPr>
            <w:r>
              <w:rPr>
                <w:rFonts w:hint="eastAsia" w:ascii="宋体" w:hAnsi="宋体" w:eastAsia="宋体" w:cs="宋体"/>
                <w:color w:val="auto"/>
                <w:spacing w:val="4"/>
                <w:kern w:val="0"/>
                <w:sz w:val="21"/>
                <w:szCs w:val="21"/>
                <w:highlight w:val="none"/>
                <w:lang w:val="en-US" w:eastAsia="zh-CN" w:bidi="ar"/>
              </w:rPr>
              <w:t>黑果枸杞</w:t>
            </w:r>
          </w:p>
          <w:p w14:paraId="2275E015">
            <w:pPr>
              <w:keepNext w:val="0"/>
              <w:keepLines w:val="0"/>
              <w:widowControl/>
              <w:suppressLineNumbers w:val="0"/>
              <w:spacing w:before="0" w:beforeAutospacing="0" w:after="120" w:afterLines="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rPr>
            </w:pPr>
            <w:r>
              <w:rPr>
                <w:rFonts w:hint="eastAsia" w:ascii="宋体" w:hAnsi="宋体" w:eastAsia="宋体" w:cs="宋体"/>
                <w:color w:val="auto"/>
                <w:spacing w:val="4"/>
                <w:kern w:val="0"/>
                <w:sz w:val="21"/>
                <w:szCs w:val="21"/>
                <w:highlight w:val="none"/>
                <w:lang w:val="en-US" w:eastAsia="zh-CN" w:bidi="ar"/>
              </w:rPr>
              <w:t>（</w:t>
            </w:r>
            <w:r>
              <w:rPr>
                <w:rFonts w:hint="default" w:ascii="Times New Roman" w:hAnsi="Times New Roman" w:eastAsia="宋体" w:cs="宋体"/>
                <w:i/>
                <w:iCs/>
                <w:color w:val="auto"/>
                <w:spacing w:val="4"/>
                <w:kern w:val="0"/>
                <w:sz w:val="21"/>
                <w:szCs w:val="21"/>
                <w:highlight w:val="none"/>
                <w:lang w:val="en-US" w:eastAsia="zh-CN" w:bidi="ar"/>
              </w:rPr>
              <w:t>Lycium ruthenicum</w:t>
            </w:r>
            <w:r>
              <w:rPr>
                <w:rFonts w:hint="eastAsia" w:cs="宋体"/>
                <w:i/>
                <w:iCs/>
                <w:color w:val="auto"/>
                <w:spacing w:val="4"/>
                <w:kern w:val="0"/>
                <w:sz w:val="21"/>
                <w:szCs w:val="21"/>
                <w:highlight w:val="none"/>
                <w:lang w:val="en-US" w:eastAsia="zh-CN" w:bidi="ar"/>
              </w:rPr>
              <w:t>)</w:t>
            </w:r>
          </w:p>
        </w:tc>
        <w:tc>
          <w:tcPr>
            <w:tcW w:w="538" w:type="pct"/>
            <w:vAlign w:val="center"/>
          </w:tcPr>
          <w:p w14:paraId="60222221">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pacing w:val="4"/>
                <w:kern w:val="0"/>
                <w:sz w:val="21"/>
                <w:szCs w:val="21"/>
                <w:highlight w:val="none"/>
                <w:lang w:val="en-US" w:eastAsia="zh-CN" w:bidi="ar"/>
              </w:rPr>
              <w:t>国家</w:t>
            </w:r>
            <w:r>
              <w:rPr>
                <w:rFonts w:hint="eastAsia" w:cs="Times New Roman"/>
                <w:color w:val="auto"/>
                <w:spacing w:val="4"/>
                <w:kern w:val="0"/>
                <w:sz w:val="21"/>
                <w:szCs w:val="21"/>
                <w:highlight w:val="none"/>
                <w:lang w:val="en-US" w:eastAsia="zh-CN" w:bidi="ar"/>
              </w:rPr>
              <w:t>二级</w:t>
            </w:r>
          </w:p>
        </w:tc>
        <w:tc>
          <w:tcPr>
            <w:tcW w:w="390" w:type="pct"/>
            <w:vAlign w:val="center"/>
          </w:tcPr>
          <w:p w14:paraId="5B4F08F3">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pacing w:val="4"/>
                <w:kern w:val="0"/>
                <w:sz w:val="21"/>
                <w:szCs w:val="21"/>
                <w:highlight w:val="none"/>
                <w:lang w:val="en-US" w:eastAsia="zh-CN" w:bidi="ar"/>
              </w:rPr>
              <w:t>无危</w:t>
            </w:r>
            <w:r>
              <w:rPr>
                <w:rFonts w:hint="default" w:ascii="Times New Roman" w:hAnsi="Times New Roman" w:eastAsia="宋体" w:cs="Times New Roman"/>
                <w:color w:val="auto"/>
                <w:kern w:val="2"/>
                <w:sz w:val="21"/>
                <w:szCs w:val="21"/>
                <w:highlight w:val="none"/>
              </w:rPr>
              <w:t>LC</w:t>
            </w:r>
          </w:p>
        </w:tc>
        <w:tc>
          <w:tcPr>
            <w:tcW w:w="433" w:type="pct"/>
            <w:vAlign w:val="center"/>
          </w:tcPr>
          <w:p w14:paraId="3DC5DF5A">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pacing w:val="4"/>
                <w:kern w:val="0"/>
                <w:sz w:val="21"/>
                <w:szCs w:val="21"/>
                <w:highlight w:val="none"/>
                <w:lang w:val="en-US" w:eastAsia="zh-CN" w:bidi="ar"/>
              </w:rPr>
              <w:t>否</w:t>
            </w:r>
          </w:p>
        </w:tc>
        <w:tc>
          <w:tcPr>
            <w:tcW w:w="630" w:type="pct"/>
            <w:vAlign w:val="center"/>
          </w:tcPr>
          <w:p w14:paraId="700C183B">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spacing w:val="4"/>
                <w:kern w:val="0"/>
                <w:sz w:val="21"/>
                <w:szCs w:val="21"/>
                <w:highlight w:val="none"/>
                <w:lang w:val="en-US" w:eastAsia="zh-CN" w:bidi="ar"/>
              </w:rPr>
              <w:t>否</w:t>
            </w:r>
          </w:p>
        </w:tc>
        <w:tc>
          <w:tcPr>
            <w:tcW w:w="1022" w:type="pct"/>
            <w:vAlign w:val="center"/>
          </w:tcPr>
          <w:p w14:paraId="371AC905">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spacing w:val="4"/>
                <w:kern w:val="0"/>
                <w:sz w:val="21"/>
                <w:szCs w:val="21"/>
                <w:highlight w:val="none"/>
                <w:lang w:val="en-US" w:eastAsia="zh-CN" w:bidi="ar"/>
              </w:rPr>
              <w:t>主要分布在向阳的干涸河床地或坡地，沙质土壤或黄土上</w:t>
            </w:r>
          </w:p>
        </w:tc>
        <w:tc>
          <w:tcPr>
            <w:tcW w:w="419" w:type="pct"/>
            <w:vMerge w:val="continue"/>
            <w:vAlign w:val="center"/>
          </w:tcPr>
          <w:p w14:paraId="27733D8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550" w:type="pct"/>
            <w:vAlign w:val="center"/>
          </w:tcPr>
          <w:p w14:paraId="4610E9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否</w:t>
            </w:r>
          </w:p>
        </w:tc>
      </w:tr>
      <w:tr w14:paraId="4D3D0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69" w:hRule="atLeast"/>
          <w:jc w:val="center"/>
        </w:trPr>
        <w:tc>
          <w:tcPr>
            <w:tcW w:w="270" w:type="pct"/>
            <w:vAlign w:val="center"/>
          </w:tcPr>
          <w:p w14:paraId="34DBED65">
            <w:pPr>
              <w:keepNext w:val="0"/>
              <w:keepLines w:val="0"/>
              <w:widowControl/>
              <w:suppressLineNumbers w:val="0"/>
              <w:spacing w:before="0" w:beforeAutospacing="0" w:after="0" w:afterAutospacing="0"/>
              <w:ind w:left="0" w:right="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w:t>
            </w:r>
          </w:p>
        </w:tc>
        <w:tc>
          <w:tcPr>
            <w:tcW w:w="745" w:type="pct"/>
            <w:vAlign w:val="center"/>
          </w:tcPr>
          <w:p w14:paraId="150CFC7A">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spacing w:val="4"/>
                <w:kern w:val="0"/>
                <w:sz w:val="21"/>
                <w:szCs w:val="21"/>
                <w:highlight w:val="none"/>
                <w:lang w:val="en-US" w:eastAsia="zh-CN" w:bidi="ar"/>
              </w:rPr>
            </w:pPr>
            <w:r>
              <w:rPr>
                <w:rFonts w:hint="default" w:ascii="Times New Roman" w:hAnsi="Times New Roman" w:eastAsia="宋体" w:cs="Times New Roman"/>
                <w:color w:val="auto"/>
                <w:spacing w:val="4"/>
                <w:kern w:val="0"/>
                <w:sz w:val="21"/>
                <w:szCs w:val="21"/>
                <w:highlight w:val="none"/>
                <w:lang w:val="en-US" w:eastAsia="zh-CN" w:bidi="ar"/>
              </w:rPr>
              <w:t>灰胡杨（Populus pruinosa）</w:t>
            </w:r>
          </w:p>
        </w:tc>
        <w:tc>
          <w:tcPr>
            <w:tcW w:w="538" w:type="pct"/>
            <w:vAlign w:val="center"/>
          </w:tcPr>
          <w:p w14:paraId="49710305">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spacing w:val="4"/>
                <w:kern w:val="0"/>
                <w:sz w:val="21"/>
                <w:szCs w:val="21"/>
                <w:highlight w:val="none"/>
                <w:lang w:val="en-US" w:eastAsia="zh-CN" w:bidi="ar"/>
              </w:rPr>
            </w:pPr>
            <w:r>
              <w:rPr>
                <w:rFonts w:hint="default" w:ascii="Times New Roman" w:hAnsi="Times New Roman" w:eastAsia="宋体" w:cs="Times New Roman"/>
                <w:color w:val="auto"/>
                <w:spacing w:val="4"/>
                <w:kern w:val="0"/>
                <w:sz w:val="21"/>
                <w:szCs w:val="21"/>
                <w:highlight w:val="none"/>
                <w:lang w:val="en-US" w:eastAsia="zh-CN" w:bidi="ar"/>
              </w:rPr>
              <w:t>自治区</w:t>
            </w:r>
            <w:r>
              <w:rPr>
                <w:rFonts w:hint="eastAsia" w:cs="Times New Roman"/>
                <w:color w:val="auto"/>
                <w:spacing w:val="4"/>
                <w:kern w:val="0"/>
                <w:sz w:val="21"/>
                <w:szCs w:val="21"/>
                <w:highlight w:val="none"/>
                <w:lang w:val="en-US" w:eastAsia="zh-CN" w:bidi="ar"/>
              </w:rPr>
              <w:t>二级</w:t>
            </w:r>
          </w:p>
        </w:tc>
        <w:tc>
          <w:tcPr>
            <w:tcW w:w="390" w:type="pct"/>
            <w:vAlign w:val="center"/>
          </w:tcPr>
          <w:p w14:paraId="759FE90B">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spacing w:val="4"/>
                <w:kern w:val="0"/>
                <w:sz w:val="21"/>
                <w:szCs w:val="21"/>
                <w:highlight w:val="none"/>
                <w:lang w:val="en-US" w:eastAsia="zh-CN" w:bidi="ar"/>
              </w:rPr>
            </w:pPr>
            <w:r>
              <w:rPr>
                <w:rFonts w:hint="default" w:ascii="Times New Roman" w:hAnsi="Times New Roman" w:eastAsia="宋体" w:cs="Times New Roman"/>
                <w:color w:val="auto"/>
                <w:spacing w:val="4"/>
                <w:kern w:val="0"/>
                <w:sz w:val="21"/>
                <w:szCs w:val="21"/>
                <w:highlight w:val="none"/>
                <w:lang w:val="en-US" w:eastAsia="zh-CN" w:bidi="ar"/>
              </w:rPr>
              <w:t>无危</w:t>
            </w:r>
          </w:p>
        </w:tc>
        <w:tc>
          <w:tcPr>
            <w:tcW w:w="433" w:type="pct"/>
            <w:vAlign w:val="center"/>
          </w:tcPr>
          <w:p w14:paraId="2DC527A2">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spacing w:val="4"/>
                <w:kern w:val="0"/>
                <w:sz w:val="21"/>
                <w:szCs w:val="21"/>
                <w:highlight w:val="none"/>
                <w:lang w:val="en-US" w:eastAsia="zh-CN" w:bidi="ar"/>
              </w:rPr>
            </w:pPr>
            <w:r>
              <w:rPr>
                <w:rFonts w:hint="default" w:ascii="Times New Roman" w:hAnsi="Times New Roman" w:eastAsia="宋体" w:cs="Times New Roman"/>
                <w:color w:val="auto"/>
                <w:spacing w:val="4"/>
                <w:kern w:val="0"/>
                <w:sz w:val="21"/>
                <w:szCs w:val="21"/>
                <w:highlight w:val="none"/>
                <w:lang w:val="en-US" w:eastAsia="zh-CN" w:bidi="ar"/>
              </w:rPr>
              <w:t>否</w:t>
            </w:r>
          </w:p>
        </w:tc>
        <w:tc>
          <w:tcPr>
            <w:tcW w:w="630" w:type="pct"/>
            <w:vAlign w:val="center"/>
          </w:tcPr>
          <w:p w14:paraId="032A6BDE">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spacing w:val="4"/>
                <w:kern w:val="0"/>
                <w:sz w:val="21"/>
                <w:szCs w:val="21"/>
                <w:highlight w:val="none"/>
                <w:lang w:val="en-US" w:eastAsia="zh-CN" w:bidi="ar"/>
              </w:rPr>
            </w:pPr>
            <w:r>
              <w:rPr>
                <w:rFonts w:hint="default" w:ascii="Times New Roman" w:hAnsi="Times New Roman" w:eastAsia="宋体" w:cs="Times New Roman"/>
                <w:color w:val="auto"/>
                <w:spacing w:val="4"/>
                <w:kern w:val="0"/>
                <w:sz w:val="21"/>
                <w:szCs w:val="21"/>
                <w:highlight w:val="none"/>
                <w:lang w:val="en-US" w:eastAsia="zh-CN" w:bidi="ar"/>
              </w:rPr>
              <w:t>否</w:t>
            </w:r>
          </w:p>
        </w:tc>
        <w:tc>
          <w:tcPr>
            <w:tcW w:w="1022" w:type="pct"/>
            <w:vAlign w:val="center"/>
          </w:tcPr>
          <w:p w14:paraId="096E0BDD">
            <w:pPr>
              <w:keepNext w:val="0"/>
              <w:keepLines w:val="0"/>
              <w:widowControl/>
              <w:suppressLineNumbers w:val="0"/>
              <w:spacing w:before="0" w:beforeAutospacing="0" w:after="120" w:afterLines="0" w:afterAutospacing="0"/>
              <w:ind w:left="0" w:leftChars="0" w:right="0" w:rightChars="0" w:firstLine="0" w:firstLineChars="0"/>
              <w:jc w:val="center"/>
              <w:rPr>
                <w:rFonts w:hint="default" w:ascii="Times New Roman" w:hAnsi="Times New Roman" w:eastAsia="宋体" w:cs="Times New Roman"/>
                <w:color w:val="auto"/>
                <w:spacing w:val="4"/>
                <w:kern w:val="0"/>
                <w:sz w:val="21"/>
                <w:szCs w:val="21"/>
                <w:highlight w:val="none"/>
                <w:lang w:val="en-US" w:eastAsia="zh-CN" w:bidi="ar"/>
              </w:rPr>
            </w:pPr>
            <w:r>
              <w:rPr>
                <w:rFonts w:hint="default" w:ascii="Times New Roman" w:hAnsi="Times New Roman" w:eastAsia="宋体" w:cs="Times New Roman"/>
                <w:color w:val="auto"/>
                <w:spacing w:val="4"/>
                <w:kern w:val="0"/>
                <w:sz w:val="21"/>
                <w:szCs w:val="21"/>
                <w:highlight w:val="none"/>
                <w:lang w:val="en-US" w:eastAsia="zh-CN" w:bidi="ar"/>
              </w:rPr>
              <w:t>广泛生长在塔里木河流域的干旱的沙漠周边河流沿岸，耐干旱、耐盐碱、抗风沙</w:t>
            </w:r>
          </w:p>
        </w:tc>
        <w:tc>
          <w:tcPr>
            <w:tcW w:w="419" w:type="pct"/>
            <w:vMerge w:val="continue"/>
            <w:vAlign w:val="center"/>
          </w:tcPr>
          <w:p w14:paraId="183D2F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550" w:type="pct"/>
            <w:vAlign w:val="center"/>
          </w:tcPr>
          <w:p w14:paraId="2EAF071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否</w:t>
            </w:r>
          </w:p>
        </w:tc>
      </w:tr>
    </w:tbl>
    <w:p w14:paraId="476AE956">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eastAsia="zh-CN"/>
        </w:rPr>
        <w:t xml:space="preserve">①黑果枸杞 </w:t>
      </w:r>
    </w:p>
    <w:p w14:paraId="28CA34F2">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eastAsia="zh-CN"/>
        </w:rPr>
        <w:t>黑果枸杞，拉丁学名（</w:t>
      </w:r>
      <w:r>
        <w:rPr>
          <w:rFonts w:hint="eastAsia" w:cs="Times New Roman"/>
          <w:i/>
          <w:iCs/>
          <w:color w:val="auto"/>
          <w:szCs w:val="20"/>
          <w:highlight w:val="none"/>
          <w:lang w:eastAsia="zh-CN"/>
        </w:rPr>
        <w:t>Lycium ruthenicum</w:t>
      </w:r>
      <w:r>
        <w:rPr>
          <w:rFonts w:hint="eastAsia" w:cs="Times New Roman"/>
          <w:color w:val="auto"/>
          <w:szCs w:val="20"/>
          <w:highlight w:val="none"/>
          <w:lang w:eastAsia="zh-CN"/>
        </w:rPr>
        <w:t>），茄科，枸杞属多棘刺灌木，高可达150厘米，多分枝；坚硬，有不规则的纵条纹，小枝顶端渐尖成棘刺状，节间短缩，有簇生叶或花、叶同时簇生，在幼枝上则单叶互生，肥厚肉质，顶端钝圆，基部渐狭，中脉不明显，花生于短枝上；花梗细瘦，花萼狭钟状，花冠漏斗状，浅紫色，裂片矩圆状卵形，耳片不明显；花柱与雄蕊近等长。浆果紫黑色，球状，种子肾形，褐色，5～10月开花结果。耐干旱，常生于盐碱土荒地、沙地或路旁。</w:t>
      </w:r>
    </w:p>
    <w:p w14:paraId="36C51AA0">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eastAsia="zh-CN"/>
        </w:rPr>
        <w:t>②胀果甘草</w:t>
      </w:r>
    </w:p>
    <w:p w14:paraId="39E8C5FB">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eastAsia="zh-CN"/>
        </w:rPr>
        <w:t>胀果甘草，拉丁学名（</w:t>
      </w:r>
      <w:r>
        <w:rPr>
          <w:rFonts w:hint="eastAsia" w:cs="Times New Roman"/>
          <w:i/>
          <w:iCs/>
          <w:color w:val="auto"/>
          <w:szCs w:val="20"/>
          <w:highlight w:val="none"/>
          <w:lang w:eastAsia="zh-CN"/>
        </w:rPr>
        <w:t>Glycyrrhiza inflata</w:t>
      </w:r>
      <w:r>
        <w:rPr>
          <w:rFonts w:hint="eastAsia" w:cs="Times New Roman"/>
          <w:color w:val="auto"/>
          <w:szCs w:val="20"/>
          <w:highlight w:val="none"/>
          <w:lang w:eastAsia="zh-CN"/>
        </w:rPr>
        <w:t>），被子植物，豆科，多年生草本，高30～80cm，叶面绿色，光亮。边缘起伏。总状花序腋生，较松散，花紫色。荚果紫红色，长椭圆形，饱满。生于盐渍化砂地，胀果甘草随地下水位、土壤含盐和土壤质地的变化，可以与多种耐盐植物组成不同的群落。在砂质或砂壤质轻盐化草甸土上，地下水深1～2米，水土条件良好，形成茂密的群落，胀果甘草高可达1米。</w:t>
      </w:r>
    </w:p>
    <w:p w14:paraId="390EE3A7">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eastAsia="zh-CN"/>
        </w:rPr>
        <w:t>③灰胡杨</w:t>
      </w:r>
    </w:p>
    <w:p w14:paraId="28F0FDF7">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eastAsia="zh-CN"/>
        </w:rPr>
        <w:t>灰胡杨，拉丁学名（</w:t>
      </w:r>
      <w:r>
        <w:rPr>
          <w:rFonts w:hint="eastAsia" w:cs="Times New Roman"/>
          <w:i/>
          <w:iCs/>
          <w:color w:val="auto"/>
          <w:szCs w:val="20"/>
          <w:highlight w:val="none"/>
          <w:lang w:eastAsia="zh-CN"/>
        </w:rPr>
        <w:t>Populus pruinosa Schrenk</w:t>
      </w:r>
      <w:r>
        <w:rPr>
          <w:rFonts w:hint="eastAsia" w:cs="Times New Roman"/>
          <w:color w:val="auto"/>
          <w:szCs w:val="20"/>
          <w:highlight w:val="none"/>
          <w:lang w:eastAsia="zh-CN"/>
        </w:rPr>
        <w:t>），杨柳科、杨属小乔木，灰胡杨高可达20米，树冠开展；树皮淡灰黄色；萌条枝密被灰色短绒毛；小枝有灰色短绒毛。萌枝叶椭圆形，两面被灰绒毛；短枝叶肾脏形，全缘或先端具疏齿牙，两面灰蓝色，密被短绒毛；叶柄微侧扁；灰胡杨广泛生长在塔里木河流域的干旱的沙漠周边河流沿岸，因此在生理和生态功能上具备了耐干旱、耐盐碱、抗风沙等优良特性。</w:t>
      </w:r>
    </w:p>
    <w:p w14:paraId="65A6CF9B">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eastAsia="zh-CN"/>
        </w:rPr>
        <w:t>④肉苁蓉</w:t>
      </w:r>
    </w:p>
    <w:p w14:paraId="3F86D0C1">
      <w:pPr>
        <w:spacing w:line="360" w:lineRule="auto"/>
        <w:ind w:firstLine="480" w:firstLineChars="200"/>
        <w:jc w:val="both"/>
        <w:rPr>
          <w:rFonts w:hint="eastAsia" w:ascii="Times New Roman" w:hAnsi="Times New Roman" w:eastAsia="宋体" w:cs="Times New Roman"/>
          <w:color w:val="auto"/>
          <w:szCs w:val="20"/>
          <w:highlight w:val="none"/>
          <w:lang w:eastAsia="zh-CN"/>
        </w:rPr>
      </w:pPr>
      <w:r>
        <w:rPr>
          <w:rFonts w:hint="eastAsia" w:cs="Times New Roman"/>
          <w:color w:val="auto"/>
          <w:szCs w:val="20"/>
          <w:highlight w:val="none"/>
          <w:lang w:eastAsia="zh-CN"/>
        </w:rPr>
        <w:t>肉苁蓉，拉丁学名（</w:t>
      </w:r>
      <w:r>
        <w:rPr>
          <w:rFonts w:hint="eastAsia" w:cs="Times New Roman"/>
          <w:i/>
          <w:iCs/>
          <w:color w:val="auto"/>
          <w:szCs w:val="20"/>
          <w:highlight w:val="none"/>
          <w:lang w:eastAsia="zh-CN"/>
        </w:rPr>
        <w:t>Cistanche deserticola</w:t>
      </w:r>
      <w:r>
        <w:rPr>
          <w:rFonts w:hint="eastAsia" w:cs="Times New Roman"/>
          <w:color w:val="auto"/>
          <w:szCs w:val="20"/>
          <w:highlight w:val="none"/>
          <w:lang w:eastAsia="zh-CN"/>
        </w:rPr>
        <w:t>），肉苁蓉属列当科濒危种，别名大芸、寸芸、苁蓉、查干告亚（蒙语）。肉苁蓉是一种寄生在沙漠树木柽柳、梭梭根部的寄生植物，从寄主植物根部中吸取养分及水分。素有“沙漠人参”之美誉，具有极高的药用价值，是中国传统的名贵中药材。喜生于轻度盐渍化的松软沙地上，一般生长在沙地或半固定沙丘等，生境条件很差。评价内分布极少，现状调查中未见。</w:t>
      </w:r>
    </w:p>
    <w:p w14:paraId="34F814D3">
      <w:pPr>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rPr>
        <w:t>（2）保护动物</w:t>
      </w:r>
    </w:p>
    <w:p w14:paraId="38C501F6">
      <w:pPr>
        <w:spacing w:line="360" w:lineRule="auto"/>
        <w:ind w:firstLine="480" w:firstLineChars="200"/>
        <w:jc w:val="both"/>
        <w:rPr>
          <w:rFonts w:hint="eastAsia"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根据《国家重点保护野生动物名录》</w:t>
      </w:r>
      <w:r>
        <w:rPr>
          <w:rFonts w:hint="eastAsia"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rPr>
        <w:t>国家林业和草原局 农业农村部公告2021 年第3号</w:t>
      </w:r>
      <w:r>
        <w:rPr>
          <w:rFonts w:hint="eastAsia"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rPr>
        <w:t>及《新疆国家重点保护野生动物名录</w:t>
      </w:r>
      <w:r>
        <w:rPr>
          <w:rFonts w:hint="eastAsia"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rPr>
        <w:t>修订</w:t>
      </w:r>
      <w:r>
        <w:rPr>
          <w:rFonts w:hint="eastAsia"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rPr>
        <w:t>》，该区域共有国家级重点保护动物</w:t>
      </w:r>
      <w:r>
        <w:rPr>
          <w:rFonts w:hint="eastAsia" w:cs="Times New Roman"/>
          <w:snapToGrid w:val="0"/>
          <w:color w:val="auto"/>
          <w:kern w:val="0"/>
          <w:sz w:val="24"/>
          <w:szCs w:val="24"/>
          <w:highlight w:val="none"/>
          <w:lang w:val="en-US" w:eastAsia="zh-CN"/>
        </w:rPr>
        <w:t>8</w:t>
      </w:r>
      <w:r>
        <w:rPr>
          <w:rFonts w:hint="eastAsia" w:ascii="Times New Roman" w:hAnsi="Times New Roman" w:eastAsia="宋体" w:cs="Times New Roman"/>
          <w:snapToGrid w:val="0"/>
          <w:color w:val="auto"/>
          <w:kern w:val="0"/>
          <w:sz w:val="24"/>
          <w:szCs w:val="24"/>
          <w:highlight w:val="none"/>
        </w:rPr>
        <w:t>种，</w:t>
      </w:r>
      <w:r>
        <w:rPr>
          <w:rFonts w:hint="eastAsia" w:cs="Times New Roman"/>
          <w:snapToGrid w:val="0"/>
          <w:color w:val="auto"/>
          <w:kern w:val="0"/>
          <w:sz w:val="24"/>
          <w:szCs w:val="24"/>
          <w:highlight w:val="none"/>
          <w:lang w:val="en-US" w:eastAsia="zh-CN"/>
        </w:rPr>
        <w:t>详见表4.3-11</w:t>
      </w:r>
      <w:r>
        <w:rPr>
          <w:rFonts w:hint="eastAsia" w:ascii="Times New Roman" w:hAnsi="Times New Roman" w:eastAsia="宋体" w:cs="Times New Roman"/>
          <w:snapToGrid w:val="0"/>
          <w:color w:val="auto"/>
          <w:kern w:val="0"/>
          <w:sz w:val="24"/>
          <w:szCs w:val="24"/>
          <w:highlight w:val="none"/>
        </w:rPr>
        <w:t>。</w:t>
      </w:r>
    </w:p>
    <w:p w14:paraId="3064DBC3">
      <w:pPr>
        <w:widowControl/>
        <w:bidi w:val="0"/>
        <w:spacing w:after="120" w:afterLines="0" w:afterAutospacing="0" w:line="240" w:lineRule="auto"/>
        <w:ind w:firstLine="0" w:firstLineChars="0"/>
        <w:jc w:val="center"/>
        <w:rPr>
          <w:rFonts w:hint="eastAsia" w:ascii="Times New Roman" w:hAnsi="Times New Roman" w:eastAsia="黑体" w:cs="宋体"/>
          <w:b w:val="0"/>
          <w:bCs/>
          <w:color w:val="auto"/>
          <w:spacing w:val="4"/>
          <w:kern w:val="0"/>
          <w:sz w:val="21"/>
          <w:szCs w:val="22"/>
          <w:highlight w:val="none"/>
          <w:lang w:val="zh-CN" w:eastAsia="zh-CN" w:bidi="ar-SA"/>
        </w:rPr>
      </w:pPr>
      <w:r>
        <w:rPr>
          <w:rFonts w:hint="eastAsia" w:ascii="Times New Roman" w:hAnsi="Times New Roman" w:eastAsia="黑体" w:cs="宋体"/>
          <w:b w:val="0"/>
          <w:bCs/>
          <w:color w:val="auto"/>
          <w:spacing w:val="4"/>
          <w:kern w:val="0"/>
          <w:sz w:val="21"/>
          <w:szCs w:val="22"/>
          <w:highlight w:val="none"/>
          <w:lang w:val="zh-CN" w:eastAsia="zh-CN" w:bidi="ar-SA"/>
        </w:rPr>
        <w:t>表4.</w:t>
      </w:r>
      <w:r>
        <w:rPr>
          <w:rFonts w:hint="eastAsia" w:eastAsia="黑体" w:cs="宋体"/>
          <w:b w:val="0"/>
          <w:bCs/>
          <w:color w:val="auto"/>
          <w:spacing w:val="4"/>
          <w:kern w:val="0"/>
          <w:sz w:val="21"/>
          <w:szCs w:val="22"/>
          <w:highlight w:val="none"/>
          <w:lang w:val="en-US" w:eastAsia="zh-CN" w:bidi="ar-SA"/>
        </w:rPr>
        <w:t>3-11</w:t>
      </w:r>
      <w:r>
        <w:rPr>
          <w:rFonts w:hint="eastAsia" w:ascii="Times New Roman" w:hAnsi="Times New Roman" w:eastAsia="黑体" w:cs="宋体"/>
          <w:b w:val="0"/>
          <w:bCs/>
          <w:color w:val="auto"/>
          <w:spacing w:val="4"/>
          <w:kern w:val="0"/>
          <w:sz w:val="21"/>
          <w:szCs w:val="22"/>
          <w:highlight w:val="none"/>
          <w:lang w:val="zh-CN" w:eastAsia="zh-CN" w:bidi="ar-SA"/>
        </w:rPr>
        <w:t xml:space="preserve">  重要野生动物调查结果统计表</w:t>
      </w:r>
    </w:p>
    <w:tbl>
      <w:tblPr>
        <w:tblStyle w:val="35"/>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90"/>
        <w:gridCol w:w="1443"/>
        <w:gridCol w:w="637"/>
        <w:gridCol w:w="595"/>
        <w:gridCol w:w="861"/>
        <w:gridCol w:w="2638"/>
        <w:gridCol w:w="525"/>
        <w:gridCol w:w="1165"/>
      </w:tblGrid>
      <w:tr w14:paraId="3BDE9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3" w:type="pct"/>
            <w:noWrap w:val="0"/>
            <w:vAlign w:val="center"/>
          </w:tcPr>
          <w:p w14:paraId="444E0CF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序号</w:t>
            </w:r>
          </w:p>
        </w:tc>
        <w:tc>
          <w:tcPr>
            <w:tcW w:w="863" w:type="pct"/>
            <w:noWrap w:val="0"/>
            <w:vAlign w:val="center"/>
          </w:tcPr>
          <w:p w14:paraId="251B17B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物种名称</w:t>
            </w:r>
            <w:r>
              <w:rPr>
                <w:rFonts w:hint="eastAsia" w:cs="Times New Roman"/>
                <w:b w:val="0"/>
                <w:bCs/>
                <w:color w:val="auto"/>
                <w:spacing w:val="0"/>
                <w:kern w:val="21"/>
                <w:sz w:val="21"/>
                <w:szCs w:val="21"/>
                <w:highlight w:val="none"/>
                <w:lang w:val="en-US" w:eastAsia="zh-CN" w:bidi="ar-SA"/>
              </w:rPr>
              <w:t>（</w:t>
            </w:r>
            <w:r>
              <w:rPr>
                <w:rFonts w:hint="default" w:ascii="Times New Roman" w:hAnsi="Times New Roman" w:eastAsia="宋体" w:cs="Times New Roman"/>
                <w:b w:val="0"/>
                <w:bCs/>
                <w:color w:val="auto"/>
                <w:spacing w:val="0"/>
                <w:kern w:val="21"/>
                <w:sz w:val="21"/>
                <w:szCs w:val="21"/>
                <w:highlight w:val="none"/>
                <w:lang w:val="en-US" w:eastAsia="zh-CN" w:bidi="ar-SA"/>
              </w:rPr>
              <w:t>中文名/拉丁名</w:t>
            </w:r>
            <w:r>
              <w:rPr>
                <w:rFonts w:hint="eastAsia" w:cs="Times New Roman"/>
                <w:b w:val="0"/>
                <w:bCs/>
                <w:color w:val="auto"/>
                <w:spacing w:val="0"/>
                <w:kern w:val="21"/>
                <w:sz w:val="21"/>
                <w:szCs w:val="21"/>
                <w:highlight w:val="none"/>
                <w:lang w:val="en-US" w:eastAsia="zh-CN" w:bidi="ar-SA"/>
              </w:rPr>
              <w:t>）</w:t>
            </w:r>
          </w:p>
        </w:tc>
        <w:tc>
          <w:tcPr>
            <w:tcW w:w="381" w:type="pct"/>
            <w:noWrap w:val="0"/>
            <w:vAlign w:val="center"/>
          </w:tcPr>
          <w:p w14:paraId="5869CE8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保护级别</w:t>
            </w:r>
          </w:p>
        </w:tc>
        <w:tc>
          <w:tcPr>
            <w:tcW w:w="356" w:type="pct"/>
            <w:noWrap w:val="0"/>
            <w:vAlign w:val="center"/>
          </w:tcPr>
          <w:p w14:paraId="30AB79E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濒危级别</w:t>
            </w:r>
          </w:p>
        </w:tc>
        <w:tc>
          <w:tcPr>
            <w:tcW w:w="515" w:type="pct"/>
            <w:noWrap w:val="0"/>
            <w:vAlign w:val="center"/>
          </w:tcPr>
          <w:p w14:paraId="1412E52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特有种</w:t>
            </w:r>
            <w:r>
              <w:rPr>
                <w:rFonts w:hint="eastAsia" w:cs="Times New Roman"/>
                <w:b w:val="0"/>
                <w:bCs/>
                <w:color w:val="auto"/>
                <w:spacing w:val="0"/>
                <w:kern w:val="21"/>
                <w:sz w:val="21"/>
                <w:szCs w:val="21"/>
                <w:highlight w:val="none"/>
                <w:lang w:val="en-US" w:eastAsia="zh-CN" w:bidi="ar-SA"/>
              </w:rPr>
              <w:t>（</w:t>
            </w:r>
            <w:r>
              <w:rPr>
                <w:rFonts w:hint="default" w:ascii="Times New Roman" w:hAnsi="Times New Roman" w:eastAsia="宋体" w:cs="Times New Roman"/>
                <w:b w:val="0"/>
                <w:bCs/>
                <w:color w:val="auto"/>
                <w:spacing w:val="0"/>
                <w:kern w:val="21"/>
                <w:sz w:val="21"/>
                <w:szCs w:val="21"/>
                <w:highlight w:val="none"/>
                <w:lang w:val="en-US" w:eastAsia="zh-CN" w:bidi="ar-SA"/>
              </w:rPr>
              <w:t>是/否</w:t>
            </w:r>
            <w:r>
              <w:rPr>
                <w:rFonts w:hint="eastAsia" w:cs="Times New Roman"/>
                <w:b w:val="0"/>
                <w:bCs/>
                <w:color w:val="auto"/>
                <w:spacing w:val="0"/>
                <w:kern w:val="21"/>
                <w:sz w:val="21"/>
                <w:szCs w:val="21"/>
                <w:highlight w:val="none"/>
                <w:lang w:val="en-US" w:eastAsia="zh-CN" w:bidi="ar-SA"/>
              </w:rPr>
              <w:t>）</w:t>
            </w:r>
          </w:p>
        </w:tc>
        <w:tc>
          <w:tcPr>
            <w:tcW w:w="1578" w:type="pct"/>
            <w:noWrap w:val="0"/>
            <w:vAlign w:val="center"/>
          </w:tcPr>
          <w:p w14:paraId="68AA1023">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分布区域</w:t>
            </w:r>
          </w:p>
        </w:tc>
        <w:tc>
          <w:tcPr>
            <w:tcW w:w="314" w:type="pct"/>
            <w:noWrap w:val="0"/>
            <w:vAlign w:val="center"/>
          </w:tcPr>
          <w:p w14:paraId="5F6AA15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资料</w:t>
            </w:r>
          </w:p>
          <w:p w14:paraId="0A9EB9E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来源</w:t>
            </w:r>
          </w:p>
        </w:tc>
        <w:tc>
          <w:tcPr>
            <w:tcW w:w="697" w:type="pct"/>
            <w:noWrap w:val="0"/>
            <w:vAlign w:val="center"/>
          </w:tcPr>
          <w:p w14:paraId="14B13F6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ascii="Times New Roman" w:hAnsi="Times New Roman" w:eastAsia="宋体" w:cs="Times New Roman"/>
                <w:b w:val="0"/>
                <w:bCs/>
                <w:color w:val="auto"/>
                <w:spacing w:val="0"/>
                <w:kern w:val="21"/>
                <w:sz w:val="21"/>
                <w:szCs w:val="21"/>
                <w:highlight w:val="none"/>
                <w:lang w:val="en-US" w:eastAsia="zh-CN" w:bidi="ar-SA"/>
              </w:rPr>
              <w:t>项目</w:t>
            </w:r>
            <w:r>
              <w:rPr>
                <w:rFonts w:hint="default" w:ascii="Times New Roman" w:hAnsi="Times New Roman" w:eastAsia="宋体" w:cs="Times New Roman"/>
                <w:b w:val="0"/>
                <w:bCs/>
                <w:color w:val="auto"/>
                <w:spacing w:val="0"/>
                <w:kern w:val="21"/>
                <w:sz w:val="21"/>
                <w:szCs w:val="21"/>
                <w:highlight w:val="none"/>
                <w:lang w:val="en-US" w:eastAsia="zh-CN" w:bidi="ar-SA"/>
              </w:rPr>
              <w:t>占用情况</w:t>
            </w:r>
            <w:r>
              <w:rPr>
                <w:rFonts w:hint="eastAsia" w:cs="Times New Roman"/>
                <w:b w:val="0"/>
                <w:bCs/>
                <w:color w:val="auto"/>
                <w:spacing w:val="0"/>
                <w:kern w:val="21"/>
                <w:sz w:val="21"/>
                <w:szCs w:val="21"/>
                <w:highlight w:val="none"/>
                <w:lang w:val="en-US" w:eastAsia="zh-CN" w:bidi="ar-SA"/>
              </w:rPr>
              <w:t>（</w:t>
            </w:r>
            <w:r>
              <w:rPr>
                <w:rFonts w:hint="default" w:ascii="Times New Roman" w:hAnsi="Times New Roman" w:eastAsia="宋体" w:cs="Times New Roman"/>
                <w:b w:val="0"/>
                <w:bCs/>
                <w:color w:val="auto"/>
                <w:spacing w:val="0"/>
                <w:kern w:val="21"/>
                <w:sz w:val="21"/>
                <w:szCs w:val="21"/>
                <w:highlight w:val="none"/>
                <w:lang w:val="en-US" w:eastAsia="zh-CN" w:bidi="ar-SA"/>
              </w:rPr>
              <w:t>是/否</w:t>
            </w:r>
            <w:r>
              <w:rPr>
                <w:rFonts w:hint="eastAsia" w:cs="Times New Roman"/>
                <w:b w:val="0"/>
                <w:bCs/>
                <w:color w:val="auto"/>
                <w:spacing w:val="0"/>
                <w:kern w:val="21"/>
                <w:sz w:val="21"/>
                <w:szCs w:val="21"/>
                <w:highlight w:val="none"/>
                <w:lang w:val="en-US" w:eastAsia="zh-CN" w:bidi="ar-SA"/>
              </w:rPr>
              <w:t>）</w:t>
            </w:r>
          </w:p>
        </w:tc>
      </w:tr>
      <w:tr w14:paraId="7B825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3" w:type="pct"/>
            <w:noWrap w:val="0"/>
            <w:vAlign w:val="center"/>
          </w:tcPr>
          <w:p w14:paraId="3E1CBF7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1</w:t>
            </w:r>
          </w:p>
        </w:tc>
        <w:tc>
          <w:tcPr>
            <w:tcW w:w="863" w:type="pct"/>
            <w:noWrap w:val="0"/>
            <w:vAlign w:val="center"/>
          </w:tcPr>
          <w:p w14:paraId="35D18BD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鹅喉羚</w:t>
            </w:r>
          </w:p>
          <w:p w14:paraId="752B6182">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cs="Times New Roman"/>
                <w:b w:val="0"/>
                <w:color w:val="auto"/>
                <w:spacing w:val="0"/>
                <w:kern w:val="21"/>
                <w:sz w:val="21"/>
                <w:szCs w:val="21"/>
                <w:highlight w:val="none"/>
                <w:lang w:val="en-US" w:eastAsia="zh-CN" w:bidi="ar-SA"/>
              </w:rPr>
              <w:t>（</w:t>
            </w:r>
            <w:r>
              <w:rPr>
                <w:rFonts w:hint="default" w:ascii="Times New Roman" w:hAnsi="Times New Roman" w:eastAsia="宋体" w:cs="Times New Roman"/>
                <w:b w:val="0"/>
                <w:i/>
                <w:iCs w:val="0"/>
                <w:color w:val="auto"/>
                <w:spacing w:val="0"/>
                <w:kern w:val="21"/>
                <w:sz w:val="21"/>
                <w:szCs w:val="21"/>
                <w:highlight w:val="none"/>
                <w:lang w:val="en-US" w:eastAsia="zh-CN" w:bidi="ar"/>
              </w:rPr>
              <w:t>Gazella subgutturosa</w:t>
            </w:r>
            <w:r>
              <w:rPr>
                <w:rFonts w:hint="eastAsia" w:cs="Times New Roman"/>
                <w:b w:val="0"/>
                <w:i/>
                <w:iCs w:val="0"/>
                <w:color w:val="auto"/>
                <w:spacing w:val="0"/>
                <w:kern w:val="21"/>
                <w:sz w:val="21"/>
                <w:szCs w:val="21"/>
                <w:highlight w:val="none"/>
                <w:lang w:val="en-US" w:eastAsia="zh-CN" w:bidi="ar"/>
              </w:rPr>
              <w:t>)</w:t>
            </w:r>
          </w:p>
        </w:tc>
        <w:tc>
          <w:tcPr>
            <w:tcW w:w="381" w:type="pct"/>
            <w:noWrap w:val="0"/>
            <w:vAlign w:val="center"/>
          </w:tcPr>
          <w:p w14:paraId="664D8635">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国家二级</w:t>
            </w:r>
          </w:p>
        </w:tc>
        <w:tc>
          <w:tcPr>
            <w:tcW w:w="356" w:type="pct"/>
            <w:noWrap w:val="0"/>
            <w:vAlign w:val="center"/>
          </w:tcPr>
          <w:p w14:paraId="6735946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近危</w:t>
            </w:r>
          </w:p>
          <w:p w14:paraId="00EE36A7">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NT</w:t>
            </w:r>
          </w:p>
        </w:tc>
        <w:tc>
          <w:tcPr>
            <w:tcW w:w="515" w:type="pct"/>
            <w:noWrap w:val="0"/>
            <w:vAlign w:val="center"/>
          </w:tcPr>
          <w:p w14:paraId="7B354D6E">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否</w:t>
            </w:r>
          </w:p>
        </w:tc>
        <w:tc>
          <w:tcPr>
            <w:tcW w:w="1578" w:type="pct"/>
            <w:noWrap w:val="0"/>
            <w:vAlign w:val="center"/>
          </w:tcPr>
          <w:p w14:paraId="36E60D79">
            <w:pPr>
              <w:keepNext w:val="0"/>
              <w:keepLines w:val="0"/>
              <w:widowControl w:val="0"/>
              <w:suppressLineNumbers w:val="0"/>
              <w:spacing w:before="0" w:beforeAutospacing="0" w:after="0" w:afterAutospacing="0" w:line="0" w:lineRule="atLeast"/>
              <w:ind w:left="0" w:leftChars="0" w:right="0" w:rightChars="0"/>
              <w:jc w:val="both"/>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新疆是鹅喉羚的主要分布区，鹅喉羚为典型的荒漠与半荒漠栖居者，在项目气田区和外输管道沿线无人类活动区域均可见活动的踪迹，种群密度0.51±0.11只/km</w:t>
            </w:r>
            <w:r>
              <w:rPr>
                <w:rFonts w:hint="default" w:ascii="Times New Roman" w:hAnsi="Times New Roman" w:eastAsia="宋体" w:cs="Times New Roman"/>
                <w:bCs/>
                <w:color w:val="auto"/>
                <w:spacing w:val="0"/>
                <w:kern w:val="21"/>
                <w:sz w:val="21"/>
                <w:szCs w:val="21"/>
                <w:highlight w:val="none"/>
                <w:vertAlign w:val="superscript"/>
              </w:rPr>
              <w:t>2</w:t>
            </w:r>
          </w:p>
        </w:tc>
        <w:tc>
          <w:tcPr>
            <w:tcW w:w="314" w:type="pct"/>
            <w:vMerge w:val="restart"/>
            <w:noWrap w:val="0"/>
            <w:vAlign w:val="center"/>
          </w:tcPr>
          <w:p w14:paraId="2A73AC9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现场调查、文献记录、历史调查资料</w:t>
            </w:r>
          </w:p>
        </w:tc>
        <w:tc>
          <w:tcPr>
            <w:tcW w:w="697" w:type="pct"/>
            <w:noWrap w:val="0"/>
            <w:vAlign w:val="center"/>
          </w:tcPr>
          <w:p w14:paraId="12F41A5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Cs/>
                <w:color w:val="auto"/>
                <w:spacing w:val="0"/>
                <w:kern w:val="21"/>
                <w:sz w:val="21"/>
                <w:szCs w:val="21"/>
                <w:highlight w:val="none"/>
                <w:lang w:val="en-US" w:eastAsia="zh-CN"/>
              </w:rPr>
            </w:pPr>
            <w:r>
              <w:rPr>
                <w:rFonts w:hint="eastAsia" w:cs="Times New Roman"/>
                <w:bCs/>
                <w:color w:val="auto"/>
                <w:spacing w:val="0"/>
                <w:kern w:val="21"/>
                <w:sz w:val="21"/>
                <w:szCs w:val="21"/>
                <w:highlight w:val="none"/>
                <w:lang w:val="en-US" w:eastAsia="zh-CN"/>
              </w:rPr>
              <w:t>偶见</w:t>
            </w:r>
          </w:p>
        </w:tc>
      </w:tr>
      <w:tr w14:paraId="2D12F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3" w:type="pct"/>
            <w:noWrap w:val="0"/>
            <w:vAlign w:val="center"/>
          </w:tcPr>
          <w:p w14:paraId="4933AB7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2</w:t>
            </w:r>
          </w:p>
        </w:tc>
        <w:tc>
          <w:tcPr>
            <w:tcW w:w="863" w:type="pct"/>
            <w:noWrap w:val="0"/>
            <w:vAlign w:val="center"/>
          </w:tcPr>
          <w:p w14:paraId="040E71A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塔里木兔</w:t>
            </w:r>
            <w:r>
              <w:rPr>
                <w:rFonts w:hint="eastAsia" w:cs="Times New Roman"/>
                <w:b w:val="0"/>
                <w:color w:val="auto"/>
                <w:spacing w:val="0"/>
                <w:kern w:val="21"/>
                <w:sz w:val="21"/>
                <w:szCs w:val="21"/>
                <w:highlight w:val="none"/>
                <w:lang w:val="en-US" w:eastAsia="zh-CN" w:bidi="ar-SA"/>
              </w:rPr>
              <w:t>（</w:t>
            </w:r>
            <w:r>
              <w:rPr>
                <w:rFonts w:hint="default" w:ascii="Times New Roman" w:hAnsi="Times New Roman" w:eastAsia="宋体" w:cs="Times New Roman"/>
                <w:b w:val="0"/>
                <w:i/>
                <w:iCs w:val="0"/>
                <w:color w:val="auto"/>
                <w:spacing w:val="0"/>
                <w:kern w:val="21"/>
                <w:sz w:val="21"/>
                <w:szCs w:val="21"/>
                <w:highlight w:val="none"/>
                <w:lang w:val="en-US" w:eastAsia="zh-CN" w:bidi="ar"/>
              </w:rPr>
              <w:t>Lepus yarkandensis</w:t>
            </w:r>
            <w:r>
              <w:rPr>
                <w:rFonts w:hint="eastAsia" w:cs="Times New Roman"/>
                <w:b w:val="0"/>
                <w:i/>
                <w:iCs w:val="0"/>
                <w:color w:val="auto"/>
                <w:spacing w:val="0"/>
                <w:kern w:val="21"/>
                <w:sz w:val="21"/>
                <w:szCs w:val="21"/>
                <w:highlight w:val="none"/>
                <w:lang w:val="en-US" w:eastAsia="zh-CN" w:bidi="ar"/>
              </w:rPr>
              <w:t>）</w:t>
            </w:r>
          </w:p>
        </w:tc>
        <w:tc>
          <w:tcPr>
            <w:tcW w:w="381" w:type="pct"/>
            <w:noWrap w:val="0"/>
            <w:vAlign w:val="center"/>
          </w:tcPr>
          <w:p w14:paraId="6643A66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国家二级</w:t>
            </w:r>
          </w:p>
        </w:tc>
        <w:tc>
          <w:tcPr>
            <w:tcW w:w="356" w:type="pct"/>
            <w:noWrap w:val="0"/>
            <w:vAlign w:val="center"/>
          </w:tcPr>
          <w:p w14:paraId="0A8785E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近危</w:t>
            </w:r>
          </w:p>
          <w:p w14:paraId="5A1A480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NT</w:t>
            </w:r>
          </w:p>
        </w:tc>
        <w:tc>
          <w:tcPr>
            <w:tcW w:w="515" w:type="pct"/>
            <w:noWrap w:val="0"/>
            <w:vAlign w:val="center"/>
          </w:tcPr>
          <w:p w14:paraId="7B4692F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Times New Roman" w:hAnsi="Times New Roman" w:eastAsia="宋体" w:cs="Times New Roman"/>
                <w:b w:val="0"/>
                <w:color w:val="auto"/>
                <w:spacing w:val="0"/>
                <w:kern w:val="21"/>
                <w:sz w:val="21"/>
                <w:szCs w:val="21"/>
                <w:highlight w:val="none"/>
                <w:lang w:val="en-US" w:eastAsia="zh-CN" w:bidi="ar-SA"/>
              </w:rPr>
              <w:t>是</w:t>
            </w:r>
          </w:p>
        </w:tc>
        <w:tc>
          <w:tcPr>
            <w:tcW w:w="1578" w:type="pct"/>
            <w:noWrap w:val="0"/>
            <w:vAlign w:val="center"/>
          </w:tcPr>
          <w:p w14:paraId="0E451483">
            <w:pPr>
              <w:keepNext w:val="0"/>
              <w:keepLines w:val="0"/>
              <w:widowControl w:val="0"/>
              <w:suppressLineNumbers w:val="0"/>
              <w:spacing w:before="0" w:beforeAutospacing="0" w:after="0" w:afterAutospacing="0" w:line="0" w:lineRule="atLeast"/>
              <w:ind w:left="0" w:right="0"/>
              <w:jc w:val="both"/>
              <w:rPr>
                <w:rFonts w:hint="default" w:ascii="Times New Roman" w:hAnsi="Times New Roman" w:eastAsia="宋体" w:cs="Times New Roman"/>
                <w:bCs/>
                <w:color w:val="auto"/>
                <w:spacing w:val="0"/>
                <w:kern w:val="21"/>
                <w:sz w:val="21"/>
                <w:szCs w:val="21"/>
                <w:highlight w:val="none"/>
              </w:rPr>
            </w:pPr>
            <w:r>
              <w:rPr>
                <w:rFonts w:hint="default" w:ascii="Times New Roman" w:hAnsi="Times New Roman" w:eastAsia="宋体" w:cs="Times New Roman"/>
                <w:bCs/>
                <w:color w:val="auto"/>
                <w:spacing w:val="0"/>
                <w:kern w:val="21"/>
                <w:sz w:val="21"/>
                <w:szCs w:val="21"/>
                <w:highlight w:val="none"/>
              </w:rPr>
              <w:t>分布在新疆南部塔里木盆地，栖息于盆地中各种不同的荒漠环境和绿洲</w:t>
            </w:r>
          </w:p>
        </w:tc>
        <w:tc>
          <w:tcPr>
            <w:tcW w:w="314" w:type="pct"/>
            <w:vMerge w:val="continue"/>
            <w:noWrap w:val="0"/>
            <w:vAlign w:val="center"/>
          </w:tcPr>
          <w:p w14:paraId="1818D68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p>
        </w:tc>
        <w:tc>
          <w:tcPr>
            <w:tcW w:w="697" w:type="pct"/>
            <w:noWrap w:val="0"/>
            <w:vAlign w:val="center"/>
          </w:tcPr>
          <w:p w14:paraId="5630DF7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Cs/>
                <w:color w:val="auto"/>
                <w:spacing w:val="0"/>
                <w:kern w:val="21"/>
                <w:sz w:val="21"/>
                <w:szCs w:val="21"/>
                <w:highlight w:val="none"/>
                <w:lang w:val="en-US" w:eastAsia="zh-CN"/>
              </w:rPr>
            </w:pPr>
            <w:r>
              <w:rPr>
                <w:rFonts w:hint="eastAsia" w:cs="Times New Roman"/>
                <w:bCs/>
                <w:color w:val="auto"/>
                <w:spacing w:val="0"/>
                <w:kern w:val="21"/>
                <w:sz w:val="21"/>
                <w:szCs w:val="21"/>
                <w:highlight w:val="none"/>
                <w:lang w:val="en-US" w:eastAsia="zh-CN"/>
              </w:rPr>
              <w:t>偶见</w:t>
            </w:r>
          </w:p>
        </w:tc>
      </w:tr>
      <w:tr w14:paraId="64160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3" w:type="pct"/>
            <w:noWrap w:val="0"/>
            <w:vAlign w:val="center"/>
          </w:tcPr>
          <w:p w14:paraId="6236DA8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cs="Times New Roman"/>
                <w:b w:val="0"/>
                <w:bCs/>
                <w:color w:val="auto"/>
                <w:spacing w:val="0"/>
                <w:kern w:val="21"/>
                <w:sz w:val="21"/>
                <w:szCs w:val="21"/>
                <w:highlight w:val="none"/>
                <w:lang w:val="en-US" w:eastAsia="zh-CN" w:bidi="ar-SA"/>
              </w:rPr>
              <w:t>3</w:t>
            </w:r>
          </w:p>
        </w:tc>
        <w:tc>
          <w:tcPr>
            <w:tcW w:w="863" w:type="pct"/>
            <w:noWrap w:val="0"/>
            <w:vAlign w:val="center"/>
          </w:tcPr>
          <w:p w14:paraId="56E09D1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rPr>
            </w:pPr>
            <w:r>
              <w:rPr>
                <w:rFonts w:hint="eastAsia" w:ascii="宋体" w:hAnsi="宋体" w:eastAsia="宋体" w:cs="宋体"/>
                <w:b w:val="0"/>
                <w:color w:val="auto"/>
                <w:spacing w:val="0"/>
                <w:kern w:val="21"/>
                <w:sz w:val="21"/>
                <w:szCs w:val="21"/>
                <w:highlight w:val="none"/>
                <w:lang w:val="en-US" w:eastAsia="zh-CN" w:bidi="ar"/>
              </w:rPr>
              <w:t>塔里木马鹿</w:t>
            </w:r>
          </w:p>
          <w:p w14:paraId="4AE579BF">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
              </w:rPr>
              <w:t>(</w:t>
            </w:r>
            <w:r>
              <w:rPr>
                <w:rFonts w:hint="default" w:ascii="Times New Roman" w:hAnsi="Times New Roman" w:eastAsia="宋体" w:cs="Times New Roman"/>
                <w:b w:val="0"/>
                <w:i/>
                <w:iCs w:val="0"/>
                <w:color w:val="auto"/>
                <w:spacing w:val="0"/>
                <w:kern w:val="21"/>
                <w:sz w:val="21"/>
                <w:szCs w:val="21"/>
                <w:highlight w:val="none"/>
                <w:lang w:val="en-US" w:eastAsia="zh-CN" w:bidi="ar"/>
              </w:rPr>
              <w:t>Cetvus yarkandensis</w:t>
            </w:r>
            <w:r>
              <w:rPr>
                <w:rFonts w:hint="default" w:ascii="Times New Roman" w:hAnsi="Times New Roman" w:eastAsia="宋体" w:cs="Times New Roman"/>
                <w:b w:val="0"/>
                <w:color w:val="auto"/>
                <w:spacing w:val="0"/>
                <w:kern w:val="21"/>
                <w:sz w:val="21"/>
                <w:szCs w:val="21"/>
                <w:highlight w:val="none"/>
                <w:lang w:val="en-US" w:eastAsia="zh-CN" w:bidi="ar"/>
              </w:rPr>
              <w:t>)</w:t>
            </w:r>
          </w:p>
        </w:tc>
        <w:tc>
          <w:tcPr>
            <w:tcW w:w="381" w:type="pct"/>
            <w:noWrap w:val="0"/>
            <w:vAlign w:val="center"/>
          </w:tcPr>
          <w:p w14:paraId="2C32C6AC">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国家一级</w:t>
            </w:r>
          </w:p>
        </w:tc>
        <w:tc>
          <w:tcPr>
            <w:tcW w:w="356" w:type="pct"/>
            <w:noWrap w:val="0"/>
            <w:vAlign w:val="center"/>
          </w:tcPr>
          <w:p w14:paraId="0B5FE9F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rPr>
            </w:pPr>
            <w:r>
              <w:rPr>
                <w:rFonts w:hint="eastAsia" w:ascii="宋体" w:hAnsi="宋体" w:eastAsia="宋体" w:cs="宋体"/>
                <w:b w:val="0"/>
                <w:color w:val="auto"/>
                <w:spacing w:val="0"/>
                <w:kern w:val="21"/>
                <w:sz w:val="21"/>
                <w:szCs w:val="21"/>
                <w:highlight w:val="none"/>
                <w:lang w:val="en-US" w:eastAsia="zh-CN" w:bidi="ar"/>
              </w:rPr>
              <w:t>濒危</w:t>
            </w:r>
          </w:p>
          <w:p w14:paraId="62524C98">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
              </w:rPr>
              <w:t>EN</w:t>
            </w:r>
          </w:p>
        </w:tc>
        <w:tc>
          <w:tcPr>
            <w:tcW w:w="515" w:type="pct"/>
            <w:noWrap w:val="0"/>
            <w:vAlign w:val="center"/>
          </w:tcPr>
          <w:p w14:paraId="2961FB71">
            <w:pPr>
              <w:keepNext w:val="0"/>
              <w:keepLines w:val="0"/>
              <w:widowControl w:val="0"/>
              <w:suppressLineNumbers w:val="0"/>
              <w:spacing w:before="0" w:beforeAutospacing="0" w:after="0" w:afterAutospacing="0" w:line="0" w:lineRule="atLeast"/>
              <w:ind w:left="0" w:leftChars="0" w:right="0" w:rightChars="0"/>
              <w:jc w:val="center"/>
              <w:rPr>
                <w:rFonts w:hint="eastAsia"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是</w:t>
            </w:r>
          </w:p>
        </w:tc>
        <w:tc>
          <w:tcPr>
            <w:tcW w:w="1578" w:type="pct"/>
            <w:noWrap w:val="0"/>
            <w:vAlign w:val="center"/>
          </w:tcPr>
          <w:p w14:paraId="3FF6AEC7">
            <w:pPr>
              <w:keepNext w:val="0"/>
              <w:keepLines w:val="0"/>
              <w:widowControl w:val="0"/>
              <w:suppressLineNumbers w:val="0"/>
              <w:spacing w:before="0" w:beforeAutospacing="0" w:after="0" w:afterAutospacing="0" w:line="0" w:lineRule="atLeast"/>
              <w:ind w:left="0" w:leftChars="0" w:right="0" w:rightChars="0" w:firstLine="0" w:firstLineChars="0"/>
              <w:jc w:val="both"/>
              <w:rPr>
                <w:rFonts w:hint="default" w:ascii="Times New Roman" w:hAnsi="Times New Roman" w:eastAsia="宋体" w:cs="Times New Roman"/>
                <w:bCs/>
                <w:color w:val="auto"/>
                <w:spacing w:val="0"/>
                <w:kern w:val="21"/>
                <w:sz w:val="21"/>
                <w:szCs w:val="21"/>
                <w:highlight w:val="none"/>
              </w:rPr>
            </w:pPr>
            <w:r>
              <w:rPr>
                <w:rFonts w:hint="eastAsia" w:ascii="宋体" w:hAnsi="宋体" w:eastAsia="宋体" w:cs="宋体"/>
                <w:b w:val="0"/>
                <w:bCs/>
                <w:color w:val="auto"/>
                <w:spacing w:val="0"/>
                <w:kern w:val="21"/>
                <w:sz w:val="21"/>
                <w:szCs w:val="21"/>
                <w:highlight w:val="none"/>
                <w:lang w:val="en-US" w:eastAsia="zh-CN" w:bidi="ar"/>
              </w:rPr>
              <w:t>在自然条件下，塔里木河沿岸绿色走廊中的原始胡杨林、次生胡杨林及灌木丛和草地，则是野生塔里木马鹿繁衍的主要栖息地</w:t>
            </w:r>
          </w:p>
        </w:tc>
        <w:tc>
          <w:tcPr>
            <w:tcW w:w="314" w:type="pct"/>
            <w:vMerge w:val="continue"/>
            <w:noWrap w:val="0"/>
            <w:vAlign w:val="center"/>
          </w:tcPr>
          <w:p w14:paraId="14E83A5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p>
        </w:tc>
        <w:tc>
          <w:tcPr>
            <w:tcW w:w="697" w:type="pct"/>
            <w:noWrap w:val="0"/>
            <w:vAlign w:val="center"/>
          </w:tcPr>
          <w:p w14:paraId="6FFEDDF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Cs/>
                <w:color w:val="auto"/>
                <w:spacing w:val="0"/>
                <w:kern w:val="21"/>
                <w:sz w:val="21"/>
                <w:szCs w:val="21"/>
                <w:highlight w:val="none"/>
                <w:lang w:val="en-US" w:eastAsia="zh-CN"/>
              </w:rPr>
            </w:pPr>
            <w:r>
              <w:rPr>
                <w:rFonts w:hint="eastAsia" w:cs="Times New Roman"/>
                <w:bCs/>
                <w:color w:val="auto"/>
                <w:spacing w:val="0"/>
                <w:kern w:val="21"/>
                <w:sz w:val="21"/>
                <w:szCs w:val="21"/>
                <w:highlight w:val="none"/>
                <w:lang w:val="en-US" w:eastAsia="zh-CN"/>
              </w:rPr>
              <w:t>否</w:t>
            </w:r>
          </w:p>
        </w:tc>
      </w:tr>
      <w:tr w14:paraId="179A3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pct"/>
            <w:noWrap w:val="0"/>
            <w:vAlign w:val="center"/>
          </w:tcPr>
          <w:p w14:paraId="19CB8F4C">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cs="Times New Roman"/>
                <w:b w:val="0"/>
                <w:bCs/>
                <w:color w:val="auto"/>
                <w:spacing w:val="0"/>
                <w:kern w:val="21"/>
                <w:sz w:val="21"/>
                <w:szCs w:val="21"/>
                <w:highlight w:val="none"/>
                <w:lang w:val="en-US" w:eastAsia="zh-CN" w:bidi="ar-SA"/>
              </w:rPr>
              <w:t>4</w:t>
            </w:r>
          </w:p>
        </w:tc>
        <w:tc>
          <w:tcPr>
            <w:tcW w:w="863" w:type="pct"/>
            <w:noWrap w:val="0"/>
            <w:vAlign w:val="center"/>
          </w:tcPr>
          <w:p w14:paraId="5285B77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苍鹰</w:t>
            </w:r>
            <w:r>
              <w:rPr>
                <w:rFonts w:hint="eastAsia" w:cs="Times New Roman"/>
                <w:b w:val="0"/>
                <w:color w:val="auto"/>
                <w:spacing w:val="0"/>
                <w:kern w:val="21"/>
                <w:sz w:val="21"/>
                <w:szCs w:val="21"/>
                <w:highlight w:val="none"/>
                <w:lang w:val="en-US" w:eastAsia="zh-CN" w:bidi="ar-SA"/>
              </w:rPr>
              <w:t>（</w:t>
            </w:r>
            <w:r>
              <w:rPr>
                <w:rFonts w:hint="default" w:ascii="Times New Roman" w:hAnsi="Times New Roman" w:eastAsia="宋体" w:cs="Times New Roman"/>
                <w:b w:val="0"/>
                <w:i/>
                <w:iCs/>
                <w:color w:val="auto"/>
                <w:spacing w:val="0"/>
                <w:kern w:val="21"/>
                <w:sz w:val="21"/>
                <w:szCs w:val="21"/>
                <w:highlight w:val="none"/>
                <w:lang w:val="en-US" w:eastAsia="zh-CN" w:bidi="ar-SA"/>
              </w:rPr>
              <w:t>Accipiter gentilis</w:t>
            </w:r>
            <w:r>
              <w:rPr>
                <w:rFonts w:hint="eastAsia" w:cs="Times New Roman"/>
                <w:b w:val="0"/>
                <w:i/>
                <w:iCs/>
                <w:color w:val="auto"/>
                <w:spacing w:val="0"/>
                <w:kern w:val="21"/>
                <w:sz w:val="21"/>
                <w:szCs w:val="21"/>
                <w:highlight w:val="none"/>
                <w:lang w:val="en-US" w:eastAsia="zh-CN" w:bidi="ar-SA"/>
              </w:rPr>
              <w:t>）</w:t>
            </w:r>
          </w:p>
        </w:tc>
        <w:tc>
          <w:tcPr>
            <w:tcW w:w="381" w:type="pct"/>
            <w:noWrap w:val="0"/>
            <w:vAlign w:val="center"/>
          </w:tcPr>
          <w:p w14:paraId="1F12CFD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国家二级</w:t>
            </w:r>
          </w:p>
        </w:tc>
        <w:tc>
          <w:tcPr>
            <w:tcW w:w="356" w:type="pct"/>
            <w:noWrap w:val="0"/>
            <w:vAlign w:val="center"/>
          </w:tcPr>
          <w:p w14:paraId="55FC244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近危</w:t>
            </w:r>
          </w:p>
          <w:p w14:paraId="14688F2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NT</w:t>
            </w:r>
          </w:p>
        </w:tc>
        <w:tc>
          <w:tcPr>
            <w:tcW w:w="515" w:type="pct"/>
            <w:noWrap w:val="0"/>
            <w:vAlign w:val="center"/>
          </w:tcPr>
          <w:p w14:paraId="1C0D1B2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cs="Times New Roman"/>
                <w:b w:val="0"/>
                <w:bCs/>
                <w:color w:val="auto"/>
                <w:spacing w:val="0"/>
                <w:kern w:val="21"/>
                <w:sz w:val="21"/>
                <w:szCs w:val="21"/>
                <w:highlight w:val="none"/>
                <w:lang w:val="en-US" w:eastAsia="zh-CN" w:bidi="ar-SA"/>
              </w:rPr>
              <w:t>否</w:t>
            </w:r>
          </w:p>
        </w:tc>
        <w:tc>
          <w:tcPr>
            <w:tcW w:w="1578" w:type="pct"/>
            <w:noWrap w:val="0"/>
            <w:vAlign w:val="center"/>
          </w:tcPr>
          <w:p w14:paraId="5138826B">
            <w:pPr>
              <w:keepNext w:val="0"/>
              <w:keepLines w:val="0"/>
              <w:widowControl w:val="0"/>
              <w:suppressLineNumbers w:val="0"/>
              <w:spacing w:before="0" w:beforeAutospacing="0" w:after="0" w:afterAutospacing="0" w:line="0" w:lineRule="atLeast"/>
              <w:ind w:left="0" w:leftChars="0" w:right="0" w:rightChars="0" w:firstLine="0" w:firstLineChars="0"/>
              <w:jc w:val="both"/>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通常栖息在山区植物稀疏的混合林、开垦耕地及旷野灌丛草地，属于小型猛禽，在项目区农田绿洲区有分布</w:t>
            </w:r>
          </w:p>
        </w:tc>
        <w:tc>
          <w:tcPr>
            <w:tcW w:w="314" w:type="pct"/>
            <w:vMerge w:val="continue"/>
            <w:noWrap w:val="0"/>
            <w:vAlign w:val="top"/>
          </w:tcPr>
          <w:p w14:paraId="57ECACA6">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p>
        </w:tc>
        <w:tc>
          <w:tcPr>
            <w:tcW w:w="697" w:type="pct"/>
            <w:noWrap w:val="0"/>
            <w:vAlign w:val="center"/>
          </w:tcPr>
          <w:p w14:paraId="5ACFC930">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Cs/>
                <w:color w:val="auto"/>
                <w:spacing w:val="0"/>
                <w:kern w:val="21"/>
                <w:sz w:val="21"/>
                <w:szCs w:val="21"/>
                <w:highlight w:val="none"/>
                <w:lang w:val="en-US" w:eastAsia="zh-CN"/>
              </w:rPr>
            </w:pPr>
            <w:r>
              <w:rPr>
                <w:rFonts w:hint="eastAsia" w:cs="Times New Roman"/>
                <w:bCs/>
                <w:color w:val="auto"/>
                <w:spacing w:val="0"/>
                <w:kern w:val="21"/>
                <w:sz w:val="21"/>
                <w:szCs w:val="21"/>
                <w:highlight w:val="none"/>
                <w:lang w:val="en-US" w:eastAsia="zh-CN"/>
              </w:rPr>
              <w:t>否</w:t>
            </w:r>
          </w:p>
        </w:tc>
      </w:tr>
      <w:tr w14:paraId="416C9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pct"/>
            <w:noWrap w:val="0"/>
            <w:vAlign w:val="center"/>
          </w:tcPr>
          <w:p w14:paraId="7C383E76">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cs="Times New Roman"/>
                <w:b w:val="0"/>
                <w:bCs/>
                <w:color w:val="auto"/>
                <w:spacing w:val="0"/>
                <w:kern w:val="21"/>
                <w:sz w:val="21"/>
                <w:szCs w:val="21"/>
                <w:highlight w:val="none"/>
                <w:lang w:val="en-US" w:eastAsia="zh-CN" w:bidi="ar-SA"/>
              </w:rPr>
              <w:t>5</w:t>
            </w:r>
          </w:p>
        </w:tc>
        <w:tc>
          <w:tcPr>
            <w:tcW w:w="863" w:type="pct"/>
            <w:noWrap w:val="0"/>
            <w:vAlign w:val="center"/>
          </w:tcPr>
          <w:p w14:paraId="580C7D89">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Times New Roman" w:hAnsi="Times New Roman" w:eastAsia="宋体" w:cs="Times New Roman"/>
                <w:b w:val="0"/>
                <w:color w:val="auto"/>
                <w:spacing w:val="0"/>
                <w:kern w:val="21"/>
                <w:sz w:val="21"/>
                <w:szCs w:val="21"/>
                <w:highlight w:val="none"/>
                <w:lang w:val="en-US" w:eastAsia="zh-CN" w:bidi="ar-SA"/>
              </w:rPr>
              <w:t>红隼</w:t>
            </w:r>
            <w:r>
              <w:rPr>
                <w:rFonts w:hint="eastAsia" w:cs="Times New Roman"/>
                <w:b w:val="0"/>
                <w:color w:val="auto"/>
                <w:spacing w:val="0"/>
                <w:kern w:val="21"/>
                <w:sz w:val="21"/>
                <w:szCs w:val="21"/>
                <w:highlight w:val="none"/>
                <w:lang w:val="en-US" w:eastAsia="zh-CN" w:bidi="ar-SA"/>
              </w:rPr>
              <w:t>（</w:t>
            </w:r>
            <w:r>
              <w:rPr>
                <w:rFonts w:hint="eastAsia" w:ascii="Times New Roman" w:hAnsi="Times New Roman" w:eastAsia="宋体" w:cs="Times New Roman"/>
                <w:b w:val="0"/>
                <w:i/>
                <w:iCs/>
                <w:color w:val="auto"/>
                <w:spacing w:val="0"/>
                <w:kern w:val="21"/>
                <w:sz w:val="21"/>
                <w:szCs w:val="21"/>
                <w:highlight w:val="none"/>
                <w:lang w:val="en-US" w:eastAsia="zh-CN" w:bidi="ar-SA"/>
              </w:rPr>
              <w:t>Faloco tinnunculus</w:t>
            </w:r>
            <w:r>
              <w:rPr>
                <w:rFonts w:hint="eastAsia" w:cs="Times New Roman"/>
                <w:b w:val="0"/>
                <w:i/>
                <w:iCs/>
                <w:color w:val="auto"/>
                <w:spacing w:val="0"/>
                <w:kern w:val="21"/>
                <w:sz w:val="21"/>
                <w:szCs w:val="21"/>
                <w:highlight w:val="none"/>
                <w:lang w:val="en-US" w:eastAsia="zh-CN" w:bidi="ar-SA"/>
              </w:rPr>
              <w:t>）</w:t>
            </w:r>
          </w:p>
        </w:tc>
        <w:tc>
          <w:tcPr>
            <w:tcW w:w="381" w:type="pct"/>
            <w:noWrap w:val="0"/>
            <w:vAlign w:val="center"/>
          </w:tcPr>
          <w:p w14:paraId="084285A4">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10"/>
                <w:kern w:val="2"/>
                <w:sz w:val="23"/>
                <w:szCs w:val="23"/>
                <w:highlight w:val="none"/>
                <w:lang w:val="en-US" w:eastAsia="zh-CN" w:bidi="ar"/>
              </w:rPr>
              <w:t>国家二级</w:t>
            </w:r>
          </w:p>
        </w:tc>
        <w:tc>
          <w:tcPr>
            <w:tcW w:w="356" w:type="pct"/>
            <w:noWrap w:val="0"/>
            <w:vAlign w:val="center"/>
          </w:tcPr>
          <w:p w14:paraId="1717CEFB">
            <w:pPr>
              <w:keepNext w:val="0"/>
              <w:keepLines w:val="0"/>
              <w:widowControl w:val="0"/>
              <w:suppressLineNumbers w:val="0"/>
              <w:spacing w:before="0" w:beforeAutospacing="0" w:after="0" w:afterAutospacing="0" w:line="0" w:lineRule="atLeast"/>
              <w:ind w:left="0" w:right="0"/>
              <w:jc w:val="center"/>
              <w:rPr>
                <w:rFonts w:hint="eastAsia" w:ascii="宋体" w:hAnsi="宋体" w:eastAsia="宋体" w:cs="宋体"/>
                <w:b w:val="0"/>
                <w:color w:val="auto"/>
                <w:spacing w:val="-10"/>
                <w:kern w:val="2"/>
                <w:sz w:val="23"/>
                <w:szCs w:val="23"/>
                <w:highlight w:val="none"/>
                <w:lang w:val="en-US" w:eastAsia="zh-CN" w:bidi="ar-SA"/>
              </w:rPr>
            </w:pPr>
            <w:r>
              <w:rPr>
                <w:rFonts w:hint="eastAsia" w:ascii="宋体" w:hAnsi="宋体" w:eastAsia="宋体" w:cs="宋体"/>
                <w:b w:val="0"/>
                <w:color w:val="auto"/>
                <w:spacing w:val="-10"/>
                <w:kern w:val="2"/>
                <w:sz w:val="23"/>
                <w:szCs w:val="23"/>
                <w:highlight w:val="none"/>
                <w:lang w:val="en-US" w:eastAsia="zh-CN" w:bidi="ar"/>
              </w:rPr>
              <w:t>无危</w:t>
            </w:r>
          </w:p>
          <w:p w14:paraId="60E378AA">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10"/>
                <w:kern w:val="2"/>
                <w:sz w:val="23"/>
                <w:szCs w:val="23"/>
                <w:highlight w:val="none"/>
                <w:lang w:val="en-US" w:eastAsia="zh-CN" w:bidi="ar"/>
              </w:rPr>
              <w:t>LC</w:t>
            </w:r>
          </w:p>
        </w:tc>
        <w:tc>
          <w:tcPr>
            <w:tcW w:w="515" w:type="pct"/>
            <w:noWrap w:val="0"/>
            <w:vAlign w:val="center"/>
          </w:tcPr>
          <w:p w14:paraId="6C62C4FB">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ascii="宋体" w:hAnsi="宋体" w:eastAsia="宋体" w:cs="宋体"/>
                <w:b w:val="0"/>
                <w:color w:val="auto"/>
                <w:spacing w:val="-10"/>
                <w:kern w:val="2"/>
                <w:sz w:val="23"/>
                <w:szCs w:val="23"/>
                <w:highlight w:val="none"/>
                <w:lang w:val="en-US" w:eastAsia="zh-CN" w:bidi="ar"/>
              </w:rPr>
              <w:t>否</w:t>
            </w:r>
          </w:p>
        </w:tc>
        <w:tc>
          <w:tcPr>
            <w:tcW w:w="1578" w:type="pct"/>
            <w:noWrap w:val="0"/>
            <w:vAlign w:val="center"/>
          </w:tcPr>
          <w:p w14:paraId="012A50E4">
            <w:pPr>
              <w:keepNext w:val="0"/>
              <w:keepLines w:val="0"/>
              <w:widowControl w:val="0"/>
              <w:suppressLineNumbers w:val="0"/>
              <w:spacing w:before="0" w:beforeAutospacing="0" w:after="0" w:afterAutospacing="0" w:line="0" w:lineRule="atLeast"/>
              <w:ind w:left="0" w:leftChars="0" w:right="0" w:rightChars="0" w:firstLine="0" w:firstLineChars="0"/>
              <w:jc w:val="both"/>
              <w:rPr>
                <w:rFonts w:hint="default" w:ascii="Times New Roman" w:hAnsi="Times New Roman" w:eastAsia="宋体" w:cs="Times New Roman"/>
                <w:color w:val="auto"/>
                <w:spacing w:val="0"/>
                <w:kern w:val="21"/>
                <w:sz w:val="21"/>
                <w:szCs w:val="21"/>
                <w:highlight w:val="none"/>
              </w:rPr>
            </w:pPr>
            <w:r>
              <w:rPr>
                <w:rFonts w:hint="eastAsia" w:ascii="宋体" w:hAnsi="宋体" w:eastAsia="宋体" w:cs="宋体"/>
                <w:color w:val="auto"/>
                <w:spacing w:val="-10"/>
                <w:kern w:val="2"/>
                <w:sz w:val="23"/>
                <w:szCs w:val="23"/>
                <w:highlight w:val="none"/>
                <w:lang w:val="en-US" w:eastAsia="zh-CN" w:bidi="ar"/>
              </w:rPr>
              <w:t>通常栖息在山区植物稀疏的混合林、开垦耕地及旷野灌丛草地，属于小型猛禽，在项目区农田绿洲区有分布</w:t>
            </w:r>
          </w:p>
        </w:tc>
        <w:tc>
          <w:tcPr>
            <w:tcW w:w="314" w:type="pct"/>
            <w:vMerge w:val="continue"/>
            <w:noWrap w:val="0"/>
            <w:vAlign w:val="top"/>
          </w:tcPr>
          <w:p w14:paraId="28AB4D3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p>
        </w:tc>
        <w:tc>
          <w:tcPr>
            <w:tcW w:w="697" w:type="pct"/>
            <w:noWrap w:val="0"/>
            <w:vAlign w:val="center"/>
          </w:tcPr>
          <w:p w14:paraId="5DC058FC">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bCs/>
                <w:color w:val="auto"/>
                <w:spacing w:val="0"/>
                <w:kern w:val="21"/>
                <w:sz w:val="21"/>
                <w:szCs w:val="21"/>
                <w:highlight w:val="none"/>
                <w:lang w:val="en-US" w:eastAsia="zh-CN"/>
              </w:rPr>
            </w:pPr>
            <w:r>
              <w:rPr>
                <w:rFonts w:hint="eastAsia" w:ascii="Times New Roman" w:hAnsi="Times New Roman" w:eastAsia="宋体" w:cs="Times New Roman"/>
                <w:bCs/>
                <w:color w:val="auto"/>
                <w:spacing w:val="0"/>
                <w:kern w:val="21"/>
                <w:sz w:val="21"/>
                <w:szCs w:val="21"/>
                <w:highlight w:val="none"/>
                <w:lang w:val="en-US" w:eastAsia="zh-CN"/>
              </w:rPr>
              <w:t>否</w:t>
            </w:r>
          </w:p>
        </w:tc>
      </w:tr>
      <w:tr w14:paraId="69B13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pct"/>
            <w:noWrap w:val="0"/>
            <w:vAlign w:val="center"/>
          </w:tcPr>
          <w:p w14:paraId="7EAD665F">
            <w:pPr>
              <w:keepNext w:val="0"/>
              <w:keepLines w:val="0"/>
              <w:widowControl w:val="0"/>
              <w:suppressLineNumbers w:val="0"/>
              <w:spacing w:before="0" w:beforeAutospacing="0" w:after="0" w:afterAutospacing="0" w:line="0" w:lineRule="atLeast"/>
              <w:ind w:left="0" w:right="0"/>
              <w:jc w:val="center"/>
              <w:rPr>
                <w:rFonts w:hint="default" w:cs="Times New Roman"/>
                <w:b w:val="0"/>
                <w:bCs/>
                <w:color w:val="auto"/>
                <w:spacing w:val="0"/>
                <w:kern w:val="21"/>
                <w:sz w:val="21"/>
                <w:szCs w:val="21"/>
                <w:highlight w:val="none"/>
                <w:lang w:val="en-US" w:eastAsia="zh-CN" w:bidi="ar-SA"/>
              </w:rPr>
            </w:pPr>
            <w:r>
              <w:rPr>
                <w:rFonts w:hint="eastAsia" w:cs="Times New Roman"/>
                <w:b w:val="0"/>
                <w:bCs/>
                <w:color w:val="auto"/>
                <w:spacing w:val="0"/>
                <w:kern w:val="21"/>
                <w:sz w:val="21"/>
                <w:szCs w:val="21"/>
                <w:highlight w:val="none"/>
                <w:lang w:val="en-US" w:eastAsia="zh-CN" w:bidi="ar-SA"/>
              </w:rPr>
              <w:t>6</w:t>
            </w:r>
          </w:p>
        </w:tc>
        <w:tc>
          <w:tcPr>
            <w:tcW w:w="863" w:type="pct"/>
            <w:noWrap w:val="0"/>
            <w:vAlign w:val="center"/>
          </w:tcPr>
          <w:p w14:paraId="53EF819C">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沙狐</w:t>
            </w:r>
            <w:r>
              <w:rPr>
                <w:rFonts w:hint="eastAsia" w:cs="Times New Roman"/>
                <w:b w:val="0"/>
                <w:color w:val="auto"/>
                <w:spacing w:val="0"/>
                <w:kern w:val="21"/>
                <w:sz w:val="21"/>
                <w:szCs w:val="21"/>
                <w:highlight w:val="none"/>
                <w:lang w:val="en-US" w:eastAsia="zh-CN" w:bidi="ar-SA"/>
              </w:rPr>
              <w:t>（</w:t>
            </w:r>
            <w:r>
              <w:rPr>
                <w:rFonts w:hint="eastAsia" w:cs="Times New Roman"/>
                <w:b w:val="0"/>
                <w:i/>
                <w:iCs/>
                <w:color w:val="auto"/>
                <w:spacing w:val="0"/>
                <w:kern w:val="21"/>
                <w:sz w:val="21"/>
                <w:szCs w:val="21"/>
                <w:highlight w:val="none"/>
                <w:lang w:val="en-US" w:eastAsia="zh-CN" w:bidi="ar-SA"/>
              </w:rPr>
              <w:t>Vulpes corsac</w:t>
            </w:r>
            <w:r>
              <w:rPr>
                <w:rFonts w:hint="eastAsia" w:cs="Times New Roman"/>
                <w:b w:val="0"/>
                <w:color w:val="auto"/>
                <w:spacing w:val="0"/>
                <w:kern w:val="21"/>
                <w:sz w:val="21"/>
                <w:szCs w:val="21"/>
                <w:highlight w:val="none"/>
                <w:lang w:val="en-US" w:eastAsia="zh-CN" w:bidi="ar-SA"/>
              </w:rPr>
              <w:t>）</w:t>
            </w:r>
          </w:p>
        </w:tc>
        <w:tc>
          <w:tcPr>
            <w:tcW w:w="381" w:type="pct"/>
            <w:noWrap w:val="0"/>
            <w:vAlign w:val="center"/>
          </w:tcPr>
          <w:p w14:paraId="433D9ABE">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国家二级</w:t>
            </w:r>
          </w:p>
        </w:tc>
        <w:tc>
          <w:tcPr>
            <w:tcW w:w="356" w:type="pct"/>
            <w:noWrap w:val="0"/>
            <w:vAlign w:val="center"/>
          </w:tcPr>
          <w:p w14:paraId="2BA51C93">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default" w:ascii="Times New Roman" w:hAnsi="Times New Roman" w:eastAsia="宋体" w:cs="Times New Roman"/>
                <w:b w:val="0"/>
                <w:color w:val="auto"/>
                <w:spacing w:val="0"/>
                <w:kern w:val="21"/>
                <w:sz w:val="21"/>
                <w:szCs w:val="21"/>
                <w:highlight w:val="none"/>
                <w:lang w:val="en-US" w:eastAsia="zh-CN" w:bidi="ar-SA"/>
              </w:rPr>
              <w:t>无危LC</w:t>
            </w:r>
          </w:p>
        </w:tc>
        <w:tc>
          <w:tcPr>
            <w:tcW w:w="515" w:type="pct"/>
            <w:noWrap w:val="0"/>
            <w:vAlign w:val="center"/>
          </w:tcPr>
          <w:p w14:paraId="6F2A27E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default" w:ascii="Times New Roman" w:hAnsi="Times New Roman" w:eastAsia="宋体" w:cs="Times New Roman"/>
                <w:b w:val="0"/>
                <w:bCs/>
                <w:color w:val="auto"/>
                <w:spacing w:val="0"/>
                <w:kern w:val="21"/>
                <w:sz w:val="21"/>
                <w:szCs w:val="21"/>
                <w:highlight w:val="none"/>
                <w:lang w:val="en-US" w:eastAsia="zh-CN" w:bidi="ar-SA"/>
              </w:rPr>
              <w:t>否</w:t>
            </w:r>
          </w:p>
        </w:tc>
        <w:tc>
          <w:tcPr>
            <w:tcW w:w="1578" w:type="pct"/>
            <w:noWrap w:val="0"/>
            <w:vAlign w:val="center"/>
          </w:tcPr>
          <w:p w14:paraId="6BF6E59F">
            <w:pPr>
              <w:keepNext w:val="0"/>
              <w:keepLines w:val="0"/>
              <w:widowControl w:val="0"/>
              <w:suppressLineNumbers w:val="0"/>
              <w:spacing w:before="0" w:beforeAutospacing="0" w:after="0" w:afterAutospacing="0" w:line="0" w:lineRule="atLeast"/>
              <w:ind w:left="0" w:right="0"/>
              <w:jc w:val="both"/>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主要栖息于干草原、荒漠和半荒漠地带，远离农田、森林和灌木丛，喜欢在草原和半沙漠中生活</w:t>
            </w:r>
          </w:p>
        </w:tc>
        <w:tc>
          <w:tcPr>
            <w:tcW w:w="314" w:type="pct"/>
            <w:vMerge w:val="continue"/>
            <w:noWrap w:val="0"/>
            <w:vAlign w:val="top"/>
          </w:tcPr>
          <w:p w14:paraId="0B2B12B1">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p>
        </w:tc>
        <w:tc>
          <w:tcPr>
            <w:tcW w:w="697" w:type="pct"/>
            <w:noWrap w:val="0"/>
            <w:vAlign w:val="center"/>
          </w:tcPr>
          <w:p w14:paraId="3518D13E">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bCs/>
                <w:color w:val="auto"/>
                <w:spacing w:val="0"/>
                <w:kern w:val="21"/>
                <w:sz w:val="21"/>
                <w:szCs w:val="21"/>
                <w:highlight w:val="none"/>
                <w:lang w:val="en-US" w:eastAsia="zh-CN"/>
              </w:rPr>
            </w:pPr>
            <w:r>
              <w:rPr>
                <w:rFonts w:hint="eastAsia" w:ascii="Times New Roman" w:hAnsi="Times New Roman" w:eastAsia="宋体" w:cs="Times New Roman"/>
                <w:bCs/>
                <w:color w:val="auto"/>
                <w:spacing w:val="0"/>
                <w:kern w:val="21"/>
                <w:sz w:val="21"/>
                <w:szCs w:val="21"/>
                <w:highlight w:val="none"/>
                <w:lang w:val="en-US" w:eastAsia="zh-CN"/>
              </w:rPr>
              <w:t>否</w:t>
            </w:r>
          </w:p>
        </w:tc>
      </w:tr>
      <w:tr w14:paraId="48CC1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pct"/>
            <w:noWrap w:val="0"/>
            <w:vAlign w:val="center"/>
          </w:tcPr>
          <w:p w14:paraId="3CFA82C1">
            <w:pPr>
              <w:keepNext w:val="0"/>
              <w:keepLines w:val="0"/>
              <w:widowControl w:val="0"/>
              <w:suppressLineNumbers w:val="0"/>
              <w:spacing w:before="0" w:beforeAutospacing="0" w:after="0" w:afterAutospacing="0" w:line="0" w:lineRule="atLeast"/>
              <w:ind w:left="0" w:right="0"/>
              <w:jc w:val="center"/>
              <w:rPr>
                <w:rFonts w:hint="default" w:cs="Times New Roman"/>
                <w:b w:val="0"/>
                <w:bCs/>
                <w:color w:val="auto"/>
                <w:spacing w:val="0"/>
                <w:kern w:val="21"/>
                <w:sz w:val="21"/>
                <w:szCs w:val="21"/>
                <w:highlight w:val="none"/>
                <w:lang w:val="en-US" w:eastAsia="zh-CN" w:bidi="ar-SA"/>
              </w:rPr>
            </w:pPr>
            <w:r>
              <w:rPr>
                <w:rFonts w:hint="eastAsia" w:cs="Times New Roman"/>
                <w:b w:val="0"/>
                <w:bCs/>
                <w:color w:val="auto"/>
                <w:spacing w:val="0"/>
                <w:kern w:val="21"/>
                <w:sz w:val="21"/>
                <w:szCs w:val="21"/>
                <w:highlight w:val="none"/>
                <w:lang w:val="en-US" w:eastAsia="zh-CN" w:bidi="ar-SA"/>
              </w:rPr>
              <w:t>7</w:t>
            </w:r>
          </w:p>
        </w:tc>
        <w:tc>
          <w:tcPr>
            <w:tcW w:w="863" w:type="pct"/>
            <w:noWrap w:val="0"/>
            <w:vAlign w:val="center"/>
          </w:tcPr>
          <w:p w14:paraId="01A3C7BC">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云雀（</w:t>
            </w:r>
            <w:r>
              <w:rPr>
                <w:rFonts w:hint="default" w:ascii="Times New Roman" w:hAnsi="Times New Roman" w:eastAsia="宋体" w:cs="Times New Roman"/>
                <w:b w:val="0"/>
                <w:i/>
                <w:iCs/>
                <w:color w:val="auto"/>
                <w:spacing w:val="0"/>
                <w:kern w:val="21"/>
                <w:sz w:val="21"/>
                <w:szCs w:val="21"/>
                <w:highlight w:val="none"/>
                <w:lang w:val="en-US" w:eastAsia="zh-CN" w:bidi="ar"/>
              </w:rPr>
              <w:t>Alauda arvensis</w:t>
            </w:r>
            <w:r>
              <w:rPr>
                <w:rFonts w:hint="eastAsia" w:ascii="宋体" w:hAnsi="宋体" w:eastAsia="宋体" w:cs="宋体"/>
                <w:b w:val="0"/>
                <w:color w:val="auto"/>
                <w:spacing w:val="0"/>
                <w:kern w:val="21"/>
                <w:sz w:val="21"/>
                <w:szCs w:val="21"/>
                <w:highlight w:val="none"/>
                <w:lang w:val="en-US" w:eastAsia="zh-CN" w:bidi="ar"/>
              </w:rPr>
              <w:t>）</w:t>
            </w:r>
          </w:p>
        </w:tc>
        <w:tc>
          <w:tcPr>
            <w:tcW w:w="381" w:type="pct"/>
            <w:noWrap w:val="0"/>
            <w:vAlign w:val="center"/>
          </w:tcPr>
          <w:p w14:paraId="7989832C">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国家二级</w:t>
            </w:r>
          </w:p>
        </w:tc>
        <w:tc>
          <w:tcPr>
            <w:tcW w:w="356" w:type="pct"/>
            <w:noWrap w:val="0"/>
            <w:vAlign w:val="center"/>
          </w:tcPr>
          <w:p w14:paraId="5394A064">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无危</w:t>
            </w:r>
            <w:r>
              <w:rPr>
                <w:rFonts w:hint="default" w:ascii="Times New Roman" w:hAnsi="Times New Roman" w:eastAsia="宋体" w:cs="Times New Roman"/>
                <w:b w:val="0"/>
                <w:color w:val="auto"/>
                <w:spacing w:val="0"/>
                <w:kern w:val="21"/>
                <w:sz w:val="21"/>
                <w:szCs w:val="21"/>
                <w:highlight w:val="none"/>
                <w:lang w:val="en-US" w:eastAsia="zh-CN" w:bidi="ar"/>
              </w:rPr>
              <w:t>LC</w:t>
            </w:r>
          </w:p>
        </w:tc>
        <w:tc>
          <w:tcPr>
            <w:tcW w:w="515" w:type="pct"/>
            <w:noWrap w:val="0"/>
            <w:vAlign w:val="center"/>
          </w:tcPr>
          <w:p w14:paraId="42B3DE41">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ascii="宋体" w:hAnsi="宋体" w:eastAsia="宋体" w:cs="宋体"/>
                <w:b w:val="0"/>
                <w:bCs/>
                <w:color w:val="auto"/>
                <w:spacing w:val="0"/>
                <w:kern w:val="21"/>
                <w:sz w:val="21"/>
                <w:szCs w:val="21"/>
                <w:highlight w:val="none"/>
                <w:lang w:val="en-US" w:eastAsia="zh-CN" w:bidi="ar"/>
              </w:rPr>
              <w:t>否</w:t>
            </w:r>
          </w:p>
        </w:tc>
        <w:tc>
          <w:tcPr>
            <w:tcW w:w="1578" w:type="pct"/>
            <w:noWrap w:val="0"/>
            <w:vAlign w:val="center"/>
          </w:tcPr>
          <w:p w14:paraId="058EA5E1">
            <w:pPr>
              <w:keepNext w:val="0"/>
              <w:keepLines w:val="0"/>
              <w:widowControl w:val="0"/>
              <w:suppressLineNumbers w:val="0"/>
              <w:spacing w:before="0" w:beforeAutospacing="0" w:after="0" w:afterAutospacing="0" w:line="0" w:lineRule="atLeast"/>
              <w:ind w:left="0" w:leftChars="0" w:right="0" w:rightChars="0" w:firstLine="0" w:firstLineChars="0"/>
              <w:jc w:val="both"/>
              <w:rPr>
                <w:rFonts w:hint="default" w:ascii="Times New Roman" w:hAnsi="Times New Roman" w:eastAsia="宋体" w:cs="Times New Roman"/>
                <w:color w:val="auto"/>
                <w:spacing w:val="0"/>
                <w:kern w:val="21"/>
                <w:sz w:val="21"/>
                <w:szCs w:val="21"/>
                <w:highlight w:val="none"/>
              </w:rPr>
            </w:pPr>
            <w:r>
              <w:rPr>
                <w:rFonts w:hint="eastAsia" w:ascii="宋体" w:hAnsi="宋体" w:eastAsia="宋体" w:cs="宋体"/>
                <w:color w:val="auto"/>
                <w:spacing w:val="0"/>
                <w:kern w:val="21"/>
                <w:sz w:val="21"/>
                <w:szCs w:val="21"/>
                <w:highlight w:val="none"/>
                <w:lang w:val="en-US" w:eastAsia="zh-CN" w:bidi="ar"/>
              </w:rPr>
              <w:t>栖息于非常开阔的草地环境，喜欢各种不同类型的天然草地，栖息地很少或没有木本植被，大多数繁殖种群处于具有适合它的特征的农业环境中，会明显避开森林，甚至森林的边缘、草丛类型的环境、树篱和灌木丛等过于丰富的地区</w:t>
            </w:r>
          </w:p>
        </w:tc>
        <w:tc>
          <w:tcPr>
            <w:tcW w:w="314" w:type="pct"/>
            <w:vMerge w:val="continue"/>
            <w:noWrap w:val="0"/>
            <w:vAlign w:val="top"/>
          </w:tcPr>
          <w:p w14:paraId="32603647">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p>
        </w:tc>
        <w:tc>
          <w:tcPr>
            <w:tcW w:w="697" w:type="pct"/>
            <w:noWrap w:val="0"/>
            <w:vAlign w:val="center"/>
          </w:tcPr>
          <w:p w14:paraId="66861237">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bCs/>
                <w:color w:val="auto"/>
                <w:spacing w:val="0"/>
                <w:kern w:val="21"/>
                <w:sz w:val="21"/>
                <w:szCs w:val="21"/>
                <w:highlight w:val="none"/>
                <w:lang w:val="en-US" w:eastAsia="zh-CN"/>
              </w:rPr>
            </w:pPr>
            <w:r>
              <w:rPr>
                <w:rFonts w:hint="eastAsia" w:ascii="Times New Roman" w:hAnsi="Times New Roman" w:eastAsia="宋体" w:cs="Times New Roman"/>
                <w:bCs/>
                <w:color w:val="auto"/>
                <w:spacing w:val="0"/>
                <w:kern w:val="21"/>
                <w:sz w:val="21"/>
                <w:szCs w:val="21"/>
                <w:highlight w:val="none"/>
                <w:lang w:val="en-US" w:eastAsia="zh-CN"/>
              </w:rPr>
              <w:t>否</w:t>
            </w:r>
          </w:p>
        </w:tc>
      </w:tr>
      <w:tr w14:paraId="32C02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3" w:type="pct"/>
            <w:noWrap w:val="0"/>
            <w:vAlign w:val="center"/>
          </w:tcPr>
          <w:p w14:paraId="1B88E860">
            <w:pPr>
              <w:keepNext w:val="0"/>
              <w:keepLines w:val="0"/>
              <w:widowControl w:val="0"/>
              <w:suppressLineNumbers w:val="0"/>
              <w:spacing w:before="0" w:beforeAutospacing="0" w:after="0" w:afterAutospacing="0" w:line="0" w:lineRule="atLeast"/>
              <w:ind w:left="0" w:right="0"/>
              <w:jc w:val="center"/>
              <w:rPr>
                <w:rFonts w:hint="default" w:cs="Times New Roman"/>
                <w:b w:val="0"/>
                <w:bCs/>
                <w:color w:val="auto"/>
                <w:spacing w:val="0"/>
                <w:kern w:val="21"/>
                <w:sz w:val="21"/>
                <w:szCs w:val="21"/>
                <w:highlight w:val="none"/>
                <w:lang w:val="en-US" w:eastAsia="zh-CN" w:bidi="ar-SA"/>
              </w:rPr>
            </w:pPr>
            <w:r>
              <w:rPr>
                <w:rFonts w:hint="eastAsia" w:cs="Times New Roman"/>
                <w:b w:val="0"/>
                <w:bCs/>
                <w:color w:val="auto"/>
                <w:spacing w:val="0"/>
                <w:kern w:val="21"/>
                <w:sz w:val="21"/>
                <w:szCs w:val="21"/>
                <w:highlight w:val="none"/>
                <w:lang w:val="en-US" w:eastAsia="zh-CN" w:bidi="ar-SA"/>
              </w:rPr>
              <w:t>8</w:t>
            </w:r>
          </w:p>
        </w:tc>
        <w:tc>
          <w:tcPr>
            <w:tcW w:w="863" w:type="pct"/>
            <w:noWrap w:val="0"/>
            <w:vAlign w:val="center"/>
          </w:tcPr>
          <w:p w14:paraId="2586CA2A">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白尾地鸦（</w:t>
            </w:r>
            <w:r>
              <w:rPr>
                <w:rFonts w:hint="default" w:ascii="Times New Roman" w:hAnsi="Times New Roman" w:eastAsia="宋体" w:cs="Times New Roman"/>
                <w:b w:val="0"/>
                <w:i/>
                <w:iCs/>
                <w:color w:val="auto"/>
                <w:spacing w:val="0"/>
                <w:kern w:val="21"/>
                <w:sz w:val="21"/>
                <w:szCs w:val="21"/>
                <w:highlight w:val="none"/>
                <w:lang w:val="en-US" w:eastAsia="zh-CN" w:bidi="ar"/>
              </w:rPr>
              <w:t>Podoces hiddulphi</w:t>
            </w:r>
            <w:r>
              <w:rPr>
                <w:rFonts w:hint="eastAsia" w:ascii="宋体" w:hAnsi="宋体" w:eastAsia="宋体" w:cs="宋体"/>
                <w:b w:val="0"/>
                <w:color w:val="auto"/>
                <w:spacing w:val="0"/>
                <w:kern w:val="21"/>
                <w:sz w:val="21"/>
                <w:szCs w:val="21"/>
                <w:highlight w:val="none"/>
                <w:lang w:val="en-US" w:eastAsia="zh-CN" w:bidi="ar"/>
              </w:rPr>
              <w:t>）</w:t>
            </w:r>
          </w:p>
        </w:tc>
        <w:tc>
          <w:tcPr>
            <w:tcW w:w="381" w:type="pct"/>
            <w:noWrap w:val="0"/>
            <w:vAlign w:val="center"/>
          </w:tcPr>
          <w:p w14:paraId="7053DBE6">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国家二级</w:t>
            </w:r>
          </w:p>
        </w:tc>
        <w:tc>
          <w:tcPr>
            <w:tcW w:w="356" w:type="pct"/>
            <w:noWrap w:val="0"/>
            <w:vAlign w:val="center"/>
          </w:tcPr>
          <w:p w14:paraId="617E3CDA">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color w:val="auto"/>
                <w:spacing w:val="0"/>
                <w:kern w:val="21"/>
                <w:sz w:val="21"/>
                <w:szCs w:val="21"/>
                <w:highlight w:val="none"/>
                <w:lang w:val="en-US" w:eastAsia="zh-CN" w:bidi="ar-SA"/>
              </w:rPr>
            </w:pPr>
            <w:r>
              <w:rPr>
                <w:rFonts w:hint="eastAsia" w:ascii="宋体" w:hAnsi="宋体" w:eastAsia="宋体" w:cs="宋体"/>
                <w:b w:val="0"/>
                <w:color w:val="auto"/>
                <w:spacing w:val="0"/>
                <w:kern w:val="21"/>
                <w:sz w:val="21"/>
                <w:szCs w:val="21"/>
                <w:highlight w:val="none"/>
                <w:lang w:val="en-US" w:eastAsia="zh-CN" w:bidi="ar"/>
              </w:rPr>
              <w:t>近危</w:t>
            </w:r>
            <w:r>
              <w:rPr>
                <w:rFonts w:hint="default" w:ascii="Times New Roman" w:hAnsi="Times New Roman" w:eastAsia="宋体" w:cs="Times New Roman"/>
                <w:b w:val="0"/>
                <w:color w:val="auto"/>
                <w:spacing w:val="0"/>
                <w:kern w:val="21"/>
                <w:sz w:val="21"/>
                <w:szCs w:val="21"/>
                <w:highlight w:val="none"/>
                <w:lang w:val="en-US" w:eastAsia="zh-CN" w:bidi="ar"/>
              </w:rPr>
              <w:t>NT</w:t>
            </w:r>
          </w:p>
        </w:tc>
        <w:tc>
          <w:tcPr>
            <w:tcW w:w="515" w:type="pct"/>
            <w:noWrap w:val="0"/>
            <w:vAlign w:val="center"/>
          </w:tcPr>
          <w:p w14:paraId="56F31DC7">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color w:val="auto"/>
                <w:spacing w:val="0"/>
                <w:kern w:val="21"/>
                <w:sz w:val="21"/>
                <w:szCs w:val="21"/>
                <w:highlight w:val="none"/>
                <w:lang w:val="en-US" w:eastAsia="zh-CN" w:bidi="ar-SA"/>
              </w:rPr>
            </w:pPr>
            <w:r>
              <w:rPr>
                <w:rFonts w:hint="eastAsia" w:ascii="宋体" w:hAnsi="宋体" w:eastAsia="宋体" w:cs="宋体"/>
                <w:b w:val="0"/>
                <w:bCs/>
                <w:color w:val="auto"/>
                <w:spacing w:val="0"/>
                <w:kern w:val="21"/>
                <w:sz w:val="21"/>
                <w:szCs w:val="21"/>
                <w:highlight w:val="none"/>
                <w:lang w:val="en-US" w:eastAsia="zh-CN" w:bidi="ar"/>
              </w:rPr>
              <w:t>否</w:t>
            </w:r>
          </w:p>
        </w:tc>
        <w:tc>
          <w:tcPr>
            <w:tcW w:w="1578" w:type="pct"/>
            <w:noWrap w:val="0"/>
            <w:vAlign w:val="center"/>
          </w:tcPr>
          <w:p w14:paraId="2897B885">
            <w:pPr>
              <w:keepNext w:val="0"/>
              <w:keepLines w:val="0"/>
              <w:widowControl w:val="0"/>
              <w:suppressLineNumbers w:val="0"/>
              <w:spacing w:before="0" w:beforeAutospacing="0" w:after="0" w:afterAutospacing="0" w:line="0" w:lineRule="atLeast"/>
              <w:ind w:left="0" w:leftChars="0" w:right="0" w:rightChars="0" w:firstLine="0" w:firstLineChars="0"/>
              <w:jc w:val="both"/>
              <w:rPr>
                <w:rFonts w:hint="default" w:ascii="Times New Roman" w:hAnsi="Times New Roman" w:eastAsia="宋体" w:cs="Times New Roman"/>
                <w:color w:val="auto"/>
                <w:spacing w:val="0"/>
                <w:kern w:val="21"/>
                <w:sz w:val="21"/>
                <w:szCs w:val="21"/>
                <w:highlight w:val="none"/>
              </w:rPr>
            </w:pPr>
            <w:r>
              <w:rPr>
                <w:rFonts w:hint="eastAsia" w:ascii="宋体" w:hAnsi="宋体" w:eastAsia="宋体" w:cs="宋体"/>
                <w:color w:val="auto"/>
                <w:spacing w:val="0"/>
                <w:kern w:val="21"/>
                <w:sz w:val="21"/>
                <w:szCs w:val="21"/>
                <w:highlight w:val="none"/>
                <w:lang w:val="en-US" w:eastAsia="zh-CN" w:bidi="ar"/>
              </w:rPr>
              <w:t>主要栖息于干旱平原和荒漠地区，尤以植被稀疏的沙质荒漠地区较常见</w:t>
            </w:r>
          </w:p>
        </w:tc>
        <w:tc>
          <w:tcPr>
            <w:tcW w:w="314" w:type="pct"/>
            <w:vMerge w:val="continue"/>
            <w:noWrap w:val="0"/>
            <w:vAlign w:val="top"/>
          </w:tcPr>
          <w:p w14:paraId="1B70B33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auto"/>
                <w:spacing w:val="0"/>
                <w:kern w:val="21"/>
                <w:sz w:val="21"/>
                <w:szCs w:val="21"/>
                <w:highlight w:val="none"/>
                <w:lang w:val="en-US" w:eastAsia="zh-CN" w:bidi="ar-SA"/>
              </w:rPr>
            </w:pPr>
          </w:p>
        </w:tc>
        <w:tc>
          <w:tcPr>
            <w:tcW w:w="697" w:type="pct"/>
            <w:noWrap w:val="0"/>
            <w:vAlign w:val="center"/>
          </w:tcPr>
          <w:p w14:paraId="0CFDF7F8">
            <w:pPr>
              <w:keepNext w:val="0"/>
              <w:keepLines w:val="0"/>
              <w:widowControl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bCs/>
                <w:color w:val="auto"/>
                <w:spacing w:val="0"/>
                <w:kern w:val="21"/>
                <w:sz w:val="21"/>
                <w:szCs w:val="21"/>
                <w:highlight w:val="none"/>
                <w:lang w:val="en-US" w:eastAsia="zh-CN"/>
              </w:rPr>
            </w:pPr>
            <w:r>
              <w:rPr>
                <w:rFonts w:hint="eastAsia" w:ascii="Times New Roman" w:hAnsi="Times New Roman" w:eastAsia="宋体" w:cs="Times New Roman"/>
                <w:bCs/>
                <w:color w:val="auto"/>
                <w:spacing w:val="0"/>
                <w:kern w:val="21"/>
                <w:sz w:val="21"/>
                <w:szCs w:val="21"/>
                <w:highlight w:val="none"/>
                <w:lang w:val="en-US" w:eastAsia="zh-CN"/>
              </w:rPr>
              <w:t>否</w:t>
            </w:r>
          </w:p>
        </w:tc>
      </w:tr>
    </w:tbl>
    <w:p w14:paraId="4F092901">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snapToGrid w:val="0"/>
          <w:color w:val="auto"/>
          <w:kern w:val="0"/>
          <w:sz w:val="24"/>
          <w:szCs w:val="24"/>
          <w:highlight w:val="none"/>
          <w:lang w:eastAsia="zh-CN"/>
        </w:rPr>
      </w:pPr>
      <w:r>
        <w:rPr>
          <w:rFonts w:hint="eastAsia" w:ascii="Times New Roman" w:hAnsi="Times New Roman" w:eastAsia="宋体" w:cs="Times New Roman"/>
          <w:snapToGrid w:val="0"/>
          <w:color w:val="auto"/>
          <w:kern w:val="0"/>
          <w:sz w:val="24"/>
          <w:szCs w:val="24"/>
          <w:highlight w:val="none"/>
        </w:rPr>
        <w:t>现场勘查时未见塔里木马鹿、沙狐、苍鹰、红隼、白尾地鸦等保护动物，偶尔可见到鹅喉羚、塔里木兔、云雀的踪迹</w:t>
      </w:r>
      <w:r>
        <w:rPr>
          <w:rFonts w:hint="eastAsia" w:ascii="Times New Roman" w:hAnsi="Times New Roman" w:eastAsia="宋体" w:cs="Times New Roman"/>
          <w:snapToGrid w:val="0"/>
          <w:color w:val="auto"/>
          <w:kern w:val="0"/>
          <w:sz w:val="24"/>
          <w:szCs w:val="24"/>
          <w:highlight w:val="none"/>
          <w:lang w:eastAsia="zh-CN"/>
        </w:rPr>
        <w:t>。</w:t>
      </w:r>
    </w:p>
    <w:p w14:paraId="6EB33D04">
      <w:pPr>
        <w:pStyle w:val="7"/>
        <w:keepNext/>
        <w:keepLines/>
        <w:pageBreakBefore w:val="0"/>
        <w:widowControl w:val="0"/>
        <w:kinsoku/>
        <w:wordWrap/>
        <w:overflowPunct/>
        <w:topLinePunct w:val="0"/>
        <w:autoSpaceDE/>
        <w:autoSpaceDN/>
        <w:bidi w:val="0"/>
        <w:adjustRightInd w:val="0"/>
        <w:snapToGrid w:val="0"/>
        <w:spacing w:before="157" w:beforeLines="50" w:afterLine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4.6.5.2生态保护红线</w:t>
      </w:r>
    </w:p>
    <w:p w14:paraId="55F67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生态保护红线指在生态空间范围内具有特殊重要生态功能、必须强制性严格保护的区域，是保障和维护国家生态安全的底线和生命线，通常包括具有重要水源涵养、生物多样性维护、水土保持、防风固沙等功能的生态功能重要区域，以及水土流失、土地沙化、石漠化、盐渍化等生态敏感脆弱区域。</w:t>
      </w:r>
    </w:p>
    <w:p w14:paraId="1FFD7919">
      <w:pPr>
        <w:spacing w:line="360" w:lineRule="auto"/>
        <w:ind w:firstLine="480" w:firstLineChars="200"/>
        <w:jc w:val="both"/>
        <w:rPr>
          <w:rFonts w:hint="eastAsia"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塔里木河流域土地沙化防控与生物多样性维护生态保护红线区主要分布在阿克苏地区的新和县、沙雅县和库车市和巴州的轮台县、尉犁县等。生物多样性维护主要生态功能为重点维护生物种类的多样性、基因的多样性和生态系统的多样性及稳定性；主要保护要求为重要生态功能区域生态功能不降低、面积不减少、性质不改变；主要保护对象有鹅喉羚等珍稀野生动物，塔里木沙拐枣、梭梭、肉苁蓉等珍稀野生植物。土地沙化防控主要生态功能为防风固沙，主要保护要求为在风沙危害大的区域，转变传统畜牧业生产方式，实行禁牧休牧，推行舍饲圈养，以草定畜，严格控制载畜量。加大退牧还草、退耕还林和防沙治沙力度，恢复草地植被。</w:t>
      </w:r>
    </w:p>
    <w:p w14:paraId="2D318E73">
      <w:pPr>
        <w:spacing w:line="360" w:lineRule="auto"/>
        <w:ind w:firstLine="480" w:firstLineChars="200"/>
        <w:jc w:val="both"/>
        <w:rPr>
          <w:rFonts w:hint="eastAsia"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rPr>
        <w:t>本项目</w:t>
      </w:r>
      <w:r>
        <w:rPr>
          <w:rFonts w:hint="eastAsia" w:ascii="Times New Roman" w:hAnsi="Times New Roman" w:eastAsia="宋体" w:cs="Times New Roman"/>
          <w:snapToGrid w:val="0"/>
          <w:color w:val="auto"/>
          <w:kern w:val="0"/>
          <w:sz w:val="24"/>
          <w:szCs w:val="24"/>
          <w:highlight w:val="none"/>
          <w:lang w:val="en-US" w:eastAsia="zh-CN"/>
        </w:rPr>
        <w:t>TH10298CH井</w:t>
      </w:r>
      <w:r>
        <w:rPr>
          <w:rFonts w:hint="eastAsia" w:cs="Times New Roman"/>
          <w:snapToGrid w:val="0"/>
          <w:color w:val="auto"/>
          <w:kern w:val="0"/>
          <w:sz w:val="24"/>
          <w:szCs w:val="24"/>
          <w:highlight w:val="none"/>
          <w:lang w:val="en-US" w:eastAsia="zh-CN"/>
        </w:rPr>
        <w:t>南</w:t>
      </w:r>
      <w:r>
        <w:rPr>
          <w:rFonts w:hint="eastAsia" w:ascii="Times New Roman" w:hAnsi="Times New Roman" w:eastAsia="宋体" w:cs="Times New Roman"/>
          <w:snapToGrid w:val="0"/>
          <w:color w:val="auto"/>
          <w:kern w:val="0"/>
          <w:sz w:val="24"/>
          <w:szCs w:val="24"/>
          <w:highlight w:val="none"/>
          <w:lang w:val="en-US" w:eastAsia="zh-CN"/>
        </w:rPr>
        <w:t>距塔里木河流域土地沙化防控与生物多样性维护生态保护红线区600m</w:t>
      </w:r>
      <w:r>
        <w:rPr>
          <w:rFonts w:hint="eastAsia" w:cs="Times New Roman"/>
          <w:snapToGrid w:val="0"/>
          <w:color w:val="auto"/>
          <w:kern w:val="0"/>
          <w:sz w:val="24"/>
          <w:szCs w:val="24"/>
          <w:highlight w:val="none"/>
          <w:lang w:val="en-US" w:eastAsia="zh-CN"/>
        </w:rPr>
        <w:t>m、TK872CH井西北距生态保护红线约1.9km，</w:t>
      </w:r>
      <w:r>
        <w:rPr>
          <w:rFonts w:hint="eastAsia" w:ascii="Times New Roman" w:hAnsi="Times New Roman" w:eastAsia="宋体" w:cs="Times New Roman"/>
          <w:snapToGrid w:val="0"/>
          <w:color w:val="auto"/>
          <w:kern w:val="0"/>
          <w:sz w:val="24"/>
          <w:szCs w:val="24"/>
          <w:highlight w:val="none"/>
          <w:lang w:val="en-US" w:eastAsia="zh-CN"/>
        </w:rPr>
        <w:t>项目</w:t>
      </w:r>
      <w:r>
        <w:rPr>
          <w:rFonts w:hint="eastAsia" w:cs="Times New Roman"/>
          <w:snapToGrid w:val="0"/>
          <w:color w:val="auto"/>
          <w:kern w:val="0"/>
          <w:sz w:val="24"/>
          <w:szCs w:val="24"/>
          <w:highlight w:val="none"/>
          <w:lang w:val="en-US" w:eastAsia="zh-CN"/>
        </w:rPr>
        <w:t>内容均</w:t>
      </w:r>
      <w:r>
        <w:rPr>
          <w:rFonts w:hint="eastAsia" w:ascii="Times New Roman" w:hAnsi="Times New Roman" w:eastAsia="宋体" w:cs="Times New Roman"/>
          <w:snapToGrid w:val="0"/>
          <w:color w:val="auto"/>
          <w:kern w:val="0"/>
          <w:sz w:val="24"/>
          <w:szCs w:val="24"/>
          <w:highlight w:val="none"/>
          <w:lang w:val="en-US" w:eastAsia="zh-CN"/>
        </w:rPr>
        <w:t>不占用生态保护红线。</w:t>
      </w:r>
      <w:r>
        <w:rPr>
          <w:rFonts w:hint="eastAsia" w:ascii="Times New Roman" w:hAnsi="Times New Roman" w:eastAsia="宋体" w:cs="Times New Roman"/>
          <w:snapToGrid w:val="0"/>
          <w:color w:val="auto"/>
          <w:kern w:val="0"/>
          <w:sz w:val="24"/>
          <w:szCs w:val="24"/>
          <w:highlight w:val="none"/>
        </w:rPr>
        <w:t>本项目与“生态保护红线”位置关系示意见图</w:t>
      </w:r>
      <w:r>
        <w:rPr>
          <w:rFonts w:hint="eastAsia" w:ascii="Times New Roman" w:hAnsi="Times New Roman" w:eastAsia="宋体" w:cs="Times New Roman"/>
          <w:snapToGrid w:val="0"/>
          <w:color w:val="auto"/>
          <w:kern w:val="0"/>
          <w:sz w:val="24"/>
          <w:szCs w:val="24"/>
          <w:highlight w:val="none"/>
          <w:lang w:val="en-US" w:eastAsia="zh-CN"/>
        </w:rPr>
        <w:t>3.9-1</w:t>
      </w:r>
      <w:r>
        <w:rPr>
          <w:rFonts w:hint="eastAsia" w:cs="Times New Roman"/>
          <w:snapToGrid w:val="0"/>
          <w:color w:val="auto"/>
          <w:kern w:val="0"/>
          <w:sz w:val="24"/>
          <w:szCs w:val="24"/>
          <w:highlight w:val="none"/>
          <w:lang w:val="en-US" w:eastAsia="zh-CN"/>
        </w:rPr>
        <w:t>。</w:t>
      </w:r>
    </w:p>
    <w:p w14:paraId="553A992F">
      <w:pPr>
        <w:pStyle w:val="7"/>
        <w:keepNext/>
        <w:keepLines/>
        <w:pageBreakBefore w:val="0"/>
        <w:widowControl w:val="0"/>
        <w:kinsoku/>
        <w:wordWrap/>
        <w:overflowPunct/>
        <w:topLinePunct w:val="0"/>
        <w:autoSpaceDE/>
        <w:autoSpaceDN/>
        <w:bidi w:val="0"/>
        <w:adjustRightInd w:val="0"/>
        <w:snapToGrid w:val="0"/>
        <w:spacing w:before="157" w:beforeLines="50" w:afterLine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4.6.5.3新疆库车龟兹国家沙漠公园</w:t>
      </w:r>
    </w:p>
    <w:p w14:paraId="07D0935E">
      <w:pPr>
        <w:pStyle w:val="12"/>
        <w:pageBreakBefore w:val="0"/>
        <w:kinsoku/>
        <w:wordWrap/>
        <w:overflowPunct/>
        <w:autoSpaceDN/>
        <w:bidi w:val="0"/>
        <w:spacing w:line="360" w:lineRule="auto"/>
        <w:ind w:firstLine="480" w:firstLineChars="200"/>
        <w:textAlignment w:val="auto"/>
        <w:rPr>
          <w:rFonts w:hint="eastAsia" w:hAnsi="宋体" w:eastAsia="宋体" w:cs="宋体"/>
          <w:color w:val="auto"/>
          <w:highlight w:val="none"/>
        </w:rPr>
      </w:pPr>
      <w:r>
        <w:rPr>
          <w:rFonts w:hint="eastAsia" w:hAnsi="宋体" w:eastAsia="宋体" w:cs="宋体"/>
          <w:color w:val="auto"/>
          <w:highlight w:val="none"/>
        </w:rPr>
        <w:t>新疆库车龟兹国家沙漠公园位于新疆维吾尔自治区阿克苏地区库车市境内。2016年，原</w:t>
      </w:r>
      <w:r>
        <w:rPr>
          <w:rFonts w:hint="eastAsia" w:cs="宋体"/>
          <w:color w:val="auto"/>
          <w:highlight w:val="none"/>
          <w:lang w:eastAsia="zh-CN"/>
        </w:rPr>
        <w:t>国家林业和草原局</w:t>
      </w:r>
      <w:r>
        <w:rPr>
          <w:rFonts w:hint="eastAsia" w:hAnsi="宋体" w:eastAsia="宋体" w:cs="宋体"/>
          <w:color w:val="auto"/>
          <w:highlight w:val="none"/>
        </w:rPr>
        <w:t>以《</w:t>
      </w:r>
      <w:r>
        <w:rPr>
          <w:rFonts w:hint="eastAsia" w:cs="宋体"/>
          <w:color w:val="auto"/>
          <w:highlight w:val="none"/>
          <w:lang w:eastAsia="zh-CN"/>
        </w:rPr>
        <w:t>国家林业和草原局</w:t>
      </w:r>
      <w:r>
        <w:rPr>
          <w:rFonts w:hint="eastAsia" w:hAnsi="宋体" w:eastAsia="宋体" w:cs="宋体"/>
          <w:color w:val="auto"/>
          <w:highlight w:val="none"/>
        </w:rPr>
        <w:t>关于同意山西偏关林湖等33个国家沙漠(石漠)公园的通知》(林沙发</w:t>
      </w:r>
      <w:r>
        <w:rPr>
          <w:rFonts w:hint="eastAsia" w:cs="宋体"/>
          <w:color w:val="auto"/>
          <w:highlight w:val="none"/>
          <w:lang w:eastAsia="zh-CN"/>
        </w:rPr>
        <w:t>〔2015〕153号</w:t>
      </w:r>
      <w:r>
        <w:rPr>
          <w:rFonts w:hint="eastAsia" w:hAnsi="宋体" w:eastAsia="宋体" w:cs="宋体"/>
          <w:color w:val="auto"/>
          <w:highlight w:val="none"/>
        </w:rPr>
        <w:t>)批准新疆库车龟兹国家沙漠公园为试点沙漠公园。保护沙漠生态安全非常重要，防沙治沙，保护和恢复沙漠植被，是龟兹国家沙漠公园最主要的任务。把龟兹国家沙漠公园建成生态保育型国家沙漠公园。</w:t>
      </w:r>
    </w:p>
    <w:p w14:paraId="1E306F45">
      <w:pPr>
        <w:pageBreakBefore w:val="0"/>
        <w:kinsoku/>
        <w:wordWrap/>
        <w:overflowPunct/>
        <w:topLinePunct/>
        <w:autoSpaceDE w:val="0"/>
        <w:autoSpaceDN/>
        <w:bidi w:val="0"/>
        <w:adjustRightInd w:val="0"/>
        <w:spacing w:line="360" w:lineRule="auto"/>
        <w:ind w:firstLine="480" w:firstLineChars="200"/>
        <w:textAlignment w:val="auto"/>
        <w:rPr>
          <w:color w:val="auto"/>
          <w:highlight w:val="none"/>
        </w:rPr>
      </w:pPr>
      <w:r>
        <w:rPr>
          <w:rFonts w:hint="eastAsia" w:ascii="Times New Roman" w:hAnsi="Times New Roman" w:eastAsia="投产" w:cs="Times New Roman"/>
          <w:bCs/>
          <w:color w:val="auto"/>
          <w:kern w:val="0"/>
          <w:sz w:val="24"/>
          <w:szCs w:val="24"/>
          <w:highlight w:val="none"/>
          <w:lang w:val="en-US" w:eastAsia="zh-CN"/>
        </w:rPr>
        <w:t>本</w:t>
      </w:r>
      <w:r>
        <w:rPr>
          <w:rFonts w:hint="eastAsia" w:eastAsia="投产" w:cs="Times New Roman"/>
          <w:bCs/>
          <w:color w:val="auto"/>
          <w:kern w:val="0"/>
          <w:sz w:val="24"/>
          <w:szCs w:val="24"/>
          <w:highlight w:val="none"/>
          <w:lang w:val="en-US" w:eastAsia="zh-CN"/>
        </w:rPr>
        <w:t>项目TH10298CH井南距新疆库车龟兹国家沙漠公园</w:t>
      </w:r>
      <w:r>
        <w:rPr>
          <w:rFonts w:hint="eastAsia" w:ascii="Times New Roman" w:hAnsi="Times New Roman" w:eastAsia="投产" w:cs="Times New Roman"/>
          <w:bCs/>
          <w:color w:val="auto"/>
          <w:kern w:val="0"/>
          <w:sz w:val="24"/>
          <w:szCs w:val="24"/>
          <w:highlight w:val="none"/>
          <w:lang w:val="en-US" w:eastAsia="zh-CN"/>
        </w:rPr>
        <w:t>最近距离为</w:t>
      </w:r>
      <w:r>
        <w:rPr>
          <w:rFonts w:hint="eastAsia" w:eastAsia="投产" w:cs="Times New Roman"/>
          <w:bCs/>
          <w:color w:val="auto"/>
          <w:kern w:val="0"/>
          <w:sz w:val="24"/>
          <w:szCs w:val="24"/>
          <w:highlight w:val="none"/>
          <w:lang w:val="en-US" w:eastAsia="zh-CN"/>
        </w:rPr>
        <w:t>614</w:t>
      </w:r>
      <w:r>
        <w:rPr>
          <w:rFonts w:hint="eastAsia" w:ascii="Times New Roman" w:hAnsi="Times New Roman" w:eastAsia="投产" w:cs="Times New Roman"/>
          <w:bCs/>
          <w:color w:val="auto"/>
          <w:kern w:val="0"/>
          <w:sz w:val="24"/>
          <w:szCs w:val="24"/>
          <w:highlight w:val="none"/>
          <w:lang w:val="en-US" w:eastAsia="zh-CN"/>
        </w:rPr>
        <w:t>km</w:t>
      </w:r>
      <w:r>
        <w:rPr>
          <w:rFonts w:hint="eastAsia" w:hAnsi="宋体" w:cs="宋体"/>
          <w:bCs/>
          <w:color w:val="auto"/>
          <w:highlight w:val="none"/>
        </w:rPr>
        <w:t>，建设内容均不</w:t>
      </w:r>
      <w:r>
        <w:rPr>
          <w:rFonts w:hint="eastAsia" w:hAnsi="宋体" w:cs="宋体"/>
          <w:color w:val="auto"/>
          <w:highlight w:val="none"/>
        </w:rPr>
        <w:t>在沙漠公园范围内。</w:t>
      </w:r>
    </w:p>
    <w:p w14:paraId="17BE3341">
      <w:pPr>
        <w:pStyle w:val="7"/>
        <w:keepNext/>
        <w:keepLines/>
        <w:pageBreakBefore w:val="0"/>
        <w:widowControl w:val="0"/>
        <w:kinsoku/>
        <w:wordWrap/>
        <w:overflowPunct/>
        <w:topLinePunct w:val="0"/>
        <w:autoSpaceDE/>
        <w:autoSpaceDN/>
        <w:bidi w:val="0"/>
        <w:adjustRightInd w:val="0"/>
        <w:snapToGrid w:val="0"/>
        <w:spacing w:before="157" w:beforeLines="50" w:afterLine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4.6.5.4天然林</w:t>
      </w:r>
      <w:r>
        <w:rPr>
          <w:rFonts w:hint="eastAsia" w:ascii="Times New Roman" w:hAnsi="Times New Roman" w:cs="Times New Roman"/>
          <w:color w:val="auto"/>
          <w:highlight w:val="none"/>
          <w:lang w:val="en-US" w:eastAsia="zh-CN"/>
        </w:rPr>
        <w:t>（国家二级公益林）</w:t>
      </w:r>
    </w:p>
    <w:p w14:paraId="534B6EC7">
      <w:pPr>
        <w:spacing w:line="360" w:lineRule="auto"/>
        <w:ind w:firstLine="480" w:firstLineChars="200"/>
        <w:jc w:val="both"/>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天然林指天然起源的林地，包括自然形成与人工促进天然更新或者萌生所形成的林地，是自然界中群落最稳定、生态功能最完备、生物多样性最丰富的陆地生态系统，是维护国土安全最重要的生态屏障，按其退化程度可以大致分为原生林、次生林和疏林等。</w:t>
      </w:r>
    </w:p>
    <w:p w14:paraId="3009D867">
      <w:pPr>
        <w:spacing w:line="360" w:lineRule="auto"/>
        <w:ind w:firstLine="480" w:firstLineChars="200"/>
        <w:jc w:val="both"/>
        <w:rPr>
          <w:rFonts w:hint="eastAsia" w:cs="Times New Roman"/>
          <w:color w:val="auto"/>
          <w:szCs w:val="20"/>
          <w:highlight w:val="none"/>
          <w:lang w:eastAsia="zh-CN"/>
        </w:rPr>
      </w:pPr>
      <w:r>
        <w:rPr>
          <w:rFonts w:hint="eastAsia" w:cs="Times New Roman"/>
          <w:color w:val="auto"/>
          <w:szCs w:val="20"/>
          <w:highlight w:val="none"/>
          <w:lang w:val="en-US" w:eastAsia="zh-CN"/>
        </w:rPr>
        <w:t>根据调查，</w:t>
      </w:r>
      <w:r>
        <w:rPr>
          <w:rFonts w:hint="eastAsia" w:ascii="Times New Roman" w:hAnsi="Times New Roman" w:eastAsia="宋体" w:cs="Times New Roman"/>
          <w:color w:val="auto"/>
          <w:szCs w:val="20"/>
          <w:highlight w:val="none"/>
        </w:rPr>
        <w:t>评价区域内</w:t>
      </w:r>
      <w:r>
        <w:rPr>
          <w:rFonts w:hint="eastAsia" w:cs="Times New Roman"/>
          <w:color w:val="auto"/>
          <w:szCs w:val="20"/>
          <w:highlight w:val="none"/>
          <w:lang w:val="en-US" w:eastAsia="zh-CN"/>
        </w:rPr>
        <w:t>国家二级公益林（</w:t>
      </w:r>
      <w:r>
        <w:rPr>
          <w:rFonts w:hint="eastAsia" w:ascii="Times New Roman" w:hAnsi="Times New Roman" w:eastAsia="宋体" w:cs="Times New Roman"/>
          <w:color w:val="auto"/>
          <w:szCs w:val="20"/>
          <w:highlight w:val="none"/>
        </w:rPr>
        <w:t>天然林</w:t>
      </w:r>
      <w:r>
        <w:rPr>
          <w:rFonts w:hint="eastAsia" w:cs="Times New Roman"/>
          <w:color w:val="auto"/>
          <w:szCs w:val="20"/>
          <w:highlight w:val="none"/>
          <w:lang w:eastAsia="zh-CN"/>
        </w:rPr>
        <w:t>）</w:t>
      </w:r>
      <w:r>
        <w:rPr>
          <w:rFonts w:hint="eastAsia" w:ascii="Times New Roman" w:hAnsi="Times New Roman" w:eastAsia="宋体" w:cs="Times New Roman"/>
          <w:color w:val="auto"/>
          <w:szCs w:val="20"/>
          <w:highlight w:val="none"/>
        </w:rPr>
        <w:t>类型</w:t>
      </w:r>
      <w:r>
        <w:rPr>
          <w:rFonts w:hint="eastAsia" w:cs="Times New Roman"/>
          <w:color w:val="auto"/>
          <w:szCs w:val="20"/>
          <w:highlight w:val="none"/>
          <w:lang w:val="en-US" w:eastAsia="zh-CN"/>
        </w:rPr>
        <w:t>均为</w:t>
      </w:r>
      <w:r>
        <w:rPr>
          <w:rFonts w:hint="eastAsia" w:ascii="Times New Roman" w:hAnsi="Times New Roman" w:eastAsia="宋体" w:cs="Times New Roman"/>
          <w:color w:val="auto"/>
          <w:szCs w:val="20"/>
          <w:highlight w:val="none"/>
        </w:rPr>
        <w:t>防风固沙林，属于吐加依灌丛和稀疏灌丛，主要植物种类为</w:t>
      </w:r>
      <w:r>
        <w:rPr>
          <w:rFonts w:hint="eastAsia" w:cs="Times New Roman"/>
          <w:color w:val="auto"/>
          <w:szCs w:val="20"/>
          <w:highlight w:val="none"/>
          <w:lang w:val="en-US" w:eastAsia="zh-CN"/>
        </w:rPr>
        <w:t>胡杨、</w:t>
      </w:r>
      <w:r>
        <w:rPr>
          <w:rFonts w:hint="eastAsia" w:ascii="Times New Roman" w:hAnsi="Times New Roman" w:eastAsia="宋体" w:cs="Times New Roman"/>
          <w:color w:val="auto"/>
          <w:szCs w:val="20"/>
          <w:highlight w:val="none"/>
        </w:rPr>
        <w:t>柽柳，灌木层高度2m～3m，植被盖度为</w:t>
      </w:r>
      <w:r>
        <w:rPr>
          <w:rFonts w:hint="eastAsia" w:cs="Times New Roman"/>
          <w:color w:val="auto"/>
          <w:szCs w:val="20"/>
          <w:highlight w:val="none"/>
          <w:lang w:val="en-US" w:eastAsia="zh-CN"/>
        </w:rPr>
        <w:t>20%~</w:t>
      </w:r>
      <w:r>
        <w:rPr>
          <w:rFonts w:hint="eastAsia" w:ascii="Times New Roman" w:hAnsi="Times New Roman" w:eastAsia="宋体" w:cs="Times New Roman"/>
          <w:color w:val="auto"/>
          <w:szCs w:val="20"/>
          <w:highlight w:val="none"/>
        </w:rPr>
        <w:t>30%，伴生有</w:t>
      </w:r>
      <w:r>
        <w:rPr>
          <w:rFonts w:hint="eastAsia" w:cs="Times New Roman"/>
          <w:color w:val="auto"/>
          <w:szCs w:val="20"/>
          <w:highlight w:val="none"/>
          <w:lang w:val="en-US" w:eastAsia="zh-CN"/>
        </w:rPr>
        <w:t>花花柴</w:t>
      </w:r>
      <w:r>
        <w:rPr>
          <w:rFonts w:hint="eastAsia" w:ascii="Times New Roman" w:hAnsi="Times New Roman" w:eastAsia="宋体" w:cs="Times New Roman"/>
          <w:color w:val="auto"/>
          <w:szCs w:val="20"/>
          <w:highlight w:val="none"/>
        </w:rPr>
        <w:t>、</w:t>
      </w:r>
      <w:r>
        <w:rPr>
          <w:rFonts w:hint="default" w:ascii="Times New Roman" w:hAnsi="Times New Roman" w:eastAsia="宋体" w:cs="Times New Roman"/>
          <w:color w:val="auto"/>
          <w:szCs w:val="20"/>
          <w:highlight w:val="none"/>
        </w:rPr>
        <w:t>疏叶骆驼刺等。本项目</w:t>
      </w:r>
      <w:r>
        <w:rPr>
          <w:rFonts w:hint="default" w:ascii="Times New Roman" w:hAnsi="Times New Roman" w:cs="Times New Roman"/>
          <w:color w:val="auto"/>
          <w:szCs w:val="20"/>
          <w:highlight w:val="none"/>
          <w:lang w:val="en-US" w:eastAsia="zh-CN"/>
        </w:rPr>
        <w:t>侧钻4</w:t>
      </w:r>
      <w:r>
        <w:rPr>
          <w:rFonts w:hint="default" w:ascii="Times New Roman" w:hAnsi="Times New Roman" w:eastAsia="宋体" w:cs="Times New Roman"/>
          <w:color w:val="auto"/>
          <w:szCs w:val="20"/>
          <w:highlight w:val="none"/>
        </w:rPr>
        <w:t>口</w:t>
      </w:r>
      <w:r>
        <w:rPr>
          <w:rFonts w:hint="default" w:ascii="Times New Roman" w:hAnsi="Times New Roman" w:cs="Times New Roman"/>
          <w:color w:val="auto"/>
          <w:szCs w:val="20"/>
          <w:highlight w:val="none"/>
          <w:lang w:val="en-US" w:eastAsia="zh-CN"/>
        </w:rPr>
        <w:t>老</w:t>
      </w:r>
      <w:r>
        <w:rPr>
          <w:rFonts w:hint="default" w:ascii="Times New Roman" w:hAnsi="Times New Roman" w:eastAsia="宋体" w:cs="Times New Roman"/>
          <w:color w:val="auto"/>
          <w:szCs w:val="20"/>
          <w:highlight w:val="none"/>
        </w:rPr>
        <w:t>井、开挖管沟约</w:t>
      </w:r>
      <w:r>
        <w:rPr>
          <w:rFonts w:hint="default" w:ascii="Times New Roman" w:hAnsi="Times New Roman" w:cs="Times New Roman"/>
          <w:color w:val="auto"/>
          <w:szCs w:val="20"/>
          <w:highlight w:val="none"/>
          <w:lang w:val="en-US" w:eastAsia="zh-CN"/>
        </w:rPr>
        <w:t>601</w:t>
      </w:r>
      <w:r>
        <w:rPr>
          <w:rFonts w:hint="default" w:ascii="Times New Roman" w:hAnsi="Times New Roman" w:eastAsia="宋体" w:cs="Times New Roman"/>
          <w:color w:val="auto"/>
          <w:szCs w:val="20"/>
          <w:highlight w:val="none"/>
        </w:rPr>
        <w:t>m，涉及天然林，分布有II、</w:t>
      </w:r>
      <w:r>
        <w:rPr>
          <w:rFonts w:hint="default" w:ascii="Times New Roman" w:hAnsi="Times New Roman" w:cs="Times New Roman"/>
          <w:color w:val="auto"/>
          <w:szCs w:val="20"/>
          <w:highlight w:val="none"/>
          <w:lang w:eastAsia="zh-CN"/>
        </w:rPr>
        <w:t>Ⅲ</w:t>
      </w:r>
      <w:r>
        <w:rPr>
          <w:rFonts w:hint="default" w:ascii="Times New Roman" w:hAnsi="Times New Roman" w:eastAsia="宋体" w:cs="Times New Roman"/>
          <w:color w:val="auto"/>
          <w:szCs w:val="20"/>
          <w:highlight w:val="none"/>
        </w:rPr>
        <w:t>级林地，不涉及I级林地</w:t>
      </w:r>
      <w:r>
        <w:rPr>
          <w:rFonts w:hint="eastAsia" w:cs="Times New Roman"/>
          <w:color w:val="auto"/>
          <w:szCs w:val="20"/>
          <w:highlight w:val="none"/>
          <w:lang w:eastAsia="zh-CN"/>
        </w:rPr>
        <w:t>；</w:t>
      </w:r>
      <w:r>
        <w:rPr>
          <w:rFonts w:hint="eastAsia" w:ascii="Times New Roman" w:hAnsi="Times New Roman" w:eastAsia="宋体" w:cs="Times New Roman"/>
          <w:color w:val="auto"/>
          <w:szCs w:val="20"/>
          <w:highlight w:val="none"/>
        </w:rPr>
        <w:t>地类为灌木林地、宜林地</w:t>
      </w:r>
      <w:r>
        <w:rPr>
          <w:rFonts w:hint="eastAsia" w:cs="Times New Roman"/>
          <w:color w:val="auto"/>
          <w:szCs w:val="20"/>
          <w:highlight w:val="none"/>
          <w:lang w:val="en-US" w:eastAsia="zh-CN"/>
        </w:rPr>
        <w:t>等</w:t>
      </w:r>
      <w:r>
        <w:rPr>
          <w:rFonts w:hint="eastAsia" w:ascii="Times New Roman" w:hAnsi="Times New Roman" w:eastAsia="宋体" w:cs="Times New Roman"/>
          <w:color w:val="auto"/>
          <w:szCs w:val="20"/>
          <w:highlight w:val="none"/>
        </w:rPr>
        <w:t>，主要生态功能为防风固沙。保护对象主要为区域防风固沙林及生物多样性保护林的生态系统，防</w:t>
      </w:r>
      <w:r>
        <w:rPr>
          <w:rFonts w:hint="eastAsia" w:cs="Times New Roman"/>
          <w:color w:val="auto"/>
          <w:szCs w:val="20"/>
          <w:highlight w:val="none"/>
          <w:lang w:val="en-US" w:eastAsia="zh-CN"/>
        </w:rPr>
        <w:t>止</w:t>
      </w:r>
      <w:r>
        <w:rPr>
          <w:rFonts w:hint="eastAsia" w:ascii="Times New Roman" w:hAnsi="Times New Roman" w:eastAsia="宋体" w:cs="Times New Roman"/>
          <w:color w:val="auto"/>
          <w:szCs w:val="20"/>
          <w:highlight w:val="none"/>
        </w:rPr>
        <w:t>沙漠化，保护农田和居住区不受风沙侵袭，保护野生动植物及其生境，维护区域生物多样性；保护现状</w:t>
      </w:r>
      <w:r>
        <w:rPr>
          <w:rFonts w:hint="eastAsia" w:cs="Times New Roman"/>
          <w:color w:val="auto"/>
          <w:szCs w:val="20"/>
          <w:highlight w:val="none"/>
          <w:lang w:val="en-US" w:eastAsia="zh-CN"/>
        </w:rPr>
        <w:t>以</w:t>
      </w:r>
      <w:r>
        <w:rPr>
          <w:rFonts w:hint="eastAsia" w:ascii="Times New Roman" w:hAnsi="Times New Roman" w:eastAsia="宋体" w:cs="Times New Roman"/>
          <w:color w:val="auto"/>
          <w:szCs w:val="20"/>
          <w:highlight w:val="none"/>
        </w:rPr>
        <w:t>自然生境为主，人类扰动强度较低</w:t>
      </w:r>
      <w:r>
        <w:rPr>
          <w:rFonts w:hint="eastAsia" w:cs="Times New Roman"/>
          <w:color w:val="auto"/>
          <w:szCs w:val="20"/>
          <w:highlight w:val="none"/>
          <w:lang w:eastAsia="zh-CN"/>
        </w:rPr>
        <w:t>。</w:t>
      </w:r>
    </w:p>
    <w:p w14:paraId="14FD2CB1">
      <w:pPr>
        <w:pStyle w:val="32"/>
        <w:keepNext w:val="0"/>
        <w:keepLines w:val="0"/>
        <w:pageBreakBefore w:val="0"/>
        <w:widowControl/>
        <w:suppressLineNumbers w:val="0"/>
        <w:kinsoku/>
        <w:wordWrap/>
        <w:overflowPunct/>
        <w:topLinePunct w:val="0"/>
        <w:autoSpaceDE/>
        <w:autoSpaceDN/>
        <w:bidi w:val="0"/>
        <w:adjustRightInd/>
        <w:snapToGrid/>
        <w:spacing w:beforeAutospacing="1" w:afterAutospacing="1" w:line="360" w:lineRule="auto"/>
        <w:ind w:firstLine="480" w:firstLineChars="200"/>
        <w:textAlignment w:val="auto"/>
        <w:rPr>
          <w:rFonts w:hint="eastAsia" w:cs="Times New Roman"/>
          <w:color w:val="auto"/>
          <w:szCs w:val="20"/>
          <w:highlight w:val="none"/>
          <w:lang w:eastAsia="zh-CN"/>
        </w:rPr>
      </w:pPr>
      <w:r>
        <w:rPr>
          <w:rFonts w:hint="default" w:ascii="Times New Roman" w:hAnsi="Times New Roman" w:eastAsia="宋体" w:cs="Times New Roman"/>
          <w:color w:val="auto"/>
          <w:kern w:val="0"/>
          <w:sz w:val="24"/>
          <w:szCs w:val="20"/>
          <w:highlight w:val="none"/>
          <w:lang w:val="en-US" w:eastAsia="zh-CN"/>
        </w:rPr>
        <w:t>经初步核算，</w:t>
      </w:r>
      <w:r>
        <w:rPr>
          <w:rFonts w:hint="default" w:ascii="Times New Roman" w:hAnsi="Times New Roman" w:cs="Times New Roman"/>
          <w:color w:val="auto"/>
          <w:kern w:val="0"/>
          <w:sz w:val="24"/>
          <w:szCs w:val="20"/>
          <w:highlight w:val="none"/>
          <w:lang w:val="en-US" w:eastAsia="zh-CN"/>
        </w:rPr>
        <w:t>本项目新建</w:t>
      </w:r>
      <w:r>
        <w:rPr>
          <w:rFonts w:hint="eastAsia"/>
          <w:color w:val="auto"/>
          <w:highlight w:val="none"/>
          <w:lang w:val="en-US" w:eastAsia="zh-CN"/>
        </w:rPr>
        <w:t>单井</w:t>
      </w:r>
      <w:r>
        <w:rPr>
          <w:rFonts w:hint="default" w:ascii="Times New Roman" w:hAnsi="Times New Roman" w:cs="Times New Roman"/>
          <w:color w:val="auto"/>
          <w:kern w:val="0"/>
          <w:sz w:val="24"/>
          <w:szCs w:val="20"/>
          <w:highlight w:val="none"/>
          <w:lang w:val="en-US" w:eastAsia="zh-CN"/>
        </w:rPr>
        <w:t>管线</w:t>
      </w:r>
      <w:r>
        <w:rPr>
          <w:rFonts w:hint="default" w:ascii="Times New Roman" w:hAnsi="Times New Roman" w:cs="Times New Roman"/>
          <w:color w:val="auto"/>
          <w:kern w:val="0"/>
          <w:sz w:val="24"/>
          <w:szCs w:val="20"/>
          <w:highlight w:val="none"/>
          <w:vertAlign w:val="baseline"/>
          <w:lang w:val="en-US" w:eastAsia="zh-CN"/>
        </w:rPr>
        <w:t>占用</w:t>
      </w:r>
      <w:r>
        <w:rPr>
          <w:rFonts w:hint="eastAsia" w:cs="Times New Roman"/>
          <w:color w:val="auto"/>
          <w:kern w:val="0"/>
          <w:sz w:val="24"/>
          <w:szCs w:val="20"/>
          <w:highlight w:val="none"/>
          <w:vertAlign w:val="baseline"/>
          <w:lang w:val="en-US" w:eastAsia="zh-CN"/>
        </w:rPr>
        <w:t>Ⅱ级</w:t>
      </w:r>
      <w:r>
        <w:rPr>
          <w:rFonts w:hint="default" w:ascii="Times New Roman" w:hAnsi="Times New Roman" w:cs="Times New Roman"/>
          <w:color w:val="auto"/>
          <w:kern w:val="0"/>
          <w:sz w:val="24"/>
          <w:szCs w:val="20"/>
          <w:highlight w:val="none"/>
          <w:vertAlign w:val="baseline"/>
          <w:lang w:val="en-US" w:eastAsia="zh-CN"/>
        </w:rPr>
        <w:t>林地长度为</w:t>
      </w:r>
      <w:r>
        <w:rPr>
          <w:rFonts w:hint="eastAsia" w:cs="Times New Roman"/>
          <w:color w:val="auto"/>
          <w:kern w:val="0"/>
          <w:sz w:val="24"/>
          <w:szCs w:val="20"/>
          <w:highlight w:val="none"/>
          <w:vertAlign w:val="baseline"/>
          <w:lang w:val="en-US" w:eastAsia="zh-CN"/>
        </w:rPr>
        <w:t>601</w:t>
      </w:r>
      <w:r>
        <w:rPr>
          <w:rFonts w:hint="default" w:ascii="Times New Roman" w:hAnsi="Times New Roman" w:cs="Times New Roman"/>
          <w:color w:val="auto"/>
          <w:kern w:val="0"/>
          <w:sz w:val="24"/>
          <w:szCs w:val="20"/>
          <w:highlight w:val="none"/>
          <w:vertAlign w:val="baseline"/>
          <w:lang w:val="en-US" w:eastAsia="zh-CN"/>
        </w:rPr>
        <w:t>m，管线施工作业宽度</w:t>
      </w:r>
      <w:r>
        <w:rPr>
          <w:rFonts w:hint="eastAsia" w:cs="Times New Roman"/>
          <w:color w:val="auto"/>
          <w:kern w:val="0"/>
          <w:sz w:val="24"/>
          <w:szCs w:val="20"/>
          <w:highlight w:val="none"/>
          <w:vertAlign w:val="baseline"/>
          <w:lang w:val="en-US" w:eastAsia="zh-CN"/>
        </w:rPr>
        <w:t>为7</w:t>
      </w:r>
      <w:r>
        <w:rPr>
          <w:rFonts w:hint="default" w:ascii="Times New Roman" w:hAnsi="Times New Roman" w:cs="Times New Roman"/>
          <w:color w:val="auto"/>
          <w:kern w:val="0"/>
          <w:sz w:val="24"/>
          <w:szCs w:val="20"/>
          <w:highlight w:val="none"/>
          <w:vertAlign w:val="baseline"/>
          <w:lang w:val="en-US" w:eastAsia="zh-CN"/>
        </w:rPr>
        <w:t>m，临时占用</w:t>
      </w:r>
      <w:r>
        <w:rPr>
          <w:rFonts w:hint="eastAsia" w:cs="Times New Roman"/>
          <w:color w:val="auto"/>
          <w:kern w:val="0"/>
          <w:sz w:val="24"/>
          <w:szCs w:val="20"/>
          <w:highlight w:val="none"/>
          <w:vertAlign w:val="baseline"/>
          <w:lang w:val="en-US" w:eastAsia="zh-CN"/>
        </w:rPr>
        <w:t>国家二级公益林（天然林）</w:t>
      </w:r>
      <w:r>
        <w:rPr>
          <w:rFonts w:hint="default" w:ascii="Times New Roman" w:hAnsi="Times New Roman" w:cs="Times New Roman"/>
          <w:color w:val="auto"/>
          <w:kern w:val="0"/>
          <w:sz w:val="24"/>
          <w:szCs w:val="20"/>
          <w:highlight w:val="none"/>
          <w:vertAlign w:val="baseline"/>
          <w:lang w:val="en-US" w:eastAsia="zh-CN"/>
        </w:rPr>
        <w:t>面积为0.4077hm</w:t>
      </w:r>
      <w:r>
        <w:rPr>
          <w:rFonts w:hint="default" w:ascii="Times New Roman" w:hAnsi="Times New Roman" w:cs="Times New Roman"/>
          <w:color w:val="auto"/>
          <w:kern w:val="0"/>
          <w:sz w:val="24"/>
          <w:szCs w:val="20"/>
          <w:highlight w:val="none"/>
          <w:vertAlign w:val="superscript"/>
          <w:lang w:val="en-US" w:eastAsia="zh-CN"/>
        </w:rPr>
        <w:t>2</w:t>
      </w:r>
      <w:r>
        <w:rPr>
          <w:rFonts w:hint="eastAsia" w:cs="Times New Roman"/>
          <w:color w:val="auto"/>
          <w:kern w:val="0"/>
          <w:sz w:val="24"/>
          <w:szCs w:val="20"/>
          <w:highlight w:val="none"/>
          <w:lang w:val="en-US" w:eastAsia="zh-CN"/>
        </w:rPr>
        <w:t>；老井侧钻TK872CH井</w:t>
      </w:r>
      <w:r>
        <w:rPr>
          <w:rFonts w:hint="default" w:ascii="Times New Roman" w:hAnsi="Times New Roman" w:cs="Times New Roman"/>
          <w:color w:val="auto"/>
          <w:kern w:val="0"/>
          <w:sz w:val="24"/>
          <w:szCs w:val="20"/>
          <w:highlight w:val="none"/>
          <w:vertAlign w:val="baseline"/>
          <w:lang w:val="en-US" w:eastAsia="zh-CN"/>
        </w:rPr>
        <w:t>占用</w:t>
      </w:r>
      <w:r>
        <w:rPr>
          <w:rFonts w:hint="eastAsia" w:cs="Times New Roman"/>
          <w:color w:val="auto"/>
          <w:kern w:val="0"/>
          <w:sz w:val="24"/>
          <w:szCs w:val="20"/>
          <w:highlight w:val="none"/>
          <w:vertAlign w:val="baseline"/>
          <w:lang w:val="en-US" w:eastAsia="zh-CN"/>
        </w:rPr>
        <w:t>Ⅱ级</w:t>
      </w:r>
      <w:r>
        <w:rPr>
          <w:rFonts w:hint="default" w:ascii="Times New Roman" w:hAnsi="Times New Roman" w:cs="Times New Roman"/>
          <w:color w:val="auto"/>
          <w:kern w:val="0"/>
          <w:sz w:val="24"/>
          <w:szCs w:val="20"/>
          <w:highlight w:val="none"/>
          <w:vertAlign w:val="baseline"/>
          <w:lang w:val="en-US" w:eastAsia="zh-CN"/>
        </w:rPr>
        <w:t>林地面积为0.</w:t>
      </w:r>
      <w:r>
        <w:rPr>
          <w:rFonts w:hint="eastAsia" w:cs="Times New Roman"/>
          <w:color w:val="auto"/>
          <w:kern w:val="0"/>
          <w:sz w:val="24"/>
          <w:szCs w:val="20"/>
          <w:highlight w:val="none"/>
          <w:vertAlign w:val="baseline"/>
          <w:lang w:val="en-US" w:eastAsia="zh-CN"/>
        </w:rPr>
        <w:t>87</w:t>
      </w:r>
      <w:r>
        <w:rPr>
          <w:rFonts w:hint="default" w:ascii="Times New Roman" w:hAnsi="Times New Roman" w:cs="Times New Roman"/>
          <w:color w:val="auto"/>
          <w:kern w:val="0"/>
          <w:sz w:val="24"/>
          <w:szCs w:val="20"/>
          <w:highlight w:val="none"/>
          <w:vertAlign w:val="baseline"/>
          <w:lang w:val="en-US" w:eastAsia="zh-CN"/>
        </w:rPr>
        <w:t>hm</w:t>
      </w:r>
      <w:r>
        <w:rPr>
          <w:rFonts w:hint="default" w:ascii="Times New Roman" w:hAnsi="Times New Roman" w:cs="Times New Roman"/>
          <w:color w:val="auto"/>
          <w:kern w:val="0"/>
          <w:sz w:val="24"/>
          <w:szCs w:val="20"/>
          <w:highlight w:val="none"/>
          <w:vertAlign w:val="superscript"/>
          <w:lang w:val="en-US" w:eastAsia="zh-CN"/>
        </w:rPr>
        <w:t>2</w:t>
      </w:r>
      <w:r>
        <w:rPr>
          <w:rFonts w:hint="eastAsia" w:cs="Times New Roman"/>
          <w:color w:val="auto"/>
          <w:kern w:val="0"/>
          <w:sz w:val="24"/>
          <w:szCs w:val="20"/>
          <w:highlight w:val="none"/>
          <w:lang w:val="en-US" w:eastAsia="zh-CN"/>
        </w:rPr>
        <w:t>，</w:t>
      </w:r>
      <w:r>
        <w:rPr>
          <w:color w:val="auto"/>
          <w:highlight w:val="none"/>
        </w:rPr>
        <w:t>具体以林地主管部门核查为准</w:t>
      </w:r>
      <w:r>
        <w:rPr>
          <w:rFonts w:hint="eastAsia"/>
          <w:color w:val="auto"/>
          <w:highlight w:val="none"/>
          <w:lang w:eastAsia="zh-CN"/>
        </w:rPr>
        <w:t>，</w:t>
      </w:r>
      <w:r>
        <w:rPr>
          <w:rFonts w:hint="eastAsia"/>
          <w:color w:val="auto"/>
          <w:highlight w:val="none"/>
          <w:lang w:val="en-US" w:eastAsia="zh-CN"/>
        </w:rPr>
        <w:t>详见图2.8-1</w:t>
      </w:r>
      <w:r>
        <w:rPr>
          <w:rFonts w:hint="eastAsia"/>
          <w:color w:val="auto"/>
          <w:highlight w:val="none"/>
          <w:lang w:eastAsia="zh-CN"/>
        </w:rPr>
        <w:t>。</w:t>
      </w:r>
      <w:r>
        <w:rPr>
          <w:rFonts w:hint="eastAsia" w:ascii="Times New Roman" w:hAnsi="Times New Roman" w:eastAsia="宋体" w:cs="Times New Roman"/>
          <w:color w:val="auto"/>
          <w:szCs w:val="20"/>
          <w:highlight w:val="none"/>
        </w:rPr>
        <w:t>保护要求主要为办理建设项目使用林地手续，经林草主管部门审批同意使用的，实行“占补平衡”，在条件允许时，减少砍伐林木的数量，最大程度地保护沿线的林业生境</w:t>
      </w:r>
      <w:r>
        <w:rPr>
          <w:rFonts w:hint="eastAsia" w:cs="Times New Roman"/>
          <w:color w:val="auto"/>
          <w:szCs w:val="20"/>
          <w:highlight w:val="none"/>
          <w:lang w:eastAsia="zh-CN"/>
        </w:rPr>
        <w:t>。</w:t>
      </w:r>
    </w:p>
    <w:p w14:paraId="45095B4B">
      <w:pPr>
        <w:pStyle w:val="7"/>
        <w:keepNext/>
        <w:keepLines/>
        <w:pageBreakBefore w:val="0"/>
        <w:widowControl w:val="0"/>
        <w:kinsoku/>
        <w:wordWrap/>
        <w:overflowPunct/>
        <w:topLinePunct w:val="0"/>
        <w:autoSpaceDE/>
        <w:autoSpaceDN/>
        <w:bidi w:val="0"/>
        <w:adjustRightInd w:val="0"/>
        <w:snapToGrid w:val="0"/>
        <w:spacing w:before="157" w:beforeLines="50" w:afterLine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ascii="Times New Roman" w:hAnsi="Times New Roman"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.5.</w:t>
      </w:r>
      <w:r>
        <w:rPr>
          <w:rFonts w:hint="eastAsia" w:ascii="Times New Roman" w:hAnsi="Times New Roman"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 xml:space="preserve"> 永久基本农田调查</w:t>
      </w:r>
    </w:p>
    <w:p w14:paraId="3F51E979">
      <w:pPr>
        <w:spacing w:line="360" w:lineRule="auto"/>
        <w:ind w:firstLine="480" w:firstLineChars="200"/>
        <w:jc w:val="both"/>
        <w:rPr>
          <w:rFonts w:hint="eastAsia"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永久基本农田保护区经依法划定后，任何单位和个人不得改变或者占用。国家能 源、交通、水利、军事设施等重点建设项目选址确实无法避开基本农田保护区，需要占用基本农田，涉及农用地转用或者征用土地的，必须经国务院批准。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p>
    <w:p w14:paraId="2FD17CF6">
      <w:pPr>
        <w:spacing w:line="360" w:lineRule="auto"/>
        <w:ind w:firstLine="480" w:firstLineChars="200"/>
        <w:jc w:val="both"/>
        <w:rPr>
          <w:rFonts w:hint="eastAsia"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区域永久基本农田为库车市永久基本农田，形状和内部结构比较规则，主要种植棉花。</w:t>
      </w:r>
      <w:r>
        <w:rPr>
          <w:rFonts w:hint="eastAsia" w:cs="Times New Roman"/>
          <w:color w:val="auto"/>
          <w:szCs w:val="20"/>
          <w:highlight w:val="none"/>
          <w:lang w:val="en-US" w:eastAsia="zh-CN"/>
        </w:rPr>
        <w:t>本项目侧钻</w:t>
      </w:r>
      <w:r>
        <w:rPr>
          <w:rFonts w:hint="eastAsia" w:ascii="Times New Roman" w:hAnsi="Times New Roman" w:eastAsia="宋体" w:cs="Times New Roman"/>
          <w:color w:val="auto"/>
          <w:szCs w:val="20"/>
          <w:highlight w:val="none"/>
        </w:rPr>
        <w:t>井位及</w:t>
      </w:r>
      <w:r>
        <w:rPr>
          <w:rFonts w:hint="eastAsia" w:cs="Times New Roman"/>
          <w:color w:val="auto"/>
          <w:szCs w:val="20"/>
          <w:highlight w:val="none"/>
          <w:lang w:val="en-US" w:eastAsia="zh-CN"/>
        </w:rPr>
        <w:t>新建</w:t>
      </w:r>
      <w:r>
        <w:rPr>
          <w:rFonts w:hint="eastAsia" w:ascii="Times New Roman" w:hAnsi="Times New Roman" w:eastAsia="宋体" w:cs="Times New Roman"/>
          <w:color w:val="auto"/>
          <w:szCs w:val="20"/>
          <w:highlight w:val="none"/>
        </w:rPr>
        <w:t>管线均避让永久基本农田，</w:t>
      </w:r>
      <w:r>
        <w:rPr>
          <w:rFonts w:hint="eastAsia" w:cs="Times New Roman"/>
          <w:color w:val="auto"/>
          <w:szCs w:val="20"/>
          <w:highlight w:val="none"/>
          <w:lang w:val="en-US" w:eastAsia="zh-CN"/>
        </w:rPr>
        <w:t>侧钻井TK872CH井场边界西北侧</w:t>
      </w:r>
      <w:r>
        <w:rPr>
          <w:rFonts w:hint="eastAsia" w:ascii="Times New Roman" w:hAnsi="Times New Roman" w:eastAsia="宋体" w:cs="Times New Roman"/>
          <w:color w:val="auto"/>
          <w:szCs w:val="20"/>
          <w:highlight w:val="none"/>
        </w:rPr>
        <w:t>距基本农田最近距离为</w:t>
      </w:r>
      <w:r>
        <w:rPr>
          <w:rFonts w:hint="eastAsia" w:cs="Times New Roman"/>
          <w:color w:val="auto"/>
          <w:szCs w:val="20"/>
          <w:highlight w:val="none"/>
          <w:lang w:val="en-US" w:eastAsia="zh-CN"/>
        </w:rPr>
        <w:t>45</w:t>
      </w:r>
      <w:r>
        <w:rPr>
          <w:rFonts w:hint="eastAsia" w:ascii="Times New Roman" w:hAnsi="Times New Roman" w:eastAsia="宋体" w:cs="Times New Roman"/>
          <w:color w:val="auto"/>
          <w:szCs w:val="20"/>
          <w:highlight w:val="none"/>
        </w:rPr>
        <w:t>m</w:t>
      </w:r>
      <w:r>
        <w:rPr>
          <w:rFonts w:hint="eastAsia" w:cs="Times New Roman"/>
          <w:color w:val="auto"/>
          <w:szCs w:val="20"/>
          <w:highlight w:val="none"/>
          <w:lang w:eastAsia="zh-CN"/>
        </w:rPr>
        <w:t>，</w:t>
      </w:r>
      <w:r>
        <w:rPr>
          <w:rFonts w:hint="eastAsia" w:cs="Times New Roman"/>
          <w:color w:val="auto"/>
          <w:szCs w:val="20"/>
          <w:highlight w:val="none"/>
          <w:lang w:val="en-US" w:eastAsia="zh-CN"/>
        </w:rPr>
        <w:t>详见图2.8-2</w:t>
      </w:r>
      <w:r>
        <w:rPr>
          <w:rFonts w:hint="eastAsia" w:ascii="Times New Roman" w:hAnsi="Times New Roman" w:eastAsia="宋体" w:cs="Times New Roman"/>
          <w:color w:val="auto"/>
          <w:szCs w:val="20"/>
          <w:highlight w:val="none"/>
        </w:rPr>
        <w:t>。</w:t>
      </w:r>
    </w:p>
    <w:p w14:paraId="7EA416D9">
      <w:pPr>
        <w:pStyle w:val="7"/>
        <w:keepNext/>
        <w:keepLines/>
        <w:pageBreakBefore w:val="0"/>
        <w:widowControl w:val="0"/>
        <w:kinsoku/>
        <w:wordWrap/>
        <w:overflowPunct/>
        <w:topLinePunct w:val="0"/>
        <w:autoSpaceDE/>
        <w:autoSpaceDN/>
        <w:bidi w:val="0"/>
        <w:adjustRightInd w:val="0"/>
        <w:snapToGrid w:val="0"/>
        <w:spacing w:before="157" w:beforeLines="50" w:afterLine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4.6.5.</w:t>
      </w:r>
      <w:r>
        <w:rPr>
          <w:rFonts w:hint="eastAsia" w:ascii="Times New Roman" w:hAnsi="Times New Roman"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水土流失重点治理区</w:t>
      </w:r>
    </w:p>
    <w:p w14:paraId="19AEE0F1">
      <w:pPr>
        <w:spacing w:line="360" w:lineRule="auto"/>
        <w:ind w:firstLine="480" w:firstLineChars="200"/>
        <w:jc w:val="both"/>
        <w:rPr>
          <w:rFonts w:hint="eastAsia"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①水土流失重点防治分区</w:t>
      </w:r>
    </w:p>
    <w:p w14:paraId="124D7821">
      <w:pPr>
        <w:spacing w:line="360" w:lineRule="auto"/>
        <w:ind w:firstLine="480" w:firstLineChars="200"/>
        <w:jc w:val="both"/>
        <w:rPr>
          <w:rFonts w:hint="eastAsia"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根据新水水保〔2019〕4号文件，新疆共划分了2个自治区级重点预防区，4个自治区级重点治理区。其中，重点预防区面积19615.9km</w:t>
      </w:r>
      <w:r>
        <w:rPr>
          <w:rFonts w:hint="eastAsia" w:cs="Times New Roman"/>
          <w:snapToGrid w:val="0"/>
          <w:color w:val="auto"/>
          <w:sz w:val="24"/>
          <w:szCs w:val="20"/>
          <w:highlight w:val="none"/>
          <w:vertAlign w:val="superscript"/>
          <w:lang w:val="en-US" w:eastAsia="zh-CN" w:bidi="ar-SA"/>
        </w:rPr>
        <w:t>2</w:t>
      </w:r>
      <w:r>
        <w:rPr>
          <w:rFonts w:hint="eastAsia" w:cs="Times New Roman"/>
          <w:snapToGrid w:val="0"/>
          <w:color w:val="auto"/>
          <w:sz w:val="24"/>
          <w:szCs w:val="20"/>
          <w:highlight w:val="none"/>
          <w:lang w:val="en-US" w:eastAsia="zh-CN" w:bidi="ar-SA"/>
        </w:rPr>
        <w:t>，包括天山山区重点预防区、塔里木河中上游重点预防区；重点治理区面积283963km</w:t>
      </w:r>
      <w:r>
        <w:rPr>
          <w:rFonts w:hint="eastAsia" w:cs="Times New Roman"/>
          <w:snapToGrid w:val="0"/>
          <w:color w:val="auto"/>
          <w:sz w:val="24"/>
          <w:szCs w:val="20"/>
          <w:highlight w:val="none"/>
          <w:vertAlign w:val="superscript"/>
          <w:lang w:val="en-US" w:eastAsia="zh-CN" w:bidi="ar-SA"/>
        </w:rPr>
        <w:t>2</w:t>
      </w:r>
      <w:r>
        <w:rPr>
          <w:rFonts w:hint="eastAsia" w:cs="Times New Roman"/>
          <w:snapToGrid w:val="0"/>
          <w:color w:val="auto"/>
          <w:sz w:val="24"/>
          <w:szCs w:val="20"/>
          <w:highlight w:val="none"/>
          <w:lang w:val="en-US" w:eastAsia="zh-CN" w:bidi="ar-SA"/>
        </w:rPr>
        <w:t>，包括额尔齐斯河流域重点治理区、天山北坡诸小河流域重点治理区、塔里木河流域重点治理区、伊犁河流域重点治理区，项目所在的库车市属于塔里木河流域水土流失重点治理区。</w:t>
      </w:r>
    </w:p>
    <w:p w14:paraId="4A772965">
      <w:pPr>
        <w:spacing w:line="360" w:lineRule="auto"/>
        <w:ind w:firstLine="480" w:firstLineChars="200"/>
        <w:jc w:val="both"/>
        <w:rPr>
          <w:rFonts w:hint="eastAsia"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②水土保持基础功能类型</w:t>
      </w:r>
    </w:p>
    <w:p w14:paraId="629274BC">
      <w:pPr>
        <w:spacing w:line="360" w:lineRule="auto"/>
        <w:ind w:firstLine="480" w:firstLineChars="200"/>
        <w:jc w:val="both"/>
        <w:rPr>
          <w:rFonts w:hint="eastAsia"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根据《新疆维吾尔自治区水土保持规划（2018-2030年）》，项目所在区域的水土保持基础功能类型是农田防护、防风固沙与防灾减灾，水土保持主导功能类型是防风固沙，为了实现水土保持主导功能，水土流失治理措施主要依靠荒漠化治理工程、石油天然气行业的水土保持综合治理工作。</w:t>
      </w:r>
    </w:p>
    <w:p w14:paraId="2ABA88FF">
      <w:pPr>
        <w:spacing w:line="360" w:lineRule="auto"/>
        <w:ind w:firstLine="480" w:firstLineChars="200"/>
        <w:jc w:val="both"/>
        <w:rPr>
          <w:rFonts w:hint="eastAsia"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③水土流失治理对象</w:t>
      </w:r>
    </w:p>
    <w:p w14:paraId="459CA637">
      <w:pPr>
        <w:spacing w:line="360" w:lineRule="auto"/>
        <w:ind w:firstLine="480" w:firstLineChars="200"/>
        <w:jc w:val="both"/>
        <w:rPr>
          <w:rFonts w:hint="eastAsia"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根据《新疆维吾尔自治区水土保持规划（2018-2030年）》，项目所在区域水土流失治理范围与对象为：①国家级及自治区级水土流失重点治理区；②绿洲外围风沙防治区；③生产建设项目，尤其是资源开发、农林开发、城镇建设、工业园建设；④其他水土流失较为严重，对当地或者下游经济社会发展产生严重影响的区域。</w:t>
      </w:r>
    </w:p>
    <w:p w14:paraId="65D52D22">
      <w:pPr>
        <w:spacing w:line="360" w:lineRule="auto"/>
        <w:ind w:firstLine="480" w:firstLineChars="200"/>
        <w:jc w:val="both"/>
        <w:rPr>
          <w:rFonts w:hint="eastAsia"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④水土流失治理措施</w:t>
      </w:r>
    </w:p>
    <w:p w14:paraId="5EC6FB72">
      <w:pPr>
        <w:spacing w:line="360" w:lineRule="auto"/>
        <w:ind w:firstLine="480" w:firstLineChars="200"/>
        <w:jc w:val="both"/>
        <w:rPr>
          <w:rFonts w:hint="default" w:cs="Times New Roman"/>
          <w:snapToGrid w:val="0"/>
          <w:color w:val="auto"/>
          <w:sz w:val="24"/>
          <w:szCs w:val="20"/>
          <w:highlight w:val="none"/>
          <w:lang w:val="en-US" w:eastAsia="zh-CN" w:bidi="ar-SA"/>
        </w:rPr>
      </w:pPr>
      <w:r>
        <w:rPr>
          <w:rFonts w:hint="eastAsia" w:cs="Times New Roman"/>
          <w:snapToGrid w:val="0"/>
          <w:color w:val="auto"/>
          <w:sz w:val="24"/>
          <w:szCs w:val="20"/>
          <w:highlight w:val="none"/>
          <w:lang w:val="en-US" w:eastAsia="zh-CN" w:bidi="ar-SA"/>
        </w:rPr>
        <w:t>根据《新疆维吾尔自治区水土保持规划（2018-2030年）》，项目所在区域水土流失治理措施为：重点推进油气资源开发水土流失综合治理工作，主要对矿区周边进行生态修复。</w:t>
      </w:r>
    </w:p>
    <w:p w14:paraId="12F22168">
      <w:pPr>
        <w:pStyle w:val="7"/>
        <w:keepNext/>
        <w:keepLines/>
        <w:pageBreakBefore w:val="0"/>
        <w:widowControl w:val="0"/>
        <w:kinsoku/>
        <w:wordWrap/>
        <w:overflowPunct/>
        <w:topLinePunct w:val="0"/>
        <w:autoSpaceDE/>
        <w:autoSpaceDN/>
        <w:bidi w:val="0"/>
        <w:adjustRightInd w:val="0"/>
        <w:snapToGrid w:val="0"/>
        <w:spacing w:before="157" w:beforeLines="50" w:afterLine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4.6.5.</w:t>
      </w:r>
      <w:r>
        <w:rPr>
          <w:rFonts w:hint="eastAsia" w:ascii="Times New Roman" w:hAnsi="Times New Roman"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土地沙化现状调查</w:t>
      </w:r>
    </w:p>
    <w:p w14:paraId="0AF78AB4">
      <w:pPr>
        <w:keepNext w:val="0"/>
        <w:keepLines w:val="0"/>
        <w:pageBreakBefore w:val="0"/>
        <w:widowControl/>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cs="Times New Roman"/>
          <w:color w:val="auto"/>
          <w:kern w:val="0"/>
          <w:szCs w:val="20"/>
          <w:highlight w:val="none"/>
          <w:lang w:eastAsia="zh-CN"/>
        </w:rPr>
      </w:pPr>
      <w:r>
        <w:rPr>
          <w:rFonts w:hint="eastAsia" w:cs="Times New Roman"/>
          <w:color w:val="auto"/>
          <w:spacing w:val="5"/>
          <w:kern w:val="2"/>
          <w:sz w:val="24"/>
          <w:szCs w:val="24"/>
          <w:highlight w:val="none"/>
          <w:lang w:val="en-US" w:eastAsia="zh-CN"/>
        </w:rPr>
        <w:t>本项目位于塔里木河上中游乔灌草及胡杨林保护生态功能区，主要生态服务功能为沙漠化控制等。根据《新疆维吾尔自治区防沙治沙规划（2021-2030）》，本项目所在区域分布有固定、半固定沙地，沙化程度为中度，</w:t>
      </w:r>
      <w:r>
        <w:rPr>
          <w:rFonts w:hint="default" w:ascii="Times New Roman" w:hAnsi="Times New Roman" w:cs="Times New Roman"/>
          <w:color w:val="auto"/>
          <w:kern w:val="0"/>
          <w:szCs w:val="20"/>
          <w:highlight w:val="none"/>
          <w:lang w:eastAsia="zh-CN"/>
        </w:rPr>
        <w:t>其中TH10294CH、TH10250CH、TH10298CH等</w:t>
      </w:r>
      <w:r>
        <w:rPr>
          <w:rFonts w:hint="eastAsia" w:cs="Times New Roman"/>
          <w:color w:val="auto"/>
          <w:kern w:val="0"/>
          <w:szCs w:val="20"/>
          <w:highlight w:val="none"/>
          <w:lang w:val="en-US" w:eastAsia="zh-CN"/>
        </w:rPr>
        <w:t>3</w:t>
      </w:r>
      <w:r>
        <w:rPr>
          <w:rFonts w:hint="default" w:ascii="Times New Roman" w:hAnsi="Times New Roman" w:cs="Times New Roman"/>
          <w:color w:val="auto"/>
          <w:kern w:val="0"/>
          <w:szCs w:val="20"/>
          <w:highlight w:val="none"/>
          <w:lang w:eastAsia="zh-CN"/>
        </w:rPr>
        <w:t>口井位于沙化土地分布区。</w:t>
      </w:r>
    </w:p>
    <w:p w14:paraId="7F58AB7C">
      <w:pPr>
        <w:widowControl w:val="0"/>
        <w:spacing w:line="360" w:lineRule="auto"/>
        <w:ind w:firstLine="480" w:firstLineChars="200"/>
        <w:jc w:val="both"/>
        <w:rPr>
          <w:rFonts w:hint="eastAsia" w:cs="Times New Roman"/>
          <w:color w:val="auto"/>
          <w:spacing w:val="0"/>
          <w:kern w:val="2"/>
          <w:sz w:val="24"/>
          <w:szCs w:val="24"/>
          <w:highlight w:val="none"/>
          <w:lang w:val="en-US" w:eastAsia="zh-CN"/>
        </w:rPr>
      </w:pPr>
      <w:r>
        <w:rPr>
          <w:rFonts w:hint="eastAsia" w:cs="Times New Roman"/>
          <w:color w:val="auto"/>
          <w:spacing w:val="0"/>
          <w:kern w:val="2"/>
          <w:sz w:val="24"/>
          <w:szCs w:val="24"/>
          <w:highlight w:val="none"/>
          <w:lang w:val="en-US" w:eastAsia="zh-CN"/>
        </w:rPr>
        <w:t>根据《新疆第六次沙化监测报告》（新疆维吾尔自治区林业和草原局），新疆沙化土地面积7468.21万公顷、具有明显沙化趋势的土地面积437.96万公顷。其中，本项目所在的塔里木盆地分布有世界第二大流动性沙漠—塔克拉玛干沙漠，亦是我国最大的沙漠，沙漠面积362366平方千米，占全疆沙漠的82.25%，占我国沙漠总面积的一半以上。它位于塔里木盆地的中心地带，属暖温带干旱、极干旱气候区。包括塔克拉玛干主体沙漠、焉耆盆地的阿克别勒库姆沙漠、罗布泊以西与塔里木河下游以东的库鲁克沙漠、且末河以南的雅克塔格沙漠以及喀什三角洲上的托克拉克沙漠和布古里沙漠等。塔克拉玛干主体沙漠中的沙化土地面积3435.59万公顷，其中：流动沙地2618.66万公顷，半固定沙地549.82万公顷，固定沙地247.10万公顷，沙化耕地11.83万公顷，非生物工程治沙地8.18万公顷。</w:t>
      </w:r>
    </w:p>
    <w:p w14:paraId="64FDEBAD">
      <w:pPr>
        <w:widowControl w:val="0"/>
        <w:spacing w:line="360" w:lineRule="auto"/>
        <w:ind w:firstLine="500" w:firstLineChars="200"/>
        <w:jc w:val="both"/>
        <w:rPr>
          <w:rFonts w:hint="eastAsia" w:cs="Times New Roman"/>
          <w:color w:val="auto"/>
          <w:spacing w:val="5"/>
          <w:kern w:val="2"/>
          <w:sz w:val="24"/>
          <w:szCs w:val="24"/>
          <w:highlight w:val="none"/>
          <w:lang w:val="en-US" w:eastAsia="zh-CN"/>
        </w:rPr>
      </w:pPr>
      <w:r>
        <w:rPr>
          <w:rFonts w:hint="eastAsia" w:cs="Times New Roman"/>
          <w:color w:val="auto"/>
          <w:spacing w:val="5"/>
          <w:kern w:val="2"/>
          <w:sz w:val="24"/>
          <w:szCs w:val="24"/>
          <w:highlight w:val="none"/>
          <w:lang w:val="en-US" w:eastAsia="zh-CN"/>
        </w:rPr>
        <w:t>本项目位于塔里木盆地北缘，塔河以北。工程所在的评价区域主要分布有固定、半固定沙地，呈碎斑状分布，地表生长有胡杨、刚毛柽柳、多枝柽柳、疏叶骆驼刺等乔灌草类型的固沙植被。经叠图分析及现场调查，评价区域沙地占比为0.05%，TH10294CH、TH10250CH、TH10298CH等侧钻井周边分布有风沙土，调查中未发现沙丘活化现象。新疆具有明显沙化趋势的土地面积为437.96万公顷，其中项目所在的阿克苏地区有明显沙化趋势的土地的面积为83.75万公顷，占比约19.12%。</w:t>
      </w:r>
    </w:p>
    <w:p w14:paraId="607D2E16">
      <w:pPr>
        <w:widowControl w:val="0"/>
        <w:autoSpaceDE w:val="0"/>
        <w:autoSpaceDN w:val="0"/>
        <w:adjustRightInd w:val="0"/>
        <w:spacing w:line="250" w:lineRule="auto"/>
        <w:ind w:firstLine="0" w:firstLineChars="0"/>
        <w:jc w:val="center"/>
        <w:rPr>
          <w:rFonts w:hint="default" w:ascii="Times New Roman" w:hAnsi="Times New Roman" w:eastAsia="黑体" w:cs="Times New Roman"/>
          <w:bCs/>
          <w:color w:val="auto"/>
          <w:spacing w:val="5"/>
          <w:kern w:val="2"/>
          <w:sz w:val="21"/>
          <w:szCs w:val="21"/>
          <w:highlight w:val="none"/>
          <w:lang w:val="en-US" w:eastAsia="zh-CN"/>
        </w:rPr>
      </w:pPr>
      <w:r>
        <w:rPr>
          <w:rFonts w:hint="default" w:ascii="Times New Roman" w:hAnsi="Times New Roman" w:eastAsia="黑体" w:cs="Times New Roman"/>
          <w:bCs/>
          <w:color w:val="auto"/>
          <w:spacing w:val="5"/>
          <w:kern w:val="2"/>
          <w:sz w:val="21"/>
          <w:szCs w:val="21"/>
          <w:highlight w:val="none"/>
        </w:rPr>
        <w:t>表4.2-</w:t>
      </w:r>
      <w:r>
        <w:rPr>
          <w:rFonts w:hint="eastAsia" w:eastAsia="黑体" w:cs="Times New Roman"/>
          <w:bCs/>
          <w:color w:val="auto"/>
          <w:spacing w:val="5"/>
          <w:kern w:val="2"/>
          <w:sz w:val="21"/>
          <w:szCs w:val="21"/>
          <w:highlight w:val="none"/>
          <w:lang w:val="en-US" w:eastAsia="zh-CN"/>
        </w:rPr>
        <w:t>6</w:t>
      </w:r>
      <w:r>
        <w:rPr>
          <w:rFonts w:hint="default" w:ascii="Times New Roman" w:hAnsi="Times New Roman" w:eastAsia="黑体" w:cs="Times New Roman"/>
          <w:bCs/>
          <w:color w:val="auto"/>
          <w:spacing w:val="5"/>
          <w:kern w:val="2"/>
          <w:sz w:val="21"/>
          <w:szCs w:val="21"/>
          <w:highlight w:val="none"/>
        </w:rPr>
        <w:t xml:space="preserve">  </w:t>
      </w:r>
      <w:r>
        <w:rPr>
          <w:rFonts w:hint="eastAsia" w:eastAsia="黑体" w:cs="Times New Roman"/>
          <w:bCs/>
          <w:color w:val="auto"/>
          <w:spacing w:val="5"/>
          <w:kern w:val="2"/>
          <w:sz w:val="21"/>
          <w:szCs w:val="21"/>
          <w:highlight w:val="none"/>
          <w:lang w:val="en-US" w:eastAsia="zh-CN"/>
        </w:rPr>
        <w:t>评价区土地沙化现状调查表   单位hm</w:t>
      </w:r>
      <w:r>
        <w:rPr>
          <w:rFonts w:hint="eastAsia" w:eastAsia="黑体" w:cs="Times New Roman"/>
          <w:bCs/>
          <w:color w:val="auto"/>
          <w:spacing w:val="5"/>
          <w:kern w:val="2"/>
          <w:sz w:val="21"/>
          <w:szCs w:val="21"/>
          <w:highlight w:val="none"/>
          <w:vertAlign w:val="superscript"/>
          <w:lang w:val="en-US" w:eastAsia="zh-CN"/>
        </w:rPr>
        <w:t>2</w:t>
      </w: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6"/>
        <w:gridCol w:w="3843"/>
        <w:gridCol w:w="2001"/>
      </w:tblGrid>
      <w:tr w14:paraId="7054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3825" w:type="pct"/>
            <w:gridSpan w:val="2"/>
            <w:noWrap w:val="0"/>
            <w:vAlign w:val="center"/>
          </w:tcPr>
          <w:p w14:paraId="724BD64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沙化土地类型</w:t>
            </w:r>
          </w:p>
        </w:tc>
        <w:tc>
          <w:tcPr>
            <w:tcW w:w="1174" w:type="pct"/>
            <w:noWrap w:val="0"/>
            <w:vAlign w:val="center"/>
          </w:tcPr>
          <w:p w14:paraId="7F9066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沙化土地</w:t>
            </w:r>
          </w:p>
        </w:tc>
      </w:tr>
      <w:tr w14:paraId="790D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25" w:type="pct"/>
            <w:gridSpan w:val="2"/>
            <w:shd w:val="clear" w:color="auto" w:fill="auto"/>
            <w:noWrap w:val="0"/>
            <w:vAlign w:val="center"/>
          </w:tcPr>
          <w:p w14:paraId="561FFD8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总计</w:t>
            </w:r>
          </w:p>
        </w:tc>
        <w:tc>
          <w:tcPr>
            <w:tcW w:w="1174" w:type="pct"/>
            <w:shd w:val="clear" w:color="auto" w:fill="auto"/>
            <w:noWrap w:val="0"/>
            <w:vAlign w:val="center"/>
          </w:tcPr>
          <w:p w14:paraId="22FD4285">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10.1</w:t>
            </w:r>
            <w:r>
              <w:rPr>
                <w:rFonts w:hint="eastAsia" w:cs="Times New Roman"/>
                <w:color w:val="auto"/>
                <w:kern w:val="0"/>
                <w:sz w:val="21"/>
                <w:szCs w:val="21"/>
                <w:highlight w:val="none"/>
                <w:lang w:val="en-US" w:eastAsia="zh-CN" w:bidi="ar-SA"/>
              </w:rPr>
              <w:t>8</w:t>
            </w:r>
          </w:p>
        </w:tc>
      </w:tr>
      <w:tr w14:paraId="78F5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25" w:type="pct"/>
            <w:gridSpan w:val="2"/>
            <w:noWrap w:val="0"/>
            <w:vAlign w:val="center"/>
          </w:tcPr>
          <w:p w14:paraId="1835D83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流动沙地</w:t>
            </w:r>
            <w:r>
              <w:rPr>
                <w:rFonts w:hint="eastAsia" w:cs="Times New Roman"/>
                <w:iCs/>
                <w:color w:val="auto"/>
                <w:kern w:val="0"/>
                <w:sz w:val="21"/>
                <w:szCs w:val="21"/>
                <w:highlight w:val="none"/>
                <w:lang w:val="en-US" w:eastAsia="zh-CN" w:bidi="ar-SA"/>
              </w:rPr>
              <w:t>（</w:t>
            </w:r>
            <w:r>
              <w:rPr>
                <w:rFonts w:hint="default" w:ascii="Times New Roman" w:hAnsi="Times New Roman" w:eastAsia="宋体" w:cs="Times New Roman"/>
                <w:iCs/>
                <w:color w:val="auto"/>
                <w:kern w:val="0"/>
                <w:sz w:val="21"/>
                <w:szCs w:val="21"/>
                <w:highlight w:val="none"/>
                <w:lang w:val="en-US" w:eastAsia="zh-CN" w:bidi="ar-SA"/>
              </w:rPr>
              <w:t>丘</w:t>
            </w:r>
            <w:r>
              <w:rPr>
                <w:rFonts w:hint="eastAsia" w:cs="Times New Roman"/>
                <w:iCs/>
                <w:color w:val="auto"/>
                <w:kern w:val="0"/>
                <w:sz w:val="21"/>
                <w:szCs w:val="21"/>
                <w:highlight w:val="none"/>
                <w:lang w:val="en-US" w:eastAsia="zh-CN" w:bidi="ar-SA"/>
              </w:rPr>
              <w:t>）</w:t>
            </w:r>
          </w:p>
        </w:tc>
        <w:tc>
          <w:tcPr>
            <w:tcW w:w="1174" w:type="pct"/>
            <w:noWrap w:val="0"/>
            <w:vAlign w:val="center"/>
          </w:tcPr>
          <w:p w14:paraId="38D5866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eastAsia" w:cs="Times New Roman"/>
                <w:iCs/>
                <w:color w:val="auto"/>
                <w:kern w:val="0"/>
                <w:sz w:val="21"/>
                <w:szCs w:val="21"/>
                <w:highlight w:val="none"/>
                <w:lang w:val="en-US" w:eastAsia="zh-CN" w:bidi="ar-SA"/>
              </w:rPr>
              <w:t>0</w:t>
            </w:r>
          </w:p>
        </w:tc>
      </w:tr>
      <w:tr w14:paraId="0F4A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0" w:type="pct"/>
            <w:vMerge w:val="restart"/>
            <w:noWrap w:val="0"/>
            <w:vAlign w:val="center"/>
          </w:tcPr>
          <w:p w14:paraId="64EF73D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半固定沙地</w:t>
            </w:r>
            <w:r>
              <w:rPr>
                <w:rFonts w:hint="eastAsia" w:cs="Times New Roman"/>
                <w:iCs/>
                <w:color w:val="auto"/>
                <w:kern w:val="0"/>
                <w:sz w:val="21"/>
                <w:szCs w:val="21"/>
                <w:highlight w:val="none"/>
                <w:lang w:val="en-US" w:eastAsia="zh-CN" w:bidi="ar-SA"/>
              </w:rPr>
              <w:t>（</w:t>
            </w:r>
            <w:r>
              <w:rPr>
                <w:rFonts w:hint="default" w:ascii="Times New Roman" w:hAnsi="Times New Roman" w:eastAsia="宋体" w:cs="Times New Roman"/>
                <w:iCs/>
                <w:color w:val="auto"/>
                <w:kern w:val="0"/>
                <w:sz w:val="21"/>
                <w:szCs w:val="21"/>
                <w:highlight w:val="none"/>
                <w:lang w:val="en-US" w:eastAsia="zh-CN" w:bidi="ar-SA"/>
              </w:rPr>
              <w:t>丘</w:t>
            </w:r>
            <w:r>
              <w:rPr>
                <w:rFonts w:hint="eastAsia" w:cs="Times New Roman"/>
                <w:iCs/>
                <w:color w:val="auto"/>
                <w:kern w:val="0"/>
                <w:sz w:val="21"/>
                <w:szCs w:val="21"/>
                <w:highlight w:val="none"/>
                <w:lang w:val="en-US" w:eastAsia="zh-CN" w:bidi="ar-SA"/>
              </w:rPr>
              <w:t>）</w:t>
            </w:r>
          </w:p>
        </w:tc>
        <w:tc>
          <w:tcPr>
            <w:tcW w:w="2254" w:type="pct"/>
            <w:noWrap w:val="0"/>
            <w:vAlign w:val="center"/>
          </w:tcPr>
          <w:p w14:paraId="3A4EA60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小计</w:t>
            </w:r>
          </w:p>
        </w:tc>
        <w:tc>
          <w:tcPr>
            <w:tcW w:w="1174" w:type="pct"/>
            <w:noWrap w:val="0"/>
            <w:vAlign w:val="center"/>
          </w:tcPr>
          <w:p w14:paraId="5B22F31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1.01</w:t>
            </w:r>
          </w:p>
        </w:tc>
      </w:tr>
      <w:tr w14:paraId="21A8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0" w:type="pct"/>
            <w:vMerge w:val="continue"/>
            <w:noWrap w:val="0"/>
            <w:vAlign w:val="center"/>
          </w:tcPr>
          <w:p w14:paraId="51E6BBA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p>
        </w:tc>
        <w:tc>
          <w:tcPr>
            <w:tcW w:w="2254" w:type="pct"/>
            <w:noWrap w:val="0"/>
            <w:vAlign w:val="center"/>
          </w:tcPr>
          <w:p w14:paraId="447319E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人工半固定沙地</w:t>
            </w:r>
            <w:r>
              <w:rPr>
                <w:rFonts w:hint="eastAsia" w:cs="Times New Roman"/>
                <w:iCs/>
                <w:color w:val="auto"/>
                <w:kern w:val="0"/>
                <w:sz w:val="21"/>
                <w:szCs w:val="21"/>
                <w:highlight w:val="none"/>
                <w:lang w:val="en-US" w:eastAsia="zh-CN" w:bidi="ar-SA"/>
              </w:rPr>
              <w:t>（</w:t>
            </w:r>
            <w:r>
              <w:rPr>
                <w:rFonts w:hint="default" w:ascii="Times New Roman" w:hAnsi="Times New Roman" w:eastAsia="宋体" w:cs="Times New Roman"/>
                <w:iCs/>
                <w:color w:val="auto"/>
                <w:kern w:val="0"/>
                <w:sz w:val="21"/>
                <w:szCs w:val="21"/>
                <w:highlight w:val="none"/>
                <w:lang w:val="en-US" w:eastAsia="zh-CN" w:bidi="ar-SA"/>
              </w:rPr>
              <w:t>丘</w:t>
            </w:r>
            <w:r>
              <w:rPr>
                <w:rFonts w:hint="eastAsia" w:cs="Times New Roman"/>
                <w:iCs/>
                <w:color w:val="auto"/>
                <w:kern w:val="0"/>
                <w:sz w:val="21"/>
                <w:szCs w:val="21"/>
                <w:highlight w:val="none"/>
                <w:lang w:val="en-US" w:eastAsia="zh-CN" w:bidi="ar-SA"/>
              </w:rPr>
              <w:t>）</w:t>
            </w:r>
          </w:p>
        </w:tc>
        <w:tc>
          <w:tcPr>
            <w:tcW w:w="1174" w:type="pct"/>
            <w:noWrap w:val="0"/>
            <w:vAlign w:val="center"/>
          </w:tcPr>
          <w:p w14:paraId="10367D0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eastAsia" w:cs="Times New Roman"/>
                <w:iCs/>
                <w:color w:val="auto"/>
                <w:kern w:val="0"/>
                <w:sz w:val="21"/>
                <w:szCs w:val="21"/>
                <w:highlight w:val="none"/>
                <w:lang w:val="en-US" w:eastAsia="zh-CN" w:bidi="ar-SA"/>
              </w:rPr>
              <w:t>0</w:t>
            </w:r>
          </w:p>
        </w:tc>
      </w:tr>
      <w:tr w14:paraId="336D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0" w:type="pct"/>
            <w:vMerge w:val="continue"/>
            <w:noWrap w:val="0"/>
            <w:vAlign w:val="center"/>
          </w:tcPr>
          <w:p w14:paraId="2E7B397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p>
        </w:tc>
        <w:tc>
          <w:tcPr>
            <w:tcW w:w="2254" w:type="pct"/>
            <w:noWrap w:val="0"/>
            <w:vAlign w:val="center"/>
          </w:tcPr>
          <w:p w14:paraId="16EBED4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天然半固定沙地</w:t>
            </w:r>
            <w:r>
              <w:rPr>
                <w:rFonts w:hint="eastAsia" w:cs="Times New Roman"/>
                <w:iCs/>
                <w:color w:val="auto"/>
                <w:kern w:val="0"/>
                <w:sz w:val="21"/>
                <w:szCs w:val="21"/>
                <w:highlight w:val="none"/>
                <w:lang w:val="en-US" w:eastAsia="zh-CN" w:bidi="ar-SA"/>
              </w:rPr>
              <w:t>（</w:t>
            </w:r>
            <w:r>
              <w:rPr>
                <w:rFonts w:hint="default" w:ascii="Times New Roman" w:hAnsi="Times New Roman" w:eastAsia="宋体" w:cs="Times New Roman"/>
                <w:iCs/>
                <w:color w:val="auto"/>
                <w:kern w:val="0"/>
                <w:sz w:val="21"/>
                <w:szCs w:val="21"/>
                <w:highlight w:val="none"/>
                <w:lang w:val="en-US" w:eastAsia="zh-CN" w:bidi="ar-SA"/>
              </w:rPr>
              <w:t>丘</w:t>
            </w:r>
            <w:r>
              <w:rPr>
                <w:rFonts w:hint="eastAsia" w:cs="Times New Roman"/>
                <w:iCs/>
                <w:color w:val="auto"/>
                <w:kern w:val="0"/>
                <w:sz w:val="21"/>
                <w:szCs w:val="21"/>
                <w:highlight w:val="none"/>
                <w:lang w:val="en-US" w:eastAsia="zh-CN" w:bidi="ar-SA"/>
              </w:rPr>
              <w:t>）</w:t>
            </w:r>
          </w:p>
        </w:tc>
        <w:tc>
          <w:tcPr>
            <w:tcW w:w="1174" w:type="pct"/>
            <w:noWrap w:val="0"/>
            <w:vAlign w:val="center"/>
          </w:tcPr>
          <w:p w14:paraId="64B68D1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1.01</w:t>
            </w:r>
          </w:p>
        </w:tc>
      </w:tr>
      <w:tr w14:paraId="1AE9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0" w:type="pct"/>
            <w:vMerge w:val="restart"/>
            <w:noWrap w:val="0"/>
            <w:vAlign w:val="center"/>
          </w:tcPr>
          <w:p w14:paraId="1A966A9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固定沙地</w:t>
            </w:r>
            <w:r>
              <w:rPr>
                <w:rFonts w:hint="eastAsia" w:cs="Times New Roman"/>
                <w:iCs/>
                <w:color w:val="auto"/>
                <w:kern w:val="0"/>
                <w:sz w:val="21"/>
                <w:szCs w:val="21"/>
                <w:highlight w:val="none"/>
                <w:lang w:val="en-US" w:eastAsia="zh-CN" w:bidi="ar-SA"/>
              </w:rPr>
              <w:t>（</w:t>
            </w:r>
            <w:r>
              <w:rPr>
                <w:rFonts w:hint="default" w:ascii="Times New Roman" w:hAnsi="Times New Roman" w:eastAsia="宋体" w:cs="Times New Roman"/>
                <w:iCs/>
                <w:color w:val="auto"/>
                <w:kern w:val="0"/>
                <w:sz w:val="21"/>
                <w:szCs w:val="21"/>
                <w:highlight w:val="none"/>
                <w:lang w:val="en-US" w:eastAsia="zh-CN" w:bidi="ar-SA"/>
              </w:rPr>
              <w:t>丘</w:t>
            </w:r>
            <w:r>
              <w:rPr>
                <w:rFonts w:hint="eastAsia" w:cs="Times New Roman"/>
                <w:iCs/>
                <w:color w:val="auto"/>
                <w:kern w:val="0"/>
                <w:sz w:val="21"/>
                <w:szCs w:val="21"/>
                <w:highlight w:val="none"/>
                <w:lang w:val="en-US" w:eastAsia="zh-CN" w:bidi="ar-SA"/>
              </w:rPr>
              <w:t>）</w:t>
            </w:r>
          </w:p>
        </w:tc>
        <w:tc>
          <w:tcPr>
            <w:tcW w:w="2254" w:type="pct"/>
            <w:noWrap w:val="0"/>
            <w:vAlign w:val="center"/>
          </w:tcPr>
          <w:p w14:paraId="0B6C932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小计</w:t>
            </w:r>
          </w:p>
        </w:tc>
        <w:tc>
          <w:tcPr>
            <w:tcW w:w="1174" w:type="pct"/>
            <w:noWrap w:val="0"/>
            <w:vAlign w:val="center"/>
          </w:tcPr>
          <w:p w14:paraId="5FE8AA4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9.17</w:t>
            </w:r>
          </w:p>
        </w:tc>
      </w:tr>
      <w:tr w14:paraId="7900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0" w:type="pct"/>
            <w:vMerge w:val="continue"/>
            <w:noWrap w:val="0"/>
            <w:vAlign w:val="center"/>
          </w:tcPr>
          <w:p w14:paraId="137830F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p>
        </w:tc>
        <w:tc>
          <w:tcPr>
            <w:tcW w:w="2254" w:type="pct"/>
            <w:noWrap w:val="0"/>
            <w:vAlign w:val="center"/>
          </w:tcPr>
          <w:p w14:paraId="00C14F8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人工固定沙地（丘</w:t>
            </w:r>
            <w:r>
              <w:rPr>
                <w:rFonts w:hint="eastAsia" w:cs="Times New Roman"/>
                <w:iCs/>
                <w:color w:val="auto"/>
                <w:kern w:val="0"/>
                <w:sz w:val="21"/>
                <w:szCs w:val="21"/>
                <w:highlight w:val="none"/>
                <w:lang w:val="en-US" w:eastAsia="zh-CN" w:bidi="ar-SA"/>
              </w:rPr>
              <w:t>）</w:t>
            </w:r>
          </w:p>
        </w:tc>
        <w:tc>
          <w:tcPr>
            <w:tcW w:w="1174" w:type="pct"/>
            <w:noWrap w:val="0"/>
            <w:vAlign w:val="center"/>
          </w:tcPr>
          <w:p w14:paraId="2210E35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eastAsia" w:cs="Times New Roman"/>
                <w:iCs/>
                <w:color w:val="auto"/>
                <w:kern w:val="0"/>
                <w:sz w:val="21"/>
                <w:szCs w:val="21"/>
                <w:highlight w:val="none"/>
                <w:lang w:val="en-US" w:eastAsia="zh-CN" w:bidi="ar-SA"/>
              </w:rPr>
              <w:t>0</w:t>
            </w:r>
          </w:p>
        </w:tc>
      </w:tr>
      <w:tr w14:paraId="4A62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0" w:type="pct"/>
            <w:vMerge w:val="continue"/>
            <w:noWrap w:val="0"/>
            <w:vAlign w:val="center"/>
          </w:tcPr>
          <w:p w14:paraId="7274CF9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p>
        </w:tc>
        <w:tc>
          <w:tcPr>
            <w:tcW w:w="2254" w:type="pct"/>
            <w:noWrap w:val="0"/>
            <w:vAlign w:val="center"/>
          </w:tcPr>
          <w:p w14:paraId="22A4A75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天然固定沙地（丘</w:t>
            </w:r>
            <w:r>
              <w:rPr>
                <w:rFonts w:hint="eastAsia" w:cs="Times New Roman"/>
                <w:iCs/>
                <w:color w:val="auto"/>
                <w:kern w:val="0"/>
                <w:sz w:val="21"/>
                <w:szCs w:val="21"/>
                <w:highlight w:val="none"/>
                <w:lang w:val="en-US" w:eastAsia="zh-CN" w:bidi="ar-SA"/>
              </w:rPr>
              <w:t>）</w:t>
            </w:r>
          </w:p>
        </w:tc>
        <w:tc>
          <w:tcPr>
            <w:tcW w:w="1174" w:type="pct"/>
            <w:noWrap w:val="0"/>
            <w:vAlign w:val="center"/>
          </w:tcPr>
          <w:p w14:paraId="52A2593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9.1</w:t>
            </w:r>
            <w:r>
              <w:rPr>
                <w:rFonts w:hint="eastAsia" w:cs="Times New Roman"/>
                <w:iCs/>
                <w:color w:val="auto"/>
                <w:kern w:val="0"/>
                <w:sz w:val="21"/>
                <w:szCs w:val="21"/>
                <w:highlight w:val="none"/>
                <w:lang w:val="en-US" w:eastAsia="zh-CN" w:bidi="ar-SA"/>
              </w:rPr>
              <w:t>7</w:t>
            </w:r>
          </w:p>
        </w:tc>
      </w:tr>
      <w:tr w14:paraId="6213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25" w:type="pct"/>
            <w:gridSpan w:val="2"/>
            <w:noWrap w:val="0"/>
            <w:vAlign w:val="center"/>
          </w:tcPr>
          <w:p w14:paraId="6DA386A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沙化耕地</w:t>
            </w:r>
          </w:p>
        </w:tc>
        <w:tc>
          <w:tcPr>
            <w:tcW w:w="1174" w:type="pct"/>
            <w:noWrap w:val="0"/>
            <w:vAlign w:val="center"/>
          </w:tcPr>
          <w:p w14:paraId="1979DB8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eastAsia" w:cs="Times New Roman"/>
                <w:iCs/>
                <w:color w:val="auto"/>
                <w:kern w:val="0"/>
                <w:sz w:val="21"/>
                <w:szCs w:val="21"/>
                <w:highlight w:val="none"/>
                <w:lang w:val="en-US" w:eastAsia="zh-CN" w:bidi="ar-SA"/>
              </w:rPr>
              <w:t>0</w:t>
            </w:r>
          </w:p>
        </w:tc>
      </w:tr>
      <w:tr w14:paraId="56AD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25" w:type="pct"/>
            <w:gridSpan w:val="2"/>
            <w:noWrap w:val="0"/>
            <w:vAlign w:val="center"/>
          </w:tcPr>
          <w:p w14:paraId="7090B30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非生物治沙工程</w:t>
            </w:r>
            <w:r>
              <w:rPr>
                <w:rFonts w:hint="eastAsia" w:cs="Times New Roman"/>
                <w:iCs/>
                <w:color w:val="auto"/>
                <w:kern w:val="0"/>
                <w:sz w:val="21"/>
                <w:szCs w:val="21"/>
                <w:highlight w:val="none"/>
                <w:lang w:val="en-US" w:eastAsia="zh-CN" w:bidi="ar-SA"/>
              </w:rPr>
              <w:t>用</w:t>
            </w:r>
            <w:r>
              <w:rPr>
                <w:rFonts w:hint="default" w:ascii="Times New Roman" w:hAnsi="Times New Roman" w:eastAsia="宋体" w:cs="Times New Roman"/>
                <w:iCs/>
                <w:color w:val="auto"/>
                <w:kern w:val="0"/>
                <w:sz w:val="21"/>
                <w:szCs w:val="21"/>
                <w:highlight w:val="none"/>
                <w:lang w:val="en-US" w:eastAsia="zh-CN" w:bidi="ar-SA"/>
              </w:rPr>
              <w:t>地</w:t>
            </w:r>
          </w:p>
        </w:tc>
        <w:tc>
          <w:tcPr>
            <w:tcW w:w="1174" w:type="pct"/>
            <w:noWrap w:val="0"/>
            <w:vAlign w:val="center"/>
          </w:tcPr>
          <w:p w14:paraId="3160FB8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eastAsia" w:cs="Times New Roman"/>
                <w:iCs/>
                <w:color w:val="auto"/>
                <w:kern w:val="0"/>
                <w:sz w:val="21"/>
                <w:szCs w:val="21"/>
                <w:highlight w:val="none"/>
                <w:lang w:val="en-US" w:eastAsia="zh-CN" w:bidi="ar-SA"/>
              </w:rPr>
              <w:t>0</w:t>
            </w:r>
          </w:p>
        </w:tc>
      </w:tr>
      <w:tr w14:paraId="17C8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25" w:type="pct"/>
            <w:gridSpan w:val="2"/>
            <w:noWrap w:val="0"/>
            <w:vAlign w:val="center"/>
          </w:tcPr>
          <w:p w14:paraId="451C29B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风蚀残丘</w:t>
            </w:r>
            <w:r>
              <w:rPr>
                <w:rFonts w:hint="eastAsia" w:cs="Times New Roman"/>
                <w:iCs/>
                <w:color w:val="auto"/>
                <w:kern w:val="0"/>
                <w:sz w:val="21"/>
                <w:szCs w:val="21"/>
                <w:highlight w:val="none"/>
                <w:lang w:val="en-US" w:eastAsia="zh-CN" w:bidi="ar-SA"/>
              </w:rPr>
              <w:t>（</w:t>
            </w:r>
            <w:r>
              <w:rPr>
                <w:rFonts w:hint="default" w:ascii="Times New Roman" w:hAnsi="Times New Roman" w:eastAsia="宋体" w:cs="Times New Roman"/>
                <w:iCs/>
                <w:color w:val="auto"/>
                <w:kern w:val="0"/>
                <w:sz w:val="21"/>
                <w:szCs w:val="21"/>
                <w:highlight w:val="none"/>
                <w:lang w:val="en-US" w:eastAsia="zh-CN" w:bidi="ar-SA"/>
              </w:rPr>
              <w:t>劣地</w:t>
            </w:r>
            <w:r>
              <w:rPr>
                <w:rFonts w:hint="eastAsia" w:cs="Times New Roman"/>
                <w:iCs/>
                <w:color w:val="auto"/>
                <w:kern w:val="0"/>
                <w:sz w:val="21"/>
                <w:szCs w:val="21"/>
                <w:highlight w:val="none"/>
                <w:lang w:val="en-US" w:eastAsia="zh-CN" w:bidi="ar-SA"/>
              </w:rPr>
              <w:t>）</w:t>
            </w:r>
          </w:p>
        </w:tc>
        <w:tc>
          <w:tcPr>
            <w:tcW w:w="1174" w:type="pct"/>
            <w:noWrap w:val="0"/>
            <w:vAlign w:val="center"/>
          </w:tcPr>
          <w:p w14:paraId="32F549A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eastAsia" w:cs="Times New Roman"/>
                <w:iCs/>
                <w:color w:val="auto"/>
                <w:kern w:val="0"/>
                <w:sz w:val="21"/>
                <w:szCs w:val="21"/>
                <w:highlight w:val="none"/>
                <w:lang w:val="en-US" w:eastAsia="zh-CN" w:bidi="ar-SA"/>
              </w:rPr>
              <w:t>0</w:t>
            </w:r>
          </w:p>
        </w:tc>
      </w:tr>
      <w:tr w14:paraId="4D0F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25" w:type="pct"/>
            <w:gridSpan w:val="2"/>
            <w:noWrap w:val="0"/>
            <w:vAlign w:val="center"/>
          </w:tcPr>
          <w:p w14:paraId="577DC8E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default" w:ascii="Times New Roman" w:hAnsi="Times New Roman" w:eastAsia="宋体" w:cs="Times New Roman"/>
                <w:iCs/>
                <w:color w:val="auto"/>
                <w:kern w:val="0"/>
                <w:sz w:val="21"/>
                <w:szCs w:val="21"/>
                <w:highlight w:val="none"/>
                <w:lang w:val="en-US" w:eastAsia="zh-CN" w:bidi="ar-SA"/>
              </w:rPr>
              <w:t>戈壁</w:t>
            </w:r>
          </w:p>
        </w:tc>
        <w:tc>
          <w:tcPr>
            <w:tcW w:w="1174" w:type="pct"/>
            <w:noWrap w:val="0"/>
            <w:vAlign w:val="center"/>
          </w:tcPr>
          <w:p w14:paraId="2DE7D9F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iCs/>
                <w:color w:val="auto"/>
                <w:kern w:val="0"/>
                <w:sz w:val="21"/>
                <w:szCs w:val="21"/>
                <w:highlight w:val="none"/>
                <w:lang w:val="en-US" w:eastAsia="zh-CN" w:bidi="ar-SA"/>
              </w:rPr>
            </w:pPr>
            <w:r>
              <w:rPr>
                <w:rFonts w:hint="eastAsia" w:cs="Times New Roman"/>
                <w:iCs/>
                <w:color w:val="auto"/>
                <w:kern w:val="0"/>
                <w:sz w:val="21"/>
                <w:szCs w:val="21"/>
                <w:highlight w:val="none"/>
                <w:lang w:val="en-US" w:eastAsia="zh-CN" w:bidi="ar-SA"/>
              </w:rPr>
              <w:t>0</w:t>
            </w:r>
          </w:p>
        </w:tc>
      </w:tr>
    </w:tbl>
    <w:p w14:paraId="6D443727">
      <w:pPr>
        <w:widowControl w:val="0"/>
        <w:spacing w:line="360" w:lineRule="auto"/>
        <w:ind w:firstLine="500" w:firstLineChars="200"/>
        <w:jc w:val="both"/>
        <w:rPr>
          <w:rFonts w:hint="eastAsia" w:ascii="Times New Roman" w:hAnsi="Times New Roman" w:cs="Times New Roman"/>
          <w:color w:val="auto"/>
          <w:spacing w:val="5"/>
          <w:kern w:val="2"/>
          <w:sz w:val="24"/>
          <w:szCs w:val="24"/>
          <w:highlight w:val="none"/>
          <w:lang w:val="en-US" w:eastAsia="zh-CN"/>
        </w:rPr>
      </w:pPr>
      <w:r>
        <w:rPr>
          <w:rFonts w:hint="default" w:ascii="Times New Roman" w:hAnsi="Times New Roman" w:cs="Times New Roman"/>
          <w:color w:val="auto"/>
          <w:spacing w:val="5"/>
          <w:kern w:val="2"/>
          <w:sz w:val="24"/>
          <w:szCs w:val="24"/>
          <w:highlight w:val="none"/>
          <w:lang w:val="en-US" w:eastAsia="zh-CN"/>
        </w:rPr>
        <w:t>根据评价区土地利用，结合现场调查地形地貌及植被覆盖程度，分析评价区域土地沙化现状。本</w:t>
      </w:r>
      <w:r>
        <w:rPr>
          <w:rFonts w:hint="eastAsia" w:ascii="Times New Roman" w:hAnsi="Times New Roman" w:cs="Times New Roman"/>
          <w:color w:val="auto"/>
          <w:spacing w:val="5"/>
          <w:kern w:val="2"/>
          <w:sz w:val="24"/>
          <w:szCs w:val="24"/>
          <w:highlight w:val="none"/>
          <w:lang w:val="en-US" w:eastAsia="zh-CN"/>
        </w:rPr>
        <w:t>项目所在区域无流动沙丘分布</w:t>
      </w:r>
      <w:r>
        <w:rPr>
          <w:rFonts w:hint="default" w:ascii="Times New Roman" w:hAnsi="Times New Roman" w:cs="Times New Roman"/>
          <w:color w:val="auto"/>
          <w:spacing w:val="5"/>
          <w:kern w:val="2"/>
          <w:sz w:val="24"/>
          <w:szCs w:val="24"/>
          <w:highlight w:val="none"/>
          <w:lang w:val="en-US" w:eastAsia="zh-CN"/>
        </w:rPr>
        <w:t>，</w:t>
      </w:r>
      <w:r>
        <w:rPr>
          <w:rFonts w:hint="eastAsia" w:ascii="Times New Roman" w:hAnsi="Times New Roman" w:cs="Times New Roman"/>
          <w:color w:val="auto"/>
          <w:spacing w:val="5"/>
          <w:kern w:val="2"/>
          <w:sz w:val="24"/>
          <w:szCs w:val="24"/>
          <w:highlight w:val="none"/>
          <w:lang w:val="en-US" w:eastAsia="zh-CN"/>
        </w:rPr>
        <w:t>沙化土地内多见柽柳沙堆、胡杨沙堆等，</w:t>
      </w:r>
      <w:r>
        <w:rPr>
          <w:rFonts w:hint="default" w:ascii="Times New Roman" w:hAnsi="Times New Roman" w:cs="Times New Roman"/>
          <w:color w:val="auto"/>
          <w:spacing w:val="5"/>
          <w:kern w:val="2"/>
          <w:sz w:val="24"/>
          <w:szCs w:val="24"/>
          <w:highlight w:val="none"/>
          <w:lang w:val="en-US" w:eastAsia="zh-CN"/>
        </w:rPr>
        <w:t>主要土地</w:t>
      </w:r>
      <w:r>
        <w:rPr>
          <w:rFonts w:hint="eastAsia" w:ascii="Times New Roman" w:hAnsi="Times New Roman" w:cs="Times New Roman"/>
          <w:color w:val="auto"/>
          <w:spacing w:val="5"/>
          <w:kern w:val="2"/>
          <w:sz w:val="24"/>
          <w:szCs w:val="24"/>
          <w:highlight w:val="none"/>
          <w:lang w:val="en-US" w:eastAsia="zh-CN"/>
        </w:rPr>
        <w:t>利用</w:t>
      </w:r>
      <w:r>
        <w:rPr>
          <w:rFonts w:hint="default" w:ascii="Times New Roman" w:hAnsi="Times New Roman" w:cs="Times New Roman"/>
          <w:color w:val="auto"/>
          <w:spacing w:val="5"/>
          <w:kern w:val="2"/>
          <w:sz w:val="24"/>
          <w:szCs w:val="24"/>
          <w:highlight w:val="none"/>
          <w:lang w:val="en-US" w:eastAsia="zh-CN"/>
        </w:rPr>
        <w:t>类型为</w:t>
      </w:r>
      <w:r>
        <w:rPr>
          <w:rFonts w:hint="eastAsia" w:ascii="Times New Roman" w:hAnsi="Times New Roman" w:cs="Times New Roman"/>
          <w:color w:val="auto"/>
          <w:spacing w:val="5"/>
          <w:kern w:val="2"/>
          <w:sz w:val="24"/>
          <w:szCs w:val="24"/>
          <w:highlight w:val="none"/>
          <w:lang w:val="en-US" w:eastAsia="zh-CN"/>
        </w:rPr>
        <w:t>林地、草地</w:t>
      </w:r>
      <w:r>
        <w:rPr>
          <w:rFonts w:hint="default" w:ascii="Times New Roman" w:hAnsi="Times New Roman" w:cs="Times New Roman"/>
          <w:color w:val="auto"/>
          <w:spacing w:val="5"/>
          <w:kern w:val="2"/>
          <w:sz w:val="24"/>
          <w:szCs w:val="24"/>
          <w:highlight w:val="none"/>
          <w:lang w:val="en-US" w:eastAsia="zh-CN"/>
        </w:rPr>
        <w:t>。植物群落较为</w:t>
      </w:r>
      <w:r>
        <w:rPr>
          <w:rFonts w:hint="eastAsia" w:ascii="Times New Roman" w:hAnsi="Times New Roman" w:cs="Times New Roman"/>
          <w:color w:val="auto"/>
          <w:spacing w:val="5"/>
          <w:kern w:val="2"/>
          <w:sz w:val="24"/>
          <w:szCs w:val="24"/>
          <w:highlight w:val="none"/>
          <w:lang w:val="en-US" w:eastAsia="zh-CN"/>
        </w:rPr>
        <w:t>简单</w:t>
      </w:r>
      <w:r>
        <w:rPr>
          <w:rFonts w:hint="default" w:ascii="Times New Roman" w:hAnsi="Times New Roman" w:cs="Times New Roman"/>
          <w:color w:val="auto"/>
          <w:spacing w:val="5"/>
          <w:kern w:val="2"/>
          <w:sz w:val="24"/>
          <w:szCs w:val="24"/>
          <w:highlight w:val="none"/>
          <w:lang w:val="en-US" w:eastAsia="zh-CN"/>
        </w:rPr>
        <w:t>，</w:t>
      </w:r>
      <w:r>
        <w:rPr>
          <w:rFonts w:hint="eastAsia" w:ascii="Times New Roman" w:hAnsi="Times New Roman" w:cs="Times New Roman"/>
          <w:color w:val="auto"/>
          <w:spacing w:val="5"/>
          <w:kern w:val="2"/>
          <w:sz w:val="24"/>
          <w:szCs w:val="24"/>
          <w:highlight w:val="none"/>
          <w:lang w:val="en-US" w:eastAsia="zh-CN"/>
        </w:rPr>
        <w:t>工程</w:t>
      </w:r>
      <w:r>
        <w:rPr>
          <w:rFonts w:hint="default" w:ascii="Times New Roman" w:hAnsi="Times New Roman" w:cs="Times New Roman"/>
          <w:color w:val="auto"/>
          <w:spacing w:val="5"/>
          <w:kern w:val="2"/>
          <w:sz w:val="24"/>
          <w:szCs w:val="24"/>
          <w:highlight w:val="none"/>
          <w:lang w:val="en-US" w:eastAsia="zh-CN"/>
        </w:rPr>
        <w:t>区发育着以</w:t>
      </w:r>
      <w:r>
        <w:rPr>
          <w:rFonts w:hint="eastAsia" w:ascii="Times New Roman" w:hAnsi="Times New Roman" w:cs="Times New Roman"/>
          <w:color w:val="auto"/>
          <w:spacing w:val="5"/>
          <w:kern w:val="2"/>
          <w:sz w:val="24"/>
          <w:szCs w:val="24"/>
          <w:highlight w:val="none"/>
          <w:lang w:val="en-US" w:eastAsia="zh-CN"/>
        </w:rPr>
        <w:t>乔木、</w:t>
      </w:r>
      <w:r>
        <w:rPr>
          <w:rFonts w:hint="default" w:ascii="Times New Roman" w:hAnsi="Times New Roman" w:cs="Times New Roman"/>
          <w:color w:val="auto"/>
          <w:spacing w:val="5"/>
          <w:kern w:val="2"/>
          <w:sz w:val="24"/>
          <w:szCs w:val="24"/>
          <w:highlight w:val="none"/>
          <w:lang w:val="en-US" w:eastAsia="zh-CN"/>
        </w:rPr>
        <w:t>灌木</w:t>
      </w:r>
      <w:r>
        <w:rPr>
          <w:rFonts w:hint="eastAsia" w:ascii="Times New Roman" w:hAnsi="Times New Roman" w:cs="Times New Roman"/>
          <w:color w:val="auto"/>
          <w:spacing w:val="5"/>
          <w:kern w:val="2"/>
          <w:sz w:val="24"/>
          <w:szCs w:val="24"/>
          <w:highlight w:val="none"/>
          <w:lang w:val="en-US" w:eastAsia="zh-CN"/>
        </w:rPr>
        <w:t>及矮半乔木</w:t>
      </w:r>
      <w:r>
        <w:rPr>
          <w:rFonts w:hint="default" w:ascii="Times New Roman" w:hAnsi="Times New Roman" w:cs="Times New Roman"/>
          <w:color w:val="auto"/>
          <w:spacing w:val="5"/>
          <w:kern w:val="2"/>
          <w:sz w:val="24"/>
          <w:szCs w:val="24"/>
          <w:highlight w:val="none"/>
          <w:lang w:val="en-US" w:eastAsia="zh-CN"/>
        </w:rPr>
        <w:t>为建群种所组成的水平地带性荒漠植被，主要组成植物有</w:t>
      </w:r>
      <w:r>
        <w:rPr>
          <w:rFonts w:hint="eastAsia" w:ascii="Times New Roman" w:hAnsi="Times New Roman" w:cs="Times New Roman"/>
          <w:color w:val="auto"/>
          <w:spacing w:val="5"/>
          <w:kern w:val="2"/>
          <w:sz w:val="24"/>
          <w:szCs w:val="24"/>
          <w:highlight w:val="none"/>
          <w:lang w:val="en-US" w:eastAsia="zh-CN"/>
        </w:rPr>
        <w:t>胡杨、柽柳等</w:t>
      </w:r>
      <w:r>
        <w:rPr>
          <w:rFonts w:hint="default" w:ascii="Times New Roman" w:hAnsi="Times New Roman" w:cs="Times New Roman"/>
          <w:color w:val="auto"/>
          <w:spacing w:val="5"/>
          <w:kern w:val="2"/>
          <w:sz w:val="24"/>
          <w:szCs w:val="24"/>
          <w:highlight w:val="none"/>
          <w:lang w:val="en-US" w:eastAsia="zh-CN"/>
        </w:rPr>
        <w:t>。区域植被盖度约为</w:t>
      </w:r>
      <w:r>
        <w:rPr>
          <w:rFonts w:hint="eastAsia" w:ascii="Times New Roman" w:hAnsi="Times New Roman" w:cs="Times New Roman"/>
          <w:color w:val="auto"/>
          <w:spacing w:val="5"/>
          <w:kern w:val="2"/>
          <w:sz w:val="24"/>
          <w:szCs w:val="24"/>
          <w:highlight w:val="none"/>
          <w:lang w:val="en-US" w:eastAsia="zh-CN"/>
        </w:rPr>
        <w:t>10%-20</w:t>
      </w:r>
      <w:r>
        <w:rPr>
          <w:rFonts w:hint="default" w:ascii="Times New Roman" w:hAnsi="Times New Roman" w:cs="Times New Roman"/>
          <w:color w:val="auto"/>
          <w:spacing w:val="5"/>
          <w:kern w:val="2"/>
          <w:sz w:val="24"/>
          <w:szCs w:val="24"/>
          <w:highlight w:val="none"/>
          <w:lang w:val="en-US" w:eastAsia="zh-CN"/>
        </w:rPr>
        <w:t>%，覆盖度总体来说良好，</w:t>
      </w:r>
      <w:r>
        <w:rPr>
          <w:rFonts w:hint="eastAsia" w:ascii="Times New Roman" w:hAnsi="Times New Roman" w:cs="Times New Roman"/>
          <w:color w:val="auto"/>
          <w:spacing w:val="5"/>
          <w:kern w:val="2"/>
          <w:sz w:val="24"/>
          <w:szCs w:val="24"/>
          <w:highlight w:val="none"/>
          <w:lang w:val="en-US" w:eastAsia="zh-CN"/>
        </w:rPr>
        <w:t xml:space="preserve">区域植被的防风固沙等生态功能较为稳定。地表结皮类型主要为盐碱结皮，盐碱结皮能够增加表层土壤的水分含量，增强地表的抗风蚀能力，从而有效降低地表风蚀量。 </w:t>
      </w:r>
    </w:p>
    <w:p w14:paraId="3DF2F2A4">
      <w:pPr>
        <w:widowControl w:val="0"/>
        <w:tabs>
          <w:tab w:val="left" w:pos="3465"/>
        </w:tabs>
        <w:spacing w:line="360" w:lineRule="auto"/>
        <w:jc w:val="both"/>
        <w:outlineLvl w:val="2"/>
        <w:rPr>
          <w:rFonts w:hint="default" w:ascii="Times New Roman" w:hAnsi="Times New Roman" w:eastAsia="宋体" w:cs="Times New Roman"/>
          <w:b/>
          <w:color w:val="auto"/>
          <w:kern w:val="2"/>
          <w:sz w:val="28"/>
          <w:szCs w:val="28"/>
          <w:highlight w:val="none"/>
        </w:rPr>
      </w:pPr>
      <w:bookmarkStart w:id="455" w:name="_Hlk95844175"/>
      <w:r>
        <w:rPr>
          <w:rFonts w:hint="eastAsia" w:ascii="Times New Roman" w:hAnsi="Times New Roman" w:eastAsia="宋体" w:cs="Times New Roman"/>
          <w:b/>
          <w:color w:val="auto"/>
          <w:kern w:val="2"/>
          <w:sz w:val="28"/>
          <w:szCs w:val="28"/>
          <w:highlight w:val="none"/>
          <w:lang w:eastAsia="zh-CN"/>
        </w:rPr>
        <w:t>4.</w:t>
      </w:r>
      <w:r>
        <w:rPr>
          <w:rFonts w:hint="eastAsia" w:ascii="Times New Roman" w:hAnsi="Times New Roman" w:eastAsia="宋体" w:cs="Times New Roman"/>
          <w:b/>
          <w:color w:val="auto"/>
          <w:kern w:val="2"/>
          <w:sz w:val="28"/>
          <w:szCs w:val="28"/>
          <w:highlight w:val="none"/>
          <w:lang w:val="en-US" w:eastAsia="zh-CN"/>
        </w:rPr>
        <w:t>6</w:t>
      </w:r>
      <w:r>
        <w:rPr>
          <w:rFonts w:hint="default" w:ascii="Times New Roman" w:hAnsi="Times New Roman" w:eastAsia="宋体" w:cs="Times New Roman"/>
          <w:b/>
          <w:color w:val="auto"/>
          <w:kern w:val="2"/>
          <w:sz w:val="28"/>
          <w:szCs w:val="28"/>
          <w:highlight w:val="none"/>
        </w:rPr>
        <w:t>.</w:t>
      </w:r>
      <w:r>
        <w:rPr>
          <w:rFonts w:hint="eastAsia" w:cs="Times New Roman"/>
          <w:b/>
          <w:color w:val="auto"/>
          <w:kern w:val="2"/>
          <w:sz w:val="28"/>
          <w:szCs w:val="28"/>
          <w:highlight w:val="none"/>
          <w:lang w:val="en-US" w:eastAsia="zh-CN"/>
        </w:rPr>
        <w:t>6</w:t>
      </w:r>
      <w:r>
        <w:rPr>
          <w:rFonts w:hint="eastAsia" w:ascii="Times New Roman" w:hAnsi="Times New Roman" w:eastAsia="宋体" w:cs="Times New Roman"/>
          <w:b/>
          <w:color w:val="auto"/>
          <w:kern w:val="2"/>
          <w:sz w:val="28"/>
          <w:szCs w:val="28"/>
          <w:highlight w:val="none"/>
        </w:rPr>
        <w:t>主要生态问题调查</w:t>
      </w:r>
    </w:p>
    <w:p w14:paraId="54F7C20B">
      <w:pPr>
        <w:spacing w:line="360" w:lineRule="auto"/>
        <w:ind w:firstLine="480" w:firstLineChars="200"/>
        <w:jc w:val="both"/>
        <w:rPr>
          <w:rFonts w:hint="eastAsia" w:cs="Times New Roman"/>
          <w:color w:val="auto"/>
          <w:szCs w:val="20"/>
          <w:highlight w:val="none"/>
        </w:rPr>
      </w:pPr>
      <w:r>
        <w:rPr>
          <w:rFonts w:hint="eastAsia" w:cs="Times New Roman"/>
          <w:color w:val="auto"/>
          <w:szCs w:val="20"/>
          <w:highlight w:val="none"/>
        </w:rPr>
        <w:t>项目评价区域降水量少，</w:t>
      </w:r>
      <w:r>
        <w:rPr>
          <w:rFonts w:hint="eastAsia" w:cs="Times New Roman"/>
          <w:color w:val="auto"/>
          <w:szCs w:val="20"/>
          <w:highlight w:val="none"/>
          <w:lang w:val="en-US" w:eastAsia="zh-CN"/>
        </w:rPr>
        <w:t>生态系统中植物根系水分来源主要为地表河流。TK872CH井场及新建管线等工程距离木日达利亚河等水体较近，因此植被覆盖度较高，分布有胡杨林及耕地，存在毁林毁草开荒、植被破坏、土壤盐渍化、野生动物减少等问题；TH10250CH等北部3口侧钻井距离地表水体较远，</w:t>
      </w:r>
      <w:r>
        <w:rPr>
          <w:rFonts w:hint="eastAsia" w:cs="Times New Roman"/>
          <w:color w:val="auto"/>
          <w:szCs w:val="20"/>
          <w:highlight w:val="none"/>
        </w:rPr>
        <w:t>植被覆盖</w:t>
      </w:r>
      <w:r>
        <w:rPr>
          <w:rFonts w:hint="eastAsia" w:cs="Times New Roman"/>
          <w:color w:val="auto"/>
          <w:szCs w:val="20"/>
          <w:highlight w:val="none"/>
          <w:lang w:val="en-US" w:eastAsia="zh-CN"/>
        </w:rPr>
        <w:t>度较</w:t>
      </w:r>
      <w:r>
        <w:rPr>
          <w:rFonts w:hint="eastAsia" w:cs="Times New Roman"/>
          <w:color w:val="auto"/>
          <w:szCs w:val="20"/>
          <w:highlight w:val="none"/>
        </w:rPr>
        <w:t>低，干旱和半干旱是生态的主要特征，生态较为脆弱</w:t>
      </w:r>
      <w:r>
        <w:rPr>
          <w:rFonts w:hint="eastAsia" w:cs="Times New Roman"/>
          <w:color w:val="auto"/>
          <w:szCs w:val="20"/>
          <w:highlight w:val="none"/>
          <w:lang w:eastAsia="zh-CN"/>
        </w:rPr>
        <w:t>，</w:t>
      </w:r>
      <w:r>
        <w:rPr>
          <w:rFonts w:hint="eastAsia" w:cs="Times New Roman"/>
          <w:color w:val="auto"/>
          <w:szCs w:val="20"/>
          <w:highlight w:val="none"/>
          <w:lang w:val="en-US" w:eastAsia="zh-CN"/>
        </w:rPr>
        <w:t>存在沙漠化扩大等问题</w:t>
      </w:r>
      <w:r>
        <w:rPr>
          <w:rFonts w:hint="eastAsia" w:cs="Times New Roman"/>
          <w:color w:val="auto"/>
          <w:szCs w:val="20"/>
          <w:highlight w:val="none"/>
        </w:rPr>
        <w:t>。</w:t>
      </w:r>
    </w:p>
    <w:p w14:paraId="37CE3F21">
      <w:pPr>
        <w:spacing w:line="360" w:lineRule="auto"/>
        <w:ind w:firstLine="480" w:firstLineChars="200"/>
        <w:jc w:val="both"/>
        <w:rPr>
          <w:rFonts w:hint="eastAsia" w:cs="Times New Roman"/>
          <w:color w:val="auto"/>
          <w:szCs w:val="20"/>
          <w:highlight w:val="none"/>
        </w:rPr>
      </w:pPr>
      <w:r>
        <w:rPr>
          <w:rFonts w:hint="eastAsia" w:cs="Times New Roman"/>
          <w:color w:val="auto"/>
          <w:szCs w:val="20"/>
          <w:highlight w:val="none"/>
          <w:lang w:val="en-US" w:eastAsia="zh-CN"/>
        </w:rPr>
        <w:t>本项目</w:t>
      </w:r>
      <w:r>
        <w:rPr>
          <w:rFonts w:hint="eastAsia" w:cs="Times New Roman"/>
          <w:color w:val="auto"/>
          <w:szCs w:val="20"/>
          <w:highlight w:val="none"/>
        </w:rPr>
        <w:t>位于塔里木河流域水土流失重点治理区。项目区气候干热，降雨少，蒸发量大，植被覆盖度较低，由于植被被破坏，加剧了土壤侵蚀，水土流失是评价范围内的主要生态问题之一。</w:t>
      </w:r>
    </w:p>
    <w:p w14:paraId="4F26B104">
      <w:pPr>
        <w:spacing w:line="360" w:lineRule="auto"/>
        <w:ind w:firstLine="480" w:firstLineChars="200"/>
        <w:jc w:val="both"/>
        <w:rPr>
          <w:rFonts w:cs="Times New Roman"/>
          <w:color w:val="auto"/>
          <w:szCs w:val="20"/>
          <w:highlight w:val="none"/>
        </w:rPr>
      </w:pPr>
      <w:r>
        <w:rPr>
          <w:rFonts w:hint="eastAsia" w:cs="Times New Roman"/>
          <w:color w:val="auto"/>
          <w:szCs w:val="20"/>
          <w:highlight w:val="none"/>
        </w:rPr>
        <w:t>土地盐渍化和沙漠化主要是指在干旱多风的沙质和沙壤质地表土壤条件下，由于地下水位较高，人类强度活动破坏了脆弱生态系统的平衡，造成地表出现以风沙活动为主要标志的土地退化和土壤盐渍化。从而引起地表土壤含盐量增加，沙质地表、沙丘等的活化，导致生物多样性减少、生物生产力下降、土地生产潜力衰退以及土地资源丧失</w:t>
      </w:r>
      <w:r>
        <w:rPr>
          <w:rFonts w:hint="eastAsia" w:cs="Times New Roman"/>
          <w:color w:val="auto"/>
          <w:szCs w:val="20"/>
          <w:highlight w:val="none"/>
          <w:lang w:eastAsia="zh-CN"/>
        </w:rPr>
        <w:t>，</w:t>
      </w:r>
      <w:r>
        <w:rPr>
          <w:rFonts w:hint="eastAsia" w:cs="Times New Roman"/>
          <w:color w:val="auto"/>
          <w:szCs w:val="20"/>
          <w:highlight w:val="none"/>
        </w:rPr>
        <w:t>项目区荒漠化的形成主要是因风蚀所致。近年来，自治区实施了退耕还林还草、沙化土地封禁保护等措施，土地沙化趋势明显减缓，局部生态状况明显改善。</w:t>
      </w:r>
    </w:p>
    <w:bookmarkEnd w:id="455"/>
    <w:p w14:paraId="64DFE5B0">
      <w:pPr>
        <w:widowControl w:val="0"/>
        <w:tabs>
          <w:tab w:val="left" w:pos="3465"/>
        </w:tabs>
        <w:spacing w:line="360" w:lineRule="auto"/>
        <w:jc w:val="both"/>
        <w:outlineLvl w:val="2"/>
        <w:rPr>
          <w:rFonts w:hint="default" w:ascii="Times New Roman" w:hAnsi="Times New Roman" w:eastAsia="宋体" w:cs="Times New Roman"/>
          <w:b/>
          <w:color w:val="auto"/>
          <w:kern w:val="2"/>
          <w:sz w:val="28"/>
          <w:szCs w:val="28"/>
          <w:highlight w:val="none"/>
        </w:rPr>
      </w:pPr>
      <w:r>
        <w:rPr>
          <w:rFonts w:hint="eastAsia" w:ascii="Times New Roman" w:hAnsi="Times New Roman" w:eastAsia="宋体" w:cs="Times New Roman"/>
          <w:b/>
          <w:color w:val="auto"/>
          <w:kern w:val="2"/>
          <w:sz w:val="28"/>
          <w:szCs w:val="28"/>
          <w:highlight w:val="none"/>
          <w:lang w:eastAsia="zh-CN"/>
        </w:rPr>
        <w:t>4.</w:t>
      </w:r>
      <w:r>
        <w:rPr>
          <w:rFonts w:hint="eastAsia" w:ascii="Times New Roman" w:hAnsi="Times New Roman" w:eastAsia="宋体" w:cs="Times New Roman"/>
          <w:b/>
          <w:color w:val="auto"/>
          <w:kern w:val="2"/>
          <w:sz w:val="28"/>
          <w:szCs w:val="28"/>
          <w:highlight w:val="none"/>
          <w:lang w:val="en-US" w:eastAsia="zh-CN"/>
        </w:rPr>
        <w:t>6</w:t>
      </w:r>
      <w:r>
        <w:rPr>
          <w:rFonts w:hint="default" w:ascii="Times New Roman" w:hAnsi="Times New Roman" w:eastAsia="宋体" w:cs="Times New Roman"/>
          <w:b/>
          <w:color w:val="auto"/>
          <w:kern w:val="2"/>
          <w:sz w:val="28"/>
          <w:szCs w:val="28"/>
          <w:highlight w:val="none"/>
        </w:rPr>
        <w:t>.</w:t>
      </w:r>
      <w:r>
        <w:rPr>
          <w:rFonts w:hint="eastAsia" w:cs="Times New Roman"/>
          <w:b/>
          <w:color w:val="auto"/>
          <w:kern w:val="2"/>
          <w:sz w:val="28"/>
          <w:szCs w:val="28"/>
          <w:highlight w:val="none"/>
          <w:lang w:val="en-US" w:eastAsia="zh-CN"/>
        </w:rPr>
        <w:t>7</w:t>
      </w:r>
      <w:r>
        <w:rPr>
          <w:rFonts w:hint="default" w:ascii="Times New Roman" w:hAnsi="Times New Roman" w:eastAsia="宋体" w:cs="Times New Roman"/>
          <w:b/>
          <w:color w:val="auto"/>
          <w:kern w:val="2"/>
          <w:sz w:val="28"/>
          <w:szCs w:val="28"/>
          <w:highlight w:val="none"/>
        </w:rPr>
        <w:t>小结</w:t>
      </w:r>
    </w:p>
    <w:p w14:paraId="608A06D0">
      <w:pPr>
        <w:pStyle w:val="83"/>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outlineLvl w:val="9"/>
        <w:rPr>
          <w:rFonts w:hint="eastAsia" w:cs="Times New Roman"/>
          <w:color w:val="auto"/>
          <w:szCs w:val="20"/>
          <w:highlight w:val="none"/>
          <w:lang w:val="en-US" w:eastAsia="zh-CN"/>
        </w:rPr>
      </w:pPr>
      <w:r>
        <w:rPr>
          <w:rFonts w:hint="eastAsia" w:cs="Times New Roman"/>
          <w:color w:val="auto"/>
          <w:szCs w:val="20"/>
          <w:highlight w:val="none"/>
          <w:lang w:eastAsia="zh-CN"/>
        </w:rPr>
        <w:t>本项目地处塔里木盆地北缘、塔河以北，渭-库三角洲绿洲东南部。项目主体工程分布在中石化塔河油田八区、十区内，该区域为干旱区三角洲绿洲与塔里木河北岸冲积平原之间的地带，地势较为平坦。根据《新疆生态功能区划》，</w:t>
      </w:r>
      <w:r>
        <w:rPr>
          <w:rFonts w:hint="eastAsia" w:cs="Times New Roman"/>
          <w:color w:val="auto"/>
          <w:szCs w:val="20"/>
          <w:highlight w:val="none"/>
          <w:lang w:val="en-US" w:eastAsia="zh-CN"/>
        </w:rPr>
        <w:t>项目所在区域为</w:t>
      </w:r>
      <w:r>
        <w:rPr>
          <w:rFonts w:hint="eastAsia" w:cs="Times New Roman"/>
          <w:color w:val="auto"/>
          <w:szCs w:val="20"/>
          <w:highlight w:val="none"/>
          <w:lang w:eastAsia="zh-CN"/>
        </w:rPr>
        <w:t>塔里木河上中游乔灌草及胡杨林保护生态功能区，区域内植被以</w:t>
      </w:r>
      <w:r>
        <w:rPr>
          <w:rFonts w:hint="eastAsia" w:cs="Times New Roman"/>
          <w:color w:val="auto"/>
          <w:szCs w:val="20"/>
          <w:highlight w:val="none"/>
          <w:lang w:val="en-US" w:eastAsia="zh-CN"/>
        </w:rPr>
        <w:t>乔</w:t>
      </w:r>
      <w:r>
        <w:rPr>
          <w:rFonts w:hint="eastAsia" w:cs="Times New Roman"/>
          <w:color w:val="auto"/>
          <w:szCs w:val="20"/>
          <w:highlight w:val="none"/>
          <w:lang w:eastAsia="zh-CN"/>
        </w:rPr>
        <w:t>灌</w:t>
      </w:r>
      <w:r>
        <w:rPr>
          <w:rFonts w:hint="eastAsia" w:cs="Times New Roman"/>
          <w:color w:val="auto"/>
          <w:szCs w:val="20"/>
          <w:highlight w:val="none"/>
          <w:lang w:val="en-US" w:eastAsia="zh-CN"/>
        </w:rPr>
        <w:t>草</w:t>
      </w:r>
      <w:r>
        <w:rPr>
          <w:rFonts w:hint="eastAsia" w:cs="Times New Roman"/>
          <w:color w:val="auto"/>
          <w:szCs w:val="20"/>
          <w:highlight w:val="none"/>
          <w:lang w:eastAsia="zh-CN"/>
        </w:rPr>
        <w:t>植被为主，区域内除受油田开发影响外，其他人为干扰较小，基本保持原自然荒漠生态环境，</w:t>
      </w:r>
      <w:r>
        <w:rPr>
          <w:rFonts w:hint="eastAsia" w:cs="Times New Roman"/>
          <w:color w:val="auto"/>
          <w:szCs w:val="20"/>
          <w:highlight w:val="none"/>
          <w:lang w:val="en-US" w:eastAsia="zh-CN"/>
        </w:rPr>
        <w:t>分布有</w:t>
      </w:r>
      <w:r>
        <w:rPr>
          <w:rFonts w:hint="eastAsia" w:cs="Times New Roman"/>
          <w:color w:val="auto"/>
          <w:szCs w:val="20"/>
          <w:highlight w:val="none"/>
          <w:lang w:eastAsia="zh-CN"/>
        </w:rPr>
        <w:t>森林生态系统、灌丛生态系统、草地生态系统、农田生态系统。项目区土地利用类型主要有</w:t>
      </w:r>
      <w:r>
        <w:rPr>
          <w:rFonts w:hint="eastAsia" w:cs="Times New Roman"/>
          <w:color w:val="auto"/>
          <w:szCs w:val="20"/>
          <w:highlight w:val="none"/>
          <w:lang w:val="en-US" w:eastAsia="zh-CN"/>
        </w:rPr>
        <w:t>林地、草地</w:t>
      </w:r>
      <w:r>
        <w:rPr>
          <w:rFonts w:hint="eastAsia" w:cs="Times New Roman"/>
          <w:color w:val="auto"/>
          <w:szCs w:val="20"/>
          <w:highlight w:val="none"/>
          <w:lang w:eastAsia="zh-CN"/>
        </w:rPr>
        <w:t>等，自然植被属塔里木荒漠省（VII）、阿克苏-库尔勒州，植被组成较为简单，植被多为耐旱、耐盐碱型，主要为胡杨疏林、刚毛柽柳荒漠、疏叶骆驼刺草甸等；</w:t>
      </w:r>
      <w:r>
        <w:rPr>
          <w:rFonts w:hint="eastAsia" w:cs="Times New Roman"/>
          <w:color w:val="auto"/>
          <w:szCs w:val="20"/>
          <w:highlight w:val="none"/>
          <w:lang w:val="en-US" w:eastAsia="zh-CN"/>
        </w:rPr>
        <w:t>重要物种主要有胀果甘草、肉苁蓉、黑果枸杞、灰胡杨以及鹅喉羚、塔里木兔、塔里木马鹿、苍鹰、红隼、沙狐、云雀、白尾地鸦等。区域主要环境问题为毁林毁草开荒、植被破坏、土壤盐渍化、沙漠化扩大等，主要生态服务功能为沙漠化控制等；工程涉及沙化土地，所在区域分布有固定、半固定沙地，沙化程度为中度。在实施了退耕还林还草、沙化土地封禁保护等措施，土地沙化趋势明显减缓，局部生态状况明显改善。</w:t>
      </w:r>
    </w:p>
    <w:bookmarkEnd w:id="454"/>
    <w:p w14:paraId="5E895E58">
      <w:pPr>
        <w:pageBreakBefore w:val="0"/>
        <w:tabs>
          <w:tab w:val="left" w:pos="1315"/>
        </w:tabs>
        <w:kinsoku/>
        <w:wordWrap/>
        <w:overflowPunct/>
        <w:autoSpaceDN/>
        <w:bidi w:val="0"/>
        <w:spacing w:line="360" w:lineRule="auto"/>
        <w:ind w:firstLine="480" w:firstLineChars="200"/>
        <w:textAlignment w:val="auto"/>
        <w:rPr>
          <w:rFonts w:hint="eastAsia" w:hAnsi="宋体" w:cs="宋体"/>
          <w:color w:val="auto"/>
          <w:highlight w:val="none"/>
        </w:rPr>
      </w:pPr>
    </w:p>
    <w:p w14:paraId="0406A549">
      <w:pPr>
        <w:pStyle w:val="13"/>
        <w:pageBreakBefore w:val="0"/>
        <w:kinsoku/>
        <w:wordWrap/>
        <w:overflowPunct/>
        <w:autoSpaceDN/>
        <w:bidi w:val="0"/>
        <w:ind w:firstLine="480" w:firstLineChars="200"/>
        <w:textAlignment w:val="auto"/>
        <w:rPr>
          <w:rFonts w:hint="default" w:ascii="Times New Roman" w:hAnsi="Times New Roman" w:cs="Times New Roman"/>
          <w:color w:val="auto"/>
          <w:highlight w:val="none"/>
          <w:lang w:eastAsia="zh-CN"/>
        </w:rPr>
        <w:sectPr>
          <w:headerReference r:id="rId18" w:type="default"/>
          <w:footerReference r:id="rId19" w:type="default"/>
          <w:pgSz w:w="11906" w:h="16838"/>
          <w:pgMar w:top="1440" w:right="1800" w:bottom="1440" w:left="1800" w:header="794"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389"/>
    <w:bookmarkEnd w:id="436"/>
    <w:bookmarkEnd w:id="443"/>
    <w:bookmarkEnd w:id="444"/>
    <w:bookmarkEnd w:id="445"/>
    <w:bookmarkEnd w:id="446"/>
    <w:bookmarkEnd w:id="447"/>
    <w:p w14:paraId="1251333C">
      <w:pPr>
        <w:pStyle w:val="122"/>
        <w:bidi w:val="0"/>
        <w:rPr>
          <w:rFonts w:hint="default" w:ascii="Times New Roman" w:hAnsi="Times New Roman" w:cs="Times New Roman"/>
          <w:color w:val="auto"/>
          <w:highlight w:val="none"/>
        </w:rPr>
      </w:pPr>
      <w:bookmarkStart w:id="456" w:name="_Toc21536"/>
      <w:bookmarkStart w:id="457" w:name="_Toc1485"/>
      <w:bookmarkStart w:id="458" w:name="_Toc20957"/>
      <w:bookmarkStart w:id="459" w:name="_Toc93507177"/>
      <w:bookmarkStart w:id="460" w:name="_Toc68025025"/>
      <w:bookmarkStart w:id="461" w:name="_Toc508291894"/>
      <w:bookmarkStart w:id="462" w:name="_Toc42981115"/>
      <w:bookmarkStart w:id="463" w:name="_Toc353966746"/>
      <w:bookmarkStart w:id="464" w:name="_Toc361761838"/>
      <w:bookmarkStart w:id="465" w:name="_Toc75438900"/>
      <w:bookmarkStart w:id="466" w:name="_Toc29229"/>
      <w:bookmarkStart w:id="467" w:name="_Toc374724191"/>
      <w:r>
        <w:rPr>
          <w:rFonts w:hint="default" w:ascii="Times New Roman" w:hAnsi="Times New Roman" w:cs="Times New Roman"/>
          <w:color w:val="auto"/>
          <w:highlight w:val="none"/>
        </w:rPr>
        <w:t>5.环境影响预测与评价</w:t>
      </w:r>
      <w:bookmarkEnd w:id="456"/>
      <w:bookmarkEnd w:id="457"/>
    </w:p>
    <w:bookmarkEnd w:id="458"/>
    <w:bookmarkEnd w:id="459"/>
    <w:bookmarkEnd w:id="460"/>
    <w:p w14:paraId="5558A85D">
      <w:pPr>
        <w:pStyle w:val="123"/>
        <w:bidi w:val="0"/>
        <w:rPr>
          <w:rFonts w:hint="default" w:ascii="Times New Roman" w:hAnsi="Times New Roman" w:cs="Times New Roman"/>
          <w:color w:val="auto"/>
          <w:highlight w:val="none"/>
          <w:lang w:val="en-US" w:eastAsia="zh-CN"/>
        </w:rPr>
      </w:pPr>
      <w:bookmarkStart w:id="468" w:name="_Toc1598"/>
      <w:bookmarkStart w:id="469" w:name="_Toc25292"/>
      <w:bookmarkStart w:id="470" w:name="_Toc21706"/>
      <w:r>
        <w:rPr>
          <w:rFonts w:hint="default" w:ascii="Times New Roman" w:hAnsi="Times New Roman" w:cs="Times New Roman"/>
          <w:color w:val="auto"/>
          <w:highlight w:val="none"/>
          <w:lang w:val="en-US" w:eastAsia="zh-CN"/>
        </w:rPr>
        <w:t>5.1生态环境影响分析</w:t>
      </w:r>
      <w:bookmarkEnd w:id="468"/>
      <w:bookmarkEnd w:id="469"/>
      <w:bookmarkEnd w:id="470"/>
    </w:p>
    <w:p w14:paraId="593FFFD5">
      <w:pPr>
        <w:pStyle w:val="12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5.1.1生态环境影响特征</w:t>
      </w:r>
    </w:p>
    <w:p w14:paraId="1C91F676">
      <w:pPr>
        <w:spacing w:line="360" w:lineRule="auto"/>
        <w:ind w:firstLine="480" w:firstLineChars="200"/>
        <w:jc w:val="both"/>
        <w:rPr>
          <w:rFonts w:cs="Times New Roman"/>
          <w:color w:val="auto"/>
          <w:szCs w:val="20"/>
          <w:highlight w:val="none"/>
        </w:rPr>
      </w:pPr>
      <w:r>
        <w:rPr>
          <w:rFonts w:cs="Times New Roman"/>
          <w:color w:val="auto"/>
          <w:szCs w:val="20"/>
          <w:highlight w:val="none"/>
        </w:rPr>
        <w:t>从项目特点和所处区域的环境特征出发分析项目建设过程中和项目建成运营中对生态环境影响的特点。</w:t>
      </w:r>
    </w:p>
    <w:p w14:paraId="157AF3AE">
      <w:pPr>
        <w:spacing w:line="360" w:lineRule="auto"/>
        <w:ind w:firstLine="480" w:firstLineChars="200"/>
        <w:jc w:val="both"/>
        <w:rPr>
          <w:rFonts w:cs="Times New Roman"/>
          <w:color w:val="auto"/>
          <w:szCs w:val="20"/>
          <w:highlight w:val="none"/>
        </w:rPr>
      </w:pPr>
      <w:r>
        <w:rPr>
          <w:rFonts w:cs="Times New Roman"/>
          <w:color w:val="auto"/>
          <w:szCs w:val="20"/>
          <w:highlight w:val="none"/>
        </w:rPr>
        <w:t>（1）油田开发建设工程对生态环境影响具有区域性环境影响特征。</w:t>
      </w:r>
    </w:p>
    <w:p w14:paraId="5E501A1E">
      <w:pPr>
        <w:spacing w:line="360" w:lineRule="auto"/>
        <w:ind w:firstLine="480" w:firstLineChars="200"/>
        <w:jc w:val="both"/>
        <w:rPr>
          <w:rFonts w:cs="Times New Roman"/>
          <w:color w:val="auto"/>
          <w:szCs w:val="20"/>
          <w:highlight w:val="none"/>
        </w:rPr>
      </w:pPr>
      <w:r>
        <w:rPr>
          <w:rFonts w:cs="Times New Roman"/>
          <w:color w:val="auto"/>
          <w:szCs w:val="20"/>
          <w:highlight w:val="none"/>
        </w:rPr>
        <w:t>（2）在项目开发范围内各具体环境影响呈点块状（如井场等）和线状（如</w:t>
      </w:r>
      <w:r>
        <w:rPr>
          <w:rFonts w:hint="eastAsia" w:cs="Times New Roman"/>
          <w:color w:val="auto"/>
          <w:szCs w:val="20"/>
          <w:highlight w:val="none"/>
          <w:lang w:val="en-US" w:eastAsia="zh-CN"/>
        </w:rPr>
        <w:t>管沟开挖</w:t>
      </w:r>
      <w:r>
        <w:rPr>
          <w:rFonts w:cs="Times New Roman"/>
          <w:color w:val="auto"/>
          <w:szCs w:val="20"/>
          <w:highlight w:val="none"/>
        </w:rPr>
        <w:t>等）分布，在对生态各具体要素（如土壤、植被、野生动物等）产生影响的同时，也对区内原有景观结构和生态体系完整性产生一定影响。</w:t>
      </w:r>
    </w:p>
    <w:p w14:paraId="446E7209">
      <w:pPr>
        <w:spacing w:line="360" w:lineRule="auto"/>
        <w:ind w:firstLine="480" w:firstLineChars="200"/>
        <w:jc w:val="both"/>
        <w:rPr>
          <w:rFonts w:cs="Times New Roman"/>
          <w:color w:val="auto"/>
          <w:szCs w:val="20"/>
          <w:highlight w:val="none"/>
        </w:rPr>
      </w:pPr>
      <w:r>
        <w:rPr>
          <w:rFonts w:cs="Times New Roman"/>
          <w:color w:val="auto"/>
          <w:szCs w:val="20"/>
          <w:highlight w:val="none"/>
        </w:rPr>
        <w:t>（3）影响方式主要发生在施工期，施工结束后可逐步恢复。</w:t>
      </w:r>
    </w:p>
    <w:p w14:paraId="50A55B65">
      <w:pPr>
        <w:spacing w:line="360" w:lineRule="auto"/>
        <w:ind w:firstLine="482"/>
        <w:jc w:val="both"/>
        <w:rPr>
          <w:rFonts w:cs="Times New Roman"/>
          <w:color w:val="auto"/>
          <w:szCs w:val="20"/>
          <w:highlight w:val="none"/>
        </w:rPr>
      </w:pPr>
      <w:r>
        <w:rPr>
          <w:rFonts w:cs="Times New Roman"/>
          <w:color w:val="auto"/>
          <w:szCs w:val="20"/>
          <w:highlight w:val="none"/>
        </w:rPr>
        <w:t>在干旱荒漠背景下，项目开发建设对区内生态体系稳定性影响的主要途径是地表扰动和植被破坏。</w:t>
      </w:r>
    </w:p>
    <w:p w14:paraId="2C6638A6">
      <w:pPr>
        <w:spacing w:line="360" w:lineRule="auto"/>
        <w:ind w:firstLine="482"/>
        <w:jc w:val="both"/>
        <w:rPr>
          <w:rFonts w:cs="Times New Roman"/>
          <w:color w:val="auto"/>
          <w:szCs w:val="20"/>
          <w:highlight w:val="none"/>
        </w:rPr>
      </w:pPr>
      <w:r>
        <w:rPr>
          <w:rFonts w:cs="Times New Roman"/>
          <w:color w:val="auto"/>
          <w:szCs w:val="20"/>
          <w:highlight w:val="none"/>
        </w:rPr>
        <w:t>油田开发建设过程各个时期对生态环境的影响程度、影响特征和影响时间见表5.1-1。</w:t>
      </w:r>
    </w:p>
    <w:p w14:paraId="00DCED98">
      <w:pPr>
        <w:autoSpaceDE w:val="0"/>
        <w:autoSpaceDN w:val="0"/>
        <w:adjustRightInd w:val="0"/>
        <w:snapToGrid w:val="0"/>
        <w:ind w:left="0" w:leftChars="0" w:right="0" w:rightChars="0" w:firstLine="0" w:firstLineChars="0"/>
        <w:jc w:val="center"/>
        <w:rPr>
          <w:rFonts w:hint="eastAsia" w:ascii="黑体" w:hAnsi="黑体" w:eastAsia="黑体" w:cs="黑体"/>
          <w:b w:val="0"/>
          <w:bCs/>
          <w:color w:val="auto"/>
          <w:sz w:val="21"/>
          <w:szCs w:val="16"/>
          <w:highlight w:val="none"/>
        </w:rPr>
      </w:pPr>
      <w:r>
        <w:rPr>
          <w:rFonts w:hint="eastAsia" w:ascii="黑体" w:hAnsi="黑体" w:eastAsia="黑体" w:cs="黑体"/>
          <w:b w:val="0"/>
          <w:bCs/>
          <w:color w:val="auto"/>
          <w:sz w:val="21"/>
          <w:szCs w:val="16"/>
          <w:highlight w:val="none"/>
        </w:rPr>
        <w:t>表5.1-1  油田开发建设对生态环境的影响</w:t>
      </w:r>
    </w:p>
    <w:tbl>
      <w:tblPr>
        <w:tblStyle w:val="35"/>
        <w:tblW w:w="830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5"/>
        <w:gridCol w:w="1575"/>
        <w:gridCol w:w="1890"/>
        <w:gridCol w:w="2141"/>
        <w:gridCol w:w="1750"/>
      </w:tblGrid>
      <w:tr w14:paraId="6BCE9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17" w:hRule="atLeast"/>
          <w:jc w:val="center"/>
        </w:trPr>
        <w:tc>
          <w:tcPr>
            <w:tcW w:w="2520" w:type="dxa"/>
            <w:gridSpan w:val="2"/>
            <w:vAlign w:val="center"/>
          </w:tcPr>
          <w:p w14:paraId="76D2169B">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工程阶段</w:t>
            </w:r>
          </w:p>
        </w:tc>
        <w:tc>
          <w:tcPr>
            <w:tcW w:w="1890" w:type="dxa"/>
            <w:vAlign w:val="center"/>
          </w:tcPr>
          <w:p w14:paraId="5DCEFC63">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勘探期</w:t>
            </w:r>
          </w:p>
        </w:tc>
        <w:tc>
          <w:tcPr>
            <w:tcW w:w="2141" w:type="dxa"/>
            <w:vAlign w:val="center"/>
          </w:tcPr>
          <w:p w14:paraId="36B58F47">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开发期（地面工程）</w:t>
            </w:r>
          </w:p>
        </w:tc>
        <w:tc>
          <w:tcPr>
            <w:tcW w:w="1750" w:type="dxa"/>
            <w:vAlign w:val="center"/>
          </w:tcPr>
          <w:p w14:paraId="11B3B774">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运营期</w:t>
            </w:r>
          </w:p>
        </w:tc>
      </w:tr>
      <w:tr w14:paraId="0C20D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08" w:hRule="atLeast"/>
          <w:jc w:val="center"/>
        </w:trPr>
        <w:tc>
          <w:tcPr>
            <w:tcW w:w="945" w:type="dxa"/>
            <w:vMerge w:val="restart"/>
            <w:vAlign w:val="center"/>
          </w:tcPr>
          <w:p w14:paraId="46CDC6F8">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影响分析</w:t>
            </w:r>
          </w:p>
        </w:tc>
        <w:tc>
          <w:tcPr>
            <w:tcW w:w="1575" w:type="dxa"/>
            <w:vAlign w:val="center"/>
          </w:tcPr>
          <w:p w14:paraId="69A93B72">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影响程度</w:t>
            </w:r>
          </w:p>
        </w:tc>
        <w:tc>
          <w:tcPr>
            <w:tcW w:w="1890" w:type="dxa"/>
            <w:vAlign w:val="center"/>
          </w:tcPr>
          <w:p w14:paraId="3B85745D">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重</w:t>
            </w:r>
          </w:p>
        </w:tc>
        <w:tc>
          <w:tcPr>
            <w:tcW w:w="2141" w:type="dxa"/>
            <w:vAlign w:val="center"/>
          </w:tcPr>
          <w:p w14:paraId="39A06D4F">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重</w:t>
            </w:r>
          </w:p>
        </w:tc>
        <w:tc>
          <w:tcPr>
            <w:tcW w:w="1750" w:type="dxa"/>
            <w:vAlign w:val="center"/>
          </w:tcPr>
          <w:p w14:paraId="289CB713">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轻</w:t>
            </w:r>
          </w:p>
        </w:tc>
      </w:tr>
      <w:tr w14:paraId="2C48A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56" w:hRule="atLeast"/>
          <w:jc w:val="center"/>
        </w:trPr>
        <w:tc>
          <w:tcPr>
            <w:tcW w:w="945" w:type="dxa"/>
            <w:vMerge w:val="continue"/>
          </w:tcPr>
          <w:p w14:paraId="22053F09">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p>
        </w:tc>
        <w:tc>
          <w:tcPr>
            <w:tcW w:w="1575" w:type="dxa"/>
            <w:vAlign w:val="center"/>
          </w:tcPr>
          <w:p w14:paraId="53826E51">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影响特征</w:t>
            </w:r>
          </w:p>
        </w:tc>
        <w:tc>
          <w:tcPr>
            <w:tcW w:w="1890" w:type="dxa"/>
            <w:vAlign w:val="center"/>
          </w:tcPr>
          <w:p w14:paraId="391C95D4">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可逆</w:t>
            </w:r>
          </w:p>
        </w:tc>
        <w:tc>
          <w:tcPr>
            <w:tcW w:w="2141" w:type="dxa"/>
            <w:vAlign w:val="center"/>
          </w:tcPr>
          <w:p w14:paraId="32B5F44A">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部分可逆</w:t>
            </w:r>
          </w:p>
        </w:tc>
        <w:tc>
          <w:tcPr>
            <w:tcW w:w="1750" w:type="dxa"/>
            <w:vAlign w:val="center"/>
          </w:tcPr>
          <w:p w14:paraId="054D2D89">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可逆</w:t>
            </w:r>
          </w:p>
        </w:tc>
      </w:tr>
      <w:tr w14:paraId="1E269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56" w:hRule="atLeast"/>
          <w:jc w:val="center"/>
        </w:trPr>
        <w:tc>
          <w:tcPr>
            <w:tcW w:w="945" w:type="dxa"/>
            <w:vMerge w:val="continue"/>
          </w:tcPr>
          <w:p w14:paraId="6D55C883">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p>
        </w:tc>
        <w:tc>
          <w:tcPr>
            <w:tcW w:w="1575" w:type="dxa"/>
            <w:vAlign w:val="center"/>
          </w:tcPr>
          <w:p w14:paraId="284FC566">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影响时间</w:t>
            </w:r>
          </w:p>
        </w:tc>
        <w:tc>
          <w:tcPr>
            <w:tcW w:w="1890" w:type="dxa"/>
            <w:vAlign w:val="center"/>
          </w:tcPr>
          <w:p w14:paraId="3D6D164F">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短期</w:t>
            </w:r>
          </w:p>
        </w:tc>
        <w:tc>
          <w:tcPr>
            <w:tcW w:w="2141" w:type="dxa"/>
            <w:vAlign w:val="center"/>
          </w:tcPr>
          <w:p w14:paraId="66A888EA">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中、短期</w:t>
            </w:r>
          </w:p>
        </w:tc>
        <w:tc>
          <w:tcPr>
            <w:tcW w:w="1750" w:type="dxa"/>
            <w:vAlign w:val="center"/>
          </w:tcPr>
          <w:p w14:paraId="10AF15A0">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短期</w:t>
            </w:r>
          </w:p>
        </w:tc>
      </w:tr>
      <w:tr w14:paraId="1FA74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56" w:hRule="atLeast"/>
          <w:jc w:val="center"/>
        </w:trPr>
        <w:tc>
          <w:tcPr>
            <w:tcW w:w="945" w:type="dxa"/>
            <w:vMerge w:val="continue"/>
          </w:tcPr>
          <w:p w14:paraId="40B3B1C5">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p>
        </w:tc>
        <w:tc>
          <w:tcPr>
            <w:tcW w:w="1575" w:type="dxa"/>
            <w:vAlign w:val="center"/>
          </w:tcPr>
          <w:p w14:paraId="385D5D9E">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影响范围</w:t>
            </w:r>
          </w:p>
        </w:tc>
        <w:tc>
          <w:tcPr>
            <w:tcW w:w="1890" w:type="dxa"/>
            <w:vAlign w:val="center"/>
          </w:tcPr>
          <w:p w14:paraId="24874720">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大、不固定</w:t>
            </w:r>
          </w:p>
        </w:tc>
        <w:tc>
          <w:tcPr>
            <w:tcW w:w="2141" w:type="dxa"/>
            <w:vAlign w:val="center"/>
          </w:tcPr>
          <w:p w14:paraId="3BEBB0DD">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大、固定</w:t>
            </w:r>
          </w:p>
        </w:tc>
        <w:tc>
          <w:tcPr>
            <w:tcW w:w="1750" w:type="dxa"/>
            <w:vAlign w:val="center"/>
          </w:tcPr>
          <w:p w14:paraId="72389387">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18"/>
                <w:highlight w:val="none"/>
              </w:rPr>
            </w:pPr>
            <w:r>
              <w:rPr>
                <w:rFonts w:hint="default" w:cs="Times New Roman"/>
                <w:color w:val="auto"/>
                <w:sz w:val="21"/>
                <w:szCs w:val="18"/>
                <w:highlight w:val="none"/>
              </w:rPr>
              <w:t>小、固定</w:t>
            </w:r>
          </w:p>
        </w:tc>
      </w:tr>
    </w:tbl>
    <w:p w14:paraId="6DBE8B7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p>
    <w:p w14:paraId="522A1406">
      <w:pPr>
        <w:pStyle w:val="124"/>
        <w:bidi w:val="0"/>
        <w:rPr>
          <w:rFonts w:hint="default" w:ascii="Times New Roman" w:hAnsi="Times New Roman" w:cs="Times New Roman"/>
          <w:color w:val="auto"/>
          <w:highlight w:val="none"/>
        </w:rPr>
      </w:pPr>
      <w:bookmarkStart w:id="471" w:name="_Hlk96009076"/>
      <w:r>
        <w:rPr>
          <w:rFonts w:hint="default" w:ascii="Times New Roman" w:hAnsi="Times New Roman" w:cs="Times New Roman"/>
          <w:color w:val="auto"/>
          <w:highlight w:val="none"/>
        </w:rPr>
        <w:t>5.1.2施工期生态环境影响分析</w:t>
      </w:r>
    </w:p>
    <w:bookmarkEnd w:id="471"/>
    <w:p w14:paraId="35E8C7BE">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5.1.2.1占地影响分析</w:t>
      </w:r>
    </w:p>
    <w:p w14:paraId="5346A390">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eastAsia="zh-CN"/>
        </w:rPr>
        <w:t>本项目</w:t>
      </w:r>
      <w:r>
        <w:rPr>
          <w:rFonts w:hint="default" w:ascii="Times New Roman" w:hAnsi="Times New Roman" w:cs="Times New Roman"/>
          <w:color w:val="auto"/>
          <w:sz w:val="24"/>
          <w:szCs w:val="24"/>
          <w:highlight w:val="none"/>
        </w:rPr>
        <w:t>总占地约</w:t>
      </w:r>
      <w:r>
        <w:rPr>
          <w:rFonts w:hint="eastAsia" w:cs="Times New Roman"/>
          <w:color w:val="auto"/>
          <w:sz w:val="24"/>
          <w:szCs w:val="24"/>
          <w:highlight w:val="none"/>
          <w:lang w:val="en-US" w:eastAsia="zh-CN"/>
        </w:rPr>
        <w:t>4.8608</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均为</w:t>
      </w:r>
      <w:r>
        <w:rPr>
          <w:rFonts w:hint="default" w:ascii="Times New Roman" w:hAnsi="Times New Roman" w:cs="Times New Roman"/>
          <w:color w:val="auto"/>
          <w:sz w:val="24"/>
          <w:szCs w:val="24"/>
          <w:highlight w:val="none"/>
        </w:rPr>
        <w:t>临时占地</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kern w:val="0"/>
          <w:szCs w:val="20"/>
          <w:highlight w:val="none"/>
        </w:rPr>
        <w:t>占地类型主要为</w:t>
      </w:r>
      <w:r>
        <w:rPr>
          <w:rFonts w:hint="eastAsia" w:cs="Times New Roman"/>
          <w:color w:val="auto"/>
          <w:kern w:val="0"/>
          <w:szCs w:val="20"/>
          <w:highlight w:val="none"/>
          <w:lang w:val="en-US" w:eastAsia="zh-CN"/>
        </w:rPr>
        <w:t>灌木林地、</w:t>
      </w:r>
      <w:r>
        <w:rPr>
          <w:rFonts w:hint="default" w:ascii="Times New Roman" w:hAnsi="Times New Roman" w:eastAsia="宋体" w:cs="Times New Roman"/>
          <w:color w:val="auto"/>
          <w:kern w:val="0"/>
          <w:szCs w:val="20"/>
          <w:highlight w:val="none"/>
        </w:rPr>
        <w:t>天然牧草地</w:t>
      </w:r>
      <w:r>
        <w:rPr>
          <w:rFonts w:hint="default" w:ascii="Times New Roman" w:hAnsi="Times New Roman" w:eastAsia="宋体" w:cs="Times New Roman"/>
          <w:color w:val="auto"/>
          <w:kern w:val="0"/>
          <w:szCs w:val="20"/>
          <w:highlight w:val="none"/>
          <w:lang w:val="en-US" w:eastAsia="zh-CN"/>
        </w:rPr>
        <w:t>等</w:t>
      </w:r>
      <w:r>
        <w:rPr>
          <w:rFonts w:hint="default" w:ascii="Times New Roman" w:hAnsi="Times New Roman" w:eastAsia="宋体" w:cs="Times New Roman"/>
          <w:color w:val="auto"/>
          <w:kern w:val="0"/>
          <w:szCs w:val="20"/>
          <w:highlight w:val="none"/>
        </w:rPr>
        <w:t>，植被盖度</w:t>
      </w:r>
      <w:r>
        <w:rPr>
          <w:rFonts w:hint="eastAsia" w:cs="Times New Roman"/>
          <w:color w:val="auto"/>
          <w:kern w:val="0"/>
          <w:szCs w:val="20"/>
          <w:highlight w:val="none"/>
          <w:lang w:val="en-US" w:eastAsia="zh-CN"/>
        </w:rPr>
        <w:t>10</w:t>
      </w:r>
      <w:r>
        <w:rPr>
          <w:rFonts w:hint="default" w:ascii="Times New Roman" w:hAnsi="Times New Roman" w:eastAsia="宋体" w:cs="Times New Roman"/>
          <w:color w:val="auto"/>
          <w:kern w:val="0"/>
          <w:szCs w:val="20"/>
          <w:highlight w:val="none"/>
        </w:rPr>
        <w:t>%-3</w:t>
      </w:r>
      <w:r>
        <w:rPr>
          <w:rFonts w:hint="eastAsia" w:cs="Times New Roman"/>
          <w:color w:val="auto"/>
          <w:kern w:val="0"/>
          <w:szCs w:val="20"/>
          <w:highlight w:val="none"/>
          <w:lang w:val="en-US" w:eastAsia="zh-CN"/>
        </w:rPr>
        <w:t>0</w:t>
      </w:r>
      <w:r>
        <w:rPr>
          <w:rFonts w:hint="default" w:ascii="Times New Roman" w:hAnsi="Times New Roman" w:eastAsia="宋体" w:cs="Times New Roman"/>
          <w:color w:val="auto"/>
          <w:kern w:val="0"/>
          <w:szCs w:val="20"/>
          <w:highlight w:val="none"/>
        </w:rPr>
        <w:t>%。</w:t>
      </w:r>
    </w:p>
    <w:p w14:paraId="5F75C5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val="0"/>
          <w:bCs/>
          <w:color w:val="auto"/>
          <w:kern w:val="2"/>
          <w:sz w:val="21"/>
          <w:szCs w:val="21"/>
          <w:highlight w:val="none"/>
          <w:lang w:val="en-US" w:eastAsia="zh-CN" w:bidi="ar-SA"/>
        </w:rPr>
      </w:pPr>
      <w:r>
        <w:rPr>
          <w:rFonts w:hint="eastAsia" w:ascii="黑体" w:hAnsi="黑体" w:eastAsia="黑体" w:cs="黑体"/>
          <w:b w:val="0"/>
          <w:bCs/>
          <w:color w:val="auto"/>
          <w:kern w:val="2"/>
          <w:sz w:val="21"/>
          <w:szCs w:val="21"/>
          <w:highlight w:val="none"/>
          <w:lang w:val="en-US" w:eastAsia="zh-CN" w:bidi="ar-SA"/>
        </w:rPr>
        <w:t>表5.1-2  本项目占用土地情况表   单位：</w:t>
      </w:r>
      <w:r>
        <w:rPr>
          <w:rFonts w:hint="eastAsia" w:ascii="Times New Roman" w:hAnsi="Times New Roman" w:eastAsia="宋体" w:cs="Times New Roman"/>
          <w:color w:val="auto"/>
          <w:kern w:val="2"/>
          <w:sz w:val="21"/>
          <w:szCs w:val="21"/>
          <w:highlight w:val="none"/>
          <w:lang w:val="en-US" w:eastAsia="zh-CN" w:bidi="ar-SA"/>
        </w:rPr>
        <w:t>h</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1"/>
        <w:gridCol w:w="1292"/>
        <w:gridCol w:w="682"/>
        <w:gridCol w:w="689"/>
        <w:gridCol w:w="682"/>
        <w:gridCol w:w="689"/>
        <w:gridCol w:w="791"/>
        <w:gridCol w:w="801"/>
        <w:gridCol w:w="682"/>
        <w:gridCol w:w="684"/>
        <w:gridCol w:w="684"/>
      </w:tblGrid>
      <w:tr w14:paraId="391F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07" w:type="pct"/>
            <w:vMerge w:val="restart"/>
            <w:tcBorders>
              <w:tl2br w:val="nil"/>
              <w:tr2bl w:val="nil"/>
            </w:tcBorders>
            <w:shd w:val="clear" w:color="auto" w:fill="auto"/>
            <w:vAlign w:val="center"/>
          </w:tcPr>
          <w:p w14:paraId="0064918B">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773" w:type="pct"/>
            <w:vMerge w:val="restart"/>
            <w:tcBorders>
              <w:tl2br w:val="nil"/>
              <w:tr2bl w:val="nil"/>
            </w:tcBorders>
            <w:shd w:val="clear" w:color="auto" w:fill="auto"/>
            <w:vAlign w:val="center"/>
          </w:tcPr>
          <w:p w14:paraId="1D8F1B28">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工程内容</w:t>
            </w:r>
          </w:p>
        </w:tc>
        <w:tc>
          <w:tcPr>
            <w:tcW w:w="820" w:type="pct"/>
            <w:gridSpan w:val="2"/>
            <w:tcBorders>
              <w:tl2br w:val="nil"/>
              <w:tr2bl w:val="nil"/>
            </w:tcBorders>
            <w:shd w:val="clear" w:color="auto" w:fill="auto"/>
            <w:vAlign w:val="center"/>
          </w:tcPr>
          <w:p w14:paraId="05D2D551">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灌木林地</w:t>
            </w:r>
          </w:p>
        </w:tc>
        <w:tc>
          <w:tcPr>
            <w:tcW w:w="820" w:type="pct"/>
            <w:gridSpan w:val="2"/>
            <w:tcBorders>
              <w:tl2br w:val="nil"/>
              <w:tr2bl w:val="nil"/>
            </w:tcBorders>
            <w:shd w:val="clear" w:color="auto" w:fill="auto"/>
            <w:vAlign w:val="center"/>
          </w:tcPr>
          <w:p w14:paraId="7BBD458B">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天然牧草地</w:t>
            </w:r>
          </w:p>
        </w:tc>
        <w:tc>
          <w:tcPr>
            <w:tcW w:w="952" w:type="pct"/>
            <w:gridSpan w:val="2"/>
            <w:tcBorders>
              <w:tl2br w:val="nil"/>
              <w:tr2bl w:val="nil"/>
            </w:tcBorders>
            <w:shd w:val="clear" w:color="auto" w:fill="auto"/>
            <w:vAlign w:val="center"/>
          </w:tcPr>
          <w:p w14:paraId="60E8860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采矿用地</w:t>
            </w:r>
          </w:p>
        </w:tc>
        <w:tc>
          <w:tcPr>
            <w:tcW w:w="817" w:type="pct"/>
            <w:gridSpan w:val="2"/>
            <w:tcBorders>
              <w:tl2br w:val="nil"/>
              <w:tr2bl w:val="nil"/>
            </w:tcBorders>
            <w:shd w:val="clear" w:color="auto" w:fill="auto"/>
            <w:vAlign w:val="center"/>
          </w:tcPr>
          <w:p w14:paraId="78AF66AD">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公路用地</w:t>
            </w:r>
          </w:p>
        </w:tc>
        <w:tc>
          <w:tcPr>
            <w:tcW w:w="409" w:type="pct"/>
            <w:vMerge w:val="restart"/>
            <w:tcBorders>
              <w:tl2br w:val="nil"/>
              <w:tr2bl w:val="nil"/>
            </w:tcBorders>
            <w:shd w:val="clear" w:color="auto" w:fill="auto"/>
            <w:vAlign w:val="center"/>
          </w:tcPr>
          <w:p w14:paraId="59C07E55">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小计</w:t>
            </w:r>
          </w:p>
        </w:tc>
      </w:tr>
      <w:tr w14:paraId="69DE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07" w:type="pct"/>
            <w:vMerge w:val="continue"/>
            <w:tcBorders>
              <w:tl2br w:val="nil"/>
              <w:tr2bl w:val="nil"/>
            </w:tcBorders>
            <w:shd w:val="clear" w:color="auto" w:fill="auto"/>
            <w:vAlign w:val="center"/>
          </w:tcPr>
          <w:p w14:paraId="52BD20CE">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773" w:type="pct"/>
            <w:vMerge w:val="continue"/>
            <w:tcBorders>
              <w:tl2br w:val="nil"/>
              <w:tr2bl w:val="nil"/>
            </w:tcBorders>
            <w:shd w:val="clear" w:color="auto" w:fill="auto"/>
            <w:vAlign w:val="center"/>
          </w:tcPr>
          <w:p w14:paraId="2582DB0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408" w:type="pct"/>
            <w:tcBorders>
              <w:tl2br w:val="nil"/>
              <w:tr2bl w:val="nil"/>
            </w:tcBorders>
            <w:shd w:val="clear" w:color="auto" w:fill="auto"/>
            <w:vAlign w:val="center"/>
          </w:tcPr>
          <w:p w14:paraId="5BA48FF5">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永久</w:t>
            </w:r>
          </w:p>
        </w:tc>
        <w:tc>
          <w:tcPr>
            <w:tcW w:w="412" w:type="pct"/>
            <w:tcBorders>
              <w:tl2br w:val="nil"/>
              <w:tr2bl w:val="nil"/>
            </w:tcBorders>
            <w:shd w:val="clear" w:color="auto" w:fill="auto"/>
            <w:vAlign w:val="center"/>
          </w:tcPr>
          <w:p w14:paraId="28D7D0B4">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临时</w:t>
            </w:r>
          </w:p>
        </w:tc>
        <w:tc>
          <w:tcPr>
            <w:tcW w:w="408" w:type="pct"/>
            <w:tcBorders>
              <w:tl2br w:val="nil"/>
              <w:tr2bl w:val="nil"/>
            </w:tcBorders>
            <w:shd w:val="clear" w:color="auto" w:fill="auto"/>
            <w:vAlign w:val="center"/>
          </w:tcPr>
          <w:p w14:paraId="07F35FAC">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永久</w:t>
            </w:r>
          </w:p>
        </w:tc>
        <w:tc>
          <w:tcPr>
            <w:tcW w:w="412" w:type="pct"/>
            <w:tcBorders>
              <w:tl2br w:val="nil"/>
              <w:tr2bl w:val="nil"/>
            </w:tcBorders>
            <w:shd w:val="clear" w:color="auto" w:fill="auto"/>
            <w:vAlign w:val="center"/>
          </w:tcPr>
          <w:p w14:paraId="0591949C">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临时</w:t>
            </w:r>
          </w:p>
        </w:tc>
        <w:tc>
          <w:tcPr>
            <w:tcW w:w="473" w:type="pct"/>
            <w:tcBorders>
              <w:tl2br w:val="nil"/>
              <w:tr2bl w:val="nil"/>
            </w:tcBorders>
            <w:shd w:val="clear" w:color="auto" w:fill="auto"/>
            <w:vAlign w:val="center"/>
          </w:tcPr>
          <w:p w14:paraId="2355164F">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永久</w:t>
            </w:r>
          </w:p>
        </w:tc>
        <w:tc>
          <w:tcPr>
            <w:tcW w:w="479" w:type="pct"/>
            <w:tcBorders>
              <w:tl2br w:val="nil"/>
              <w:tr2bl w:val="nil"/>
            </w:tcBorders>
            <w:shd w:val="clear" w:color="auto" w:fill="auto"/>
            <w:vAlign w:val="center"/>
          </w:tcPr>
          <w:p w14:paraId="330DF400">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临时</w:t>
            </w:r>
          </w:p>
        </w:tc>
        <w:tc>
          <w:tcPr>
            <w:tcW w:w="408" w:type="pct"/>
            <w:tcBorders>
              <w:tl2br w:val="nil"/>
              <w:tr2bl w:val="nil"/>
            </w:tcBorders>
            <w:shd w:val="clear" w:color="auto" w:fill="auto"/>
            <w:vAlign w:val="center"/>
          </w:tcPr>
          <w:p w14:paraId="59105E7F">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永久</w:t>
            </w:r>
          </w:p>
        </w:tc>
        <w:tc>
          <w:tcPr>
            <w:tcW w:w="409" w:type="pct"/>
            <w:tcBorders>
              <w:tl2br w:val="nil"/>
              <w:tr2bl w:val="nil"/>
            </w:tcBorders>
            <w:shd w:val="clear" w:color="auto" w:fill="auto"/>
            <w:vAlign w:val="center"/>
          </w:tcPr>
          <w:p w14:paraId="49EDD6B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临时</w:t>
            </w:r>
          </w:p>
        </w:tc>
        <w:tc>
          <w:tcPr>
            <w:tcW w:w="409" w:type="pct"/>
            <w:vMerge w:val="continue"/>
            <w:tcBorders>
              <w:tl2br w:val="nil"/>
              <w:tr2bl w:val="nil"/>
            </w:tcBorders>
            <w:shd w:val="clear" w:color="auto" w:fill="auto"/>
            <w:vAlign w:val="center"/>
          </w:tcPr>
          <w:p w14:paraId="5CEBC773">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r>
      <w:tr w14:paraId="2690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7" w:type="pct"/>
            <w:tcBorders>
              <w:tl2br w:val="nil"/>
              <w:tr2bl w:val="nil"/>
            </w:tcBorders>
            <w:shd w:val="clear" w:color="auto" w:fill="auto"/>
            <w:vAlign w:val="center"/>
          </w:tcPr>
          <w:p w14:paraId="3C5F5D5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773" w:type="pct"/>
            <w:tcBorders>
              <w:tl2br w:val="nil"/>
              <w:tr2bl w:val="nil"/>
            </w:tcBorders>
            <w:shd w:val="clear" w:color="auto" w:fill="auto"/>
            <w:vAlign w:val="center"/>
          </w:tcPr>
          <w:p w14:paraId="2A0DEADF">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井场</w:t>
            </w:r>
          </w:p>
        </w:tc>
        <w:tc>
          <w:tcPr>
            <w:tcW w:w="408" w:type="pct"/>
            <w:tcBorders>
              <w:tl2br w:val="nil"/>
              <w:tr2bl w:val="nil"/>
            </w:tcBorders>
            <w:shd w:val="clear" w:color="auto" w:fill="auto"/>
            <w:vAlign w:val="center"/>
          </w:tcPr>
          <w:p w14:paraId="7F7B4153">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12" w:type="pct"/>
            <w:tcBorders>
              <w:tl2br w:val="nil"/>
              <w:tr2bl w:val="nil"/>
            </w:tcBorders>
            <w:shd w:val="clear" w:color="auto" w:fill="auto"/>
            <w:vAlign w:val="center"/>
          </w:tcPr>
          <w:p w14:paraId="7A8CB84B">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0.87</w:t>
            </w:r>
          </w:p>
        </w:tc>
        <w:tc>
          <w:tcPr>
            <w:tcW w:w="408" w:type="pct"/>
            <w:tcBorders>
              <w:tl2br w:val="nil"/>
              <w:tr2bl w:val="nil"/>
            </w:tcBorders>
            <w:shd w:val="clear" w:color="auto" w:fill="auto"/>
            <w:vAlign w:val="center"/>
          </w:tcPr>
          <w:p w14:paraId="5D2A5E62">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12" w:type="pct"/>
            <w:tcBorders>
              <w:tl2br w:val="nil"/>
              <w:tr2bl w:val="nil"/>
            </w:tcBorders>
            <w:shd w:val="clear" w:color="auto" w:fill="auto"/>
            <w:vAlign w:val="center"/>
          </w:tcPr>
          <w:p w14:paraId="6FCE3112">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2.61</w:t>
            </w:r>
          </w:p>
        </w:tc>
        <w:tc>
          <w:tcPr>
            <w:tcW w:w="473" w:type="pct"/>
            <w:tcBorders>
              <w:tl2br w:val="nil"/>
              <w:tr2bl w:val="nil"/>
            </w:tcBorders>
            <w:shd w:val="clear" w:color="auto" w:fill="auto"/>
            <w:vAlign w:val="center"/>
          </w:tcPr>
          <w:p w14:paraId="799410D8">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79" w:type="pct"/>
            <w:tcBorders>
              <w:tl2br w:val="nil"/>
              <w:tr2bl w:val="nil"/>
            </w:tcBorders>
            <w:shd w:val="clear" w:color="auto" w:fill="auto"/>
            <w:vAlign w:val="center"/>
          </w:tcPr>
          <w:p w14:paraId="272D0B64">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08" w:type="pct"/>
            <w:tcBorders>
              <w:tl2br w:val="nil"/>
              <w:tr2bl w:val="nil"/>
            </w:tcBorders>
            <w:shd w:val="clear" w:color="auto" w:fill="auto"/>
            <w:vAlign w:val="center"/>
          </w:tcPr>
          <w:p w14:paraId="411BF9CC">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09" w:type="pct"/>
            <w:tcBorders>
              <w:tl2br w:val="nil"/>
              <w:tr2bl w:val="nil"/>
            </w:tcBorders>
            <w:shd w:val="clear" w:color="auto" w:fill="auto"/>
            <w:vAlign w:val="center"/>
          </w:tcPr>
          <w:p w14:paraId="78FCC6C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09" w:type="pct"/>
            <w:tcBorders>
              <w:tl2br w:val="nil"/>
              <w:tr2bl w:val="nil"/>
            </w:tcBorders>
            <w:shd w:val="clear" w:color="auto" w:fill="auto"/>
            <w:vAlign w:val="center"/>
          </w:tcPr>
          <w:p w14:paraId="25EFD0EC">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3.48</w:t>
            </w:r>
          </w:p>
        </w:tc>
      </w:tr>
      <w:tr w14:paraId="27D0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7" w:type="pct"/>
            <w:tcBorders>
              <w:tl2br w:val="nil"/>
              <w:tr2bl w:val="nil"/>
            </w:tcBorders>
            <w:shd w:val="clear" w:color="auto" w:fill="auto"/>
            <w:vAlign w:val="center"/>
          </w:tcPr>
          <w:p w14:paraId="0727CDC4">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773" w:type="pct"/>
            <w:tcBorders>
              <w:tl2br w:val="nil"/>
              <w:tr2bl w:val="nil"/>
            </w:tcBorders>
            <w:shd w:val="clear" w:color="auto" w:fill="auto"/>
            <w:vAlign w:val="center"/>
          </w:tcPr>
          <w:p w14:paraId="67B5064C">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集输管线</w:t>
            </w:r>
          </w:p>
        </w:tc>
        <w:tc>
          <w:tcPr>
            <w:tcW w:w="408" w:type="pct"/>
            <w:tcBorders>
              <w:tl2br w:val="nil"/>
              <w:tr2bl w:val="nil"/>
            </w:tcBorders>
            <w:shd w:val="clear" w:color="auto" w:fill="auto"/>
            <w:vAlign w:val="center"/>
          </w:tcPr>
          <w:p w14:paraId="5D6BBE78">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12" w:type="pct"/>
            <w:tcBorders>
              <w:tl2br w:val="nil"/>
              <w:tr2bl w:val="nil"/>
            </w:tcBorders>
            <w:shd w:val="clear" w:color="auto" w:fill="auto"/>
            <w:vAlign w:val="center"/>
          </w:tcPr>
          <w:p w14:paraId="0BEFD8B1">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0.4077</w:t>
            </w:r>
          </w:p>
        </w:tc>
        <w:tc>
          <w:tcPr>
            <w:tcW w:w="408" w:type="pct"/>
            <w:tcBorders>
              <w:tl2br w:val="nil"/>
              <w:tr2bl w:val="nil"/>
            </w:tcBorders>
            <w:shd w:val="clear" w:color="auto" w:fill="auto"/>
            <w:vAlign w:val="center"/>
          </w:tcPr>
          <w:p w14:paraId="78511E7C">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12" w:type="pct"/>
            <w:tcBorders>
              <w:tl2br w:val="nil"/>
              <w:tr2bl w:val="nil"/>
            </w:tcBorders>
            <w:shd w:val="clear" w:color="auto" w:fill="auto"/>
            <w:vAlign w:val="center"/>
          </w:tcPr>
          <w:p w14:paraId="4F3AF9BE">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73" w:type="pct"/>
            <w:tcBorders>
              <w:tl2br w:val="nil"/>
              <w:tr2bl w:val="nil"/>
            </w:tcBorders>
            <w:shd w:val="clear" w:color="auto" w:fill="auto"/>
            <w:vAlign w:val="center"/>
          </w:tcPr>
          <w:p w14:paraId="382934FD">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79" w:type="pct"/>
            <w:tcBorders>
              <w:tl2br w:val="nil"/>
              <w:tr2bl w:val="nil"/>
            </w:tcBorders>
            <w:shd w:val="clear" w:color="auto" w:fill="auto"/>
            <w:vAlign w:val="center"/>
          </w:tcPr>
          <w:p w14:paraId="38A0F1ED">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0.0092</w:t>
            </w:r>
          </w:p>
        </w:tc>
        <w:tc>
          <w:tcPr>
            <w:tcW w:w="408" w:type="pct"/>
            <w:tcBorders>
              <w:tl2br w:val="nil"/>
              <w:tr2bl w:val="nil"/>
            </w:tcBorders>
            <w:shd w:val="clear" w:color="auto" w:fill="auto"/>
            <w:vAlign w:val="center"/>
          </w:tcPr>
          <w:p w14:paraId="7CCCC5B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09" w:type="pct"/>
            <w:tcBorders>
              <w:tl2br w:val="nil"/>
              <w:tr2bl w:val="nil"/>
            </w:tcBorders>
            <w:shd w:val="clear" w:color="auto" w:fill="auto"/>
            <w:vAlign w:val="center"/>
          </w:tcPr>
          <w:p w14:paraId="407742E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0.0039</w:t>
            </w:r>
          </w:p>
        </w:tc>
        <w:tc>
          <w:tcPr>
            <w:tcW w:w="409" w:type="pct"/>
            <w:tcBorders>
              <w:tl2br w:val="nil"/>
              <w:tr2bl w:val="nil"/>
            </w:tcBorders>
            <w:shd w:val="clear" w:color="auto" w:fill="auto"/>
            <w:vAlign w:val="center"/>
          </w:tcPr>
          <w:p w14:paraId="55F1BA7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0.42</w:t>
            </w:r>
          </w:p>
        </w:tc>
      </w:tr>
      <w:tr w14:paraId="6312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7" w:type="pct"/>
            <w:tcBorders>
              <w:tl2br w:val="nil"/>
              <w:tr2bl w:val="nil"/>
            </w:tcBorders>
            <w:shd w:val="clear" w:color="auto" w:fill="auto"/>
            <w:vAlign w:val="center"/>
          </w:tcPr>
          <w:p w14:paraId="68AF44EE">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773" w:type="pct"/>
            <w:tcBorders>
              <w:tl2br w:val="nil"/>
              <w:tr2bl w:val="nil"/>
            </w:tcBorders>
            <w:shd w:val="clear" w:color="auto" w:fill="auto"/>
            <w:vAlign w:val="center"/>
          </w:tcPr>
          <w:p w14:paraId="1E4A03D4">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临时生活区</w:t>
            </w:r>
          </w:p>
        </w:tc>
        <w:tc>
          <w:tcPr>
            <w:tcW w:w="408" w:type="pct"/>
            <w:tcBorders>
              <w:tl2br w:val="nil"/>
              <w:tr2bl w:val="nil"/>
            </w:tcBorders>
            <w:shd w:val="clear" w:color="auto" w:fill="auto"/>
            <w:vAlign w:val="center"/>
          </w:tcPr>
          <w:p w14:paraId="32DB83B7">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12" w:type="pct"/>
            <w:tcBorders>
              <w:tl2br w:val="nil"/>
              <w:tr2bl w:val="nil"/>
            </w:tcBorders>
            <w:shd w:val="clear" w:color="auto" w:fill="auto"/>
            <w:vAlign w:val="center"/>
          </w:tcPr>
          <w:p w14:paraId="3F945F6B">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0.24</w:t>
            </w:r>
          </w:p>
        </w:tc>
        <w:tc>
          <w:tcPr>
            <w:tcW w:w="408" w:type="pct"/>
            <w:tcBorders>
              <w:tl2br w:val="nil"/>
              <w:tr2bl w:val="nil"/>
            </w:tcBorders>
            <w:shd w:val="clear" w:color="auto" w:fill="auto"/>
            <w:vAlign w:val="center"/>
          </w:tcPr>
          <w:p w14:paraId="585F4A87">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12" w:type="pct"/>
            <w:tcBorders>
              <w:tl2br w:val="nil"/>
              <w:tr2bl w:val="nil"/>
            </w:tcBorders>
            <w:shd w:val="clear" w:color="auto" w:fill="auto"/>
            <w:vAlign w:val="center"/>
          </w:tcPr>
          <w:p w14:paraId="07129E37">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0.72</w:t>
            </w:r>
          </w:p>
        </w:tc>
        <w:tc>
          <w:tcPr>
            <w:tcW w:w="473" w:type="pct"/>
            <w:tcBorders>
              <w:tl2br w:val="nil"/>
              <w:tr2bl w:val="nil"/>
            </w:tcBorders>
            <w:shd w:val="clear" w:color="auto" w:fill="auto"/>
            <w:vAlign w:val="center"/>
          </w:tcPr>
          <w:p w14:paraId="635505ED">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79" w:type="pct"/>
            <w:tcBorders>
              <w:tl2br w:val="nil"/>
              <w:tr2bl w:val="nil"/>
            </w:tcBorders>
            <w:shd w:val="clear" w:color="auto" w:fill="auto"/>
            <w:vAlign w:val="center"/>
          </w:tcPr>
          <w:p w14:paraId="4B6B8D30">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08" w:type="pct"/>
            <w:tcBorders>
              <w:tl2br w:val="nil"/>
              <w:tr2bl w:val="nil"/>
            </w:tcBorders>
            <w:shd w:val="clear" w:color="auto" w:fill="auto"/>
            <w:vAlign w:val="center"/>
          </w:tcPr>
          <w:p w14:paraId="793E7AD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09" w:type="pct"/>
            <w:tcBorders>
              <w:tl2br w:val="nil"/>
              <w:tr2bl w:val="nil"/>
            </w:tcBorders>
            <w:shd w:val="clear" w:color="auto" w:fill="auto"/>
            <w:vAlign w:val="center"/>
          </w:tcPr>
          <w:p w14:paraId="02DB3C97">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09" w:type="pct"/>
            <w:tcBorders>
              <w:tl2br w:val="nil"/>
              <w:tr2bl w:val="nil"/>
            </w:tcBorders>
            <w:shd w:val="clear" w:color="auto" w:fill="auto"/>
            <w:vAlign w:val="center"/>
          </w:tcPr>
          <w:p w14:paraId="58DF9572">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0.96</w:t>
            </w:r>
          </w:p>
        </w:tc>
      </w:tr>
      <w:tr w14:paraId="2DF0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80" w:type="pct"/>
            <w:gridSpan w:val="2"/>
            <w:tcBorders>
              <w:tl2br w:val="nil"/>
              <w:tr2bl w:val="nil"/>
            </w:tcBorders>
            <w:shd w:val="clear" w:color="auto" w:fill="auto"/>
            <w:vAlign w:val="center"/>
          </w:tcPr>
          <w:p w14:paraId="1D923E2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总计</w:t>
            </w:r>
          </w:p>
        </w:tc>
        <w:tc>
          <w:tcPr>
            <w:tcW w:w="820" w:type="pct"/>
            <w:gridSpan w:val="2"/>
            <w:tcBorders>
              <w:tl2br w:val="nil"/>
              <w:tr2bl w:val="nil"/>
            </w:tcBorders>
            <w:shd w:val="clear" w:color="auto" w:fill="auto"/>
            <w:vAlign w:val="center"/>
          </w:tcPr>
          <w:p w14:paraId="6439389D">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1.5177</w:t>
            </w:r>
          </w:p>
        </w:tc>
        <w:tc>
          <w:tcPr>
            <w:tcW w:w="820" w:type="pct"/>
            <w:gridSpan w:val="2"/>
            <w:tcBorders>
              <w:tl2br w:val="nil"/>
              <w:tr2bl w:val="nil"/>
            </w:tcBorders>
            <w:shd w:val="clear" w:color="auto" w:fill="auto"/>
            <w:vAlign w:val="center"/>
          </w:tcPr>
          <w:p w14:paraId="17FDF7B5">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3.33</w:t>
            </w:r>
            <w:r>
              <w:rPr>
                <w:rFonts w:hint="eastAsia" w:cs="Times New Roman"/>
                <w:color w:val="auto"/>
                <w:kern w:val="2"/>
                <w:sz w:val="21"/>
                <w:szCs w:val="21"/>
                <w:highlight w:val="none"/>
                <w:lang w:val="en-US" w:eastAsia="zh-CN" w:bidi="ar-SA"/>
              </w:rPr>
              <w:t>00</w:t>
            </w:r>
          </w:p>
        </w:tc>
        <w:tc>
          <w:tcPr>
            <w:tcW w:w="952" w:type="pct"/>
            <w:gridSpan w:val="2"/>
            <w:tcBorders>
              <w:tl2br w:val="nil"/>
              <w:tr2bl w:val="nil"/>
            </w:tcBorders>
            <w:shd w:val="clear" w:color="auto" w:fill="auto"/>
            <w:vAlign w:val="center"/>
          </w:tcPr>
          <w:p w14:paraId="49EB237A">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0.0092</w:t>
            </w:r>
          </w:p>
        </w:tc>
        <w:tc>
          <w:tcPr>
            <w:tcW w:w="817" w:type="pct"/>
            <w:gridSpan w:val="2"/>
            <w:tcBorders>
              <w:tl2br w:val="nil"/>
              <w:tr2bl w:val="nil"/>
            </w:tcBorders>
            <w:shd w:val="clear" w:color="auto" w:fill="auto"/>
            <w:vAlign w:val="center"/>
          </w:tcPr>
          <w:p w14:paraId="4A21D944">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0.0039</w:t>
            </w:r>
          </w:p>
        </w:tc>
        <w:tc>
          <w:tcPr>
            <w:tcW w:w="409" w:type="pct"/>
            <w:tcBorders>
              <w:tl2br w:val="nil"/>
              <w:tr2bl w:val="nil"/>
            </w:tcBorders>
            <w:shd w:val="clear" w:color="auto" w:fill="auto"/>
            <w:vAlign w:val="center"/>
          </w:tcPr>
          <w:p w14:paraId="21CE4E9E">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4.8608</w:t>
            </w:r>
          </w:p>
        </w:tc>
      </w:tr>
    </w:tbl>
    <w:p w14:paraId="7E0FC28E">
      <w:pPr>
        <w:keepNext w:val="0"/>
        <w:keepLines w:val="0"/>
        <w:pageBreakBefore w:val="0"/>
        <w:widowControl/>
        <w:kinsoku/>
        <w:wordWrap/>
        <w:overflowPunct/>
        <w:topLinePunct w:val="0"/>
        <w:autoSpaceDE/>
        <w:autoSpaceDN/>
        <w:bidi w:val="0"/>
        <w:adjustRightInd/>
        <w:snapToGrid/>
        <w:spacing w:before="164" w:beforeLines="50" w:line="360" w:lineRule="auto"/>
        <w:ind w:firstLine="480" w:firstLineChars="200"/>
        <w:jc w:val="both"/>
        <w:textAlignment w:val="auto"/>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临时占地不可避免地对原有地表造成破坏，使原有土壤－植被自然体系受到影响或瓦解，在扰动结束后，临时占地影响区的土壤-植被体系的恢复能力与程度取决于临时占地影响程度的大小及原先的生态背景状况。施工活动和工程占地在油区范围内并呈点线状分布，对土壤、植物、野生动物等各生态要素产生不同程度的影响，同时也对原有景观结构和生态系统产生一定程度影响。</w:t>
      </w:r>
    </w:p>
    <w:p w14:paraId="1D556AE5">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由于临时占地的扰动、破坏，将增加土壤风蚀量，油田所在区域为稀疏植被区，植被的防风固沙作用相对较弱。但地表保护层盐壳层具有很强的防风沙的生态功能，其作用不容忽视。这种盐壳的形成是由于长期的风蚀或土壤中的盐碱沉积作用，使地表原有的细砂及细粉物质被吹蚀，由于雨水的作用，使砾石与土层紧密地结合，形成了致密而稳定的保护结构，它保护着地下的粉细物质，对区域由于风蚀引起的水土流失起着很好的抑制作用。由于勘探、钻井机械、运输车辆及施工人员的活动，可使地表砾幕和盐壳层受到破坏，这些保护层一旦被破坏，又得经过一年、二年甚至三到五年的吹蚀，使地表粉细物质全部被吹蚀后才能处于稳定状态。因而在近几年内，区域内的风蚀量会有所增加，影响空气环境质量。</w:t>
      </w:r>
    </w:p>
    <w:p w14:paraId="74826496">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当油田转入正常运营期后，人群的活动范围缩小，受到破坏的临时占地逐渐得到恢复，项目占地影响也会逐步减弱。</w:t>
      </w:r>
    </w:p>
    <w:p w14:paraId="634F493A">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rPr>
      </w:pPr>
      <w:r>
        <w:rPr>
          <w:rFonts w:hint="default" w:ascii="Times New Roman" w:hAnsi="Times New Roman" w:eastAsia="宋体" w:cs="Times New Roman"/>
          <w:b/>
          <w:color w:val="auto"/>
          <w:kern w:val="0"/>
          <w:szCs w:val="20"/>
          <w:highlight w:val="none"/>
        </w:rPr>
        <w:t>5.1.2.2对植被的影响分析</w:t>
      </w:r>
    </w:p>
    <w:p w14:paraId="39EC9B01">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项目对植被的影响主要在施工期的占地影响及井区内管道敷设产生的影响、人类活动产生的影响。其次污染物排放也将对植被产生一定的影响。</w:t>
      </w:r>
    </w:p>
    <w:p w14:paraId="79380914">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eastAsia" w:cs="Times New Roman"/>
          <w:color w:val="auto"/>
          <w:kern w:val="0"/>
          <w:szCs w:val="20"/>
          <w:highlight w:val="none"/>
          <w:lang w:val="en-US" w:eastAsia="zh-CN"/>
        </w:rPr>
        <w:t>本项目属于改扩建项目，</w:t>
      </w:r>
      <w:r>
        <w:rPr>
          <w:rFonts w:hint="default" w:ascii="Times New Roman" w:hAnsi="Times New Roman" w:eastAsia="宋体" w:cs="Times New Roman"/>
          <w:color w:val="auto"/>
          <w:kern w:val="0"/>
          <w:szCs w:val="20"/>
          <w:highlight w:val="none"/>
        </w:rPr>
        <w:t>塔河油田经过了多年的勘探开发后，现已具备了一定的规模，占用了一定面积的土地，使其上的荒漠植被消失，整个自然环境中的植被覆盖度减少，地表永久性构筑物增多。具体的影响方式及影响程度表现在以下几个方面：</w:t>
      </w:r>
    </w:p>
    <w:p w14:paraId="084F6A93">
      <w:pPr>
        <w:widowControl/>
        <w:spacing w:line="360" w:lineRule="auto"/>
        <w:ind w:firstLine="482" w:firstLineChars="200"/>
        <w:jc w:val="both"/>
        <w:rPr>
          <w:rFonts w:hint="default" w:ascii="Times New Roman" w:hAnsi="Times New Roman" w:eastAsia="宋体" w:cs="Times New Roman"/>
          <w:b/>
          <w:bCs/>
          <w:color w:val="auto"/>
          <w:kern w:val="0"/>
          <w:szCs w:val="20"/>
          <w:highlight w:val="none"/>
        </w:rPr>
      </w:pPr>
      <w:r>
        <w:rPr>
          <w:rFonts w:hint="default" w:ascii="Times New Roman" w:hAnsi="Times New Roman" w:eastAsia="宋体" w:cs="Times New Roman"/>
          <w:b/>
          <w:bCs/>
          <w:color w:val="auto"/>
          <w:kern w:val="0"/>
          <w:szCs w:val="20"/>
          <w:highlight w:val="none"/>
        </w:rPr>
        <w:t>（1）占地影响</w:t>
      </w:r>
    </w:p>
    <w:p w14:paraId="4D280F5A">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由影响因素分析和油田建设的特点决定了在诸多对自然植被的影响因素中，施工期的建设占地等行为最严重，只有勘探对地表扰动和工程施工占地对影响区段植被的一次性破坏较大。</w:t>
      </w:r>
    </w:p>
    <w:p w14:paraId="7BEDCCCB">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eastAsia="zh-CN"/>
        </w:rPr>
        <w:t>本项目</w:t>
      </w:r>
      <w:r>
        <w:rPr>
          <w:rFonts w:hint="default" w:ascii="Times New Roman" w:hAnsi="Times New Roman" w:cs="Times New Roman"/>
          <w:color w:val="auto"/>
          <w:sz w:val="24"/>
          <w:szCs w:val="24"/>
          <w:highlight w:val="none"/>
        </w:rPr>
        <w:t>总占地约</w:t>
      </w:r>
      <w:r>
        <w:rPr>
          <w:rFonts w:hint="eastAsia" w:cs="Times New Roman"/>
          <w:color w:val="auto"/>
          <w:sz w:val="24"/>
          <w:szCs w:val="24"/>
          <w:highlight w:val="none"/>
          <w:lang w:val="en-US" w:eastAsia="zh-CN"/>
        </w:rPr>
        <w:t>4.8608</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均为</w:t>
      </w:r>
      <w:r>
        <w:rPr>
          <w:rFonts w:hint="default" w:ascii="Times New Roman" w:hAnsi="Times New Roman" w:cs="Times New Roman"/>
          <w:color w:val="auto"/>
          <w:sz w:val="24"/>
          <w:szCs w:val="24"/>
          <w:highlight w:val="none"/>
        </w:rPr>
        <w:t>临时占地</w:t>
      </w:r>
      <w:r>
        <w:rPr>
          <w:rFonts w:hint="default" w:ascii="Times New Roman" w:hAnsi="Times New Roman" w:eastAsia="宋体" w:cs="Times New Roman"/>
          <w:color w:val="auto"/>
          <w:kern w:val="0"/>
          <w:szCs w:val="20"/>
          <w:highlight w:val="none"/>
        </w:rPr>
        <w:t>。临时占地</w:t>
      </w:r>
      <w:r>
        <w:rPr>
          <w:rFonts w:hint="eastAsia" w:cs="Times New Roman"/>
          <w:color w:val="auto"/>
          <w:kern w:val="0"/>
          <w:szCs w:val="20"/>
          <w:highlight w:val="none"/>
          <w:lang w:val="en-US" w:eastAsia="zh-CN"/>
        </w:rPr>
        <w:t>在施工结束后</w:t>
      </w:r>
      <w:r>
        <w:rPr>
          <w:rFonts w:hint="default" w:ascii="Times New Roman" w:hAnsi="Times New Roman" w:eastAsia="宋体" w:cs="Times New Roman"/>
          <w:color w:val="auto"/>
          <w:kern w:val="0"/>
          <w:szCs w:val="20"/>
          <w:highlight w:val="none"/>
        </w:rPr>
        <w:t>土地重新回到原来的自然状态，但地表植被及地表结构却发生了大的变化</w:t>
      </w:r>
      <w:r>
        <w:rPr>
          <w:rFonts w:hint="eastAsia" w:cs="Times New Roman"/>
          <w:color w:val="auto"/>
          <w:kern w:val="0"/>
          <w:szCs w:val="20"/>
          <w:highlight w:val="none"/>
          <w:lang w:eastAsia="zh-CN"/>
        </w:rPr>
        <w:t>，</w:t>
      </w:r>
      <w:r>
        <w:rPr>
          <w:rFonts w:hint="default" w:ascii="Times New Roman" w:hAnsi="Times New Roman" w:eastAsia="宋体" w:cs="Times New Roman"/>
          <w:color w:val="auto"/>
          <w:kern w:val="0"/>
          <w:szCs w:val="20"/>
          <w:highlight w:val="none"/>
        </w:rPr>
        <w:t>地表保护层被破坏，稳定性下降，防止水土流失的能力也随之下降，并且地表植被不复存在。临时占地对生态的影响程度对影响后的植被恢复能力有直接关系。</w:t>
      </w:r>
    </w:p>
    <w:p w14:paraId="5BADBC7C">
      <w:pPr>
        <w:widowControl/>
        <w:spacing w:line="360" w:lineRule="auto"/>
        <w:ind w:firstLine="482" w:firstLineChars="200"/>
        <w:jc w:val="both"/>
        <w:rPr>
          <w:rFonts w:hint="default" w:ascii="Times New Roman" w:hAnsi="Times New Roman" w:eastAsia="宋体" w:cs="Times New Roman"/>
          <w:b/>
          <w:bCs/>
          <w:color w:val="auto"/>
          <w:kern w:val="0"/>
          <w:szCs w:val="20"/>
          <w:highlight w:val="none"/>
        </w:rPr>
      </w:pPr>
      <w:r>
        <w:rPr>
          <w:rFonts w:hint="default" w:ascii="Times New Roman" w:hAnsi="Times New Roman" w:eastAsia="宋体" w:cs="Times New Roman"/>
          <w:b/>
          <w:bCs/>
          <w:color w:val="auto"/>
          <w:kern w:val="0"/>
          <w:szCs w:val="20"/>
          <w:highlight w:val="none"/>
        </w:rPr>
        <w:t>（2）生物量损失</w:t>
      </w:r>
    </w:p>
    <w:p w14:paraId="7A410DF3">
      <w:pPr>
        <w:widowControl/>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lang w:val="en-US" w:eastAsia="zh-CN"/>
        </w:rPr>
        <w:t>①</w:t>
      </w:r>
      <w:r>
        <w:rPr>
          <w:rFonts w:hint="default" w:ascii="Times New Roman" w:hAnsi="Times New Roman" w:eastAsia="宋体" w:cs="Times New Roman"/>
          <w:color w:val="auto"/>
          <w:kern w:val="0"/>
          <w:szCs w:val="20"/>
          <w:highlight w:val="none"/>
        </w:rPr>
        <w:t>对牧业的损失</w:t>
      </w:r>
    </w:p>
    <w:p w14:paraId="2F7E586E">
      <w:pPr>
        <w:widowControl/>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所在区域属于荒漠草场，为四等7级草场，植被主要由小半灌木组成。据调查，该区域草场为冬牧场，</w:t>
      </w:r>
      <w:r>
        <w:rPr>
          <w:rFonts w:hint="eastAsia" w:cs="Times New Roman"/>
          <w:color w:val="auto"/>
          <w:kern w:val="0"/>
          <w:szCs w:val="20"/>
          <w:highlight w:val="none"/>
          <w:lang w:val="en-US" w:eastAsia="zh-CN"/>
        </w:rPr>
        <w:t>天然牧草地</w:t>
      </w:r>
      <w:r>
        <w:rPr>
          <w:rFonts w:hint="default" w:ascii="Times New Roman" w:hAnsi="Times New Roman" w:eastAsia="宋体" w:cs="Times New Roman"/>
          <w:color w:val="auto"/>
          <w:kern w:val="0"/>
          <w:szCs w:val="20"/>
          <w:highlight w:val="none"/>
          <w:lang w:val="en-US" w:eastAsia="zh-CN"/>
        </w:rPr>
        <w:t>覆盖度</w:t>
      </w:r>
      <w:r>
        <w:rPr>
          <w:rFonts w:hint="eastAsia" w:cs="Times New Roman"/>
          <w:color w:val="auto"/>
          <w:kern w:val="0"/>
          <w:szCs w:val="20"/>
          <w:highlight w:val="none"/>
          <w:lang w:val="en-US" w:eastAsia="zh-CN"/>
        </w:rPr>
        <w:t>10</w:t>
      </w:r>
      <w:r>
        <w:rPr>
          <w:rFonts w:hint="default" w:ascii="Times New Roman" w:hAnsi="Times New Roman" w:eastAsia="宋体" w:cs="Times New Roman"/>
          <w:color w:val="auto"/>
          <w:kern w:val="0"/>
          <w:szCs w:val="20"/>
          <w:highlight w:val="none"/>
          <w:lang w:val="en-US" w:eastAsia="zh-CN"/>
        </w:rPr>
        <w:t>%-</w:t>
      </w:r>
      <w:r>
        <w:rPr>
          <w:rFonts w:hint="eastAsia" w:cs="Times New Roman"/>
          <w:color w:val="auto"/>
          <w:kern w:val="0"/>
          <w:szCs w:val="20"/>
          <w:highlight w:val="none"/>
          <w:lang w:val="en-US" w:eastAsia="zh-CN"/>
        </w:rPr>
        <w:t>20</w:t>
      </w:r>
      <w:r>
        <w:rPr>
          <w:rFonts w:hint="default" w:ascii="Times New Roman" w:hAnsi="Times New Roman" w:eastAsia="宋体" w:cs="Times New Roman"/>
          <w:color w:val="auto"/>
          <w:kern w:val="0"/>
          <w:szCs w:val="20"/>
          <w:highlight w:val="none"/>
          <w:lang w:val="en-US" w:eastAsia="zh-CN"/>
        </w:rPr>
        <w:t>%。经核算，</w:t>
      </w: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临时占用牧草地约</w:t>
      </w:r>
      <w:r>
        <w:rPr>
          <w:rFonts w:hint="eastAsia" w:cs="Times New Roman"/>
          <w:color w:val="auto"/>
          <w:kern w:val="0"/>
          <w:szCs w:val="20"/>
          <w:highlight w:val="none"/>
          <w:lang w:val="en-US" w:eastAsia="zh-CN"/>
        </w:rPr>
        <w:t>3.33</w:t>
      </w:r>
      <w:r>
        <w:rPr>
          <w:rFonts w:hint="default" w:ascii="Times New Roman" w:hAnsi="Times New Roman" w:eastAsia="宋体" w:cs="Times New Roman"/>
          <w:color w:val="auto"/>
          <w:kern w:val="0"/>
          <w:szCs w:val="20"/>
          <w:highlight w:val="none"/>
          <w:lang w:val="en-US" w:eastAsia="zh-CN"/>
        </w:rPr>
        <w:t>hm</w:t>
      </w:r>
      <w:r>
        <w:rPr>
          <w:rFonts w:hint="default" w:ascii="Times New Roman" w:hAnsi="Times New Roman" w:eastAsia="宋体" w:cs="Times New Roman"/>
          <w:color w:val="auto"/>
          <w:kern w:val="0"/>
          <w:szCs w:val="20"/>
          <w:highlight w:val="none"/>
          <w:vertAlign w:val="superscript"/>
          <w:lang w:val="en-US" w:eastAsia="zh-CN"/>
        </w:rPr>
        <w:t>2</w:t>
      </w:r>
      <w:r>
        <w:rPr>
          <w:rFonts w:hint="default" w:ascii="Times New Roman" w:hAnsi="Times New Roman" w:eastAsia="宋体" w:cs="Times New Roman"/>
          <w:color w:val="auto"/>
          <w:kern w:val="0"/>
          <w:szCs w:val="20"/>
          <w:highlight w:val="none"/>
          <w:lang w:val="en-US" w:eastAsia="zh-CN"/>
        </w:rPr>
        <w:t>，</w:t>
      </w:r>
      <w:r>
        <w:rPr>
          <w:rFonts w:hint="default" w:ascii="Times New Roman" w:hAnsi="Times New Roman" w:eastAsia="宋体" w:cs="Times New Roman"/>
          <w:color w:val="auto"/>
          <w:kern w:val="0"/>
          <w:szCs w:val="20"/>
          <w:highlight w:val="none"/>
        </w:rPr>
        <w:t>平均鲜草量</w:t>
      </w:r>
      <w:r>
        <w:rPr>
          <w:rFonts w:hint="default" w:ascii="Times New Roman" w:hAnsi="Times New Roman" w:eastAsia="宋体" w:cs="Times New Roman"/>
          <w:color w:val="auto"/>
          <w:kern w:val="0"/>
          <w:szCs w:val="20"/>
          <w:highlight w:val="none"/>
          <w:lang w:val="en-US" w:eastAsia="zh-CN"/>
        </w:rPr>
        <w:t>150</w:t>
      </w:r>
      <w:r>
        <w:rPr>
          <w:rFonts w:hint="default" w:ascii="Times New Roman" w:hAnsi="Times New Roman" w:eastAsia="宋体" w:cs="Times New Roman"/>
          <w:color w:val="auto"/>
          <w:kern w:val="0"/>
          <w:szCs w:val="20"/>
          <w:highlight w:val="none"/>
        </w:rPr>
        <w:t>0kg/hm</w:t>
      </w:r>
      <w:r>
        <w:rPr>
          <w:rFonts w:hint="default" w:ascii="Times New Roman" w:hAnsi="Times New Roman" w:eastAsia="宋体" w:cs="Times New Roman"/>
          <w:color w:val="auto"/>
          <w:kern w:val="0"/>
          <w:szCs w:val="20"/>
          <w:highlight w:val="none"/>
          <w:vertAlign w:val="superscript"/>
        </w:rPr>
        <w:t>2</w:t>
      </w:r>
      <w:r>
        <w:rPr>
          <w:rFonts w:hint="default" w:ascii="Times New Roman" w:hAnsi="Times New Roman" w:eastAsia="宋体" w:cs="Times New Roman"/>
          <w:color w:val="auto"/>
          <w:kern w:val="0"/>
          <w:szCs w:val="20"/>
          <w:highlight w:val="none"/>
        </w:rPr>
        <w:t>，牧业损失生物量约为</w:t>
      </w:r>
      <w:r>
        <w:rPr>
          <w:rFonts w:hint="eastAsia" w:cs="Times New Roman"/>
          <w:color w:val="auto"/>
          <w:kern w:val="0"/>
          <w:szCs w:val="20"/>
          <w:highlight w:val="none"/>
          <w:lang w:val="en-US" w:eastAsia="zh-CN"/>
        </w:rPr>
        <w:t>5</w:t>
      </w:r>
      <w:r>
        <w:rPr>
          <w:rFonts w:hint="default" w:ascii="Times New Roman" w:hAnsi="Times New Roman" w:eastAsia="宋体" w:cs="Times New Roman"/>
          <w:color w:val="auto"/>
          <w:kern w:val="0"/>
          <w:szCs w:val="20"/>
          <w:highlight w:val="none"/>
          <w:lang w:val="en-US" w:eastAsia="zh-CN"/>
        </w:rPr>
        <w:t>t</w:t>
      </w:r>
      <w:r>
        <w:rPr>
          <w:rFonts w:hint="default" w:ascii="Times New Roman" w:hAnsi="Times New Roman" w:eastAsia="宋体" w:cs="Times New Roman"/>
          <w:color w:val="auto"/>
          <w:kern w:val="0"/>
          <w:szCs w:val="20"/>
          <w:highlight w:val="none"/>
        </w:rPr>
        <w:t>，约</w:t>
      </w:r>
      <w:r>
        <w:rPr>
          <w:rFonts w:hint="eastAsia" w:cs="Times New Roman"/>
          <w:color w:val="auto"/>
          <w:kern w:val="0"/>
          <w:szCs w:val="20"/>
          <w:highlight w:val="none"/>
          <w:lang w:val="en-US" w:eastAsia="zh-CN"/>
        </w:rPr>
        <w:t>15</w:t>
      </w:r>
      <w:r>
        <w:rPr>
          <w:rFonts w:hint="default" w:ascii="Times New Roman" w:hAnsi="Times New Roman" w:eastAsia="宋体" w:cs="Times New Roman"/>
          <w:color w:val="auto"/>
          <w:kern w:val="0"/>
          <w:szCs w:val="20"/>
          <w:highlight w:val="none"/>
        </w:rPr>
        <w:t>只绵羊单位。</w:t>
      </w:r>
      <w:r>
        <w:rPr>
          <w:rFonts w:hint="default" w:ascii="Times New Roman" w:hAnsi="Times New Roman" w:eastAsia="宋体" w:cs="Times New Roman"/>
          <w:color w:val="auto"/>
          <w:kern w:val="0"/>
          <w:szCs w:val="20"/>
          <w:highlight w:val="none"/>
          <w:lang w:val="en-US" w:eastAsia="zh-CN"/>
        </w:rPr>
        <w:t>施工期须</w:t>
      </w:r>
      <w:r>
        <w:rPr>
          <w:rFonts w:hint="default" w:ascii="Times New Roman" w:hAnsi="Times New Roman" w:eastAsia="宋体" w:cs="Times New Roman"/>
          <w:color w:val="auto"/>
          <w:kern w:val="0"/>
          <w:szCs w:val="20"/>
          <w:highlight w:val="none"/>
        </w:rPr>
        <w:t>加强施工管理，认真做好施工结束后的迹地恢复工作，工程建设对草场生态系统的环境影响是可以接受的。</w:t>
      </w:r>
    </w:p>
    <w:p w14:paraId="462D943A">
      <w:pPr>
        <w:widowControl/>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lang w:val="en-US" w:eastAsia="zh-CN"/>
        </w:rPr>
        <w:t>②</w:t>
      </w:r>
      <w:r>
        <w:rPr>
          <w:rFonts w:hint="default" w:ascii="Times New Roman" w:hAnsi="Times New Roman" w:eastAsia="宋体" w:cs="Times New Roman"/>
          <w:color w:val="auto"/>
          <w:kern w:val="0"/>
          <w:szCs w:val="20"/>
          <w:highlight w:val="none"/>
        </w:rPr>
        <w:t>对林业的影响</w:t>
      </w:r>
    </w:p>
    <w:p w14:paraId="4D700F23">
      <w:pPr>
        <w:widowControl/>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临时占用灌木林地</w:t>
      </w:r>
      <w:r>
        <w:rPr>
          <w:rFonts w:hint="eastAsia" w:cs="Times New Roman"/>
          <w:color w:val="auto"/>
          <w:kern w:val="0"/>
          <w:szCs w:val="20"/>
          <w:highlight w:val="none"/>
          <w:lang w:val="en-US" w:eastAsia="zh-CN"/>
        </w:rPr>
        <w:t>1.5177</w:t>
      </w:r>
      <w:r>
        <w:rPr>
          <w:rFonts w:hint="default" w:ascii="Times New Roman" w:hAnsi="Times New Roman" w:eastAsia="宋体" w:cs="Times New Roman"/>
          <w:color w:val="auto"/>
          <w:kern w:val="0"/>
          <w:szCs w:val="20"/>
          <w:highlight w:val="none"/>
          <w:lang w:val="en-US" w:eastAsia="zh-CN"/>
        </w:rPr>
        <w:t>hm</w:t>
      </w:r>
      <w:r>
        <w:rPr>
          <w:rFonts w:hint="default" w:ascii="Times New Roman" w:hAnsi="Times New Roman" w:eastAsia="宋体" w:cs="Times New Roman"/>
          <w:color w:val="auto"/>
          <w:kern w:val="0"/>
          <w:szCs w:val="20"/>
          <w:highlight w:val="none"/>
          <w:vertAlign w:val="superscript"/>
          <w:lang w:val="en-US" w:eastAsia="zh-CN"/>
        </w:rPr>
        <w:t>2</w:t>
      </w:r>
      <w:r>
        <w:rPr>
          <w:rFonts w:hint="default" w:ascii="Times New Roman" w:hAnsi="Times New Roman" w:eastAsia="宋体" w:cs="Times New Roman"/>
          <w:color w:val="auto"/>
          <w:kern w:val="0"/>
          <w:szCs w:val="20"/>
          <w:highlight w:val="none"/>
        </w:rPr>
        <w:t>，</w:t>
      </w:r>
      <w:r>
        <w:rPr>
          <w:rFonts w:hint="default" w:ascii="Times New Roman" w:hAnsi="Times New Roman" w:eastAsia="宋体" w:cs="Times New Roman"/>
          <w:color w:val="auto"/>
          <w:kern w:val="0"/>
          <w:szCs w:val="20"/>
          <w:highlight w:val="none"/>
          <w:lang w:val="en-US" w:eastAsia="zh-CN"/>
        </w:rPr>
        <w:t>根据《塔里木河流域植被恢复与遥感测度》相关成果，项目区</w:t>
      </w:r>
      <w:r>
        <w:rPr>
          <w:rFonts w:hint="eastAsia" w:cs="Times New Roman"/>
          <w:color w:val="auto"/>
          <w:kern w:val="0"/>
          <w:szCs w:val="20"/>
          <w:highlight w:val="none"/>
          <w:lang w:val="en-US" w:eastAsia="zh-CN"/>
        </w:rPr>
        <w:t>灌木</w:t>
      </w:r>
      <w:r>
        <w:rPr>
          <w:rFonts w:hint="default" w:ascii="Times New Roman" w:hAnsi="Times New Roman" w:eastAsia="宋体" w:cs="Times New Roman"/>
          <w:color w:val="auto"/>
          <w:kern w:val="0"/>
          <w:szCs w:val="20"/>
          <w:highlight w:val="none"/>
          <w:lang w:val="en-US" w:eastAsia="zh-CN"/>
        </w:rPr>
        <w:t>生物量</w:t>
      </w:r>
      <w:r>
        <w:rPr>
          <w:rFonts w:hint="eastAsia" w:cs="Times New Roman"/>
          <w:color w:val="auto"/>
          <w:kern w:val="0"/>
          <w:szCs w:val="20"/>
          <w:highlight w:val="none"/>
          <w:lang w:val="en-US" w:eastAsia="zh-CN"/>
        </w:rPr>
        <w:t>约</w:t>
      </w:r>
      <w:r>
        <w:rPr>
          <w:rFonts w:hint="default" w:ascii="Times New Roman" w:hAnsi="Times New Roman" w:eastAsia="宋体" w:cs="Times New Roman"/>
          <w:color w:val="auto"/>
          <w:kern w:val="0"/>
          <w:szCs w:val="20"/>
          <w:highlight w:val="none"/>
          <w:lang w:val="en-US" w:eastAsia="zh-CN"/>
        </w:rPr>
        <w:t>3</w:t>
      </w:r>
      <w:r>
        <w:rPr>
          <w:rFonts w:hint="eastAsia" w:cs="Times New Roman"/>
          <w:color w:val="auto"/>
          <w:kern w:val="0"/>
          <w:szCs w:val="20"/>
          <w:highlight w:val="none"/>
          <w:lang w:val="en-US" w:eastAsia="zh-CN"/>
        </w:rPr>
        <w:t>.02</w:t>
      </w:r>
      <w:r>
        <w:rPr>
          <w:rFonts w:hint="default" w:ascii="Times New Roman" w:hAnsi="Times New Roman" w:eastAsia="宋体" w:cs="Times New Roman"/>
          <w:color w:val="auto"/>
          <w:kern w:val="0"/>
          <w:szCs w:val="20"/>
          <w:highlight w:val="none"/>
          <w:lang w:val="en-US" w:eastAsia="zh-CN"/>
        </w:rPr>
        <w:t>t/hm</w:t>
      </w:r>
      <w:r>
        <w:rPr>
          <w:rFonts w:hint="default" w:ascii="Times New Roman" w:hAnsi="Times New Roman" w:eastAsia="宋体" w:cs="Times New Roman"/>
          <w:color w:val="auto"/>
          <w:kern w:val="0"/>
          <w:szCs w:val="20"/>
          <w:highlight w:val="none"/>
          <w:vertAlign w:val="superscript"/>
          <w:lang w:val="en-US" w:eastAsia="zh-CN"/>
        </w:rPr>
        <w:t>2</w:t>
      </w:r>
      <w:r>
        <w:rPr>
          <w:rFonts w:hint="default" w:ascii="Times New Roman" w:hAnsi="Times New Roman" w:eastAsia="宋体" w:cs="Times New Roman"/>
          <w:color w:val="auto"/>
          <w:kern w:val="0"/>
          <w:szCs w:val="20"/>
          <w:highlight w:val="none"/>
          <w:lang w:val="en-US" w:eastAsia="zh-CN"/>
        </w:rPr>
        <w:t>，</w:t>
      </w:r>
      <w:r>
        <w:rPr>
          <w:rFonts w:hint="default" w:ascii="Times New Roman" w:hAnsi="Times New Roman" w:cs="Times New Roman"/>
          <w:color w:val="auto"/>
          <w:kern w:val="0"/>
          <w:szCs w:val="20"/>
          <w:highlight w:val="none"/>
          <w:lang w:val="en-US" w:eastAsia="zh-CN"/>
        </w:rPr>
        <w:t>本项目林业损失生物量</w:t>
      </w:r>
      <w:r>
        <w:rPr>
          <w:rFonts w:hint="default" w:ascii="Times New Roman" w:hAnsi="Times New Roman" w:eastAsia="宋体" w:cs="Times New Roman"/>
          <w:color w:val="auto"/>
          <w:kern w:val="0"/>
          <w:szCs w:val="20"/>
          <w:highlight w:val="none"/>
          <w:lang w:val="en-US" w:eastAsia="zh-CN"/>
        </w:rPr>
        <w:t>约</w:t>
      </w:r>
      <w:r>
        <w:rPr>
          <w:rFonts w:hint="eastAsia" w:cs="Times New Roman"/>
          <w:color w:val="auto"/>
          <w:kern w:val="0"/>
          <w:szCs w:val="20"/>
          <w:highlight w:val="none"/>
          <w:lang w:val="en-US" w:eastAsia="zh-CN"/>
        </w:rPr>
        <w:t>5</w:t>
      </w:r>
      <w:r>
        <w:rPr>
          <w:rFonts w:hint="default" w:ascii="Times New Roman" w:hAnsi="Times New Roman" w:eastAsia="宋体" w:cs="Times New Roman"/>
          <w:color w:val="auto"/>
          <w:kern w:val="0"/>
          <w:szCs w:val="20"/>
          <w:highlight w:val="none"/>
          <w:lang w:val="en-US" w:eastAsia="zh-CN"/>
        </w:rPr>
        <w:t>t</w:t>
      </w:r>
      <w:r>
        <w:rPr>
          <w:rFonts w:hint="default" w:ascii="Times New Roman" w:hAnsi="Times New Roman" w:eastAsia="宋体" w:cs="Times New Roman"/>
          <w:color w:val="auto"/>
          <w:kern w:val="0"/>
          <w:szCs w:val="20"/>
          <w:highlight w:val="none"/>
        </w:rPr>
        <w:t>。</w:t>
      </w:r>
    </w:p>
    <w:p w14:paraId="36FE90DE">
      <w:pPr>
        <w:widowControl/>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rPr>
        <w:t>在选线设计、施工作业时</w:t>
      </w:r>
      <w:r>
        <w:rPr>
          <w:rFonts w:hint="default" w:ascii="Times New Roman" w:hAnsi="Times New Roman" w:eastAsia="宋体" w:cs="Times New Roman"/>
          <w:color w:val="auto"/>
          <w:kern w:val="0"/>
          <w:szCs w:val="20"/>
          <w:highlight w:val="none"/>
          <w:lang w:val="en-US" w:eastAsia="zh-CN"/>
        </w:rPr>
        <w:t>对</w:t>
      </w:r>
      <w:r>
        <w:rPr>
          <w:rFonts w:hint="eastAsia" w:cs="Times New Roman"/>
          <w:color w:val="auto"/>
          <w:kern w:val="0"/>
          <w:szCs w:val="20"/>
          <w:highlight w:val="none"/>
          <w:lang w:val="en-US" w:eastAsia="zh-CN"/>
        </w:rPr>
        <w:t>区域天然林立木及其</w:t>
      </w:r>
      <w:r>
        <w:rPr>
          <w:rFonts w:hint="default" w:ascii="Times New Roman" w:hAnsi="Times New Roman" w:eastAsia="宋体" w:cs="Times New Roman"/>
          <w:color w:val="auto"/>
          <w:kern w:val="0"/>
          <w:szCs w:val="20"/>
          <w:highlight w:val="none"/>
          <w:lang w:val="en-US" w:eastAsia="zh-CN"/>
        </w:rPr>
        <w:t>林地生境较好的区域采取避让措施，</w:t>
      </w:r>
      <w:r>
        <w:rPr>
          <w:rFonts w:hint="default" w:ascii="Times New Roman" w:hAnsi="Times New Roman" w:eastAsia="宋体" w:cs="Times New Roman"/>
          <w:color w:val="auto"/>
          <w:kern w:val="0"/>
          <w:szCs w:val="20"/>
          <w:highlight w:val="none"/>
        </w:rPr>
        <w:t>在条件允许时，减少砍伐</w:t>
      </w:r>
      <w:r>
        <w:rPr>
          <w:rFonts w:hint="default" w:ascii="Times New Roman" w:hAnsi="Times New Roman" w:eastAsia="宋体" w:cs="Times New Roman"/>
          <w:color w:val="auto"/>
          <w:kern w:val="0"/>
          <w:szCs w:val="20"/>
          <w:highlight w:val="none"/>
          <w:lang w:val="en-US" w:eastAsia="zh-CN"/>
        </w:rPr>
        <w:t>灌木</w:t>
      </w:r>
      <w:r>
        <w:rPr>
          <w:rFonts w:hint="default" w:ascii="Times New Roman" w:hAnsi="Times New Roman" w:eastAsia="宋体" w:cs="Times New Roman"/>
          <w:color w:val="auto"/>
          <w:kern w:val="0"/>
          <w:szCs w:val="20"/>
          <w:highlight w:val="none"/>
        </w:rPr>
        <w:t>的数量，最大程度地保护沿线的林业生态。</w:t>
      </w:r>
      <w:r>
        <w:rPr>
          <w:rFonts w:hint="default" w:ascii="Times New Roman" w:hAnsi="Times New Roman" w:eastAsia="宋体" w:cs="Times New Roman"/>
          <w:color w:val="auto"/>
          <w:kern w:val="0"/>
          <w:szCs w:val="20"/>
          <w:highlight w:val="none"/>
          <w:lang w:val="en-US" w:eastAsia="zh-CN"/>
        </w:rPr>
        <w:t>项目</w:t>
      </w:r>
      <w:r>
        <w:rPr>
          <w:rFonts w:hint="default" w:ascii="Times New Roman" w:hAnsi="Times New Roman" w:eastAsia="宋体" w:cs="Times New Roman"/>
          <w:color w:val="auto"/>
          <w:kern w:val="0"/>
          <w:szCs w:val="20"/>
          <w:highlight w:val="none"/>
        </w:rPr>
        <w:t>沿线两侧范围内的林地征用应按照地方有关工程征地补偿标准进行。工程建设对</w:t>
      </w:r>
      <w:r>
        <w:rPr>
          <w:rFonts w:hint="default" w:ascii="Times New Roman" w:hAnsi="Times New Roman" w:eastAsia="宋体" w:cs="Times New Roman"/>
          <w:color w:val="auto"/>
          <w:kern w:val="0"/>
          <w:szCs w:val="20"/>
          <w:highlight w:val="none"/>
          <w:lang w:val="en-US" w:eastAsia="zh-CN"/>
        </w:rPr>
        <w:t>林地</w:t>
      </w:r>
      <w:r>
        <w:rPr>
          <w:rFonts w:hint="default" w:ascii="Times New Roman" w:hAnsi="Times New Roman" w:eastAsia="宋体" w:cs="Times New Roman"/>
          <w:color w:val="auto"/>
          <w:kern w:val="0"/>
          <w:szCs w:val="20"/>
          <w:highlight w:val="none"/>
        </w:rPr>
        <w:t>生态系统的环境影响是可以接受的</w:t>
      </w:r>
      <w:r>
        <w:rPr>
          <w:rFonts w:hint="default" w:ascii="Times New Roman" w:hAnsi="Times New Roman" w:eastAsia="宋体" w:cs="Times New Roman"/>
          <w:color w:val="auto"/>
          <w:kern w:val="0"/>
          <w:szCs w:val="20"/>
          <w:highlight w:val="none"/>
          <w:lang w:eastAsia="zh-CN"/>
        </w:rPr>
        <w:t>。</w:t>
      </w:r>
    </w:p>
    <w:p w14:paraId="24A07887">
      <w:pPr>
        <w:widowControl/>
        <w:spacing w:line="360" w:lineRule="auto"/>
        <w:ind w:firstLine="482" w:firstLineChars="200"/>
        <w:jc w:val="both"/>
        <w:rPr>
          <w:rFonts w:hint="default" w:ascii="Times New Roman" w:hAnsi="Times New Roman" w:eastAsia="宋体" w:cs="Times New Roman"/>
          <w:b/>
          <w:bCs/>
          <w:color w:val="auto"/>
          <w:kern w:val="0"/>
          <w:szCs w:val="20"/>
          <w:highlight w:val="none"/>
        </w:rPr>
      </w:pPr>
      <w:r>
        <w:rPr>
          <w:rFonts w:hint="default" w:ascii="Times New Roman" w:hAnsi="Times New Roman" w:eastAsia="宋体" w:cs="Times New Roman"/>
          <w:b/>
          <w:bCs/>
          <w:color w:val="auto"/>
          <w:kern w:val="0"/>
          <w:szCs w:val="20"/>
          <w:highlight w:val="none"/>
        </w:rPr>
        <w:t>（3）管线修建对植被的影响</w:t>
      </w:r>
    </w:p>
    <w:p w14:paraId="1931E056">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eastAsia" w:cs="Times New Roman"/>
          <w:color w:val="auto"/>
          <w:kern w:val="0"/>
          <w:szCs w:val="20"/>
          <w:highlight w:val="none"/>
          <w:lang w:val="en-US" w:eastAsia="zh-CN"/>
        </w:rPr>
        <w:t>本项目侧钻老井管线均利旧，新建</w:t>
      </w:r>
      <w:r>
        <w:rPr>
          <w:rFonts w:hint="eastAsia"/>
          <w:color w:val="auto"/>
          <w:highlight w:val="none"/>
        </w:rPr>
        <w:t>TH102117X井</w:t>
      </w:r>
      <w:r>
        <w:rPr>
          <w:rFonts w:hint="eastAsia"/>
          <w:color w:val="auto"/>
          <w:highlight w:val="none"/>
          <w:lang w:val="en-US" w:eastAsia="zh-CN"/>
        </w:rPr>
        <w:t>采油管线、掺稀管线、燃料气管线同沟敷设，</w:t>
      </w:r>
      <w:r>
        <w:rPr>
          <w:rFonts w:hint="default" w:ascii="Times New Roman" w:hAnsi="Times New Roman" w:eastAsia="宋体" w:cs="Times New Roman"/>
          <w:color w:val="auto"/>
          <w:kern w:val="0"/>
          <w:szCs w:val="20"/>
          <w:highlight w:val="none"/>
        </w:rPr>
        <w:t>开挖管沟</w:t>
      </w:r>
      <w:r>
        <w:rPr>
          <w:rFonts w:hint="eastAsia" w:cs="Times New Roman"/>
          <w:color w:val="auto"/>
          <w:kern w:val="0"/>
          <w:szCs w:val="20"/>
          <w:highlight w:val="none"/>
          <w:lang w:val="en-US" w:eastAsia="zh-CN"/>
        </w:rPr>
        <w:t>601</w:t>
      </w:r>
      <w:r>
        <w:rPr>
          <w:rFonts w:hint="default" w:ascii="Times New Roman" w:hAnsi="Times New Roman" w:eastAsia="宋体" w:cs="Times New Roman"/>
          <w:color w:val="auto"/>
          <w:kern w:val="0"/>
          <w:szCs w:val="20"/>
          <w:highlight w:val="none"/>
        </w:rPr>
        <w:t>m，</w:t>
      </w:r>
      <w:r>
        <w:rPr>
          <w:rFonts w:hint="eastAsia" w:cs="Times New Roman"/>
          <w:color w:val="auto"/>
          <w:kern w:val="0"/>
          <w:szCs w:val="20"/>
          <w:highlight w:val="none"/>
          <w:lang w:val="en-US" w:eastAsia="zh-CN"/>
        </w:rPr>
        <w:t>施工作业带宽度7m。</w:t>
      </w:r>
      <w:r>
        <w:rPr>
          <w:rFonts w:hint="default" w:ascii="Times New Roman" w:hAnsi="Times New Roman" w:eastAsia="宋体" w:cs="Times New Roman"/>
          <w:color w:val="auto"/>
          <w:kern w:val="0"/>
          <w:szCs w:val="20"/>
          <w:highlight w:val="none"/>
        </w:rPr>
        <w:t>管道建设中管沟部分的植被将被彻底清除，管线施工完成后，由于很少再次进行干扰，其地表进行平整后，草本植物会逐渐恢复。</w:t>
      </w:r>
    </w:p>
    <w:p w14:paraId="507360EE">
      <w:pPr>
        <w:widowControl/>
        <w:spacing w:line="360" w:lineRule="auto"/>
        <w:ind w:firstLine="482" w:firstLineChars="200"/>
        <w:jc w:val="both"/>
        <w:rPr>
          <w:rFonts w:hint="default" w:ascii="Times New Roman" w:hAnsi="Times New Roman" w:eastAsia="宋体" w:cs="Times New Roman"/>
          <w:b/>
          <w:bCs/>
          <w:color w:val="auto"/>
          <w:kern w:val="0"/>
          <w:szCs w:val="20"/>
          <w:highlight w:val="none"/>
        </w:rPr>
      </w:pPr>
      <w:r>
        <w:rPr>
          <w:rFonts w:hint="default" w:ascii="Times New Roman" w:hAnsi="Times New Roman" w:eastAsia="宋体" w:cs="Times New Roman"/>
          <w:b/>
          <w:bCs/>
          <w:color w:val="auto"/>
          <w:kern w:val="0"/>
          <w:szCs w:val="20"/>
          <w:highlight w:val="none"/>
        </w:rPr>
        <w:t>（4）石油类污染对植被的影响</w:t>
      </w:r>
    </w:p>
    <w:p w14:paraId="24B2B9D3">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在油田开发过程中石油类对植被的污染途径主要有两种：一是落地油先污染土壤，改变其结构和性状，使生长其上的植被间接</w:t>
      </w:r>
      <w:r>
        <w:rPr>
          <w:rFonts w:hint="eastAsia" w:cs="Times New Roman"/>
          <w:color w:val="auto"/>
          <w:kern w:val="0"/>
          <w:szCs w:val="20"/>
          <w:highlight w:val="none"/>
          <w:lang w:eastAsia="zh-CN"/>
        </w:rPr>
        <w:t>地</w:t>
      </w:r>
      <w:r>
        <w:rPr>
          <w:rFonts w:hint="default" w:ascii="Times New Roman" w:hAnsi="Times New Roman" w:eastAsia="宋体" w:cs="Times New Roman"/>
          <w:color w:val="auto"/>
          <w:kern w:val="0"/>
          <w:szCs w:val="20"/>
          <w:highlight w:val="none"/>
        </w:rPr>
        <w:t>受到影响；二是钻井及生产过程中不慎将原油溅落在植物体上，影响其生理功能，使植物生长发育受阻，严重时导致植物的死亡。</w:t>
      </w:r>
    </w:p>
    <w:p w14:paraId="76696DF6">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根据对以往油田资料的分析及实地勘察，石油类在土壤中0～20cm土层中残留量最大，污染源对植被影响范围在50m左右，50m以外植物体内石油类含量接近背景值，植被生长良好。该区植物极为稀少，所以地表石油类污染不会使植被受到明显伤害。</w:t>
      </w:r>
    </w:p>
    <w:p w14:paraId="2399EDC1">
      <w:pPr>
        <w:widowControl/>
        <w:spacing w:line="360" w:lineRule="auto"/>
        <w:ind w:firstLine="482" w:firstLineChars="200"/>
        <w:jc w:val="both"/>
        <w:rPr>
          <w:rFonts w:hint="default" w:ascii="Times New Roman" w:hAnsi="Times New Roman" w:eastAsia="宋体" w:cs="Times New Roman"/>
          <w:b/>
          <w:bCs/>
          <w:color w:val="auto"/>
          <w:kern w:val="0"/>
          <w:szCs w:val="20"/>
          <w:highlight w:val="none"/>
        </w:rPr>
      </w:pPr>
      <w:r>
        <w:rPr>
          <w:rFonts w:hint="default" w:ascii="Times New Roman" w:hAnsi="Times New Roman" w:eastAsia="宋体" w:cs="Times New Roman"/>
          <w:b/>
          <w:bCs/>
          <w:color w:val="auto"/>
          <w:kern w:val="0"/>
          <w:szCs w:val="20"/>
          <w:highlight w:val="none"/>
        </w:rPr>
        <w:t>（5）人类活动对植被的影响</w:t>
      </w:r>
    </w:p>
    <w:p w14:paraId="7509F1CE">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油田开发建设过程中大量人员、机械进入荒漠区，使荒漠环境中人类活动频率大幅度增加，对植被的影响主要表现在人类和机械对植物的践踏、碾压和砍伐，使原生植被生境发生较大变化。荒漠区单位面积上人口密度的增加将导致工程开发范围内及边缘区域地表土壤被践踏和自然植被覆盖率减少，使工程区域内局部地带沙漠化的可能性增加，从而形成次生沙漠化。</w:t>
      </w:r>
    </w:p>
    <w:p w14:paraId="3E472DB5">
      <w:pPr>
        <w:widowControl/>
        <w:spacing w:line="360" w:lineRule="auto"/>
        <w:ind w:firstLine="482" w:firstLineChars="200"/>
        <w:jc w:val="both"/>
        <w:rPr>
          <w:rFonts w:hint="default" w:ascii="Times New Roman" w:hAnsi="Times New Roman" w:eastAsia="宋体" w:cs="Times New Roman"/>
          <w:b/>
          <w:bCs/>
          <w:color w:val="auto"/>
          <w:kern w:val="0"/>
          <w:szCs w:val="20"/>
          <w:highlight w:val="none"/>
        </w:rPr>
      </w:pPr>
      <w:r>
        <w:rPr>
          <w:rFonts w:hint="default" w:ascii="Times New Roman" w:hAnsi="Times New Roman" w:eastAsia="宋体" w:cs="Times New Roman"/>
          <w:b/>
          <w:bCs/>
          <w:color w:val="auto"/>
          <w:kern w:val="0"/>
          <w:szCs w:val="20"/>
          <w:highlight w:val="none"/>
        </w:rPr>
        <w:t>（6）大气污染物的影响</w:t>
      </w:r>
    </w:p>
    <w:p w14:paraId="519234E9">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油田开发初期，大气污染物主要是来自钻机产生的废气，废气中主要含有TSP、NO</w:t>
      </w:r>
      <w:r>
        <w:rPr>
          <w:rFonts w:hint="default" w:ascii="Times New Roman" w:hAnsi="Times New Roman" w:eastAsia="宋体" w:cs="Times New Roman"/>
          <w:color w:val="auto"/>
          <w:kern w:val="0"/>
          <w:szCs w:val="20"/>
          <w:highlight w:val="none"/>
          <w:vertAlign w:val="subscript"/>
        </w:rPr>
        <w:t>2</w:t>
      </w:r>
      <w:r>
        <w:rPr>
          <w:rFonts w:hint="default" w:ascii="Times New Roman" w:hAnsi="Times New Roman" w:eastAsia="宋体" w:cs="Times New Roman"/>
          <w:color w:val="auto"/>
          <w:kern w:val="0"/>
          <w:szCs w:val="20"/>
          <w:highlight w:val="none"/>
        </w:rPr>
        <w:t>、SO</w:t>
      </w:r>
      <w:r>
        <w:rPr>
          <w:rFonts w:hint="default" w:ascii="Times New Roman" w:hAnsi="Times New Roman" w:eastAsia="宋体" w:cs="Times New Roman"/>
          <w:color w:val="auto"/>
          <w:kern w:val="0"/>
          <w:szCs w:val="20"/>
          <w:highlight w:val="none"/>
          <w:vertAlign w:val="subscript"/>
        </w:rPr>
        <w:t>2</w:t>
      </w:r>
      <w:r>
        <w:rPr>
          <w:rFonts w:hint="default" w:ascii="Times New Roman" w:hAnsi="Times New Roman" w:eastAsia="宋体" w:cs="Times New Roman"/>
          <w:color w:val="auto"/>
          <w:kern w:val="0"/>
          <w:szCs w:val="20"/>
          <w:highlight w:val="none"/>
        </w:rPr>
        <w:t>、CO等有害成分，而在生产运营期产生的大气污染物主要有无组织释放的烃类气体等。在这些污染物中能对植物产生影响的主要为NO</w:t>
      </w:r>
      <w:r>
        <w:rPr>
          <w:rFonts w:hint="default" w:ascii="Times New Roman" w:hAnsi="Times New Roman" w:eastAsia="宋体" w:cs="Times New Roman"/>
          <w:color w:val="auto"/>
          <w:kern w:val="0"/>
          <w:szCs w:val="20"/>
          <w:highlight w:val="none"/>
          <w:vertAlign w:val="subscript"/>
        </w:rPr>
        <w:t>2</w:t>
      </w:r>
      <w:r>
        <w:rPr>
          <w:rFonts w:hint="default" w:ascii="Times New Roman" w:hAnsi="Times New Roman" w:eastAsia="宋体" w:cs="Times New Roman"/>
          <w:color w:val="auto"/>
          <w:kern w:val="0"/>
          <w:szCs w:val="20"/>
          <w:highlight w:val="none"/>
        </w:rPr>
        <w:t>、SO</w:t>
      </w:r>
      <w:r>
        <w:rPr>
          <w:rFonts w:hint="default" w:ascii="Times New Roman" w:hAnsi="Times New Roman" w:eastAsia="宋体" w:cs="Times New Roman"/>
          <w:color w:val="auto"/>
          <w:kern w:val="0"/>
          <w:szCs w:val="20"/>
          <w:highlight w:val="none"/>
          <w:vertAlign w:val="subscript"/>
        </w:rPr>
        <w:t>2</w:t>
      </w:r>
      <w:r>
        <w:rPr>
          <w:rFonts w:hint="default" w:ascii="Times New Roman" w:hAnsi="Times New Roman" w:eastAsia="宋体" w:cs="Times New Roman"/>
          <w:color w:val="auto"/>
          <w:kern w:val="0"/>
          <w:szCs w:val="20"/>
          <w:highlight w:val="none"/>
        </w:rPr>
        <w:t>及施工期的空气扬尘。</w:t>
      </w:r>
    </w:p>
    <w:p w14:paraId="043E630A">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SO</w:t>
      </w:r>
      <w:r>
        <w:rPr>
          <w:rFonts w:hint="default" w:ascii="Times New Roman" w:hAnsi="Times New Roman" w:eastAsia="宋体" w:cs="Times New Roman"/>
          <w:color w:val="auto"/>
          <w:kern w:val="0"/>
          <w:szCs w:val="20"/>
          <w:highlight w:val="none"/>
          <w:vertAlign w:val="subscript"/>
        </w:rPr>
        <w:t>2</w:t>
      </w:r>
      <w:r>
        <w:rPr>
          <w:rFonts w:hint="default" w:ascii="Times New Roman" w:hAnsi="Times New Roman" w:eastAsia="宋体" w:cs="Times New Roman"/>
          <w:color w:val="auto"/>
          <w:kern w:val="0"/>
          <w:szCs w:val="20"/>
          <w:highlight w:val="none"/>
        </w:rPr>
        <w:t>可通过叶片气孔进入植物体，形成亚硫酸离子，当它超过植物自净能力时，将会破坏叶肉组织，使叶片水分减少失绿，严重时细胞发生质壁分离，叶片逐渐枯萎，植物慢慢死亡。</w:t>
      </w:r>
    </w:p>
    <w:p w14:paraId="465497F0">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NO</w:t>
      </w:r>
      <w:r>
        <w:rPr>
          <w:rFonts w:hint="default" w:ascii="Times New Roman" w:hAnsi="Times New Roman" w:eastAsia="宋体" w:cs="Times New Roman"/>
          <w:color w:val="auto"/>
          <w:kern w:val="0"/>
          <w:szCs w:val="20"/>
          <w:highlight w:val="none"/>
          <w:vertAlign w:val="subscript"/>
        </w:rPr>
        <w:t>x</w:t>
      </w:r>
      <w:r>
        <w:rPr>
          <w:rFonts w:hint="default" w:ascii="Times New Roman" w:hAnsi="Times New Roman" w:eastAsia="宋体" w:cs="Times New Roman"/>
          <w:color w:val="auto"/>
          <w:kern w:val="0"/>
          <w:szCs w:val="20"/>
          <w:highlight w:val="none"/>
        </w:rPr>
        <w:t>对植物的伤害表现在叶肉组织内部的细胞上。植物通过气孔吸收了大气中的氮氧化物，随后污染物由气态变为液态，改变了细胞及其周围的pH值，引起细胞结构变化，光合作用降低，植物的生长活性受到影响。</w:t>
      </w:r>
    </w:p>
    <w:p w14:paraId="05C627F3">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在油田开发建设中的扬尘颗粒物降落在植物叶片表面以干粉尘、泥膜的形式积累、堵塞气孔，导致气体交换减少，叶片温度升高，光合作用下降，叶片黄化萎缩。</w:t>
      </w:r>
    </w:p>
    <w:p w14:paraId="28A43299">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大气污染物对植物的损害程度还决定于其环境内风、光、温度、土壤和地形特点，油田区夏季白天气温高，气孔易打开，容易吸收有毒物质，因而污染物夏季对植被的危害比冬季大，白天的污染造成的后果比夜间严重。总体来说，多风、少雨、干旱、地形开阔的自然条件使大气污染物易于扩散，工程中污染源比较分散，因此在正常情况下污染物浓度不会太高，大气污染物对植被的影响不大。</w:t>
      </w:r>
    </w:p>
    <w:p w14:paraId="14945B1F">
      <w:pPr>
        <w:widowControl/>
        <w:spacing w:line="360" w:lineRule="auto"/>
        <w:ind w:firstLine="482" w:firstLineChars="200"/>
        <w:jc w:val="both"/>
        <w:rPr>
          <w:rFonts w:hint="default" w:ascii="Times New Roman" w:hAnsi="Times New Roman" w:eastAsia="宋体" w:cs="Times New Roman"/>
          <w:b/>
          <w:bCs/>
          <w:color w:val="auto"/>
          <w:kern w:val="0"/>
          <w:szCs w:val="20"/>
          <w:highlight w:val="none"/>
        </w:rPr>
      </w:pPr>
      <w:r>
        <w:rPr>
          <w:rFonts w:hint="default" w:ascii="Times New Roman" w:hAnsi="Times New Roman" w:eastAsia="宋体" w:cs="Times New Roman"/>
          <w:b/>
          <w:bCs/>
          <w:color w:val="auto"/>
          <w:kern w:val="0"/>
          <w:szCs w:val="20"/>
          <w:highlight w:val="none"/>
        </w:rPr>
        <w:t>（7）事故排放对植被的影响</w:t>
      </w:r>
    </w:p>
    <w:p w14:paraId="6C27AFEF">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油田开发建设项目中对生态环境造成严重破坏的主要事故类型为井喷和原油泄漏，其产生的污染物排放均会对</w:t>
      </w:r>
      <w:r>
        <w:rPr>
          <w:rFonts w:hint="eastAsia" w:cs="Times New Roman"/>
          <w:color w:val="auto"/>
          <w:kern w:val="0"/>
          <w:szCs w:val="20"/>
          <w:highlight w:val="none"/>
          <w:lang w:val="en-US" w:eastAsia="zh-CN"/>
        </w:rPr>
        <w:t>评价</w:t>
      </w:r>
      <w:r>
        <w:rPr>
          <w:rFonts w:hint="default" w:ascii="Times New Roman" w:hAnsi="Times New Roman" w:eastAsia="宋体" w:cs="Times New Roman"/>
          <w:color w:val="auto"/>
          <w:kern w:val="0"/>
          <w:szCs w:val="20"/>
          <w:highlight w:val="none"/>
        </w:rPr>
        <w:t>范围内的植被造成不同程度的影响，影响程度与发生事故时泄漏的油量及是否发生火灾有很大关系。植被体上附着的原油越多，死亡率就越高，而且草本植被比乔、灌木更敏感，更易受到致命的影响。如果发生火灾，则植被的地上部分会完全被毁，但如果土壤环境未被破坏，第二年会重新发芽生长。</w:t>
      </w:r>
    </w:p>
    <w:p w14:paraId="7F29B3EE">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rPr>
      </w:pPr>
      <w:r>
        <w:rPr>
          <w:rFonts w:hint="default" w:ascii="Times New Roman" w:hAnsi="Times New Roman" w:eastAsia="宋体" w:cs="Times New Roman"/>
          <w:b/>
          <w:color w:val="auto"/>
          <w:kern w:val="0"/>
          <w:szCs w:val="20"/>
          <w:highlight w:val="none"/>
        </w:rPr>
        <w:t>5.1.2.3对野生动物的影响分析</w:t>
      </w:r>
    </w:p>
    <w:p w14:paraId="62AAB678">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油田开发建设对野生动物生存环境、分布范围和种群数量的影响主要分为直接影响和间接影响两个方面。直接影响主要表现为建设工程占地，使野生动物的原始生存环境被破坏或改变；间接影响主要表现为由于植被的减少或污染破坏而引起野生动物食物来源减少。</w:t>
      </w:r>
      <w:r>
        <w:rPr>
          <w:rFonts w:hint="default" w:ascii="Times New Roman" w:hAnsi="Times New Roman" w:cs="Times New Roman"/>
          <w:color w:val="auto"/>
          <w:kern w:val="0"/>
          <w:szCs w:val="20"/>
          <w:highlight w:val="none"/>
          <w:lang w:eastAsia="zh-CN"/>
        </w:rPr>
        <w:t>本项目</w:t>
      </w:r>
      <w:r>
        <w:rPr>
          <w:rFonts w:hint="default" w:ascii="Times New Roman" w:hAnsi="Times New Roman" w:eastAsia="宋体" w:cs="Times New Roman"/>
          <w:color w:val="auto"/>
          <w:kern w:val="0"/>
          <w:szCs w:val="20"/>
          <w:highlight w:val="none"/>
        </w:rPr>
        <w:t>所在区域重点保护野生动物有塔里木兔、鹅喉羚、沙狐等，现场调查期间，在项目占地区域未发现其踪迹，且由于评价区域不是动物的唯一栖息地，故该建设项目对动物区域性生境不产生明显影响。</w:t>
      </w:r>
    </w:p>
    <w:p w14:paraId="06605B26">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在施工生产过程中，由于油田机械设备的轰鸣声惊扰，大多数野生脊椎动物种类将避行远离，使区域内单位面积上的动物种群数量下降，但此类影响对爬行类和小型啮齿类动物的干扰不大。一些伴人型鸟类如麻雀、乌鸦、喜鹊等，一般在离作业区50m以远处活动，待无噪声干扰时较常见于人类生活区附近。因此，随着</w:t>
      </w:r>
      <w:r>
        <w:rPr>
          <w:rFonts w:hint="default" w:ascii="Times New Roman" w:hAnsi="Times New Roman" w:cs="Times New Roman"/>
          <w:color w:val="auto"/>
          <w:kern w:val="0"/>
          <w:szCs w:val="20"/>
          <w:highlight w:val="none"/>
          <w:lang w:eastAsia="zh-CN"/>
        </w:rPr>
        <w:t>本项目</w:t>
      </w:r>
      <w:r>
        <w:rPr>
          <w:rFonts w:hint="default" w:ascii="Times New Roman" w:hAnsi="Times New Roman" w:eastAsia="宋体" w:cs="Times New Roman"/>
          <w:color w:val="auto"/>
          <w:kern w:val="0"/>
          <w:szCs w:val="20"/>
          <w:highlight w:val="none"/>
        </w:rPr>
        <w:t>钻井建设的各个过程，塔河油田内野生动物的种类和数量发生一定的变化，原有的荒漠型鸟类和大型哺乳类将逐渐避开人类活动的干扰迁至其它区域，而常见的伴人型野生动物种类有所增加。</w:t>
      </w:r>
    </w:p>
    <w:p w14:paraId="40BB12BE">
      <w:pPr>
        <w:widowControl/>
        <w:spacing w:line="360" w:lineRule="auto"/>
        <w:ind w:firstLine="482" w:firstLineChars="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塔河油田已开发多年，因而大型的野生脊椎动物早已离开此地，因而此次油田开发所影响的只是一些爬行类和鸟类。</w:t>
      </w:r>
    </w:p>
    <w:p w14:paraId="40AD10B4">
      <w:pPr>
        <w:keepLines/>
        <w:widowControl/>
        <w:adjustRightInd w:val="0"/>
        <w:snapToGrid w:val="0"/>
        <w:spacing w:line="360" w:lineRule="auto"/>
        <w:ind w:firstLine="0" w:firstLineChars="0"/>
        <w:jc w:val="both"/>
        <w:outlineLvl w:val="3"/>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b/>
          <w:color w:val="auto"/>
          <w:kern w:val="0"/>
          <w:szCs w:val="20"/>
          <w:highlight w:val="none"/>
        </w:rPr>
        <w:t>5.1.2.4防沙治沙影响分析</w:t>
      </w:r>
    </w:p>
    <w:p w14:paraId="7DFEEA8F">
      <w:pPr>
        <w:widowControl/>
        <w:spacing w:line="360" w:lineRule="auto"/>
        <w:ind w:firstLine="480" w:firstLineChars="200"/>
        <w:jc w:val="both"/>
        <w:rPr>
          <w:rFonts w:hint="default" w:ascii="Times New Roman" w:hAnsi="Times New Roman" w:cs="Times New Roman"/>
          <w:color w:val="auto"/>
          <w:kern w:val="0"/>
          <w:szCs w:val="20"/>
          <w:highlight w:val="none"/>
          <w:lang w:eastAsia="zh-CN"/>
        </w:rPr>
      </w:pPr>
      <w:r>
        <w:rPr>
          <w:rFonts w:hint="default" w:ascii="Times New Roman" w:hAnsi="Times New Roman" w:cs="Times New Roman"/>
          <w:color w:val="auto"/>
          <w:kern w:val="0"/>
          <w:szCs w:val="20"/>
          <w:highlight w:val="none"/>
          <w:lang w:eastAsia="zh-CN"/>
        </w:rPr>
        <w:t>本</w:t>
      </w:r>
      <w:r>
        <w:rPr>
          <w:rFonts w:hint="eastAsia" w:ascii="Times New Roman" w:hAnsi="Times New Roman" w:cs="Times New Roman"/>
          <w:color w:val="auto"/>
          <w:kern w:val="0"/>
          <w:szCs w:val="20"/>
          <w:highlight w:val="none"/>
          <w:lang w:val="en-US" w:eastAsia="zh-CN"/>
        </w:rPr>
        <w:t>项目</w:t>
      </w:r>
      <w:r>
        <w:rPr>
          <w:rFonts w:hint="default" w:ascii="Times New Roman" w:hAnsi="Times New Roman" w:cs="Times New Roman"/>
          <w:color w:val="auto"/>
          <w:kern w:val="0"/>
          <w:szCs w:val="20"/>
          <w:highlight w:val="none"/>
          <w:lang w:eastAsia="zh-CN"/>
        </w:rPr>
        <w:t>位于塔里木河上中游乔灌草及胡杨林保护生态功能区，根据《新疆维吾尔自治区防沙治沙规划（2021-2030）》，本</w:t>
      </w:r>
      <w:r>
        <w:rPr>
          <w:rFonts w:hint="eastAsia" w:ascii="Times New Roman" w:hAnsi="Times New Roman" w:cs="Times New Roman"/>
          <w:color w:val="auto"/>
          <w:kern w:val="0"/>
          <w:szCs w:val="20"/>
          <w:highlight w:val="none"/>
          <w:lang w:val="en-US" w:eastAsia="zh-CN"/>
        </w:rPr>
        <w:t>项目</w:t>
      </w:r>
      <w:r>
        <w:rPr>
          <w:rFonts w:hint="default" w:ascii="Times New Roman" w:hAnsi="Times New Roman" w:cs="Times New Roman"/>
          <w:color w:val="auto"/>
          <w:kern w:val="0"/>
          <w:szCs w:val="20"/>
          <w:highlight w:val="none"/>
          <w:lang w:eastAsia="zh-CN"/>
        </w:rPr>
        <w:t>所在区域分布有固定、半固定沙地，沙化程度为中度</w:t>
      </w:r>
      <w:r>
        <w:rPr>
          <w:rFonts w:hint="eastAsia" w:ascii="Times New Roman" w:hAnsi="Times New Roman" w:cs="Times New Roman"/>
          <w:color w:val="auto"/>
          <w:kern w:val="0"/>
          <w:szCs w:val="20"/>
          <w:highlight w:val="none"/>
          <w:lang w:eastAsia="zh-CN"/>
        </w:rPr>
        <w:t>，</w:t>
      </w:r>
      <w:r>
        <w:rPr>
          <w:rFonts w:hint="default" w:ascii="Times New Roman" w:hAnsi="Times New Roman" w:cs="Times New Roman"/>
          <w:color w:val="auto"/>
          <w:kern w:val="0"/>
          <w:szCs w:val="20"/>
          <w:highlight w:val="none"/>
          <w:lang w:eastAsia="zh-CN"/>
        </w:rPr>
        <w:t>其中TH10294CH、TH10250CH、TH10298CH等</w:t>
      </w:r>
      <w:r>
        <w:rPr>
          <w:rFonts w:hint="eastAsia" w:cs="Times New Roman"/>
          <w:color w:val="auto"/>
          <w:kern w:val="0"/>
          <w:szCs w:val="20"/>
          <w:highlight w:val="none"/>
          <w:lang w:val="en-US" w:eastAsia="zh-CN"/>
        </w:rPr>
        <w:t>3</w:t>
      </w:r>
      <w:r>
        <w:rPr>
          <w:rFonts w:hint="default" w:ascii="Times New Roman" w:hAnsi="Times New Roman" w:cs="Times New Roman"/>
          <w:color w:val="auto"/>
          <w:kern w:val="0"/>
          <w:szCs w:val="20"/>
          <w:highlight w:val="none"/>
          <w:lang w:eastAsia="zh-CN"/>
        </w:rPr>
        <w:t>口井位于沙化土地分布区。</w:t>
      </w:r>
    </w:p>
    <w:p w14:paraId="507A786A">
      <w:pPr>
        <w:widowControl/>
        <w:spacing w:line="360" w:lineRule="auto"/>
        <w:ind w:firstLine="480" w:firstLineChars="200"/>
        <w:jc w:val="both"/>
        <w:rPr>
          <w:rFonts w:hint="default" w:ascii="Times New Roman" w:hAnsi="Times New Roman" w:cs="Times New Roman"/>
          <w:color w:val="auto"/>
          <w:kern w:val="0"/>
          <w:szCs w:val="20"/>
          <w:highlight w:val="none"/>
          <w:lang w:eastAsia="zh-CN"/>
        </w:rPr>
      </w:pPr>
      <w:r>
        <w:rPr>
          <w:rFonts w:hint="default" w:ascii="Times New Roman" w:hAnsi="Times New Roman" w:cs="Times New Roman"/>
          <w:color w:val="auto"/>
          <w:kern w:val="0"/>
          <w:szCs w:val="20"/>
          <w:highlight w:val="none"/>
          <w:lang w:eastAsia="zh-CN"/>
        </w:rPr>
        <w:t>（1）有利影响</w:t>
      </w:r>
    </w:p>
    <w:p w14:paraId="1322B0A7">
      <w:pPr>
        <w:widowControl/>
        <w:spacing w:line="360" w:lineRule="auto"/>
        <w:ind w:firstLine="480" w:firstLineChars="200"/>
        <w:jc w:val="both"/>
        <w:rPr>
          <w:rFonts w:hint="default" w:ascii="Times New Roman" w:hAnsi="Times New Roman" w:cs="Times New Roman"/>
          <w:color w:val="auto"/>
          <w:kern w:val="0"/>
          <w:szCs w:val="20"/>
          <w:highlight w:val="none"/>
          <w:lang w:eastAsia="zh-CN"/>
        </w:rPr>
      </w:pPr>
      <w:r>
        <w:rPr>
          <w:rFonts w:hint="default" w:ascii="Times New Roman" w:hAnsi="Times New Roman" w:cs="Times New Roman"/>
          <w:color w:val="auto"/>
          <w:kern w:val="0"/>
          <w:szCs w:val="20"/>
          <w:highlight w:val="none"/>
          <w:lang w:eastAsia="zh-CN"/>
        </w:rPr>
        <w:t>工程施工过程中，TH10294CH、TH10250CH、TH10298CH等3口</w:t>
      </w:r>
      <w:r>
        <w:rPr>
          <w:rFonts w:hint="eastAsia" w:cs="Times New Roman"/>
          <w:color w:val="auto"/>
          <w:kern w:val="0"/>
          <w:szCs w:val="20"/>
          <w:highlight w:val="none"/>
          <w:lang w:val="en-US" w:eastAsia="zh-CN"/>
        </w:rPr>
        <w:t>侧钻老井</w:t>
      </w:r>
      <w:r>
        <w:rPr>
          <w:rFonts w:hint="default" w:ascii="Times New Roman" w:hAnsi="Times New Roman" w:cs="Times New Roman"/>
          <w:color w:val="auto"/>
          <w:kern w:val="0"/>
          <w:szCs w:val="20"/>
          <w:highlight w:val="none"/>
          <w:lang w:eastAsia="zh-CN"/>
        </w:rPr>
        <w:t>现状井场已</w:t>
      </w:r>
      <w:r>
        <w:rPr>
          <w:rFonts w:hint="eastAsia" w:cs="Times New Roman"/>
          <w:color w:val="auto"/>
          <w:kern w:val="0"/>
          <w:szCs w:val="20"/>
          <w:highlight w:val="none"/>
          <w:lang w:val="en-US" w:eastAsia="zh-CN"/>
        </w:rPr>
        <w:t>平整、垫土</w:t>
      </w:r>
      <w:r>
        <w:rPr>
          <w:rFonts w:hint="default" w:ascii="Times New Roman" w:hAnsi="Times New Roman" w:cs="Times New Roman"/>
          <w:color w:val="auto"/>
          <w:kern w:val="0"/>
          <w:szCs w:val="20"/>
          <w:highlight w:val="none"/>
          <w:lang w:eastAsia="zh-CN"/>
        </w:rPr>
        <w:t>压实并进行了砾石压盖。该区域永久设施的增加，将沙化土地转化为建设用地或采矿用地，有利于进一步增加</w:t>
      </w:r>
      <w:r>
        <w:rPr>
          <w:rFonts w:hint="eastAsia" w:cs="Times New Roman"/>
          <w:color w:val="auto"/>
          <w:kern w:val="0"/>
          <w:szCs w:val="20"/>
          <w:highlight w:val="none"/>
          <w:lang w:val="en-US" w:eastAsia="zh-CN"/>
        </w:rPr>
        <w:t>防风固沙</w:t>
      </w:r>
      <w:r>
        <w:rPr>
          <w:rFonts w:hint="default" w:ascii="Times New Roman" w:hAnsi="Times New Roman" w:cs="Times New Roman"/>
          <w:color w:val="auto"/>
          <w:kern w:val="0"/>
          <w:szCs w:val="20"/>
          <w:highlight w:val="none"/>
          <w:lang w:eastAsia="zh-CN"/>
        </w:rPr>
        <w:t>面积，沙化土地减少，对区域防沙治沙</w:t>
      </w:r>
      <w:r>
        <w:rPr>
          <w:rFonts w:hint="eastAsia" w:cs="Times New Roman"/>
          <w:color w:val="auto"/>
          <w:kern w:val="0"/>
          <w:szCs w:val="20"/>
          <w:highlight w:val="none"/>
          <w:lang w:val="en-US" w:eastAsia="zh-CN"/>
        </w:rPr>
        <w:t>工作</w:t>
      </w:r>
      <w:r>
        <w:rPr>
          <w:rFonts w:hint="default" w:ascii="Times New Roman" w:hAnsi="Times New Roman" w:cs="Times New Roman"/>
          <w:color w:val="auto"/>
          <w:kern w:val="0"/>
          <w:szCs w:val="20"/>
          <w:highlight w:val="none"/>
          <w:lang w:eastAsia="zh-CN"/>
        </w:rPr>
        <w:t>有积极影响。</w:t>
      </w:r>
    </w:p>
    <w:p w14:paraId="1F80B24F">
      <w:pPr>
        <w:widowControl/>
        <w:spacing w:line="360" w:lineRule="auto"/>
        <w:ind w:firstLine="480" w:firstLineChars="200"/>
        <w:jc w:val="both"/>
        <w:rPr>
          <w:rFonts w:hint="default" w:ascii="Times New Roman" w:hAnsi="Times New Roman" w:cs="Times New Roman"/>
          <w:color w:val="auto"/>
          <w:kern w:val="0"/>
          <w:szCs w:val="20"/>
          <w:highlight w:val="none"/>
          <w:lang w:eastAsia="zh-CN"/>
        </w:rPr>
      </w:pPr>
      <w:r>
        <w:rPr>
          <w:rFonts w:hint="default" w:ascii="Times New Roman" w:hAnsi="Times New Roman" w:cs="Times New Roman"/>
          <w:color w:val="auto"/>
          <w:kern w:val="0"/>
          <w:szCs w:val="20"/>
          <w:highlight w:val="none"/>
          <w:lang w:eastAsia="zh-CN"/>
        </w:rPr>
        <w:t>（2）不利影响</w:t>
      </w:r>
    </w:p>
    <w:p w14:paraId="0EA20588">
      <w:pPr>
        <w:widowControl/>
        <w:spacing w:line="360" w:lineRule="auto"/>
        <w:ind w:firstLine="480" w:firstLineChars="200"/>
        <w:jc w:val="both"/>
        <w:rPr>
          <w:rFonts w:hint="default" w:ascii="Times New Roman" w:hAnsi="Times New Roman" w:cs="Times New Roman"/>
          <w:color w:val="auto"/>
          <w:kern w:val="0"/>
          <w:szCs w:val="20"/>
          <w:highlight w:val="none"/>
          <w:lang w:eastAsia="zh-CN"/>
        </w:rPr>
      </w:pPr>
      <w:r>
        <w:rPr>
          <w:rFonts w:hint="default" w:ascii="Times New Roman" w:hAnsi="Times New Roman" w:cs="Times New Roman"/>
          <w:color w:val="auto"/>
          <w:kern w:val="0"/>
          <w:szCs w:val="20"/>
          <w:highlight w:val="none"/>
          <w:lang w:eastAsia="zh-CN"/>
        </w:rPr>
        <w:t>工程实施对区域防沙治沙的不利影响主要表现在施工期</w:t>
      </w:r>
      <w:r>
        <w:rPr>
          <w:rFonts w:hint="eastAsia" w:cs="Times New Roman"/>
          <w:color w:val="auto"/>
          <w:kern w:val="0"/>
          <w:szCs w:val="20"/>
          <w:highlight w:val="none"/>
          <w:lang w:val="en-US" w:eastAsia="zh-CN"/>
        </w:rPr>
        <w:t>新增井场临时占地</w:t>
      </w:r>
      <w:r>
        <w:rPr>
          <w:rFonts w:hint="default" w:ascii="Times New Roman" w:hAnsi="Times New Roman" w:cs="Times New Roman"/>
          <w:color w:val="auto"/>
          <w:kern w:val="0"/>
          <w:szCs w:val="20"/>
          <w:highlight w:val="none"/>
          <w:lang w:eastAsia="zh-CN"/>
        </w:rPr>
        <w:t>造成的</w:t>
      </w:r>
      <w:r>
        <w:rPr>
          <w:rFonts w:hint="eastAsia" w:cs="Times New Roman"/>
          <w:color w:val="auto"/>
          <w:kern w:val="0"/>
          <w:szCs w:val="20"/>
          <w:highlight w:val="none"/>
          <w:lang w:val="en-US" w:eastAsia="zh-CN"/>
        </w:rPr>
        <w:t>固沙</w:t>
      </w:r>
      <w:r>
        <w:rPr>
          <w:rFonts w:hint="default" w:ascii="Times New Roman" w:hAnsi="Times New Roman" w:cs="Times New Roman"/>
          <w:color w:val="auto"/>
          <w:kern w:val="0"/>
          <w:szCs w:val="20"/>
          <w:highlight w:val="none"/>
          <w:lang w:eastAsia="zh-CN"/>
        </w:rPr>
        <w:t>植物破坏、地表生态结皮的破坏及运营期巡线车辆造成的风沙扬尘影响。根据现场调查，区域已有建设用地外的土地在原自然状态下已形成一层相对稳定的生态结皮，成分主要为地上</w:t>
      </w:r>
      <w:r>
        <w:rPr>
          <w:rFonts w:hint="eastAsia" w:cs="Times New Roman"/>
          <w:color w:val="auto"/>
          <w:kern w:val="0"/>
          <w:szCs w:val="20"/>
          <w:highlight w:val="none"/>
          <w:lang w:val="en-US" w:eastAsia="zh-CN"/>
        </w:rPr>
        <w:t>柽柳</w:t>
      </w:r>
      <w:r>
        <w:rPr>
          <w:rFonts w:hint="default" w:ascii="Times New Roman" w:hAnsi="Times New Roman" w:cs="Times New Roman"/>
          <w:color w:val="auto"/>
          <w:kern w:val="0"/>
          <w:szCs w:val="20"/>
          <w:highlight w:val="none"/>
          <w:lang w:eastAsia="zh-CN"/>
        </w:rPr>
        <w:t>等沙生植物长期演变产生的落积层、沙生植物的根须层以及干旱气候背景下强蒸降比等因素导致的盐析作用产生的盐碱层。</w:t>
      </w:r>
    </w:p>
    <w:p w14:paraId="6E38A29C">
      <w:pPr>
        <w:widowControl/>
        <w:spacing w:line="360" w:lineRule="auto"/>
        <w:ind w:firstLine="480" w:firstLineChars="200"/>
        <w:jc w:val="both"/>
        <w:rPr>
          <w:rFonts w:hint="default" w:ascii="Times New Roman" w:hAnsi="Times New Roman" w:cs="Times New Roman"/>
          <w:color w:val="auto"/>
          <w:kern w:val="0"/>
          <w:szCs w:val="20"/>
          <w:highlight w:val="none"/>
          <w:lang w:eastAsia="zh-CN"/>
        </w:rPr>
      </w:pPr>
      <w:r>
        <w:rPr>
          <w:rFonts w:hint="default" w:ascii="Times New Roman" w:hAnsi="Times New Roman" w:cs="Times New Roman"/>
          <w:color w:val="auto"/>
          <w:kern w:val="0"/>
          <w:szCs w:val="20"/>
          <w:highlight w:val="none"/>
          <w:lang w:eastAsia="zh-CN"/>
        </w:rPr>
        <w:t>工程施工期新增井场临时占地</w:t>
      </w:r>
      <w:r>
        <w:rPr>
          <w:rFonts w:hint="eastAsia" w:cs="Times New Roman"/>
          <w:color w:val="auto"/>
          <w:kern w:val="0"/>
          <w:szCs w:val="20"/>
          <w:highlight w:val="none"/>
          <w:lang w:val="en-US" w:eastAsia="zh-CN"/>
        </w:rPr>
        <w:t>导致</w:t>
      </w:r>
      <w:r>
        <w:rPr>
          <w:rFonts w:hint="default" w:ascii="Times New Roman" w:hAnsi="Times New Roman" w:cs="Times New Roman"/>
          <w:color w:val="auto"/>
          <w:kern w:val="0"/>
          <w:szCs w:val="20"/>
          <w:highlight w:val="none"/>
          <w:lang w:eastAsia="zh-CN"/>
        </w:rPr>
        <w:t>2.61hm</w:t>
      </w:r>
      <w:r>
        <w:rPr>
          <w:rFonts w:hint="default" w:ascii="Times New Roman" w:hAnsi="Times New Roman" w:cs="Times New Roman"/>
          <w:color w:val="auto"/>
          <w:kern w:val="0"/>
          <w:szCs w:val="20"/>
          <w:highlight w:val="none"/>
          <w:vertAlign w:val="superscript"/>
          <w:lang w:eastAsia="zh-CN"/>
        </w:rPr>
        <w:t>2</w:t>
      </w:r>
      <w:r>
        <w:rPr>
          <w:rFonts w:hint="default" w:ascii="Times New Roman" w:hAnsi="Times New Roman" w:cs="Times New Roman"/>
          <w:color w:val="auto"/>
          <w:kern w:val="0"/>
          <w:szCs w:val="20"/>
          <w:highlight w:val="none"/>
          <w:lang w:eastAsia="zh-CN"/>
        </w:rPr>
        <w:t>刚毛柽柳荒漠</w:t>
      </w:r>
      <w:r>
        <w:rPr>
          <w:rFonts w:hint="eastAsia" w:cs="Times New Roman"/>
          <w:color w:val="auto"/>
          <w:kern w:val="0"/>
          <w:szCs w:val="20"/>
          <w:highlight w:val="none"/>
          <w:lang w:val="en-US" w:eastAsia="zh-CN"/>
        </w:rPr>
        <w:t>及疏叶骆驼刺草甸</w:t>
      </w:r>
      <w:r>
        <w:rPr>
          <w:rFonts w:hint="default" w:ascii="Times New Roman" w:hAnsi="Times New Roman" w:cs="Times New Roman"/>
          <w:color w:val="auto"/>
          <w:kern w:val="0"/>
          <w:szCs w:val="20"/>
          <w:highlight w:val="none"/>
          <w:lang w:eastAsia="zh-CN"/>
        </w:rPr>
        <w:t>土地面积的减少，占评价区域</w:t>
      </w:r>
      <w:r>
        <w:rPr>
          <w:rFonts w:hint="eastAsia" w:cs="Times New Roman"/>
          <w:color w:val="auto"/>
          <w:kern w:val="0"/>
          <w:szCs w:val="20"/>
          <w:highlight w:val="none"/>
          <w:lang w:val="en-US" w:eastAsia="zh-CN"/>
        </w:rPr>
        <w:t>总</w:t>
      </w:r>
      <w:r>
        <w:rPr>
          <w:rFonts w:hint="default" w:ascii="Times New Roman" w:hAnsi="Times New Roman" w:cs="Times New Roman"/>
          <w:color w:val="auto"/>
          <w:kern w:val="0"/>
          <w:szCs w:val="20"/>
          <w:highlight w:val="none"/>
          <w:lang w:eastAsia="zh-CN"/>
        </w:rPr>
        <w:t>面积的0.5</w:t>
      </w:r>
      <w:r>
        <w:rPr>
          <w:rFonts w:hint="eastAsia" w:cs="Times New Roman"/>
          <w:color w:val="auto"/>
          <w:kern w:val="0"/>
          <w:szCs w:val="20"/>
          <w:highlight w:val="none"/>
          <w:lang w:val="en-US" w:eastAsia="zh-CN"/>
        </w:rPr>
        <w:t>4</w:t>
      </w:r>
      <w:r>
        <w:rPr>
          <w:rFonts w:hint="default" w:ascii="Times New Roman" w:hAnsi="Times New Roman" w:cs="Times New Roman"/>
          <w:color w:val="auto"/>
          <w:kern w:val="0"/>
          <w:szCs w:val="20"/>
          <w:highlight w:val="none"/>
          <w:lang w:eastAsia="zh-CN"/>
        </w:rPr>
        <w:t>%，占比较小，同时建设单位按照“占补平衡”的原则向当地自然资源部门或林草部门足额缴纳占地补偿费，主管部门及时进行补种等工作，工程实施造成的沙生植物生物量减少对区域防沙治沙的不利影响在可接受范围内。</w:t>
      </w:r>
    </w:p>
    <w:p w14:paraId="14B4F0AD">
      <w:pPr>
        <w:widowControl/>
        <w:spacing w:line="360" w:lineRule="auto"/>
        <w:ind w:firstLine="480" w:firstLineChars="200"/>
        <w:jc w:val="both"/>
        <w:rPr>
          <w:rFonts w:hint="default" w:ascii="Times New Roman" w:hAnsi="Times New Roman" w:cs="Times New Roman"/>
          <w:color w:val="auto"/>
          <w:kern w:val="0"/>
          <w:szCs w:val="20"/>
          <w:highlight w:val="none"/>
          <w:lang w:eastAsia="zh-CN"/>
        </w:rPr>
      </w:pPr>
      <w:r>
        <w:rPr>
          <w:rFonts w:hint="default" w:ascii="Times New Roman" w:hAnsi="Times New Roman" w:cs="Times New Roman"/>
          <w:color w:val="auto"/>
          <w:kern w:val="0"/>
          <w:szCs w:val="20"/>
          <w:highlight w:val="none"/>
          <w:lang w:eastAsia="zh-CN"/>
        </w:rPr>
        <w:t>工程施工期新增井场临时占地2.61hm</w:t>
      </w:r>
      <w:r>
        <w:rPr>
          <w:rFonts w:hint="default" w:ascii="Times New Roman" w:hAnsi="Times New Roman" w:cs="Times New Roman"/>
          <w:color w:val="auto"/>
          <w:kern w:val="0"/>
          <w:szCs w:val="20"/>
          <w:highlight w:val="none"/>
          <w:vertAlign w:val="superscript"/>
          <w:lang w:eastAsia="zh-CN"/>
        </w:rPr>
        <w:t>2</w:t>
      </w:r>
      <w:r>
        <w:rPr>
          <w:rFonts w:hint="default" w:ascii="Times New Roman" w:hAnsi="Times New Roman" w:cs="Times New Roman"/>
          <w:color w:val="auto"/>
          <w:kern w:val="0"/>
          <w:szCs w:val="20"/>
          <w:highlight w:val="none"/>
          <w:lang w:eastAsia="zh-CN"/>
        </w:rPr>
        <w:t>，将</w:t>
      </w:r>
      <w:r>
        <w:rPr>
          <w:rFonts w:hint="eastAsia" w:cs="Times New Roman"/>
          <w:color w:val="auto"/>
          <w:kern w:val="0"/>
          <w:szCs w:val="20"/>
          <w:highlight w:val="none"/>
          <w:lang w:val="en-US" w:eastAsia="zh-CN"/>
        </w:rPr>
        <w:t>对占地</w:t>
      </w:r>
      <w:r>
        <w:rPr>
          <w:rFonts w:hint="default" w:ascii="Times New Roman" w:hAnsi="Times New Roman" w:cs="Times New Roman"/>
          <w:color w:val="auto"/>
          <w:kern w:val="0"/>
          <w:szCs w:val="20"/>
          <w:highlight w:val="none"/>
          <w:lang w:eastAsia="zh-CN"/>
        </w:rPr>
        <w:t>范围内的生态结皮层造成破坏，对区域防沙治沙产生直接影响。</w:t>
      </w:r>
      <w:r>
        <w:rPr>
          <w:rFonts w:hint="eastAsia" w:cs="Times New Roman"/>
          <w:color w:val="auto"/>
          <w:kern w:val="0"/>
          <w:szCs w:val="20"/>
          <w:highlight w:val="none"/>
          <w:lang w:val="en-US" w:eastAsia="zh-CN"/>
        </w:rPr>
        <w:t>钻井施工活动</w:t>
      </w:r>
      <w:r>
        <w:rPr>
          <w:rFonts w:hint="default" w:ascii="Times New Roman" w:hAnsi="Times New Roman" w:cs="Times New Roman"/>
          <w:color w:val="auto"/>
          <w:kern w:val="0"/>
          <w:szCs w:val="20"/>
          <w:highlight w:val="none"/>
          <w:lang w:eastAsia="zh-CN"/>
        </w:rPr>
        <w:t>将改变施工区域土地结构，使土壤侵蚀降低，为风力侵蚀提供丰富的沙源，若工程土石方堆存过程中未采取防尘网苫盖、洒水抑尘等措施，地表沙化土地遇大风天气易产生严重的扬尘，</w:t>
      </w:r>
      <w:r>
        <w:rPr>
          <w:rFonts w:hint="eastAsia" w:cs="Times New Roman"/>
          <w:color w:val="auto"/>
          <w:kern w:val="0"/>
          <w:szCs w:val="20"/>
          <w:highlight w:val="none"/>
          <w:lang w:val="en-US" w:eastAsia="zh-CN"/>
        </w:rPr>
        <w:t>加重</w:t>
      </w:r>
      <w:r>
        <w:rPr>
          <w:rFonts w:hint="default" w:ascii="Times New Roman" w:hAnsi="Times New Roman" w:cs="Times New Roman"/>
          <w:color w:val="auto"/>
          <w:kern w:val="0"/>
          <w:szCs w:val="20"/>
          <w:highlight w:val="none"/>
          <w:lang w:eastAsia="zh-CN"/>
        </w:rPr>
        <w:t>沙尘天气。随着工程建成、地表整理、弃渣清除、迹地恢复后，影响会逐步减轻。工程施工期</w:t>
      </w:r>
      <w:r>
        <w:rPr>
          <w:rFonts w:hint="eastAsia" w:cs="Times New Roman"/>
          <w:color w:val="auto"/>
          <w:kern w:val="0"/>
          <w:szCs w:val="20"/>
          <w:highlight w:val="none"/>
          <w:lang w:val="en-US" w:eastAsia="zh-CN"/>
        </w:rPr>
        <w:t>较短</w:t>
      </w:r>
      <w:r>
        <w:rPr>
          <w:rFonts w:hint="default" w:ascii="Times New Roman" w:hAnsi="Times New Roman" w:cs="Times New Roman"/>
          <w:color w:val="auto"/>
          <w:kern w:val="0"/>
          <w:szCs w:val="20"/>
          <w:highlight w:val="none"/>
          <w:lang w:eastAsia="zh-CN"/>
        </w:rPr>
        <w:t>，通过采取严格控制施工范围、尽量缩短土方施工时间、大风等恶劣天气下停止大土方作业等措施以减小对区域防沙治沙产生的短期影响，并预留充足资金，在有沙丘活化趋势的区域及时发现、及时评估、及时采取工程固沙措施进行防沙治沙。此外，施工单位在清场后在施工扰动区域采取洒水、铺砾石等措施及时恢复生态结皮层的环境衍生条件，促进新的生态结皮层尽快形成。</w:t>
      </w:r>
    </w:p>
    <w:p w14:paraId="46DB50B2">
      <w:pPr>
        <w:widowControl/>
        <w:spacing w:line="360" w:lineRule="auto"/>
        <w:ind w:firstLine="480" w:firstLineChars="200"/>
        <w:jc w:val="both"/>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cs="Times New Roman"/>
          <w:color w:val="auto"/>
          <w:kern w:val="0"/>
          <w:szCs w:val="20"/>
          <w:highlight w:val="none"/>
          <w:lang w:eastAsia="zh-CN"/>
        </w:rPr>
        <w:t>TH10294CH、TH10250CH、TH10298CH等3口侧钻老井地处</w:t>
      </w:r>
      <w:r>
        <w:rPr>
          <w:rFonts w:hint="eastAsia" w:cs="Times New Roman"/>
          <w:color w:val="auto"/>
          <w:kern w:val="0"/>
          <w:szCs w:val="20"/>
          <w:highlight w:val="none"/>
          <w:lang w:val="en-US" w:eastAsia="zh-CN"/>
        </w:rPr>
        <w:t>龟兹沙漠公园北部</w:t>
      </w:r>
      <w:r>
        <w:rPr>
          <w:rFonts w:hint="default" w:ascii="Times New Roman" w:hAnsi="Times New Roman" w:cs="Times New Roman"/>
          <w:color w:val="auto"/>
          <w:kern w:val="0"/>
          <w:szCs w:val="20"/>
          <w:highlight w:val="none"/>
          <w:lang w:eastAsia="zh-CN"/>
        </w:rPr>
        <w:t>，所在区域为刚毛柽柳荒漠及疏叶骆驼刺草甸，地表有</w:t>
      </w:r>
      <w:r>
        <w:rPr>
          <w:rFonts w:hint="eastAsia" w:cs="Times New Roman"/>
          <w:color w:val="auto"/>
          <w:kern w:val="0"/>
          <w:szCs w:val="20"/>
          <w:highlight w:val="none"/>
          <w:lang w:val="en-US" w:eastAsia="zh-CN"/>
        </w:rPr>
        <w:t>柽柳沙堆</w:t>
      </w:r>
      <w:r>
        <w:rPr>
          <w:rFonts w:hint="default" w:ascii="Times New Roman" w:hAnsi="Times New Roman" w:cs="Times New Roman"/>
          <w:color w:val="auto"/>
          <w:kern w:val="0"/>
          <w:szCs w:val="20"/>
          <w:highlight w:val="none"/>
          <w:lang w:eastAsia="zh-CN"/>
        </w:rPr>
        <w:t>分布，空气干燥，地表植被覆盖度较低，风蚀作用强烈。运营期巡线车辆及其他车辆造成的风沙扬尘将影响道路两侧的沙生植物生长条件及其生境条件，其生态功能将有所降低，从而间接对防沙治沙产生不利影响。因此在运营期建设单位需定期修缮</w:t>
      </w:r>
      <w:r>
        <w:rPr>
          <w:rFonts w:hint="eastAsia" w:cs="Times New Roman"/>
          <w:color w:val="auto"/>
          <w:kern w:val="0"/>
          <w:szCs w:val="20"/>
          <w:highlight w:val="none"/>
          <w:lang w:val="en-US" w:eastAsia="zh-CN"/>
        </w:rPr>
        <w:t>通井</w:t>
      </w:r>
      <w:r>
        <w:rPr>
          <w:rFonts w:hint="default" w:ascii="Times New Roman" w:hAnsi="Times New Roman" w:cs="Times New Roman"/>
          <w:color w:val="auto"/>
          <w:kern w:val="0"/>
          <w:szCs w:val="20"/>
          <w:highlight w:val="none"/>
          <w:lang w:eastAsia="zh-CN"/>
        </w:rPr>
        <w:t>道路，及时填补道路砂砾石，防止</w:t>
      </w:r>
      <w:r>
        <w:rPr>
          <w:rFonts w:hint="eastAsia" w:cs="Times New Roman"/>
          <w:color w:val="auto"/>
          <w:kern w:val="0"/>
          <w:szCs w:val="20"/>
          <w:highlight w:val="none"/>
          <w:lang w:eastAsia="zh-CN"/>
        </w:rPr>
        <w:t>砂层</w:t>
      </w:r>
      <w:r>
        <w:rPr>
          <w:rFonts w:hint="default" w:ascii="Times New Roman" w:hAnsi="Times New Roman" w:cs="Times New Roman"/>
          <w:color w:val="auto"/>
          <w:kern w:val="0"/>
          <w:szCs w:val="20"/>
          <w:highlight w:val="none"/>
          <w:lang w:eastAsia="zh-CN"/>
        </w:rPr>
        <w:t>裸露，同时对运行车辆采取限速的措施以减少车辆扬尘</w:t>
      </w:r>
      <w:r>
        <w:rPr>
          <w:rFonts w:hint="default" w:ascii="Times New Roman" w:hAnsi="Times New Roman" w:eastAsia="宋体" w:cs="Times New Roman"/>
          <w:color w:val="auto"/>
          <w:kern w:val="0"/>
          <w:szCs w:val="20"/>
          <w:highlight w:val="none"/>
        </w:rPr>
        <w:t>。</w:t>
      </w:r>
      <w:r>
        <w:rPr>
          <w:rFonts w:hint="eastAsia" w:cs="Times New Roman"/>
          <w:color w:val="auto"/>
          <w:kern w:val="0"/>
          <w:szCs w:val="20"/>
          <w:highlight w:val="none"/>
          <w:lang w:val="en-US" w:eastAsia="zh-CN"/>
        </w:rPr>
        <w:t>运营期对防沙治沙的影响在可接受范围内。</w:t>
      </w:r>
    </w:p>
    <w:p w14:paraId="2BDB767D">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rPr>
      </w:pPr>
      <w:r>
        <w:rPr>
          <w:rFonts w:hint="default" w:ascii="Times New Roman" w:hAnsi="Times New Roman" w:eastAsia="宋体" w:cs="Times New Roman"/>
          <w:b/>
          <w:color w:val="auto"/>
          <w:kern w:val="0"/>
          <w:szCs w:val="20"/>
          <w:highlight w:val="none"/>
        </w:rPr>
        <w:t>5.1.2.5水土流失影响分析</w:t>
      </w:r>
    </w:p>
    <w:p w14:paraId="3A5713E6">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根据《关于印发新疆维吾尔自治区级水土流失重点预防区和重点治理区复核划分成果的通知》</w:t>
      </w:r>
      <w:r>
        <w:rPr>
          <w:rFonts w:hint="eastAsia" w:cs="Times New Roman"/>
          <w:color w:val="auto"/>
          <w:kern w:val="0"/>
          <w:szCs w:val="20"/>
          <w:highlight w:val="none"/>
          <w:lang w:eastAsia="zh-CN"/>
        </w:rPr>
        <w:t>（</w:t>
      </w:r>
      <w:r>
        <w:rPr>
          <w:rFonts w:hint="default" w:ascii="Times New Roman" w:hAnsi="Times New Roman" w:eastAsia="宋体" w:cs="Times New Roman"/>
          <w:color w:val="auto"/>
          <w:kern w:val="0"/>
          <w:szCs w:val="20"/>
          <w:highlight w:val="none"/>
        </w:rPr>
        <w:t>新水水保〔2019〕4号</w:t>
      </w:r>
      <w:r>
        <w:rPr>
          <w:rFonts w:hint="eastAsia" w:cs="Times New Roman"/>
          <w:color w:val="auto"/>
          <w:kern w:val="0"/>
          <w:szCs w:val="20"/>
          <w:highlight w:val="none"/>
          <w:lang w:eastAsia="zh-CN"/>
        </w:rPr>
        <w:t>）</w:t>
      </w:r>
      <w:r>
        <w:rPr>
          <w:rFonts w:hint="default" w:ascii="Times New Roman" w:hAnsi="Times New Roman" w:eastAsia="宋体" w:cs="Times New Roman"/>
          <w:color w:val="auto"/>
          <w:kern w:val="0"/>
          <w:szCs w:val="20"/>
          <w:highlight w:val="none"/>
        </w:rPr>
        <w:t>，</w:t>
      </w: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所在区域属于</w:t>
      </w:r>
      <w:r>
        <w:rPr>
          <w:rFonts w:hint="default" w:ascii="Times New Roman" w:hAnsi="Times New Roman" w:eastAsia="宋体" w:cs="Times New Roman"/>
          <w:color w:val="auto"/>
          <w:kern w:val="0"/>
          <w:szCs w:val="20"/>
          <w:highlight w:val="none"/>
        </w:rPr>
        <w:t>塔里木河流域水土流失重点治理区</w:t>
      </w:r>
      <w:r>
        <w:rPr>
          <w:rFonts w:hint="default" w:ascii="Times New Roman" w:hAnsi="Times New Roman" w:eastAsia="宋体" w:cs="Times New Roman"/>
          <w:color w:val="auto"/>
          <w:kern w:val="0"/>
          <w:szCs w:val="20"/>
          <w:highlight w:val="none"/>
          <w:lang w:eastAsia="zh-CN"/>
        </w:rPr>
        <w:t>，</w:t>
      </w: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实施对区域水土流失影响如下：</w:t>
      </w:r>
    </w:p>
    <w:p w14:paraId="5FC25A86">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（1）土壤粗粒化</w:t>
      </w:r>
    </w:p>
    <w:p w14:paraId="677B655E">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32AB0074">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（2）土壤贫瘠及含盐量变化</w:t>
      </w:r>
    </w:p>
    <w:p w14:paraId="34552F2B">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调查，随沙化增强，盐分含量降低。</w:t>
      </w:r>
    </w:p>
    <w:p w14:paraId="470F2CF0">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（3）对油区公路、管线、井场的危害</w:t>
      </w:r>
    </w:p>
    <w:p w14:paraId="7E46198D">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项目对水土流失的影响主要发生在施工期，主要表现在：</w:t>
      </w:r>
    </w:p>
    <w:p w14:paraId="4ED928EB">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①管沟开挖过程及回填土方的堆放等活动，破坏了原有地貌及地表结皮，使原来相对稳定的表土层</w:t>
      </w:r>
      <w:r>
        <w:rPr>
          <w:rFonts w:hint="eastAsia" w:cs="Times New Roman"/>
          <w:color w:val="auto"/>
          <w:kern w:val="0"/>
          <w:szCs w:val="20"/>
          <w:highlight w:val="none"/>
          <w:lang w:eastAsia="zh-CN"/>
        </w:rPr>
        <w:t>受到</w:t>
      </w:r>
      <w:r>
        <w:rPr>
          <w:rFonts w:hint="default" w:ascii="Times New Roman" w:hAnsi="Times New Roman" w:eastAsia="宋体" w:cs="Times New Roman"/>
          <w:color w:val="auto"/>
          <w:kern w:val="0"/>
          <w:szCs w:val="20"/>
          <w:highlight w:val="none"/>
        </w:rPr>
        <w:t>不同程度的扰动和破坏，在降雨作用下，加剧水土流失，还可能加剧区域风灾天气，增加空气中粉尘含量；</w:t>
      </w:r>
    </w:p>
    <w:p w14:paraId="6387CDA9">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②管道临时占地导致施工区域地表植被减少、造成植物的生物量损失，使土壤结构疏松，并产生一定面积的裸露地面。对原地貌的扰动降低了项目临时占地范围内的土壤抗侵蚀能力，扩大侵蚀面积，诱发土壤侵蚀危害，加剧了水土流失。</w:t>
      </w:r>
    </w:p>
    <w:p w14:paraId="70FF6E6F">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eastAsia="zh-CN"/>
        </w:rPr>
        <w:t>本项目</w:t>
      </w:r>
      <w:r>
        <w:rPr>
          <w:rFonts w:hint="default" w:ascii="Times New Roman" w:hAnsi="Times New Roman" w:eastAsia="宋体" w:cs="Times New Roman"/>
          <w:color w:val="auto"/>
          <w:kern w:val="0"/>
          <w:szCs w:val="20"/>
          <w:highlight w:val="none"/>
        </w:rPr>
        <w:t>所在区域属于塔里木河流域水土流失重点治理区范围，区域</w:t>
      </w:r>
      <w:r>
        <w:rPr>
          <w:rFonts w:hint="eastAsia" w:cs="Times New Roman"/>
          <w:color w:val="auto"/>
          <w:kern w:val="0"/>
          <w:szCs w:val="20"/>
          <w:highlight w:val="none"/>
          <w:lang w:eastAsia="zh-CN"/>
        </w:rPr>
        <w:t>内地</w:t>
      </w:r>
      <w:r>
        <w:rPr>
          <w:rFonts w:hint="default" w:ascii="Times New Roman" w:hAnsi="Times New Roman" w:eastAsia="宋体" w:cs="Times New Roman"/>
          <w:color w:val="auto"/>
          <w:kern w:val="0"/>
          <w:szCs w:val="20"/>
          <w:highlight w:val="none"/>
        </w:rPr>
        <w:t>表植被分布较少，土壤侵蚀强度以轻度为主，生态环境质量较差，应加强水土保持综合治理工作，</w:t>
      </w:r>
      <w:r>
        <w:rPr>
          <w:rFonts w:hint="eastAsia" w:cs="Times New Roman"/>
          <w:color w:val="auto"/>
          <w:kern w:val="0"/>
          <w:szCs w:val="20"/>
          <w:highlight w:val="none"/>
          <w:lang w:eastAsia="zh-CN"/>
        </w:rPr>
        <w:t>减少</w:t>
      </w:r>
      <w:r>
        <w:rPr>
          <w:rFonts w:hint="default" w:ascii="Times New Roman" w:hAnsi="Times New Roman" w:eastAsia="宋体" w:cs="Times New Roman"/>
          <w:color w:val="auto"/>
          <w:kern w:val="0"/>
          <w:szCs w:val="20"/>
          <w:highlight w:val="none"/>
        </w:rPr>
        <w:t>因项目的建设而产生的水土流失。</w:t>
      </w:r>
    </w:p>
    <w:p w14:paraId="3854D8AA">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等遇大风天气易产生严重的扬尘，形成沙尘天气。</w:t>
      </w:r>
    </w:p>
    <w:p w14:paraId="247F84CB">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项目施工期主要包括</w:t>
      </w:r>
      <w:r>
        <w:rPr>
          <w:rFonts w:hint="default" w:ascii="Times New Roman" w:hAnsi="Times New Roman" w:cs="Times New Roman"/>
          <w:color w:val="auto"/>
          <w:kern w:val="0"/>
          <w:szCs w:val="20"/>
          <w:highlight w:val="none"/>
          <w:lang w:val="en-US" w:eastAsia="zh-CN"/>
        </w:rPr>
        <w:t>井</w:t>
      </w:r>
      <w:r>
        <w:rPr>
          <w:rFonts w:hint="default" w:ascii="Times New Roman" w:hAnsi="Times New Roman" w:eastAsia="宋体" w:cs="Times New Roman"/>
          <w:color w:val="auto"/>
          <w:kern w:val="0"/>
          <w:szCs w:val="20"/>
          <w:highlight w:val="none"/>
        </w:rPr>
        <w:t>场工程和管线工程，包括管沟开挖等。管沟开挖过程中，若未采取分层开挖、分层回填措施，可能导致土壤的蓄水保肥能力降低，影响区域植被生长，造成土壤逐渐沙化。此外，在施工过程中，各种车辆</w:t>
      </w:r>
      <w:r>
        <w:rPr>
          <w:rFonts w:hint="default" w:ascii="Times New Roman" w:hAnsi="Times New Roman" w:eastAsia="宋体" w:cs="Times New Roman"/>
          <w:color w:val="auto"/>
          <w:kern w:val="0"/>
          <w:szCs w:val="20"/>
          <w:highlight w:val="none"/>
          <w:lang w:eastAsia="zh-CN"/>
        </w:rPr>
        <w:t>（</w:t>
      </w:r>
      <w:r>
        <w:rPr>
          <w:rFonts w:hint="default" w:ascii="Times New Roman" w:hAnsi="Times New Roman" w:eastAsia="宋体" w:cs="Times New Roman"/>
          <w:color w:val="auto"/>
          <w:kern w:val="0"/>
          <w:szCs w:val="20"/>
          <w:highlight w:val="none"/>
        </w:rPr>
        <w:t>尤其是重型卡车</w:t>
      </w:r>
      <w:r>
        <w:rPr>
          <w:rFonts w:hint="default" w:ascii="Times New Roman" w:hAnsi="Times New Roman" w:eastAsia="宋体" w:cs="Times New Roman"/>
          <w:color w:val="auto"/>
          <w:kern w:val="0"/>
          <w:szCs w:val="20"/>
          <w:highlight w:val="none"/>
          <w:lang w:eastAsia="zh-CN"/>
        </w:rPr>
        <w:t>）</w:t>
      </w:r>
      <w:r>
        <w:rPr>
          <w:rFonts w:hint="default" w:ascii="Times New Roman" w:hAnsi="Times New Roman" w:eastAsia="宋体" w:cs="Times New Roman"/>
          <w:color w:val="auto"/>
          <w:kern w:val="0"/>
          <w:szCs w:val="20"/>
          <w:highlight w:val="none"/>
        </w:rPr>
        <w:t>在荒漠上行驶将使经过的土壤变紧实，严重的经过多次碾压后植物很难再生长，甚至退化为沙地。</w:t>
      </w:r>
    </w:p>
    <w:p w14:paraId="702260E9">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上述施工作业过程中，对原地貌的扰动大大降低了项目占地范围内的土壤抗侵蚀能力，若未采取相应的防护措施，遇大风天气，极易加重区域沙尘天气。</w:t>
      </w:r>
    </w:p>
    <w:p w14:paraId="0C0DADDA">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rPr>
      </w:pPr>
      <w:r>
        <w:rPr>
          <w:rFonts w:hint="default" w:ascii="Times New Roman" w:hAnsi="Times New Roman" w:eastAsia="宋体" w:cs="Times New Roman"/>
          <w:b/>
          <w:color w:val="auto"/>
          <w:kern w:val="0"/>
          <w:szCs w:val="20"/>
          <w:highlight w:val="none"/>
        </w:rPr>
        <w:t>5.1.2.6井场建设对生态环境的影响</w:t>
      </w:r>
    </w:p>
    <w:p w14:paraId="5E8EC5E3">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eastAsia="zh-CN"/>
        </w:rPr>
        <w:t>本项目</w:t>
      </w:r>
      <w:r>
        <w:rPr>
          <w:rFonts w:hint="default" w:ascii="Times New Roman" w:hAnsi="Times New Roman" w:eastAsia="宋体" w:cs="Times New Roman"/>
          <w:color w:val="auto"/>
          <w:kern w:val="0"/>
          <w:szCs w:val="20"/>
          <w:highlight w:val="none"/>
        </w:rPr>
        <w:t>部署侧钻井</w:t>
      </w:r>
      <w:r>
        <w:rPr>
          <w:rFonts w:hint="eastAsia" w:cs="Times New Roman"/>
          <w:color w:val="auto"/>
          <w:kern w:val="0"/>
          <w:szCs w:val="20"/>
          <w:highlight w:val="none"/>
          <w:lang w:val="en-US" w:eastAsia="zh-CN"/>
        </w:rPr>
        <w:t>4</w:t>
      </w:r>
      <w:r>
        <w:rPr>
          <w:rFonts w:hint="default" w:ascii="Times New Roman" w:hAnsi="Times New Roman" w:eastAsia="宋体" w:cs="Times New Roman"/>
          <w:color w:val="auto"/>
          <w:kern w:val="0"/>
          <w:szCs w:val="20"/>
          <w:highlight w:val="none"/>
        </w:rPr>
        <w:t>口，根据现场调查，老井井场建设区域已平整，地表植被被清除、压实，并用砾石铺垫，表层土壤原有的结构和质地已发生改变。</w:t>
      </w:r>
    </w:p>
    <w:p w14:paraId="53D200BD">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钻井期间，由于</w:t>
      </w:r>
      <w:r>
        <w:rPr>
          <w:rFonts w:hint="default" w:ascii="Times New Roman" w:hAnsi="Times New Roman" w:cs="Times New Roman"/>
          <w:color w:val="auto"/>
          <w:kern w:val="0"/>
          <w:szCs w:val="20"/>
          <w:highlight w:val="none"/>
          <w:lang w:eastAsia="zh-CN"/>
        </w:rPr>
        <w:t>本项目</w:t>
      </w:r>
      <w:r>
        <w:rPr>
          <w:rFonts w:hint="default" w:ascii="Times New Roman" w:hAnsi="Times New Roman" w:eastAsia="宋体" w:cs="Times New Roman"/>
          <w:color w:val="auto"/>
          <w:kern w:val="0"/>
          <w:szCs w:val="20"/>
          <w:highlight w:val="none"/>
        </w:rPr>
        <w:t>所在区域的特殊性，井场建设破坏植被的总面积虽然不是很大，但形成植被破口的斑块数量多，如果不采取必要的措施，破口将扩大发展，导致水土流失加剧。</w:t>
      </w:r>
    </w:p>
    <w:p w14:paraId="24AA32E5">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所评价井场区的土壤类型主要为</w:t>
      </w:r>
      <w:r>
        <w:rPr>
          <w:rFonts w:hint="default" w:ascii="Times New Roman" w:hAnsi="Times New Roman" w:eastAsia="宋体" w:cs="Times New Roman"/>
          <w:color w:val="auto"/>
          <w:kern w:val="0"/>
          <w:szCs w:val="20"/>
          <w:highlight w:val="none"/>
          <w:lang w:val="en-US" w:eastAsia="zh-CN"/>
        </w:rPr>
        <w:t>风沙</w:t>
      </w:r>
      <w:r>
        <w:rPr>
          <w:rFonts w:hint="default" w:ascii="Times New Roman" w:hAnsi="Times New Roman" w:eastAsia="宋体" w:cs="Times New Roman"/>
          <w:color w:val="auto"/>
          <w:kern w:val="0"/>
          <w:szCs w:val="20"/>
          <w:highlight w:val="none"/>
        </w:rPr>
        <w:t>土、草甸土</w:t>
      </w:r>
      <w:r>
        <w:rPr>
          <w:rFonts w:hint="default" w:ascii="Times New Roman" w:hAnsi="Times New Roman" w:eastAsia="宋体" w:cs="Times New Roman"/>
          <w:color w:val="auto"/>
          <w:kern w:val="0"/>
          <w:szCs w:val="20"/>
          <w:highlight w:val="none"/>
          <w:lang w:val="en-US" w:eastAsia="zh-CN"/>
        </w:rPr>
        <w:t>等</w:t>
      </w:r>
      <w:r>
        <w:rPr>
          <w:rFonts w:hint="default" w:ascii="Times New Roman" w:hAnsi="Times New Roman" w:eastAsia="宋体" w:cs="Times New Roman"/>
          <w:color w:val="auto"/>
          <w:kern w:val="0"/>
          <w:szCs w:val="20"/>
          <w:highlight w:val="none"/>
        </w:rPr>
        <w:t>，类比调查表明，距井场不同距离处土壤中石油类浓度明显高于井场外土壤石油类浓度，说明油气田开采对土壤存在石油类污染；而井场外10m至200m处土壤石油类浓度值较接近，且与区域土壤环境质量对照点石油类浓度也接近，因此油气田开采对土壤的污染主要集中在井场内部。从井场内土壤不同剖面深度的石油类浓度分布来看，10cm深度的石油类浓度最高，是表层土壤石油类浓度的2倍，是对照点土壤中石油类浓度的4倍，说明油气田开采产生的落地油等污染物会向下渗透对深层土壤造成影响；30cm浓度的土壤中石油类浓度与表层土壤石油类浓度相近，说明井场石油类污染主要集中在表层至30cm深度处。</w:t>
      </w:r>
    </w:p>
    <w:p w14:paraId="5AF8355A">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rPr>
      </w:pPr>
      <w:r>
        <w:rPr>
          <w:rFonts w:hint="default" w:ascii="Times New Roman" w:hAnsi="Times New Roman" w:eastAsia="宋体" w:cs="Times New Roman"/>
          <w:b/>
          <w:color w:val="auto"/>
          <w:kern w:val="0"/>
          <w:szCs w:val="20"/>
          <w:highlight w:val="none"/>
        </w:rPr>
        <w:t>5.1.2.</w:t>
      </w:r>
      <w:r>
        <w:rPr>
          <w:rFonts w:hint="default" w:ascii="Times New Roman" w:hAnsi="Times New Roman" w:cs="Times New Roman"/>
          <w:b/>
          <w:color w:val="auto"/>
          <w:kern w:val="0"/>
          <w:szCs w:val="20"/>
          <w:highlight w:val="none"/>
          <w:lang w:val="en-US" w:eastAsia="zh-CN"/>
        </w:rPr>
        <w:t>7</w:t>
      </w:r>
      <w:r>
        <w:rPr>
          <w:rFonts w:hint="default" w:ascii="Times New Roman" w:hAnsi="Times New Roman" w:eastAsia="宋体" w:cs="Times New Roman"/>
          <w:b/>
          <w:color w:val="auto"/>
          <w:kern w:val="0"/>
          <w:szCs w:val="20"/>
          <w:highlight w:val="none"/>
        </w:rPr>
        <w:t>管线建设对生态环境的影响</w:t>
      </w:r>
    </w:p>
    <w:p w14:paraId="193F1432">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kern w:val="0"/>
          <w:szCs w:val="20"/>
          <w:highlight w:val="none"/>
          <w:lang w:eastAsia="zh-CN"/>
        </w:rPr>
        <w:t>本项目</w:t>
      </w:r>
      <w:r>
        <w:rPr>
          <w:rFonts w:hint="eastAsia"/>
          <w:color w:val="auto"/>
          <w:highlight w:val="none"/>
        </w:rPr>
        <w:t>新建TH102117X</w:t>
      </w:r>
      <w:r>
        <w:rPr>
          <w:rFonts w:hint="eastAsia"/>
          <w:color w:val="auto"/>
          <w:highlight w:val="none"/>
          <w:lang w:val="en-US" w:eastAsia="zh-CN"/>
        </w:rPr>
        <w:t>单井采油管线、掺稀管线、燃料气管线同沟敷设，</w:t>
      </w:r>
      <w:r>
        <w:rPr>
          <w:rFonts w:hint="default" w:ascii="Times New Roman" w:hAnsi="Times New Roman" w:eastAsia="宋体" w:cs="Times New Roman"/>
          <w:color w:val="auto"/>
          <w:kern w:val="0"/>
          <w:szCs w:val="20"/>
          <w:highlight w:val="none"/>
        </w:rPr>
        <w:t>开挖管沟</w:t>
      </w:r>
      <w:r>
        <w:rPr>
          <w:rFonts w:hint="eastAsia" w:cs="Times New Roman"/>
          <w:color w:val="auto"/>
          <w:kern w:val="0"/>
          <w:szCs w:val="20"/>
          <w:highlight w:val="none"/>
          <w:lang w:val="en-US" w:eastAsia="zh-CN"/>
        </w:rPr>
        <w:t>601</w:t>
      </w:r>
      <w:r>
        <w:rPr>
          <w:rFonts w:hint="default" w:ascii="Times New Roman" w:hAnsi="Times New Roman" w:eastAsia="宋体" w:cs="Times New Roman"/>
          <w:color w:val="auto"/>
          <w:kern w:val="0"/>
          <w:szCs w:val="20"/>
          <w:highlight w:val="none"/>
        </w:rPr>
        <w:t>m，</w:t>
      </w:r>
      <w:r>
        <w:rPr>
          <w:rFonts w:hint="eastAsia" w:cs="Times New Roman"/>
          <w:color w:val="auto"/>
          <w:kern w:val="0"/>
          <w:szCs w:val="20"/>
          <w:highlight w:val="none"/>
          <w:lang w:val="en-US" w:eastAsia="zh-CN"/>
        </w:rPr>
        <w:t>施工作业带宽7m。</w:t>
      </w:r>
      <w:r>
        <w:rPr>
          <w:rFonts w:hint="default" w:ascii="Times New Roman" w:hAnsi="Times New Roman" w:eastAsia="宋体" w:cs="Times New Roman"/>
          <w:color w:val="auto"/>
          <w:kern w:val="0"/>
          <w:szCs w:val="20"/>
          <w:highlight w:val="none"/>
        </w:rPr>
        <w:t>从管线</w:t>
      </w:r>
      <w:r>
        <w:rPr>
          <w:rFonts w:hint="eastAsia" w:cs="Times New Roman"/>
          <w:color w:val="auto"/>
          <w:kern w:val="0"/>
          <w:szCs w:val="20"/>
          <w:highlight w:val="none"/>
          <w:lang w:eastAsia="zh-CN"/>
        </w:rPr>
        <w:t>途经</w:t>
      </w:r>
      <w:r>
        <w:rPr>
          <w:rFonts w:hint="default" w:ascii="Times New Roman" w:hAnsi="Times New Roman" w:eastAsia="宋体" w:cs="Times New Roman"/>
          <w:color w:val="auto"/>
          <w:kern w:val="0"/>
          <w:szCs w:val="20"/>
          <w:highlight w:val="none"/>
        </w:rPr>
        <w:t>区域</w:t>
      </w:r>
      <w:r>
        <w:rPr>
          <w:rFonts w:hint="default" w:ascii="Times New Roman" w:hAnsi="Times New Roman" w:cs="Times New Roman"/>
          <w:color w:val="auto"/>
          <w:kern w:val="0"/>
          <w:szCs w:val="20"/>
          <w:highlight w:val="none"/>
          <w:lang w:val="en-US" w:eastAsia="zh-CN"/>
        </w:rPr>
        <w:t>生态</w:t>
      </w:r>
      <w:r>
        <w:rPr>
          <w:rFonts w:hint="default" w:ascii="Times New Roman" w:hAnsi="Times New Roman" w:eastAsia="宋体" w:cs="Times New Roman"/>
          <w:color w:val="auto"/>
          <w:kern w:val="0"/>
          <w:szCs w:val="20"/>
          <w:highlight w:val="none"/>
        </w:rPr>
        <w:t>评价范围的现状调查结果来看，沿线主要为</w:t>
      </w:r>
      <w:r>
        <w:rPr>
          <w:rFonts w:hint="eastAsia" w:cs="Times New Roman"/>
          <w:color w:val="auto"/>
          <w:kern w:val="0"/>
          <w:szCs w:val="20"/>
          <w:highlight w:val="none"/>
          <w:lang w:val="en-US" w:eastAsia="zh-CN"/>
        </w:rPr>
        <w:t>灌木</w:t>
      </w:r>
      <w:r>
        <w:rPr>
          <w:rFonts w:hint="default" w:ascii="Times New Roman" w:hAnsi="Times New Roman" w:eastAsia="宋体" w:cs="Times New Roman"/>
          <w:color w:val="auto"/>
          <w:kern w:val="0"/>
          <w:szCs w:val="20"/>
          <w:highlight w:val="none"/>
        </w:rPr>
        <w:t>，植被类型主要为</w:t>
      </w:r>
      <w:r>
        <w:rPr>
          <w:rFonts w:hint="eastAsia" w:cs="Times New Roman"/>
          <w:color w:val="auto"/>
          <w:kern w:val="0"/>
          <w:szCs w:val="20"/>
          <w:highlight w:val="none"/>
          <w:lang w:val="en-US" w:eastAsia="zh-CN"/>
        </w:rPr>
        <w:t>刚毛柽柳</w:t>
      </w:r>
      <w:r>
        <w:rPr>
          <w:rFonts w:hint="default" w:ascii="Times New Roman" w:hAnsi="Times New Roman" w:eastAsia="宋体" w:cs="Times New Roman"/>
          <w:color w:val="auto"/>
          <w:kern w:val="0"/>
          <w:szCs w:val="20"/>
          <w:highlight w:val="none"/>
        </w:rPr>
        <w:t>，沿线土壤侵蚀以轻度侵蚀为主。在管道敷设过程中，开挖和回填对土壤的影响主要为：破坏土壤原有结构，混合土壤层次、改变土壤质地；影响土壤养分；影响土壤紧实度；土壤污染；影响土壤物理性质。</w:t>
      </w:r>
    </w:p>
    <w:p w14:paraId="5336737D">
      <w:pPr>
        <w:widowControl/>
        <w:spacing w:line="360" w:lineRule="auto"/>
        <w:ind w:firstLine="480" w:firstLineChars="200"/>
        <w:jc w:val="both"/>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在管线施工期间，管线两侧临时占地范围的土体将被扰动、植被遭到破坏，土壤侵蚀模数和侵蚀量增大。由于管道埋设复原后，绝大部分植被还可以恢复，因此生物量的损失整体看是较小的，并可恢复。</w:t>
      </w:r>
    </w:p>
    <w:p w14:paraId="08095118">
      <w:pPr>
        <w:keepLines/>
        <w:widowControl/>
        <w:adjustRightInd w:val="0"/>
        <w:snapToGrid w:val="0"/>
        <w:spacing w:line="360" w:lineRule="auto"/>
        <w:ind w:firstLine="0" w:firstLineChars="0"/>
        <w:jc w:val="both"/>
        <w:outlineLvl w:val="3"/>
        <w:rPr>
          <w:rFonts w:hint="eastAsia" w:ascii="Times New Roman" w:hAnsi="Times New Roman" w:eastAsia="宋体" w:cs="Times New Roman"/>
          <w:b/>
          <w:color w:val="auto"/>
          <w:kern w:val="0"/>
          <w:szCs w:val="20"/>
          <w:highlight w:val="none"/>
          <w:lang w:val="en-US" w:eastAsia="zh-CN"/>
        </w:rPr>
      </w:pPr>
      <w:r>
        <w:rPr>
          <w:rFonts w:hint="default" w:ascii="Times New Roman" w:hAnsi="Times New Roman" w:eastAsia="宋体" w:cs="Times New Roman"/>
          <w:b/>
          <w:color w:val="auto"/>
          <w:kern w:val="0"/>
          <w:szCs w:val="20"/>
          <w:highlight w:val="none"/>
        </w:rPr>
        <w:t>5.1.2.</w:t>
      </w:r>
      <w:r>
        <w:rPr>
          <w:rFonts w:hint="eastAsia" w:cs="Times New Roman"/>
          <w:b/>
          <w:color w:val="auto"/>
          <w:kern w:val="0"/>
          <w:szCs w:val="20"/>
          <w:highlight w:val="none"/>
          <w:lang w:val="en-US" w:eastAsia="zh-CN"/>
        </w:rPr>
        <w:t>8</w:t>
      </w:r>
      <w:r>
        <w:rPr>
          <w:rFonts w:hint="default" w:ascii="Times New Roman" w:hAnsi="Times New Roman" w:eastAsia="宋体" w:cs="Times New Roman"/>
          <w:b/>
          <w:color w:val="auto"/>
          <w:kern w:val="0"/>
          <w:szCs w:val="20"/>
          <w:highlight w:val="none"/>
        </w:rPr>
        <w:t>对</w:t>
      </w:r>
      <w:r>
        <w:rPr>
          <w:rFonts w:hint="eastAsia" w:cs="Times New Roman"/>
          <w:b/>
          <w:color w:val="auto"/>
          <w:kern w:val="0"/>
          <w:szCs w:val="20"/>
          <w:highlight w:val="none"/>
          <w:lang w:val="en-US" w:eastAsia="zh-CN"/>
        </w:rPr>
        <w:t>天然林（国家二级公益林）</w:t>
      </w:r>
      <w:r>
        <w:rPr>
          <w:rFonts w:hint="default" w:ascii="Times New Roman" w:hAnsi="Times New Roman" w:eastAsia="宋体" w:cs="Times New Roman"/>
          <w:b/>
          <w:color w:val="auto"/>
          <w:kern w:val="0"/>
          <w:szCs w:val="20"/>
          <w:highlight w:val="none"/>
        </w:rPr>
        <w:t>影响</w:t>
      </w:r>
      <w:r>
        <w:rPr>
          <w:rFonts w:hint="eastAsia" w:cs="Times New Roman"/>
          <w:b/>
          <w:color w:val="auto"/>
          <w:kern w:val="0"/>
          <w:szCs w:val="20"/>
          <w:highlight w:val="none"/>
          <w:lang w:val="en-US" w:eastAsia="zh-CN"/>
        </w:rPr>
        <w:t>分析</w:t>
      </w:r>
    </w:p>
    <w:p w14:paraId="3193FBD2">
      <w:pPr>
        <w:widowControl/>
        <w:spacing w:line="360" w:lineRule="auto"/>
        <w:ind w:firstLine="482" w:firstLineChars="200"/>
        <w:jc w:val="both"/>
        <w:rPr>
          <w:rFonts w:hint="default" w:ascii="Times New Roman" w:hAnsi="Times New Roman" w:eastAsia="宋体" w:cs="Times New Roman"/>
          <w:b/>
          <w:bCs/>
          <w:color w:val="auto"/>
          <w:kern w:val="0"/>
          <w:szCs w:val="20"/>
          <w:highlight w:val="none"/>
          <w:lang w:val="en-US" w:eastAsia="zh-CN"/>
        </w:rPr>
      </w:pPr>
      <w:r>
        <w:rPr>
          <w:rFonts w:hint="eastAsia" w:cs="Times New Roman"/>
          <w:b/>
          <w:bCs/>
          <w:color w:val="auto"/>
          <w:kern w:val="0"/>
          <w:szCs w:val="20"/>
          <w:highlight w:val="none"/>
          <w:lang w:val="en-US" w:eastAsia="zh-CN"/>
        </w:rPr>
        <w:t>（1）</w:t>
      </w:r>
      <w:r>
        <w:rPr>
          <w:rFonts w:hint="default" w:ascii="Times New Roman" w:hAnsi="Times New Roman" w:eastAsia="宋体" w:cs="Times New Roman"/>
          <w:b/>
          <w:bCs/>
          <w:color w:val="auto"/>
          <w:kern w:val="0"/>
          <w:szCs w:val="20"/>
          <w:highlight w:val="none"/>
          <w:lang w:val="en-US" w:eastAsia="zh-CN"/>
        </w:rPr>
        <w:t>占用</w:t>
      </w:r>
      <w:r>
        <w:rPr>
          <w:rFonts w:hint="eastAsia" w:cs="Times New Roman"/>
          <w:b/>
          <w:bCs/>
          <w:color w:val="auto"/>
          <w:kern w:val="0"/>
          <w:szCs w:val="20"/>
          <w:highlight w:val="none"/>
          <w:lang w:val="en-US" w:eastAsia="zh-CN"/>
        </w:rPr>
        <w:t>天然林</w:t>
      </w:r>
      <w:r>
        <w:rPr>
          <w:rFonts w:hint="default" w:ascii="Times New Roman" w:hAnsi="Times New Roman" w:eastAsia="宋体" w:cs="Times New Roman"/>
          <w:b/>
          <w:bCs/>
          <w:color w:val="auto"/>
          <w:kern w:val="0"/>
          <w:szCs w:val="20"/>
          <w:highlight w:val="none"/>
          <w:lang w:val="en-US" w:eastAsia="zh-CN"/>
        </w:rPr>
        <w:t>情况</w:t>
      </w:r>
    </w:p>
    <w:p w14:paraId="120E85A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kern w:val="0"/>
          <w:szCs w:val="20"/>
          <w:highlight w:val="none"/>
        </w:rPr>
      </w:pPr>
      <w:r>
        <w:rPr>
          <w:rFonts w:hint="default" w:ascii="Times New Roman" w:hAnsi="Times New Roman" w:eastAsia="宋体" w:cs="Times New Roman"/>
          <w:color w:val="auto"/>
          <w:kern w:val="0"/>
          <w:szCs w:val="20"/>
          <w:highlight w:val="none"/>
        </w:rPr>
        <w:t>项目所在区域分布的</w:t>
      </w:r>
      <w:r>
        <w:rPr>
          <w:rFonts w:hint="eastAsia" w:cs="Times New Roman"/>
          <w:color w:val="auto"/>
          <w:kern w:val="0"/>
          <w:szCs w:val="20"/>
          <w:highlight w:val="none"/>
          <w:lang w:val="en-US" w:eastAsia="zh-CN"/>
        </w:rPr>
        <w:t>天然林地类</w:t>
      </w:r>
      <w:r>
        <w:rPr>
          <w:rFonts w:hint="default" w:ascii="Times New Roman" w:hAnsi="Times New Roman" w:eastAsia="宋体" w:cs="Times New Roman"/>
          <w:color w:val="auto"/>
          <w:kern w:val="0"/>
          <w:szCs w:val="20"/>
          <w:highlight w:val="none"/>
        </w:rPr>
        <w:t>为</w:t>
      </w:r>
      <w:r>
        <w:rPr>
          <w:rFonts w:hint="eastAsia" w:cs="Times New Roman"/>
          <w:color w:val="auto"/>
          <w:kern w:val="0"/>
          <w:szCs w:val="20"/>
          <w:highlight w:val="none"/>
          <w:lang w:val="en-US" w:eastAsia="zh-CN"/>
        </w:rPr>
        <w:t>乔木林地、</w:t>
      </w:r>
      <w:r>
        <w:rPr>
          <w:rFonts w:hint="default" w:ascii="Times New Roman" w:hAnsi="Times New Roman" w:eastAsia="宋体" w:cs="Times New Roman"/>
          <w:color w:val="auto"/>
          <w:kern w:val="0"/>
          <w:szCs w:val="20"/>
          <w:highlight w:val="none"/>
        </w:rPr>
        <w:t>灌木林地</w:t>
      </w:r>
      <w:r>
        <w:rPr>
          <w:rFonts w:hint="eastAsia" w:cs="Times New Roman"/>
          <w:color w:val="auto"/>
          <w:kern w:val="0"/>
          <w:szCs w:val="20"/>
          <w:highlight w:val="none"/>
          <w:lang w:val="en-US" w:eastAsia="zh-CN"/>
        </w:rPr>
        <w:t>等</w:t>
      </w:r>
      <w:r>
        <w:rPr>
          <w:rFonts w:hint="default" w:ascii="Times New Roman" w:hAnsi="Times New Roman" w:eastAsia="宋体" w:cs="Times New Roman"/>
          <w:color w:val="auto"/>
          <w:kern w:val="0"/>
          <w:szCs w:val="20"/>
          <w:highlight w:val="none"/>
        </w:rPr>
        <w:t>，优势树种为</w:t>
      </w:r>
      <w:r>
        <w:rPr>
          <w:rFonts w:hint="eastAsia" w:cs="Times New Roman"/>
          <w:color w:val="auto"/>
          <w:kern w:val="0"/>
          <w:szCs w:val="20"/>
          <w:highlight w:val="none"/>
          <w:lang w:val="en-US" w:eastAsia="zh-CN"/>
        </w:rPr>
        <w:t>胡杨、刚毛柽柳、</w:t>
      </w:r>
      <w:r>
        <w:rPr>
          <w:rFonts w:hint="default" w:ascii="Times New Roman" w:hAnsi="Times New Roman" w:eastAsia="宋体" w:cs="Times New Roman"/>
          <w:color w:val="auto"/>
          <w:kern w:val="0"/>
          <w:szCs w:val="20"/>
          <w:highlight w:val="none"/>
        </w:rPr>
        <w:t>多枝柽柳、</w:t>
      </w:r>
      <w:r>
        <w:rPr>
          <w:rFonts w:hint="eastAsia" w:cs="Times New Roman"/>
          <w:color w:val="auto"/>
          <w:kern w:val="0"/>
          <w:szCs w:val="20"/>
          <w:highlight w:val="none"/>
          <w:lang w:val="en-US" w:eastAsia="zh-CN"/>
        </w:rPr>
        <w:t>疏叶骆驼刺等</w:t>
      </w:r>
      <w:r>
        <w:rPr>
          <w:rFonts w:hint="default" w:ascii="Times New Roman" w:hAnsi="Times New Roman" w:eastAsia="宋体" w:cs="Times New Roman"/>
          <w:color w:val="auto"/>
          <w:kern w:val="0"/>
          <w:szCs w:val="20"/>
          <w:highlight w:val="none"/>
        </w:rPr>
        <w:t>，</w:t>
      </w:r>
      <w:r>
        <w:rPr>
          <w:rFonts w:hint="eastAsia" w:cs="Times New Roman"/>
          <w:color w:val="auto"/>
          <w:kern w:val="0"/>
          <w:szCs w:val="20"/>
          <w:highlight w:val="none"/>
          <w:lang w:val="en-US" w:eastAsia="zh-CN"/>
        </w:rPr>
        <w:t>天然林区</w:t>
      </w:r>
      <w:r>
        <w:rPr>
          <w:rFonts w:hint="default" w:ascii="Times New Roman" w:hAnsi="Times New Roman" w:eastAsia="宋体" w:cs="Times New Roman"/>
          <w:color w:val="auto"/>
          <w:kern w:val="0"/>
          <w:szCs w:val="20"/>
          <w:highlight w:val="none"/>
        </w:rPr>
        <w:t>植被盖度为</w:t>
      </w:r>
      <w:r>
        <w:rPr>
          <w:rFonts w:hint="eastAsia" w:cs="Times New Roman"/>
          <w:color w:val="auto"/>
          <w:kern w:val="0"/>
          <w:szCs w:val="20"/>
          <w:highlight w:val="none"/>
          <w:lang w:val="en-US" w:eastAsia="zh-CN"/>
        </w:rPr>
        <w:t>20</w:t>
      </w:r>
      <w:r>
        <w:rPr>
          <w:rFonts w:hint="default" w:ascii="Times New Roman" w:hAnsi="Times New Roman" w:eastAsia="宋体" w:cs="Times New Roman"/>
          <w:color w:val="auto"/>
          <w:kern w:val="0"/>
          <w:szCs w:val="20"/>
          <w:highlight w:val="none"/>
        </w:rPr>
        <w:t>-</w:t>
      </w:r>
      <w:r>
        <w:rPr>
          <w:rFonts w:hint="eastAsia" w:cs="Times New Roman"/>
          <w:color w:val="auto"/>
          <w:kern w:val="0"/>
          <w:szCs w:val="20"/>
          <w:highlight w:val="none"/>
          <w:lang w:val="en-US" w:eastAsia="zh-CN"/>
        </w:rPr>
        <w:t>30</w:t>
      </w:r>
      <w:r>
        <w:rPr>
          <w:rFonts w:hint="default" w:ascii="Times New Roman" w:hAnsi="Times New Roman" w:eastAsia="宋体" w:cs="Times New Roman"/>
          <w:color w:val="auto"/>
          <w:kern w:val="0"/>
          <w:szCs w:val="20"/>
          <w:highlight w:val="none"/>
        </w:rPr>
        <w:t>%，主要作用为防风固沙，</w:t>
      </w:r>
      <w:r>
        <w:rPr>
          <w:rFonts w:hint="default" w:ascii="Times New Roman" w:hAnsi="Times New Roman" w:eastAsia="宋体" w:cs="Times New Roman"/>
          <w:color w:val="auto"/>
          <w:kern w:val="0"/>
          <w:szCs w:val="20"/>
          <w:highlight w:val="none"/>
          <w:lang w:val="en-US" w:eastAsia="zh-CN"/>
        </w:rPr>
        <w:t>涉及</w:t>
      </w:r>
      <w:r>
        <w:rPr>
          <w:rFonts w:hint="default" w:ascii="Times New Roman" w:hAnsi="Times New Roman" w:eastAsia="宋体" w:cs="Times New Roman"/>
          <w:color w:val="auto"/>
          <w:kern w:val="0"/>
          <w:szCs w:val="20"/>
          <w:highlight w:val="none"/>
        </w:rPr>
        <w:t>II、</w:t>
      </w:r>
      <w:r>
        <w:rPr>
          <w:rFonts w:hint="eastAsia" w:cs="Times New Roman"/>
          <w:color w:val="auto"/>
          <w:kern w:val="0"/>
          <w:szCs w:val="20"/>
          <w:highlight w:val="none"/>
          <w:lang w:eastAsia="zh-CN"/>
        </w:rPr>
        <w:t>Ⅲ</w:t>
      </w:r>
      <w:r>
        <w:rPr>
          <w:rFonts w:hint="default" w:ascii="Times New Roman" w:hAnsi="Times New Roman" w:eastAsia="宋体" w:cs="Times New Roman"/>
          <w:color w:val="auto"/>
          <w:kern w:val="0"/>
          <w:szCs w:val="20"/>
          <w:highlight w:val="none"/>
        </w:rPr>
        <w:t>级林地，不涉及I级林地。建设单位须按照</w:t>
      </w:r>
      <w:r>
        <w:rPr>
          <w:rFonts w:hint="eastAsia" w:cs="Times New Roman"/>
          <w:color w:val="auto"/>
          <w:kern w:val="0"/>
          <w:szCs w:val="20"/>
          <w:highlight w:val="none"/>
          <w:lang w:val="en-US" w:eastAsia="zh-CN"/>
        </w:rPr>
        <w:t>林地</w:t>
      </w:r>
      <w:r>
        <w:rPr>
          <w:rFonts w:hint="default" w:ascii="Times New Roman" w:hAnsi="Times New Roman" w:eastAsia="宋体" w:cs="Times New Roman"/>
          <w:color w:val="auto"/>
          <w:kern w:val="0"/>
          <w:szCs w:val="20"/>
          <w:highlight w:val="none"/>
        </w:rPr>
        <w:t>管理办法办理相关用地手续后方可开工。</w:t>
      </w:r>
    </w:p>
    <w:p w14:paraId="169FF18F">
      <w:pPr>
        <w:widowControl/>
        <w:spacing w:line="360" w:lineRule="auto"/>
        <w:ind w:firstLine="480" w:firstLineChars="200"/>
        <w:jc w:val="both"/>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经初步核算，</w:t>
      </w:r>
      <w:r>
        <w:rPr>
          <w:rFonts w:hint="default" w:ascii="Times New Roman" w:hAnsi="Times New Roman" w:cs="Times New Roman"/>
          <w:color w:val="auto"/>
          <w:kern w:val="0"/>
          <w:sz w:val="24"/>
          <w:szCs w:val="20"/>
          <w:highlight w:val="none"/>
          <w:lang w:val="en-US" w:eastAsia="zh-CN"/>
        </w:rPr>
        <w:t>本项目新建</w:t>
      </w:r>
      <w:r>
        <w:rPr>
          <w:rFonts w:hint="eastAsia"/>
          <w:color w:val="auto"/>
          <w:highlight w:val="none"/>
          <w:lang w:val="en-US" w:eastAsia="zh-CN"/>
        </w:rPr>
        <w:t>单井</w:t>
      </w:r>
      <w:r>
        <w:rPr>
          <w:rFonts w:hint="default" w:ascii="Times New Roman" w:hAnsi="Times New Roman" w:cs="Times New Roman"/>
          <w:color w:val="auto"/>
          <w:kern w:val="0"/>
          <w:sz w:val="24"/>
          <w:szCs w:val="20"/>
          <w:highlight w:val="none"/>
          <w:lang w:val="en-US" w:eastAsia="zh-CN"/>
        </w:rPr>
        <w:t>管线</w:t>
      </w:r>
      <w:r>
        <w:rPr>
          <w:rFonts w:hint="default" w:ascii="Times New Roman" w:hAnsi="Times New Roman" w:cs="Times New Roman"/>
          <w:color w:val="auto"/>
          <w:kern w:val="0"/>
          <w:sz w:val="24"/>
          <w:szCs w:val="20"/>
          <w:highlight w:val="none"/>
          <w:vertAlign w:val="baseline"/>
          <w:lang w:val="en-US" w:eastAsia="zh-CN"/>
        </w:rPr>
        <w:t>占用</w:t>
      </w:r>
      <w:r>
        <w:rPr>
          <w:rFonts w:hint="eastAsia" w:cs="Times New Roman"/>
          <w:color w:val="auto"/>
          <w:kern w:val="0"/>
          <w:sz w:val="24"/>
          <w:szCs w:val="20"/>
          <w:highlight w:val="none"/>
          <w:vertAlign w:val="baseline"/>
          <w:lang w:val="en-US" w:eastAsia="zh-CN"/>
        </w:rPr>
        <w:t>Ⅱ级</w:t>
      </w:r>
      <w:r>
        <w:rPr>
          <w:rFonts w:hint="default" w:ascii="Times New Roman" w:hAnsi="Times New Roman" w:cs="Times New Roman"/>
          <w:color w:val="auto"/>
          <w:kern w:val="0"/>
          <w:sz w:val="24"/>
          <w:szCs w:val="20"/>
          <w:highlight w:val="none"/>
          <w:vertAlign w:val="baseline"/>
          <w:lang w:val="en-US" w:eastAsia="zh-CN"/>
        </w:rPr>
        <w:t>林地长度为</w:t>
      </w:r>
      <w:r>
        <w:rPr>
          <w:rFonts w:hint="eastAsia" w:cs="Times New Roman"/>
          <w:color w:val="auto"/>
          <w:kern w:val="0"/>
          <w:sz w:val="24"/>
          <w:szCs w:val="20"/>
          <w:highlight w:val="none"/>
          <w:vertAlign w:val="baseline"/>
          <w:lang w:val="en-US" w:eastAsia="zh-CN"/>
        </w:rPr>
        <w:t>601</w:t>
      </w:r>
      <w:r>
        <w:rPr>
          <w:rFonts w:hint="default" w:ascii="Times New Roman" w:hAnsi="Times New Roman" w:cs="Times New Roman"/>
          <w:color w:val="auto"/>
          <w:kern w:val="0"/>
          <w:sz w:val="24"/>
          <w:szCs w:val="20"/>
          <w:highlight w:val="none"/>
          <w:vertAlign w:val="baseline"/>
          <w:lang w:val="en-US" w:eastAsia="zh-CN"/>
        </w:rPr>
        <w:t>m，管线施工作业宽度</w:t>
      </w:r>
      <w:r>
        <w:rPr>
          <w:rFonts w:hint="eastAsia" w:cs="Times New Roman"/>
          <w:color w:val="auto"/>
          <w:kern w:val="0"/>
          <w:sz w:val="24"/>
          <w:szCs w:val="20"/>
          <w:highlight w:val="none"/>
          <w:vertAlign w:val="baseline"/>
          <w:lang w:val="en-US" w:eastAsia="zh-CN"/>
        </w:rPr>
        <w:t>为7</w:t>
      </w:r>
      <w:r>
        <w:rPr>
          <w:rFonts w:hint="default" w:ascii="Times New Roman" w:hAnsi="Times New Roman" w:cs="Times New Roman"/>
          <w:color w:val="auto"/>
          <w:kern w:val="0"/>
          <w:sz w:val="24"/>
          <w:szCs w:val="20"/>
          <w:highlight w:val="none"/>
          <w:vertAlign w:val="baseline"/>
          <w:lang w:val="en-US" w:eastAsia="zh-CN"/>
        </w:rPr>
        <w:t>m，临时占用</w:t>
      </w:r>
      <w:r>
        <w:rPr>
          <w:rFonts w:hint="eastAsia" w:cs="Times New Roman"/>
          <w:color w:val="auto"/>
          <w:kern w:val="0"/>
          <w:sz w:val="24"/>
          <w:szCs w:val="20"/>
          <w:highlight w:val="none"/>
          <w:vertAlign w:val="baseline"/>
          <w:lang w:val="en-US" w:eastAsia="zh-CN"/>
        </w:rPr>
        <w:t>天然林</w:t>
      </w:r>
      <w:r>
        <w:rPr>
          <w:rFonts w:hint="default" w:ascii="Times New Roman" w:hAnsi="Times New Roman" w:cs="Times New Roman"/>
          <w:color w:val="auto"/>
          <w:kern w:val="0"/>
          <w:sz w:val="24"/>
          <w:szCs w:val="20"/>
          <w:highlight w:val="none"/>
          <w:vertAlign w:val="baseline"/>
          <w:lang w:val="en-US" w:eastAsia="zh-CN"/>
        </w:rPr>
        <w:t>面积为0.4077hm</w:t>
      </w:r>
      <w:r>
        <w:rPr>
          <w:rFonts w:hint="default" w:ascii="Times New Roman" w:hAnsi="Times New Roman" w:cs="Times New Roman"/>
          <w:color w:val="auto"/>
          <w:kern w:val="0"/>
          <w:sz w:val="24"/>
          <w:szCs w:val="20"/>
          <w:highlight w:val="none"/>
          <w:vertAlign w:val="superscript"/>
          <w:lang w:val="en-US" w:eastAsia="zh-CN"/>
        </w:rPr>
        <w:t>2</w:t>
      </w:r>
      <w:r>
        <w:rPr>
          <w:rFonts w:hint="eastAsia" w:cs="Times New Roman"/>
          <w:color w:val="auto"/>
          <w:kern w:val="0"/>
          <w:sz w:val="24"/>
          <w:szCs w:val="20"/>
          <w:highlight w:val="none"/>
          <w:lang w:val="en-US" w:eastAsia="zh-CN"/>
        </w:rPr>
        <w:t>；老井侧钻TK872CH井</w:t>
      </w:r>
      <w:r>
        <w:rPr>
          <w:rFonts w:hint="default" w:ascii="Times New Roman" w:hAnsi="Times New Roman" w:cs="Times New Roman"/>
          <w:color w:val="auto"/>
          <w:kern w:val="0"/>
          <w:sz w:val="24"/>
          <w:szCs w:val="20"/>
          <w:highlight w:val="none"/>
          <w:vertAlign w:val="baseline"/>
          <w:lang w:val="en-US" w:eastAsia="zh-CN"/>
        </w:rPr>
        <w:t>占用</w:t>
      </w:r>
      <w:r>
        <w:rPr>
          <w:rFonts w:hint="eastAsia" w:cs="Times New Roman"/>
          <w:color w:val="auto"/>
          <w:kern w:val="0"/>
          <w:sz w:val="24"/>
          <w:szCs w:val="20"/>
          <w:highlight w:val="none"/>
          <w:vertAlign w:val="baseline"/>
          <w:lang w:val="en-US" w:eastAsia="zh-CN"/>
        </w:rPr>
        <w:t>Ⅱ级</w:t>
      </w:r>
      <w:r>
        <w:rPr>
          <w:rFonts w:hint="default" w:ascii="Times New Roman" w:hAnsi="Times New Roman" w:cs="Times New Roman"/>
          <w:color w:val="auto"/>
          <w:kern w:val="0"/>
          <w:sz w:val="24"/>
          <w:szCs w:val="20"/>
          <w:highlight w:val="none"/>
          <w:vertAlign w:val="baseline"/>
          <w:lang w:val="en-US" w:eastAsia="zh-CN"/>
        </w:rPr>
        <w:t>林地面积为0.</w:t>
      </w:r>
      <w:r>
        <w:rPr>
          <w:rFonts w:hint="eastAsia" w:cs="Times New Roman"/>
          <w:color w:val="auto"/>
          <w:kern w:val="0"/>
          <w:sz w:val="24"/>
          <w:szCs w:val="20"/>
          <w:highlight w:val="none"/>
          <w:vertAlign w:val="baseline"/>
          <w:lang w:val="en-US" w:eastAsia="zh-CN"/>
        </w:rPr>
        <w:t>87</w:t>
      </w:r>
      <w:r>
        <w:rPr>
          <w:rFonts w:hint="default" w:ascii="Times New Roman" w:hAnsi="Times New Roman" w:cs="Times New Roman"/>
          <w:color w:val="auto"/>
          <w:kern w:val="0"/>
          <w:sz w:val="24"/>
          <w:szCs w:val="20"/>
          <w:highlight w:val="none"/>
          <w:vertAlign w:val="baseline"/>
          <w:lang w:val="en-US" w:eastAsia="zh-CN"/>
        </w:rPr>
        <w:t>hm</w:t>
      </w:r>
      <w:r>
        <w:rPr>
          <w:rFonts w:hint="default" w:ascii="Times New Roman" w:hAnsi="Times New Roman" w:cs="Times New Roman"/>
          <w:color w:val="auto"/>
          <w:kern w:val="0"/>
          <w:sz w:val="24"/>
          <w:szCs w:val="20"/>
          <w:highlight w:val="none"/>
          <w:vertAlign w:val="superscript"/>
          <w:lang w:val="en-US" w:eastAsia="zh-CN"/>
        </w:rPr>
        <w:t>2</w:t>
      </w:r>
      <w:r>
        <w:rPr>
          <w:rFonts w:hint="eastAsia" w:cs="Times New Roman"/>
          <w:color w:val="auto"/>
          <w:kern w:val="0"/>
          <w:sz w:val="24"/>
          <w:szCs w:val="20"/>
          <w:highlight w:val="none"/>
          <w:lang w:val="en-US" w:eastAsia="zh-CN"/>
        </w:rPr>
        <w:t>；</w:t>
      </w:r>
      <w:r>
        <w:rPr>
          <w:rFonts w:hint="default" w:ascii="Times New Roman" w:hAnsi="Times New Roman" w:cs="Times New Roman"/>
          <w:color w:val="auto"/>
          <w:kern w:val="0"/>
          <w:sz w:val="24"/>
          <w:szCs w:val="20"/>
          <w:highlight w:val="none"/>
          <w:lang w:val="en-US" w:eastAsia="zh-CN"/>
        </w:rPr>
        <w:t>管道施工穿越林地所造成的林业损失与管线选线密切相关。因此，要求管线在选线设计、施工作业时尽量避开灌木茂密区域，在条件允许时，减少砍伐林木的数量，最大程度地保护沿线的林业生态环境，建设单位须取得当地</w:t>
      </w:r>
      <w:r>
        <w:rPr>
          <w:rFonts w:hint="eastAsia" w:cs="Times New Roman"/>
          <w:color w:val="auto"/>
          <w:kern w:val="0"/>
          <w:sz w:val="24"/>
          <w:szCs w:val="20"/>
          <w:highlight w:val="none"/>
          <w:lang w:val="en-US" w:eastAsia="zh-CN"/>
        </w:rPr>
        <w:t>天然林</w:t>
      </w:r>
      <w:r>
        <w:rPr>
          <w:rFonts w:hint="default" w:ascii="Times New Roman" w:hAnsi="Times New Roman" w:cs="Times New Roman"/>
          <w:color w:val="auto"/>
          <w:kern w:val="0"/>
          <w:sz w:val="24"/>
          <w:szCs w:val="20"/>
          <w:highlight w:val="none"/>
          <w:lang w:val="en-US" w:eastAsia="zh-CN"/>
        </w:rPr>
        <w:t>主管部门许可后方可开工。开挖管沟缩短施工作业范围，应将作业带宽度控制在</w:t>
      </w:r>
      <w:r>
        <w:rPr>
          <w:rFonts w:hint="eastAsia" w:cs="Times New Roman"/>
          <w:color w:val="auto"/>
          <w:kern w:val="0"/>
          <w:sz w:val="24"/>
          <w:szCs w:val="20"/>
          <w:highlight w:val="none"/>
          <w:lang w:val="en-US" w:eastAsia="zh-CN"/>
        </w:rPr>
        <w:t>7</w:t>
      </w:r>
      <w:r>
        <w:rPr>
          <w:rFonts w:hint="default" w:ascii="Times New Roman" w:hAnsi="Times New Roman" w:cs="Times New Roman"/>
          <w:color w:val="auto"/>
          <w:kern w:val="0"/>
          <w:sz w:val="24"/>
          <w:szCs w:val="20"/>
          <w:highlight w:val="none"/>
          <w:lang w:val="en-US" w:eastAsia="zh-CN"/>
        </w:rPr>
        <w:t>m范围内，在规范施工以及严格按照林草部门的要求对占用</w:t>
      </w:r>
      <w:r>
        <w:rPr>
          <w:rFonts w:hint="eastAsia" w:cs="Times New Roman"/>
          <w:color w:val="auto"/>
          <w:kern w:val="0"/>
          <w:sz w:val="24"/>
          <w:szCs w:val="20"/>
          <w:highlight w:val="none"/>
          <w:lang w:val="en-US" w:eastAsia="zh-CN"/>
        </w:rPr>
        <w:t>天然林</w:t>
      </w:r>
      <w:r>
        <w:rPr>
          <w:rFonts w:hint="default" w:ascii="Times New Roman" w:hAnsi="Times New Roman" w:cs="Times New Roman"/>
          <w:color w:val="auto"/>
          <w:kern w:val="0"/>
          <w:sz w:val="24"/>
          <w:szCs w:val="20"/>
          <w:highlight w:val="none"/>
          <w:lang w:val="en-US" w:eastAsia="zh-CN"/>
        </w:rPr>
        <w:t>采取相应补偿措施后，本项目的建设对区域</w:t>
      </w:r>
      <w:r>
        <w:rPr>
          <w:rFonts w:hint="eastAsia" w:cs="Times New Roman"/>
          <w:color w:val="auto"/>
          <w:kern w:val="0"/>
          <w:sz w:val="24"/>
          <w:szCs w:val="20"/>
          <w:highlight w:val="none"/>
          <w:lang w:val="en-US" w:eastAsia="zh-CN"/>
        </w:rPr>
        <w:t>天然林</w:t>
      </w:r>
      <w:r>
        <w:rPr>
          <w:rFonts w:hint="default" w:ascii="Times New Roman" w:hAnsi="Times New Roman" w:cs="Times New Roman"/>
          <w:color w:val="auto"/>
          <w:kern w:val="0"/>
          <w:sz w:val="24"/>
          <w:szCs w:val="20"/>
          <w:highlight w:val="none"/>
          <w:lang w:val="en-US" w:eastAsia="zh-CN"/>
        </w:rPr>
        <w:t>的影响在可接受范围内。</w:t>
      </w:r>
    </w:p>
    <w:p w14:paraId="6193022A">
      <w:pPr>
        <w:bidi w:val="0"/>
        <w:adjustRightInd w:val="0"/>
        <w:snapToGrid w:val="0"/>
        <w:spacing w:line="240" w:lineRule="auto"/>
        <w:jc w:val="center"/>
        <w:outlineLvl w:val="9"/>
        <w:rPr>
          <w:rFonts w:hint="default" w:ascii="Times New Roman" w:hAnsi="Times New Roman" w:eastAsia="黑体" w:cs="Times New Roman"/>
          <w:color w:val="auto"/>
          <w:sz w:val="21"/>
          <w:szCs w:val="24"/>
          <w:highlight w:val="none"/>
          <w:lang w:val="en-US" w:eastAsia="zh-CN" w:bidi="ar-SA"/>
        </w:rPr>
      </w:pPr>
      <w:r>
        <w:rPr>
          <w:rFonts w:hint="default" w:ascii="Times New Roman" w:hAnsi="Times New Roman" w:eastAsia="黑体" w:cs="Times New Roman"/>
          <w:color w:val="auto"/>
          <w:sz w:val="21"/>
          <w:szCs w:val="24"/>
          <w:highlight w:val="none"/>
          <w:lang w:val="en-US" w:eastAsia="zh-CN" w:bidi="ar-SA"/>
        </w:rPr>
        <w:t>表5.1-1</w:t>
      </w:r>
      <w:r>
        <w:rPr>
          <w:rFonts w:hint="eastAsia" w:eastAsia="黑体" w:cs="Times New Roman"/>
          <w:color w:val="auto"/>
          <w:sz w:val="21"/>
          <w:szCs w:val="24"/>
          <w:highlight w:val="none"/>
          <w:lang w:val="en-US" w:eastAsia="zh-CN" w:bidi="ar-SA"/>
        </w:rPr>
        <w:t xml:space="preserve">  </w:t>
      </w:r>
      <w:r>
        <w:rPr>
          <w:rFonts w:hint="default" w:ascii="Times New Roman" w:hAnsi="Times New Roman" w:eastAsia="黑体" w:cs="Times New Roman"/>
          <w:color w:val="auto"/>
          <w:sz w:val="21"/>
          <w:szCs w:val="24"/>
          <w:highlight w:val="none"/>
          <w:lang w:val="en-US" w:eastAsia="zh-CN" w:bidi="ar-SA"/>
        </w:rPr>
        <w:t>本项目占用</w:t>
      </w:r>
      <w:r>
        <w:rPr>
          <w:rFonts w:hint="eastAsia" w:eastAsia="黑体" w:cs="Times New Roman"/>
          <w:color w:val="auto"/>
          <w:sz w:val="21"/>
          <w:szCs w:val="24"/>
          <w:highlight w:val="none"/>
          <w:lang w:val="en-US" w:eastAsia="zh-CN" w:bidi="ar-SA"/>
        </w:rPr>
        <w:t>天然林</w:t>
      </w:r>
      <w:r>
        <w:rPr>
          <w:rFonts w:hint="default" w:ascii="Times New Roman" w:hAnsi="Times New Roman" w:eastAsia="黑体" w:cs="Times New Roman"/>
          <w:color w:val="auto"/>
          <w:sz w:val="21"/>
          <w:szCs w:val="24"/>
          <w:highlight w:val="none"/>
          <w:lang w:val="en-US" w:eastAsia="zh-CN" w:bidi="ar-SA"/>
        </w:rPr>
        <w:t>情况统计表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1413"/>
        <w:gridCol w:w="2175"/>
        <w:gridCol w:w="2185"/>
      </w:tblGrid>
      <w:tr w14:paraId="12D7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12" w:type="pct"/>
            <w:vMerge w:val="restart"/>
            <w:vAlign w:val="center"/>
          </w:tcPr>
          <w:p w14:paraId="297309DD">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工程</w:t>
            </w:r>
            <w:r>
              <w:rPr>
                <w:rFonts w:hint="default" w:ascii="Times New Roman" w:hAnsi="Times New Roman" w:eastAsia="宋体" w:cs="Times New Roman"/>
                <w:color w:val="auto"/>
                <w:kern w:val="0"/>
                <w:sz w:val="21"/>
                <w:szCs w:val="18"/>
                <w:highlight w:val="none"/>
                <w:lang w:val="en-US" w:eastAsia="zh-CN"/>
              </w:rPr>
              <w:t>名称</w:t>
            </w:r>
          </w:p>
        </w:tc>
        <w:tc>
          <w:tcPr>
            <w:tcW w:w="3387" w:type="pct"/>
            <w:gridSpan w:val="3"/>
            <w:vAlign w:val="center"/>
          </w:tcPr>
          <w:p w14:paraId="24C46C03">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default" w:ascii="Times New Roman" w:hAnsi="Times New Roman" w:eastAsia="宋体" w:cs="Times New Roman"/>
                <w:color w:val="auto"/>
                <w:kern w:val="0"/>
                <w:sz w:val="21"/>
                <w:szCs w:val="18"/>
                <w:highlight w:val="none"/>
                <w:lang w:val="en-US" w:eastAsia="zh-CN"/>
              </w:rPr>
              <w:t>占</w:t>
            </w:r>
            <w:r>
              <w:rPr>
                <w:rFonts w:hint="eastAsia" w:cs="Times New Roman"/>
                <w:color w:val="auto"/>
                <w:kern w:val="0"/>
                <w:sz w:val="21"/>
                <w:szCs w:val="18"/>
                <w:highlight w:val="none"/>
                <w:lang w:val="en-US" w:eastAsia="zh-CN"/>
              </w:rPr>
              <w:t>天然林</w:t>
            </w:r>
            <w:r>
              <w:rPr>
                <w:rFonts w:hint="default" w:ascii="Times New Roman" w:hAnsi="Times New Roman" w:eastAsia="宋体" w:cs="Times New Roman"/>
                <w:color w:val="auto"/>
                <w:kern w:val="0"/>
                <w:sz w:val="21"/>
                <w:szCs w:val="18"/>
                <w:highlight w:val="none"/>
                <w:lang w:val="en-US" w:eastAsia="zh-CN"/>
              </w:rPr>
              <w:t>情况</w:t>
            </w:r>
          </w:p>
        </w:tc>
      </w:tr>
      <w:tr w14:paraId="6253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12" w:type="pct"/>
            <w:vMerge w:val="continue"/>
            <w:vAlign w:val="center"/>
          </w:tcPr>
          <w:p w14:paraId="1CEC6C98">
            <w:pPr>
              <w:keepNext w:val="0"/>
              <w:keepLines w:val="0"/>
              <w:widowControl/>
              <w:suppressLineNumbers w:val="0"/>
              <w:spacing w:before="0" w:beforeAutospacing="0" w:after="0" w:afterAutospacing="0" w:line="320" w:lineRule="exact"/>
              <w:ind w:left="0" w:right="0" w:firstLine="0" w:firstLineChars="0"/>
              <w:jc w:val="center"/>
              <w:rPr>
                <w:rFonts w:hint="eastAsia" w:cs="Times New Roman"/>
                <w:color w:val="auto"/>
                <w:kern w:val="0"/>
                <w:sz w:val="21"/>
                <w:szCs w:val="18"/>
                <w:highlight w:val="none"/>
                <w:lang w:val="en-US" w:eastAsia="zh-CN"/>
              </w:rPr>
            </w:pPr>
          </w:p>
        </w:tc>
        <w:tc>
          <w:tcPr>
            <w:tcW w:w="828" w:type="pct"/>
            <w:vAlign w:val="center"/>
          </w:tcPr>
          <w:p w14:paraId="0E0FA5C0">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类型</w:t>
            </w:r>
          </w:p>
        </w:tc>
        <w:tc>
          <w:tcPr>
            <w:tcW w:w="1276" w:type="pct"/>
            <w:vAlign w:val="center"/>
          </w:tcPr>
          <w:p w14:paraId="159F2B3D">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长度</w:t>
            </w:r>
          </w:p>
        </w:tc>
        <w:tc>
          <w:tcPr>
            <w:tcW w:w="1282" w:type="pct"/>
            <w:vAlign w:val="center"/>
          </w:tcPr>
          <w:p w14:paraId="1A1EACFE">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面积</w:t>
            </w:r>
          </w:p>
        </w:tc>
      </w:tr>
      <w:tr w14:paraId="1F0E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12" w:type="pct"/>
            <w:vAlign w:val="center"/>
          </w:tcPr>
          <w:p w14:paraId="30F55308">
            <w:pPr>
              <w:keepNext w:val="0"/>
              <w:keepLines w:val="0"/>
              <w:widowControl/>
              <w:suppressLineNumbers w:val="0"/>
              <w:spacing w:before="0" w:beforeAutospacing="0" w:after="0" w:afterAutospacing="0" w:line="320" w:lineRule="exact"/>
              <w:ind w:left="0" w:right="0" w:firstLine="0" w:firstLineChars="0"/>
              <w:jc w:val="center"/>
              <w:rPr>
                <w:rFonts w:hint="eastAsia" w:cs="Times New Roman"/>
                <w:color w:val="auto"/>
                <w:kern w:val="0"/>
                <w:sz w:val="21"/>
                <w:szCs w:val="18"/>
                <w:highlight w:val="none"/>
                <w:lang w:val="en-US" w:eastAsia="zh-CN"/>
              </w:rPr>
            </w:pPr>
            <w:r>
              <w:rPr>
                <w:rFonts w:hint="eastAsia"/>
                <w:color w:val="auto"/>
                <w:sz w:val="21"/>
                <w:szCs w:val="21"/>
                <w:highlight w:val="none"/>
                <w:lang w:val="en-US" w:eastAsia="zh-CN"/>
              </w:rPr>
              <w:t>新建</w:t>
            </w:r>
            <w:r>
              <w:rPr>
                <w:rFonts w:hint="eastAsia"/>
                <w:color w:val="auto"/>
                <w:sz w:val="21"/>
                <w:szCs w:val="21"/>
                <w:highlight w:val="none"/>
              </w:rPr>
              <w:t>TH102117X</w:t>
            </w:r>
            <w:r>
              <w:rPr>
                <w:rFonts w:hint="eastAsia"/>
                <w:color w:val="auto"/>
                <w:sz w:val="21"/>
                <w:szCs w:val="21"/>
                <w:highlight w:val="none"/>
                <w:lang w:val="en-US" w:eastAsia="zh-CN"/>
              </w:rPr>
              <w:t>单井管线</w:t>
            </w:r>
          </w:p>
        </w:tc>
        <w:tc>
          <w:tcPr>
            <w:tcW w:w="828" w:type="pct"/>
            <w:vAlign w:val="center"/>
          </w:tcPr>
          <w:p w14:paraId="3904C251">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Ⅱ级</w:t>
            </w:r>
            <w:r>
              <w:rPr>
                <w:rFonts w:hint="default" w:ascii="Times New Roman" w:hAnsi="Times New Roman" w:eastAsia="宋体" w:cs="Times New Roman"/>
                <w:color w:val="auto"/>
                <w:kern w:val="0"/>
                <w:sz w:val="21"/>
                <w:szCs w:val="18"/>
                <w:highlight w:val="none"/>
                <w:lang w:val="en-US" w:eastAsia="zh-CN"/>
              </w:rPr>
              <w:t>林地</w:t>
            </w:r>
          </w:p>
        </w:tc>
        <w:tc>
          <w:tcPr>
            <w:tcW w:w="1276" w:type="pct"/>
            <w:vAlign w:val="center"/>
          </w:tcPr>
          <w:p w14:paraId="0CEE9E71">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583m</w:t>
            </w:r>
          </w:p>
        </w:tc>
        <w:tc>
          <w:tcPr>
            <w:tcW w:w="1282" w:type="pct"/>
            <w:vAlign w:val="center"/>
          </w:tcPr>
          <w:p w14:paraId="1D9616E5">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default" w:ascii="Times New Roman" w:hAnsi="Times New Roman" w:eastAsia="宋体" w:cs="Times New Roman"/>
                <w:color w:val="auto"/>
                <w:kern w:val="0"/>
                <w:sz w:val="21"/>
                <w:szCs w:val="18"/>
                <w:highlight w:val="none"/>
                <w:lang w:val="en-US" w:eastAsia="zh-CN"/>
              </w:rPr>
              <w:t>0.4077hm</w:t>
            </w:r>
            <w:r>
              <w:rPr>
                <w:rFonts w:hint="default" w:ascii="Times New Roman" w:hAnsi="Times New Roman" w:eastAsia="宋体" w:cs="Times New Roman"/>
                <w:color w:val="auto"/>
                <w:kern w:val="0"/>
                <w:sz w:val="21"/>
                <w:szCs w:val="18"/>
                <w:highlight w:val="none"/>
                <w:vertAlign w:val="superscript"/>
                <w:lang w:val="en-US" w:eastAsia="zh-CN"/>
              </w:rPr>
              <w:t>2</w:t>
            </w:r>
          </w:p>
        </w:tc>
      </w:tr>
      <w:tr w14:paraId="37EF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12" w:type="pct"/>
            <w:vAlign w:val="center"/>
          </w:tcPr>
          <w:p w14:paraId="27E56A60">
            <w:pPr>
              <w:keepNext w:val="0"/>
              <w:keepLines w:val="0"/>
              <w:widowControl/>
              <w:suppressLineNumbers w:val="0"/>
              <w:spacing w:before="0" w:beforeAutospacing="0" w:after="0" w:afterAutospacing="0" w:line="320" w:lineRule="exact"/>
              <w:ind w:left="0" w:right="0" w:firstLine="0" w:firstLineChars="0"/>
              <w:jc w:val="center"/>
              <w:rPr>
                <w:rFonts w:hint="eastAsia" w:cs="Times New Roman"/>
                <w:color w:val="auto"/>
                <w:kern w:val="0"/>
                <w:sz w:val="21"/>
                <w:szCs w:val="18"/>
                <w:highlight w:val="none"/>
                <w:lang w:val="en-US" w:eastAsia="zh-CN"/>
              </w:rPr>
            </w:pPr>
            <w:r>
              <w:rPr>
                <w:rFonts w:hint="eastAsia"/>
                <w:color w:val="auto"/>
                <w:sz w:val="21"/>
                <w:szCs w:val="21"/>
                <w:highlight w:val="none"/>
              </w:rPr>
              <w:t>TK872CH井侧钻</w:t>
            </w:r>
          </w:p>
        </w:tc>
        <w:tc>
          <w:tcPr>
            <w:tcW w:w="828" w:type="pct"/>
            <w:vAlign w:val="center"/>
          </w:tcPr>
          <w:p w14:paraId="3C8446A0">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Ⅱ级</w:t>
            </w:r>
            <w:r>
              <w:rPr>
                <w:rFonts w:hint="default" w:ascii="Times New Roman" w:hAnsi="Times New Roman" w:eastAsia="宋体" w:cs="Times New Roman"/>
                <w:color w:val="auto"/>
                <w:kern w:val="0"/>
                <w:sz w:val="21"/>
                <w:szCs w:val="18"/>
                <w:highlight w:val="none"/>
                <w:lang w:val="en-US" w:eastAsia="zh-CN"/>
              </w:rPr>
              <w:t>林地</w:t>
            </w:r>
          </w:p>
        </w:tc>
        <w:tc>
          <w:tcPr>
            <w:tcW w:w="1276" w:type="pct"/>
            <w:vAlign w:val="center"/>
          </w:tcPr>
          <w:p w14:paraId="212F01CE">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w:t>
            </w:r>
          </w:p>
        </w:tc>
        <w:tc>
          <w:tcPr>
            <w:tcW w:w="1282" w:type="pct"/>
            <w:vAlign w:val="center"/>
          </w:tcPr>
          <w:p w14:paraId="34BBFC94">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0.87</w:t>
            </w:r>
            <w:r>
              <w:rPr>
                <w:rFonts w:hint="default" w:ascii="Times New Roman" w:hAnsi="Times New Roman" w:eastAsia="宋体" w:cs="Times New Roman"/>
                <w:color w:val="auto"/>
                <w:kern w:val="0"/>
                <w:sz w:val="21"/>
                <w:szCs w:val="18"/>
                <w:highlight w:val="none"/>
                <w:lang w:val="en-US" w:eastAsia="zh-CN"/>
              </w:rPr>
              <w:t>hm</w:t>
            </w:r>
            <w:r>
              <w:rPr>
                <w:rFonts w:hint="default" w:ascii="Times New Roman" w:hAnsi="Times New Roman" w:eastAsia="宋体" w:cs="Times New Roman"/>
                <w:color w:val="auto"/>
                <w:kern w:val="0"/>
                <w:sz w:val="21"/>
                <w:szCs w:val="18"/>
                <w:highlight w:val="none"/>
                <w:vertAlign w:val="superscript"/>
                <w:lang w:val="en-US" w:eastAsia="zh-CN"/>
              </w:rPr>
              <w:t>2</w:t>
            </w:r>
          </w:p>
        </w:tc>
      </w:tr>
      <w:tr w14:paraId="074E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12" w:type="pct"/>
            <w:vAlign w:val="center"/>
          </w:tcPr>
          <w:p w14:paraId="2A9CF506">
            <w:pPr>
              <w:keepNext w:val="0"/>
              <w:keepLines w:val="0"/>
              <w:widowControl/>
              <w:suppressLineNumbers w:val="0"/>
              <w:spacing w:before="0" w:beforeAutospacing="0" w:after="0" w:afterAutospacing="0" w:line="320" w:lineRule="exact"/>
              <w:ind w:left="0" w:right="0" w:firstLine="0" w:firstLineChars="0"/>
              <w:jc w:val="center"/>
              <w:rPr>
                <w:rFonts w:hint="eastAsia"/>
                <w:color w:val="auto"/>
                <w:sz w:val="21"/>
                <w:szCs w:val="21"/>
                <w:highlight w:val="none"/>
              </w:rPr>
            </w:pPr>
            <w:r>
              <w:rPr>
                <w:rFonts w:hint="eastAsia"/>
                <w:color w:val="auto"/>
                <w:sz w:val="21"/>
                <w:szCs w:val="21"/>
                <w:highlight w:val="none"/>
              </w:rPr>
              <w:t>临时生活区</w:t>
            </w:r>
          </w:p>
        </w:tc>
        <w:tc>
          <w:tcPr>
            <w:tcW w:w="828" w:type="pct"/>
            <w:vAlign w:val="center"/>
          </w:tcPr>
          <w:p w14:paraId="44C0F6D4">
            <w:pPr>
              <w:keepNext w:val="0"/>
              <w:keepLines w:val="0"/>
              <w:widowControl/>
              <w:suppressLineNumbers w:val="0"/>
              <w:spacing w:before="0" w:beforeAutospacing="0" w:after="0" w:afterAutospacing="0" w:line="320" w:lineRule="exact"/>
              <w:ind w:left="0" w:right="0" w:firstLine="0" w:firstLineChars="0"/>
              <w:jc w:val="center"/>
              <w:rPr>
                <w:rFonts w:hint="eastAsia"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III级林地</w:t>
            </w:r>
          </w:p>
        </w:tc>
        <w:tc>
          <w:tcPr>
            <w:tcW w:w="1276" w:type="pct"/>
            <w:vAlign w:val="center"/>
          </w:tcPr>
          <w:p w14:paraId="191DBC4B">
            <w:pPr>
              <w:keepNext w:val="0"/>
              <w:keepLines w:val="0"/>
              <w:widowControl/>
              <w:suppressLineNumbers w:val="0"/>
              <w:spacing w:before="0" w:beforeAutospacing="0" w:after="0" w:afterAutospacing="0" w:line="320" w:lineRule="exact"/>
              <w:ind w:left="0" w:right="0" w:firstLine="0" w:firstLineChars="0"/>
              <w:jc w:val="center"/>
              <w:rPr>
                <w:rFonts w:hint="default"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w:t>
            </w:r>
          </w:p>
        </w:tc>
        <w:tc>
          <w:tcPr>
            <w:tcW w:w="1282" w:type="pct"/>
            <w:vAlign w:val="center"/>
          </w:tcPr>
          <w:p w14:paraId="3FBD2D41">
            <w:pPr>
              <w:keepNext w:val="0"/>
              <w:keepLines w:val="0"/>
              <w:widowControl/>
              <w:suppressLineNumbers w:val="0"/>
              <w:spacing w:before="0" w:beforeAutospacing="0" w:after="0" w:afterAutospacing="0" w:line="320" w:lineRule="exact"/>
              <w:ind w:left="0" w:right="0" w:firstLine="0" w:firstLineChars="0"/>
              <w:jc w:val="center"/>
              <w:rPr>
                <w:rFonts w:hint="eastAsia"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0.24</w:t>
            </w:r>
          </w:p>
        </w:tc>
      </w:tr>
      <w:tr w14:paraId="317E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441" w:type="pct"/>
            <w:gridSpan w:val="2"/>
            <w:vAlign w:val="center"/>
          </w:tcPr>
          <w:p w14:paraId="4D9CF106">
            <w:pPr>
              <w:keepNext w:val="0"/>
              <w:keepLines w:val="0"/>
              <w:widowControl/>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18"/>
                <w:highlight w:val="none"/>
                <w:lang w:val="en-US" w:eastAsia="zh-CN"/>
              </w:rPr>
            </w:pPr>
            <w:r>
              <w:rPr>
                <w:rFonts w:hint="eastAsia"/>
                <w:color w:val="auto"/>
                <w:sz w:val="21"/>
                <w:szCs w:val="21"/>
                <w:highlight w:val="none"/>
                <w:lang w:val="en-US" w:eastAsia="zh-CN"/>
              </w:rPr>
              <w:t>合计</w:t>
            </w:r>
          </w:p>
        </w:tc>
        <w:tc>
          <w:tcPr>
            <w:tcW w:w="1276" w:type="pct"/>
            <w:vAlign w:val="center"/>
          </w:tcPr>
          <w:p w14:paraId="34A77B00">
            <w:pPr>
              <w:keepNext w:val="0"/>
              <w:keepLines w:val="0"/>
              <w:widowControl/>
              <w:suppressLineNumbers w:val="0"/>
              <w:spacing w:before="0" w:beforeAutospacing="0" w:after="0" w:afterAutospacing="0" w:line="320" w:lineRule="exact"/>
              <w:ind w:left="0" w:right="0" w:firstLine="0" w:firstLineChars="0"/>
              <w:jc w:val="center"/>
              <w:rPr>
                <w:rFonts w:hint="eastAsia"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583m</w:t>
            </w:r>
          </w:p>
        </w:tc>
        <w:tc>
          <w:tcPr>
            <w:tcW w:w="1282" w:type="pct"/>
            <w:vAlign w:val="center"/>
          </w:tcPr>
          <w:p w14:paraId="4ACA553D">
            <w:pPr>
              <w:keepNext w:val="0"/>
              <w:keepLines w:val="0"/>
              <w:widowControl/>
              <w:suppressLineNumbers w:val="0"/>
              <w:spacing w:before="0" w:beforeAutospacing="0" w:after="0" w:afterAutospacing="0" w:line="320" w:lineRule="exact"/>
              <w:ind w:left="0" w:right="0" w:firstLine="0" w:firstLineChars="0"/>
              <w:jc w:val="center"/>
              <w:rPr>
                <w:rFonts w:hint="eastAsia" w:cs="Times New Roman"/>
                <w:color w:val="auto"/>
                <w:kern w:val="0"/>
                <w:sz w:val="21"/>
                <w:szCs w:val="18"/>
                <w:highlight w:val="none"/>
                <w:lang w:val="en-US" w:eastAsia="zh-CN"/>
              </w:rPr>
            </w:pPr>
            <w:r>
              <w:rPr>
                <w:rFonts w:hint="eastAsia" w:cs="Times New Roman"/>
                <w:color w:val="auto"/>
                <w:kern w:val="0"/>
                <w:sz w:val="21"/>
                <w:szCs w:val="18"/>
                <w:highlight w:val="none"/>
                <w:lang w:val="en-US" w:eastAsia="zh-CN"/>
              </w:rPr>
              <w:t>1.5177</w:t>
            </w:r>
          </w:p>
        </w:tc>
      </w:tr>
    </w:tbl>
    <w:p w14:paraId="06C30C05">
      <w:pPr>
        <w:keepNext w:val="0"/>
        <w:keepLines w:val="0"/>
        <w:pageBreakBefore w:val="0"/>
        <w:widowControl/>
        <w:kinsoku/>
        <w:wordWrap/>
        <w:overflowPunct/>
        <w:topLinePunct w:val="0"/>
        <w:autoSpaceDE/>
        <w:autoSpaceDN/>
        <w:bidi w:val="0"/>
        <w:adjustRightInd/>
        <w:snapToGrid/>
        <w:spacing w:before="164" w:beforeLines="50" w:line="360" w:lineRule="auto"/>
        <w:ind w:firstLine="482" w:firstLineChars="200"/>
        <w:jc w:val="both"/>
        <w:textAlignment w:val="auto"/>
        <w:rPr>
          <w:rFonts w:hint="default" w:ascii="Times New Roman" w:hAnsi="Times New Roman" w:eastAsia="宋体" w:cs="Times New Roman"/>
          <w:b/>
          <w:bCs/>
          <w:color w:val="auto"/>
          <w:kern w:val="0"/>
          <w:szCs w:val="20"/>
          <w:highlight w:val="none"/>
          <w:lang w:val="en-US" w:eastAsia="zh-CN"/>
        </w:rPr>
      </w:pPr>
      <w:r>
        <w:rPr>
          <w:rFonts w:hint="eastAsia" w:cs="Times New Roman"/>
          <w:b/>
          <w:bCs/>
          <w:color w:val="auto"/>
          <w:kern w:val="0"/>
          <w:szCs w:val="20"/>
          <w:highlight w:val="none"/>
          <w:lang w:val="en-US" w:eastAsia="zh-CN"/>
        </w:rPr>
        <w:t>（2）</w:t>
      </w:r>
      <w:r>
        <w:rPr>
          <w:rFonts w:hint="default" w:ascii="Times New Roman" w:hAnsi="Times New Roman" w:eastAsia="宋体" w:cs="Times New Roman"/>
          <w:b/>
          <w:bCs/>
          <w:color w:val="auto"/>
          <w:kern w:val="0"/>
          <w:szCs w:val="20"/>
          <w:highlight w:val="none"/>
          <w:lang w:val="en-US" w:eastAsia="zh-CN"/>
        </w:rPr>
        <w:t>生态避让</w:t>
      </w:r>
    </w:p>
    <w:p w14:paraId="4561297E">
      <w:pPr>
        <w:widowControl w:val="0"/>
        <w:spacing w:line="360" w:lineRule="auto"/>
        <w:ind w:firstLine="540" w:firstLineChars="225"/>
        <w:jc w:val="both"/>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cs="Times New Roman"/>
          <w:snapToGrid w:val="0"/>
          <w:color w:val="auto"/>
          <w:kern w:val="2"/>
          <w:sz w:val="24"/>
          <w:szCs w:val="20"/>
          <w:highlight w:val="none"/>
          <w:lang w:val="en-US" w:eastAsia="zh-CN" w:bidi="ar-SA"/>
        </w:rPr>
        <w:t>本项目</w:t>
      </w:r>
      <w:r>
        <w:rPr>
          <w:rFonts w:hint="default" w:ascii="Times New Roman" w:hAnsi="Times New Roman" w:eastAsia="宋体" w:cs="Times New Roman"/>
          <w:snapToGrid w:val="0"/>
          <w:color w:val="auto"/>
          <w:kern w:val="2"/>
          <w:sz w:val="24"/>
          <w:szCs w:val="20"/>
          <w:highlight w:val="none"/>
          <w:lang w:val="en-US" w:eastAsia="zh-CN" w:bidi="ar-SA"/>
        </w:rPr>
        <w:t>新建</w:t>
      </w:r>
      <w:r>
        <w:rPr>
          <w:rFonts w:hint="eastAsia"/>
          <w:color w:val="auto"/>
          <w:highlight w:val="none"/>
        </w:rPr>
        <w:t>TH102117X</w:t>
      </w:r>
      <w:r>
        <w:rPr>
          <w:rFonts w:hint="eastAsia" w:cs="Times New Roman"/>
          <w:snapToGrid w:val="0"/>
          <w:color w:val="auto"/>
          <w:kern w:val="2"/>
          <w:sz w:val="24"/>
          <w:szCs w:val="20"/>
          <w:highlight w:val="none"/>
          <w:lang w:val="en-US" w:eastAsia="zh-CN" w:bidi="ar-SA"/>
        </w:rPr>
        <w:t>井</w:t>
      </w:r>
      <w:r>
        <w:rPr>
          <w:rFonts w:hint="default" w:ascii="Times New Roman" w:hAnsi="Times New Roman" w:eastAsia="宋体" w:cs="Times New Roman"/>
          <w:snapToGrid w:val="0"/>
          <w:color w:val="auto"/>
          <w:kern w:val="2"/>
          <w:sz w:val="24"/>
          <w:szCs w:val="20"/>
          <w:highlight w:val="none"/>
          <w:lang w:val="en-US" w:eastAsia="zh-CN" w:bidi="ar-SA"/>
        </w:rPr>
        <w:t>管线</w:t>
      </w:r>
      <w:r>
        <w:rPr>
          <w:rFonts w:hint="eastAsia" w:cs="Times New Roman"/>
          <w:snapToGrid w:val="0"/>
          <w:color w:val="auto"/>
          <w:kern w:val="2"/>
          <w:sz w:val="24"/>
          <w:szCs w:val="20"/>
          <w:highlight w:val="none"/>
          <w:lang w:val="en-US" w:eastAsia="zh-CN" w:bidi="ar-SA"/>
        </w:rPr>
        <w:t>须</w:t>
      </w:r>
      <w:r>
        <w:rPr>
          <w:rFonts w:hint="default" w:ascii="Times New Roman" w:hAnsi="Times New Roman" w:eastAsia="宋体" w:cs="Times New Roman"/>
          <w:snapToGrid w:val="0"/>
          <w:color w:val="auto"/>
          <w:kern w:val="2"/>
          <w:sz w:val="24"/>
          <w:szCs w:val="20"/>
          <w:highlight w:val="none"/>
          <w:lang w:val="en-US" w:eastAsia="zh-CN" w:bidi="ar-SA"/>
        </w:rPr>
        <w:t>尽量避开植被较丰富的区域</w:t>
      </w:r>
      <w:r>
        <w:rPr>
          <w:rFonts w:hint="eastAsia" w:cs="Times New Roman"/>
          <w:snapToGrid w:val="0"/>
          <w:color w:val="auto"/>
          <w:kern w:val="2"/>
          <w:sz w:val="24"/>
          <w:szCs w:val="20"/>
          <w:highlight w:val="none"/>
          <w:lang w:val="en-US" w:eastAsia="zh-CN" w:bidi="ar-SA"/>
        </w:rPr>
        <w:t>以及胡杨、柽柳沙堆等生物量较大的区域</w:t>
      </w:r>
      <w:r>
        <w:rPr>
          <w:rFonts w:hint="default" w:ascii="Times New Roman" w:hAnsi="Times New Roman" w:eastAsia="宋体" w:cs="Times New Roman"/>
          <w:snapToGrid w:val="0"/>
          <w:color w:val="auto"/>
          <w:kern w:val="2"/>
          <w:sz w:val="24"/>
          <w:szCs w:val="20"/>
          <w:highlight w:val="none"/>
          <w:lang w:val="en-US" w:eastAsia="zh-CN" w:bidi="ar-SA"/>
        </w:rPr>
        <w:t>，</w:t>
      </w:r>
      <w:r>
        <w:rPr>
          <w:rFonts w:hint="eastAsia" w:cs="Times New Roman"/>
          <w:snapToGrid w:val="0"/>
          <w:color w:val="auto"/>
          <w:kern w:val="2"/>
          <w:sz w:val="24"/>
          <w:szCs w:val="20"/>
          <w:highlight w:val="none"/>
          <w:lang w:val="en-US" w:eastAsia="zh-CN" w:bidi="ar-SA"/>
        </w:rPr>
        <w:t>减小对</w:t>
      </w:r>
      <w:r>
        <w:rPr>
          <w:rFonts w:hint="default" w:ascii="Times New Roman" w:hAnsi="Times New Roman" w:eastAsia="宋体" w:cs="Times New Roman"/>
          <w:snapToGrid w:val="0"/>
          <w:color w:val="auto"/>
          <w:kern w:val="2"/>
          <w:sz w:val="24"/>
          <w:szCs w:val="20"/>
          <w:highlight w:val="none"/>
          <w:lang w:val="en-US" w:eastAsia="zh-CN" w:bidi="ar-SA"/>
        </w:rPr>
        <w:t>荒漠植物</w:t>
      </w:r>
      <w:r>
        <w:rPr>
          <w:rFonts w:hint="eastAsia" w:cs="Times New Roman"/>
          <w:snapToGrid w:val="0"/>
          <w:color w:val="auto"/>
          <w:kern w:val="2"/>
          <w:sz w:val="24"/>
          <w:szCs w:val="20"/>
          <w:highlight w:val="none"/>
          <w:lang w:val="en-US" w:eastAsia="zh-CN" w:bidi="ar-SA"/>
        </w:rPr>
        <w:t>的影响</w:t>
      </w:r>
      <w:r>
        <w:rPr>
          <w:rFonts w:hint="default" w:ascii="Times New Roman" w:hAnsi="Times New Roman" w:eastAsia="宋体" w:cs="Times New Roman"/>
          <w:snapToGrid w:val="0"/>
          <w:color w:val="auto"/>
          <w:kern w:val="2"/>
          <w:sz w:val="24"/>
          <w:szCs w:val="20"/>
          <w:highlight w:val="none"/>
          <w:lang w:val="en-US" w:eastAsia="zh-CN" w:bidi="ar-SA"/>
        </w:rPr>
        <w:t>。</w:t>
      </w:r>
      <w:r>
        <w:rPr>
          <w:rFonts w:hint="default" w:ascii="Times New Roman" w:hAnsi="Times New Roman" w:cs="Times New Roman"/>
          <w:snapToGrid w:val="0"/>
          <w:color w:val="auto"/>
          <w:kern w:val="2"/>
          <w:sz w:val="24"/>
          <w:szCs w:val="20"/>
          <w:highlight w:val="none"/>
          <w:lang w:val="en-US" w:eastAsia="zh-CN" w:bidi="ar-SA"/>
        </w:rPr>
        <w:t>本项目</w:t>
      </w:r>
      <w:r>
        <w:rPr>
          <w:rFonts w:hint="default" w:ascii="Times New Roman" w:hAnsi="Times New Roman" w:cs="Times New Roman"/>
          <w:color w:val="auto"/>
          <w:highlight w:val="none"/>
          <w:lang w:val="en-US" w:eastAsia="zh-CN"/>
        </w:rPr>
        <w:t>TH10294</w:t>
      </w:r>
      <w:r>
        <w:rPr>
          <w:rFonts w:hint="eastAsia" w:cs="Times New Roman"/>
          <w:color w:val="auto"/>
          <w:highlight w:val="none"/>
          <w:lang w:val="en-US" w:eastAsia="zh-CN"/>
        </w:rPr>
        <w:t>CH</w:t>
      </w:r>
      <w:r>
        <w:rPr>
          <w:rFonts w:hint="default" w:ascii="Times New Roman" w:hAnsi="Times New Roman" w:cs="Times New Roman"/>
          <w:color w:val="auto"/>
          <w:highlight w:val="none"/>
          <w:lang w:val="en-US" w:eastAsia="zh-CN"/>
        </w:rPr>
        <w:t>、TH10250</w:t>
      </w:r>
      <w:r>
        <w:rPr>
          <w:rFonts w:hint="eastAsia" w:cs="Times New Roman"/>
          <w:color w:val="auto"/>
          <w:highlight w:val="none"/>
          <w:lang w:val="en-US" w:eastAsia="zh-CN"/>
        </w:rPr>
        <w:t>CH</w:t>
      </w:r>
      <w:r>
        <w:rPr>
          <w:rFonts w:hint="default" w:ascii="Times New Roman" w:hAnsi="Times New Roman" w:cs="Times New Roman"/>
          <w:color w:val="auto"/>
          <w:highlight w:val="none"/>
          <w:lang w:val="en-US" w:eastAsia="zh-CN"/>
        </w:rPr>
        <w:t>、TH10298</w:t>
      </w:r>
      <w:r>
        <w:rPr>
          <w:rFonts w:hint="eastAsia" w:cs="Times New Roman"/>
          <w:color w:val="auto"/>
          <w:highlight w:val="none"/>
          <w:lang w:val="en-US" w:eastAsia="zh-CN"/>
        </w:rPr>
        <w:t>CH</w:t>
      </w:r>
      <w:r>
        <w:rPr>
          <w:rFonts w:hint="default" w:ascii="Times New Roman" w:hAnsi="Times New Roman" w:cs="Times New Roman"/>
          <w:color w:val="auto"/>
          <w:highlight w:val="none"/>
          <w:lang w:val="en-US" w:eastAsia="zh-CN"/>
        </w:rPr>
        <w:t>、TK872</w:t>
      </w:r>
      <w:r>
        <w:rPr>
          <w:rFonts w:hint="eastAsia" w:cs="Times New Roman"/>
          <w:color w:val="auto"/>
          <w:highlight w:val="none"/>
          <w:lang w:val="en-US" w:eastAsia="zh-CN"/>
        </w:rPr>
        <w:t>CH</w:t>
      </w:r>
      <w:r>
        <w:rPr>
          <w:rFonts w:hint="default" w:ascii="Times New Roman" w:hAnsi="Times New Roman" w:eastAsia="宋体" w:cs="Times New Roman"/>
          <w:snapToGrid w:val="0"/>
          <w:color w:val="auto"/>
          <w:kern w:val="2"/>
          <w:sz w:val="24"/>
          <w:szCs w:val="20"/>
          <w:highlight w:val="none"/>
          <w:lang w:val="en-US" w:eastAsia="zh-CN" w:bidi="ar-SA"/>
        </w:rPr>
        <w:t>侧钻井进站管线均依现有管线</w:t>
      </w:r>
      <w:r>
        <w:rPr>
          <w:rFonts w:hint="eastAsia" w:cs="Times New Roman"/>
          <w:snapToGrid w:val="0"/>
          <w:color w:val="auto"/>
          <w:kern w:val="2"/>
          <w:sz w:val="24"/>
          <w:szCs w:val="20"/>
          <w:highlight w:val="none"/>
          <w:lang w:val="en-US" w:eastAsia="zh-CN" w:bidi="ar-SA"/>
        </w:rPr>
        <w:t>，不新建</w:t>
      </w:r>
      <w:r>
        <w:rPr>
          <w:rFonts w:hint="default" w:ascii="Times New Roman" w:hAnsi="Times New Roman" w:eastAsia="宋体" w:cs="Times New Roman"/>
          <w:snapToGrid w:val="0"/>
          <w:color w:val="auto"/>
          <w:kern w:val="2"/>
          <w:sz w:val="24"/>
          <w:szCs w:val="20"/>
          <w:highlight w:val="none"/>
          <w:lang w:val="en-US" w:eastAsia="zh-CN" w:bidi="ar-SA"/>
        </w:rPr>
        <w:t>。</w:t>
      </w:r>
    </w:p>
    <w:p w14:paraId="6F1E0531">
      <w:pPr>
        <w:widowControl w:val="0"/>
        <w:spacing w:line="360" w:lineRule="auto"/>
        <w:ind w:firstLine="540" w:firstLineChars="225"/>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施工过程中严格规定各类工作人员的活动范围，使之限于在各工区和生活区范围内活动，最大限度减少对荒漠植物生存环境的践踏破坏。若无法进行避让，需对保护植物进行移植保护。</w:t>
      </w:r>
    </w:p>
    <w:p w14:paraId="120FFA5B">
      <w:pPr>
        <w:keepLines/>
        <w:widowControl/>
        <w:adjustRightInd w:val="0"/>
        <w:snapToGrid w:val="0"/>
        <w:spacing w:line="360" w:lineRule="auto"/>
        <w:ind w:firstLine="0" w:firstLineChars="0"/>
        <w:jc w:val="both"/>
        <w:outlineLvl w:val="3"/>
        <w:rPr>
          <w:rFonts w:hint="eastAsia" w:ascii="Times New Roman" w:hAnsi="Times New Roman" w:eastAsia="宋体" w:cs="Times New Roman"/>
          <w:b/>
          <w:bCs w:val="0"/>
          <w:color w:val="auto"/>
          <w:kern w:val="0"/>
          <w:szCs w:val="20"/>
          <w:highlight w:val="none"/>
        </w:rPr>
      </w:pPr>
      <w:r>
        <w:rPr>
          <w:rFonts w:hint="eastAsia" w:ascii="Times New Roman" w:hAnsi="Times New Roman" w:eastAsia="宋体" w:cs="Times New Roman"/>
          <w:b/>
          <w:bCs w:val="0"/>
          <w:color w:val="auto"/>
          <w:kern w:val="0"/>
          <w:szCs w:val="20"/>
          <w:highlight w:val="none"/>
        </w:rPr>
        <w:t>5.1.</w:t>
      </w:r>
      <w:r>
        <w:rPr>
          <w:rFonts w:hint="eastAsia" w:cs="Times New Roman"/>
          <w:b/>
          <w:bCs w:val="0"/>
          <w:color w:val="auto"/>
          <w:kern w:val="0"/>
          <w:szCs w:val="20"/>
          <w:highlight w:val="none"/>
          <w:lang w:val="en-US" w:eastAsia="zh-CN"/>
        </w:rPr>
        <w:t>2.9</w:t>
      </w:r>
      <w:r>
        <w:rPr>
          <w:rFonts w:hint="eastAsia" w:ascii="Times New Roman" w:hAnsi="Times New Roman" w:eastAsia="宋体" w:cs="Times New Roman"/>
          <w:b/>
          <w:bCs w:val="0"/>
          <w:color w:val="auto"/>
          <w:kern w:val="0"/>
          <w:szCs w:val="20"/>
          <w:highlight w:val="none"/>
        </w:rPr>
        <w:t xml:space="preserve"> 对永久基本农田的影响分析</w:t>
      </w:r>
    </w:p>
    <w:p w14:paraId="628A6292">
      <w:pPr>
        <w:widowControl w:val="0"/>
        <w:spacing w:line="360" w:lineRule="auto"/>
        <w:ind w:firstLine="540" w:firstLineChars="225"/>
        <w:jc w:val="both"/>
        <w:rPr>
          <w:rFonts w:hint="default" w:ascii="Times New Roman" w:hAnsi="Times New Roman" w:cs="Times New Roman"/>
          <w:color w:val="auto"/>
          <w:kern w:val="0"/>
          <w:szCs w:val="24"/>
          <w:highlight w:val="none"/>
          <w:lang w:val="en-US" w:eastAsia="zh-CN"/>
        </w:rPr>
      </w:pPr>
      <w:r>
        <w:rPr>
          <w:rFonts w:hint="eastAsia" w:ascii="Times New Roman" w:hAnsi="Times New Roman" w:cs="Times New Roman"/>
          <w:color w:val="auto"/>
          <w:kern w:val="0"/>
          <w:szCs w:val="24"/>
          <w:highlight w:val="none"/>
          <w:lang w:val="en-US" w:eastAsia="zh-CN"/>
        </w:rPr>
        <w:t>本项目</w:t>
      </w:r>
      <w:r>
        <w:rPr>
          <w:rFonts w:hint="eastAsia" w:ascii="Times New Roman" w:hAnsi="Times New Roman" w:cs="Times New Roman"/>
          <w:color w:val="auto"/>
          <w:kern w:val="0"/>
          <w:szCs w:val="24"/>
          <w:highlight w:val="none"/>
          <w:lang w:eastAsia="zh-CN"/>
        </w:rPr>
        <w:t>不占用永久基本农田，管线在选线设计、施工作业时避让永久基本农田，</w:t>
      </w:r>
      <w:r>
        <w:rPr>
          <w:rFonts w:hint="eastAsia" w:cs="Times New Roman"/>
          <w:color w:val="auto"/>
          <w:kern w:val="0"/>
          <w:szCs w:val="24"/>
          <w:highlight w:val="none"/>
          <w:lang w:val="en-US" w:eastAsia="zh-CN"/>
        </w:rPr>
        <w:t>TK872CH井新增占地</w:t>
      </w:r>
      <w:r>
        <w:rPr>
          <w:rFonts w:hint="eastAsia" w:ascii="Times New Roman" w:hAnsi="Times New Roman" w:cs="Times New Roman"/>
          <w:color w:val="auto"/>
          <w:kern w:val="0"/>
          <w:szCs w:val="24"/>
          <w:highlight w:val="none"/>
          <w:lang w:eastAsia="zh-CN"/>
        </w:rPr>
        <w:t>距永久基本农田最近距离为</w:t>
      </w:r>
      <w:r>
        <w:rPr>
          <w:rFonts w:hint="eastAsia" w:cs="Times New Roman"/>
          <w:color w:val="auto"/>
          <w:kern w:val="0"/>
          <w:szCs w:val="24"/>
          <w:highlight w:val="none"/>
          <w:lang w:val="en-US" w:eastAsia="zh-CN"/>
        </w:rPr>
        <w:t>45</w:t>
      </w:r>
      <w:r>
        <w:rPr>
          <w:rFonts w:hint="eastAsia" w:ascii="Times New Roman" w:hAnsi="Times New Roman" w:cs="Times New Roman"/>
          <w:color w:val="auto"/>
          <w:kern w:val="0"/>
          <w:szCs w:val="24"/>
          <w:highlight w:val="none"/>
          <w:lang w:eastAsia="zh-CN"/>
        </w:rPr>
        <w:t>m。永久基本农田附近管沟开挖、材料运输和土方回填环节中会产生施工扬尘，导致环境空气中TSP浓度升高，影响农田植物的光合作用与正常生长，使局部区域农作物减产，由于施工扬尘粒径较大，飘移距离短，采取洒水抑尘等控制措施后，施工扬尘影响范围有限，对且随着施工期的结束，影响将会消失。同时加强施工人员的教育工作，施工机械不得随意行驶，碾压永久基本农田，对永久基本农田的影响较小。</w:t>
      </w:r>
    </w:p>
    <w:p w14:paraId="636FAC0E">
      <w:pPr>
        <w:pStyle w:val="12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5.1.3运营期生态环境影响分析</w:t>
      </w:r>
    </w:p>
    <w:p w14:paraId="49BC5293">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本项目运营期对生态环境的影响主要表现在对野生动物、植被等的影响，生态系统完整性影响以及生态景观影响。</w:t>
      </w:r>
    </w:p>
    <w:p w14:paraId="32087088">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lang w:eastAsia="zh-CN"/>
        </w:rPr>
      </w:pPr>
      <w:r>
        <w:rPr>
          <w:rFonts w:hint="default" w:ascii="Times New Roman" w:hAnsi="Times New Roman" w:eastAsia="宋体" w:cs="Times New Roman"/>
          <w:b/>
          <w:color w:val="auto"/>
          <w:kern w:val="0"/>
          <w:szCs w:val="20"/>
          <w:highlight w:val="none"/>
          <w:lang w:eastAsia="zh-CN"/>
        </w:rPr>
        <w:t>5.1.3.1对野生动物的影响分析</w:t>
      </w:r>
    </w:p>
    <w:p w14:paraId="7602B21C">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运营期车辆运输和机械噪声相对施工期有所减小，人为活动相对施工也有所减少，通过加强管理禁止油气田职工对野生动物的猎杀，本项目运营期的噪声和人为活动对野生动物的影响也相对减小。</w:t>
      </w:r>
    </w:p>
    <w:p w14:paraId="33338BDE">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运营期道路行车主要是油气田巡线的自备车辆，车流量很小，夜间无车行驶，一般情况下，野生动物会自行规避或适应，不会对野生动物产生明显影响。</w:t>
      </w:r>
    </w:p>
    <w:p w14:paraId="40C6DB6D">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lang w:eastAsia="zh-CN"/>
        </w:rPr>
      </w:pPr>
      <w:r>
        <w:rPr>
          <w:rFonts w:hint="default" w:ascii="Times New Roman" w:hAnsi="Times New Roman" w:eastAsia="宋体" w:cs="Times New Roman"/>
          <w:b/>
          <w:color w:val="auto"/>
          <w:kern w:val="0"/>
          <w:szCs w:val="20"/>
          <w:highlight w:val="none"/>
          <w:lang w:eastAsia="zh-CN"/>
        </w:rPr>
        <w:t>5.1.3.2植被影响分析</w:t>
      </w:r>
    </w:p>
    <w:p w14:paraId="546EC81E">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运营期由于占地活动的结束，工程基本不会对植被产生影响，临时占地的植被开始自然恢复，一般在2～3年内开始发生向原生植被群落演替，并逐渐得到恢复。但事故状态如管线泄漏或火灾均会致使泄漏或火灾处局部范围内植被死亡。但事故造成的植被破坏是小范围的，在荒漠地带植被损失量较小。</w:t>
      </w:r>
    </w:p>
    <w:p w14:paraId="19FDE586">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lang w:eastAsia="zh-CN"/>
        </w:rPr>
      </w:pPr>
      <w:r>
        <w:rPr>
          <w:rFonts w:hint="default" w:ascii="Times New Roman" w:hAnsi="Times New Roman" w:eastAsia="宋体" w:cs="Times New Roman"/>
          <w:b/>
          <w:color w:val="auto"/>
          <w:kern w:val="0"/>
          <w:szCs w:val="20"/>
          <w:highlight w:val="none"/>
          <w:lang w:eastAsia="zh-CN"/>
        </w:rPr>
        <w:t>5.1.3.3生态保护目标影响分析</w:t>
      </w:r>
    </w:p>
    <w:p w14:paraId="643633E7">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运营期影响主要集中在井场等永久占地范围内，运营期采出水、井下作业废水等均不外排，落地油妥善处置；同时加强日常巡检监管工作，出现泄漏情况能及时发现；加强法兰、阀门连接处腐蚀情况记录管理，避免因老化、腐蚀导致泄漏情况发生。因此不会对生态保护目标产生明显不利影响。</w:t>
      </w:r>
    </w:p>
    <w:p w14:paraId="3E7F978C">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lang w:eastAsia="zh-CN"/>
        </w:rPr>
      </w:pPr>
      <w:r>
        <w:rPr>
          <w:rFonts w:hint="default" w:ascii="Times New Roman" w:hAnsi="Times New Roman" w:eastAsia="宋体" w:cs="Times New Roman"/>
          <w:b/>
          <w:color w:val="auto"/>
          <w:kern w:val="0"/>
          <w:szCs w:val="20"/>
          <w:highlight w:val="none"/>
          <w:lang w:eastAsia="zh-CN"/>
        </w:rPr>
        <w:t>5.1.3.4生态系统完整性影响评价</w:t>
      </w:r>
    </w:p>
    <w:p w14:paraId="26FEC9BD">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生态系统完整性是资源管理和环境保护中一个重要的概念。生态系统完整性是生态系统在特定地理区域的最优化状态，在这种状态下，生态系统具备区域自然生境所应包含的全部</w:t>
      </w:r>
      <w:r>
        <w:rPr>
          <w:rFonts w:hint="eastAsia" w:cs="Times New Roman"/>
          <w:color w:val="auto"/>
          <w:kern w:val="0"/>
          <w:szCs w:val="24"/>
          <w:highlight w:val="none"/>
          <w:lang w:eastAsia="zh-CN"/>
        </w:rPr>
        <w:t>本土</w:t>
      </w:r>
      <w:r>
        <w:rPr>
          <w:rFonts w:hint="default" w:ascii="Times New Roman" w:hAnsi="Times New Roman" w:cs="Times New Roman"/>
          <w:color w:val="auto"/>
          <w:kern w:val="0"/>
          <w:szCs w:val="24"/>
          <w:highlight w:val="none"/>
          <w:lang w:eastAsia="zh-CN"/>
        </w:rPr>
        <w:t>生物多样性和生态学进程，其结构和功能没有受到人类活动胁迫的损害，本地物种处在能够持续繁衍的种群水平。它主要反映生态系统在外来干扰下维持自然状态、稳定性和自组织能力的程度。评价生态系统完整性对于保护敏感自然生态系统免受人类干扰的影响有着重要的意义。</w:t>
      </w:r>
    </w:p>
    <w:p w14:paraId="2CA2127C">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在项目建设中，新设施的增加及永久性构筑物的作用，不但不会使区域内异质化程度降低，反而在一定程度上会增加区域的异质性。区域的异质性越大，抵抗外界干扰的能力就越大。因而油田开发建设不会改变区域内景观生态的稳定性及完整性。</w:t>
      </w:r>
    </w:p>
    <w:p w14:paraId="171F5D8F">
      <w:pPr>
        <w:keepLines/>
        <w:widowControl/>
        <w:adjustRightInd w:val="0"/>
        <w:snapToGrid w:val="0"/>
        <w:spacing w:line="360" w:lineRule="auto"/>
        <w:ind w:firstLine="0" w:firstLineChars="0"/>
        <w:jc w:val="both"/>
        <w:outlineLvl w:val="3"/>
        <w:rPr>
          <w:rFonts w:hint="default" w:ascii="Times New Roman" w:hAnsi="Times New Roman" w:eastAsia="宋体" w:cs="Times New Roman"/>
          <w:b/>
          <w:color w:val="auto"/>
          <w:kern w:val="0"/>
          <w:szCs w:val="20"/>
          <w:highlight w:val="none"/>
          <w:lang w:eastAsia="zh-CN"/>
        </w:rPr>
      </w:pPr>
      <w:r>
        <w:rPr>
          <w:rFonts w:hint="default" w:ascii="Times New Roman" w:hAnsi="Times New Roman" w:eastAsia="宋体" w:cs="Times New Roman"/>
          <w:b/>
          <w:color w:val="auto"/>
          <w:kern w:val="0"/>
          <w:szCs w:val="20"/>
          <w:highlight w:val="none"/>
          <w:lang w:eastAsia="zh-CN"/>
        </w:rPr>
        <w:t>5.1.3.5景观完整性影响分析</w:t>
      </w:r>
    </w:p>
    <w:p w14:paraId="2B68B3B6">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评价区域的基质为</w:t>
      </w:r>
      <w:r>
        <w:rPr>
          <w:rFonts w:hint="eastAsia" w:cs="Times New Roman"/>
          <w:color w:val="auto"/>
          <w:kern w:val="0"/>
          <w:szCs w:val="24"/>
          <w:highlight w:val="none"/>
          <w:lang w:val="en-US" w:eastAsia="zh-CN"/>
        </w:rPr>
        <w:t>自然</w:t>
      </w:r>
      <w:r>
        <w:rPr>
          <w:rFonts w:hint="default" w:ascii="Times New Roman" w:hAnsi="Times New Roman" w:cs="Times New Roman"/>
          <w:color w:val="auto"/>
          <w:kern w:val="0"/>
          <w:szCs w:val="24"/>
          <w:highlight w:val="none"/>
          <w:lang w:eastAsia="zh-CN"/>
        </w:rPr>
        <w:t>生态景观。</w:t>
      </w:r>
      <w:r>
        <w:rPr>
          <w:rFonts w:hint="eastAsia" w:cs="Times New Roman"/>
          <w:color w:val="auto"/>
          <w:kern w:val="0"/>
          <w:szCs w:val="24"/>
          <w:highlight w:val="none"/>
          <w:lang w:val="en-US" w:eastAsia="zh-CN"/>
        </w:rPr>
        <w:t>自然</w:t>
      </w:r>
      <w:r>
        <w:rPr>
          <w:rFonts w:hint="default" w:ascii="Times New Roman" w:hAnsi="Times New Roman" w:cs="Times New Roman"/>
          <w:color w:val="auto"/>
          <w:kern w:val="0"/>
          <w:szCs w:val="24"/>
          <w:highlight w:val="none"/>
          <w:lang w:eastAsia="zh-CN"/>
        </w:rPr>
        <w:t>生态景观</w:t>
      </w:r>
      <w:r>
        <w:rPr>
          <w:rFonts w:hint="eastAsia" w:cs="Times New Roman"/>
          <w:color w:val="auto"/>
          <w:kern w:val="0"/>
          <w:szCs w:val="24"/>
          <w:highlight w:val="none"/>
          <w:lang w:val="en-US" w:eastAsia="zh-CN"/>
        </w:rPr>
        <w:t>易受人为活动干扰，</w:t>
      </w:r>
      <w:r>
        <w:rPr>
          <w:rFonts w:hint="default" w:ascii="Times New Roman" w:hAnsi="Times New Roman" w:cs="Times New Roman"/>
          <w:color w:val="auto"/>
          <w:kern w:val="0"/>
          <w:szCs w:val="24"/>
          <w:highlight w:val="none"/>
          <w:lang w:eastAsia="zh-CN"/>
        </w:rPr>
        <w:t>稳定性较差，异质化程度低，生态体系的稳定性和必要的抵御干扰的柔韧性较差。</w:t>
      </w:r>
    </w:p>
    <w:p w14:paraId="6DDE7162">
      <w:pPr>
        <w:widowControl w:val="0"/>
        <w:spacing w:line="360" w:lineRule="auto"/>
        <w:ind w:firstLine="540" w:firstLineChars="225"/>
        <w:jc w:val="both"/>
        <w:rPr>
          <w:rFonts w:hint="default" w:ascii="Times New Roman" w:hAnsi="Times New Roman" w:cs="Times New Roman"/>
          <w:color w:val="auto"/>
          <w:kern w:val="0"/>
          <w:szCs w:val="24"/>
          <w:highlight w:val="none"/>
          <w:lang w:eastAsia="zh-CN"/>
        </w:rPr>
      </w:pPr>
      <w:r>
        <w:rPr>
          <w:rFonts w:hint="default" w:ascii="Times New Roman" w:hAnsi="Times New Roman" w:cs="Times New Roman"/>
          <w:color w:val="auto"/>
          <w:kern w:val="0"/>
          <w:szCs w:val="24"/>
          <w:highlight w:val="none"/>
          <w:lang w:eastAsia="zh-CN"/>
        </w:rPr>
        <w:t>本项目新增占地约4.86</w:t>
      </w:r>
      <w:r>
        <w:rPr>
          <w:rFonts w:hint="eastAsia" w:cs="Times New Roman"/>
          <w:color w:val="auto"/>
          <w:kern w:val="0"/>
          <w:szCs w:val="24"/>
          <w:highlight w:val="none"/>
          <w:lang w:val="en-US" w:eastAsia="zh-CN"/>
        </w:rPr>
        <w:t>08</w:t>
      </w:r>
      <w:r>
        <w:rPr>
          <w:rFonts w:hint="default" w:ascii="Times New Roman" w:hAnsi="Times New Roman" w:cs="Times New Roman"/>
          <w:color w:val="auto"/>
          <w:kern w:val="0"/>
          <w:szCs w:val="24"/>
          <w:highlight w:val="none"/>
          <w:lang w:eastAsia="zh-CN"/>
        </w:rPr>
        <w:t>hm</w:t>
      </w:r>
      <w:r>
        <w:rPr>
          <w:rFonts w:hint="default" w:ascii="Times New Roman" w:hAnsi="Times New Roman" w:cs="Times New Roman"/>
          <w:color w:val="auto"/>
          <w:kern w:val="0"/>
          <w:szCs w:val="24"/>
          <w:highlight w:val="none"/>
          <w:vertAlign w:val="superscript"/>
          <w:lang w:eastAsia="zh-CN"/>
        </w:rPr>
        <w:t>2</w:t>
      </w:r>
      <w:r>
        <w:rPr>
          <w:rFonts w:hint="default" w:ascii="Times New Roman" w:hAnsi="Times New Roman" w:cs="Times New Roman"/>
          <w:color w:val="auto"/>
          <w:kern w:val="0"/>
          <w:szCs w:val="24"/>
          <w:highlight w:val="none"/>
          <w:lang w:eastAsia="zh-CN"/>
        </w:rPr>
        <w:t>，</w:t>
      </w:r>
      <w:r>
        <w:rPr>
          <w:rFonts w:hint="eastAsia" w:cs="Times New Roman"/>
          <w:color w:val="auto"/>
          <w:kern w:val="0"/>
          <w:szCs w:val="24"/>
          <w:highlight w:val="none"/>
          <w:lang w:val="en-US" w:eastAsia="zh-CN"/>
        </w:rPr>
        <w:t>均为</w:t>
      </w:r>
      <w:r>
        <w:rPr>
          <w:rFonts w:hint="default" w:ascii="Times New Roman" w:hAnsi="Times New Roman" w:cs="Times New Roman"/>
          <w:color w:val="auto"/>
          <w:kern w:val="0"/>
          <w:szCs w:val="24"/>
          <w:highlight w:val="none"/>
          <w:lang w:eastAsia="zh-CN"/>
        </w:rPr>
        <w:t>临时占地。区域被油田设施等永久性地构筑物占用，由</w:t>
      </w:r>
      <w:r>
        <w:rPr>
          <w:rFonts w:hint="eastAsia" w:cs="Times New Roman"/>
          <w:color w:val="auto"/>
          <w:kern w:val="0"/>
          <w:szCs w:val="24"/>
          <w:highlight w:val="none"/>
          <w:lang w:val="en-US" w:eastAsia="zh-CN"/>
        </w:rPr>
        <w:t>自然</w:t>
      </w:r>
      <w:r>
        <w:rPr>
          <w:rFonts w:hint="default" w:ascii="Times New Roman" w:hAnsi="Times New Roman" w:cs="Times New Roman"/>
          <w:color w:val="auto"/>
          <w:kern w:val="0"/>
          <w:szCs w:val="24"/>
          <w:highlight w:val="none"/>
          <w:lang w:eastAsia="zh-CN"/>
        </w:rPr>
        <w:t>生态景观变为人工景观。区域内作为基质组成部分的</w:t>
      </w:r>
      <w:r>
        <w:rPr>
          <w:rFonts w:hint="eastAsia" w:cs="Times New Roman"/>
          <w:color w:val="auto"/>
          <w:kern w:val="0"/>
          <w:szCs w:val="24"/>
          <w:highlight w:val="none"/>
          <w:lang w:val="en-US" w:eastAsia="zh-CN"/>
        </w:rPr>
        <w:t>林地、草地、荒漠等自然</w:t>
      </w:r>
      <w:r>
        <w:rPr>
          <w:rFonts w:hint="default" w:ascii="Times New Roman" w:hAnsi="Times New Roman" w:cs="Times New Roman"/>
          <w:color w:val="auto"/>
          <w:kern w:val="0"/>
          <w:szCs w:val="24"/>
          <w:highlight w:val="none"/>
          <w:lang w:eastAsia="zh-CN"/>
        </w:rPr>
        <w:t>生态景观中，荒漠区面积有所减少。对于整个评价区域来讲，所占的比例不大，同时还增加了区域的异质性。</w:t>
      </w:r>
    </w:p>
    <w:p w14:paraId="0052E49C">
      <w:pPr>
        <w:widowControl w:val="0"/>
        <w:spacing w:line="360" w:lineRule="auto"/>
        <w:ind w:firstLine="540" w:firstLineChars="225"/>
        <w:jc w:val="both"/>
        <w:rPr>
          <w:rFonts w:hint="default" w:ascii="Times New Roman" w:hAnsi="Times New Roman" w:eastAsia="宋体" w:cs="Times New Roman"/>
          <w:color w:val="auto"/>
          <w:kern w:val="0"/>
          <w:szCs w:val="24"/>
          <w:highlight w:val="none"/>
          <w:u w:val="none"/>
        </w:rPr>
      </w:pPr>
      <w:r>
        <w:rPr>
          <w:rFonts w:hint="default" w:ascii="Times New Roman" w:hAnsi="Times New Roman" w:cs="Times New Roman"/>
          <w:color w:val="auto"/>
          <w:kern w:val="0"/>
          <w:szCs w:val="24"/>
          <w:highlight w:val="none"/>
          <w:lang w:eastAsia="zh-CN"/>
        </w:rPr>
        <w:t>综上所述，本项目区域生态完整性受项目影响较小，项目区生态完整性变化主要受区域自然环境变化影响。油田开发加大了评价区人为干扰的力度，同时也加剧局部区域由自然荒漠生态系统向人工生态系统演替的趋势；但是由于项目占地面积有限，区域生态系统仍保持开放、物质循环和能量流动。因此对于评价区生态系统的完整性影响较小，其生态稳定性及其结构与功能也不会受到明显不利影响</w:t>
      </w:r>
      <w:r>
        <w:rPr>
          <w:rFonts w:hint="default" w:ascii="Times New Roman" w:hAnsi="Times New Roman" w:cs="Times New Roman"/>
          <w:color w:val="auto"/>
          <w:kern w:val="0"/>
          <w:sz w:val="24"/>
          <w:szCs w:val="20"/>
          <w:highlight w:val="none"/>
          <w:u w:val="none"/>
          <w:lang w:val="en-US" w:eastAsia="zh-CN"/>
        </w:rPr>
        <w:t>。</w:t>
      </w:r>
    </w:p>
    <w:p w14:paraId="13769A87">
      <w:pPr>
        <w:pStyle w:val="12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5.1.4退役期生态环境影响分析</w:t>
      </w:r>
    </w:p>
    <w:p w14:paraId="0B7E0D1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随着油田开采的不断进行，其储量逐渐下降，最终井区将进入退役期。当油田开发接近尾声时，各种机械设备将停止使用，进驻其中的油田开发工作人员将陆续撤离油田区域，由此带来的大气污染物、生产废水、噪声及固体废物等对环境的影响将会消失。</w:t>
      </w:r>
    </w:p>
    <w:p w14:paraId="19256E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的环境影响以生态环境的恢复为主，同时封井和井场清理也会产生少量扬尘和建筑垃圾，会对周围的环境造成一定影响。油井停采后将进行一系列清理工作，包括地面设施拆除、地下截去至少1m的井筒并用水泥灌注封井、井场清理等。在这期间，将会产生少量扬尘和固体废物。在闭井施工操作中应注意采取降尘措施，文明施工，防止水泥等</w:t>
      </w:r>
      <w:r>
        <w:rPr>
          <w:rFonts w:hint="eastAsia" w:cs="Times New Roman"/>
          <w:color w:val="auto"/>
          <w:highlight w:val="none"/>
          <w:lang w:eastAsia="zh-CN"/>
        </w:rPr>
        <w:t>的洒落</w:t>
      </w:r>
      <w:r>
        <w:rPr>
          <w:rFonts w:hint="default" w:ascii="Times New Roman" w:hAnsi="Times New Roman" w:cs="Times New Roman"/>
          <w:color w:val="auto"/>
          <w:highlight w:val="none"/>
        </w:rPr>
        <w:t>与飘散，同时在清理井场时防止扬尘的产生，尽可能降低对周边大气环境的影响。</w:t>
      </w:r>
    </w:p>
    <w:p w14:paraId="1F552FB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另外，井场清理等工作还会产生部分废弃管线（地面管线拆除，地下埋地管线清管封堵后不再挖出）、废弃建筑残渣等固体废物，对这些废弃管线、残渣等进行集中清理收集，管线外运经清洗后可回收再利用，废弃建筑残渣外运至指定处理场填埋处理。固体废物的妥善处理，可以有效控制对区域环境的影响。</w:t>
      </w:r>
    </w:p>
    <w:p w14:paraId="55E865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Cs w:val="20"/>
          <w:highlight w:val="none"/>
        </w:rPr>
      </w:pPr>
      <w:r>
        <w:rPr>
          <w:rFonts w:hint="default" w:ascii="Times New Roman" w:hAnsi="Times New Roman" w:cs="Times New Roman"/>
          <w:color w:val="auto"/>
          <w:highlight w:val="none"/>
        </w:rPr>
        <w:t>迹地经过清理后，根据周边区域的自然现状对其进行恢复，使井场恢复到相对自然的一种状态。油田设施退役后，人员撤离，区域内没有人为扰动，井场范围内的自然植被会逐渐得以恢复，有助于区域生态环境的改善。</w:t>
      </w:r>
    </w:p>
    <w:p w14:paraId="234E2C06">
      <w:pPr>
        <w:keepNext/>
        <w:keepLines/>
        <w:widowControl/>
        <w:spacing w:before="120" w:after="120" w:line="240" w:lineRule="auto"/>
        <w:ind w:firstLine="0" w:firstLineChars="0"/>
        <w:jc w:val="both"/>
        <w:outlineLvl w:val="2"/>
        <w:rPr>
          <w:rFonts w:hint="default" w:ascii="Times New Roman" w:hAnsi="Times New Roman" w:eastAsia="宋体" w:cs="Times New Roman"/>
          <w:b/>
          <w:color w:val="auto"/>
          <w:kern w:val="0"/>
          <w:sz w:val="28"/>
          <w:szCs w:val="20"/>
          <w:highlight w:val="none"/>
        </w:rPr>
      </w:pPr>
      <w:r>
        <w:rPr>
          <w:rFonts w:hint="default" w:ascii="Times New Roman" w:hAnsi="Times New Roman" w:eastAsia="宋体" w:cs="Times New Roman"/>
          <w:b/>
          <w:color w:val="auto"/>
          <w:kern w:val="0"/>
          <w:sz w:val="28"/>
          <w:szCs w:val="20"/>
          <w:highlight w:val="none"/>
        </w:rPr>
        <w:t>5.1.6小结</w:t>
      </w:r>
    </w:p>
    <w:p w14:paraId="00CCC533">
      <w:pPr>
        <w:widowControl/>
        <w:spacing w:line="360" w:lineRule="auto"/>
        <w:ind w:firstLine="480" w:firstLineChars="200"/>
        <w:jc w:val="both"/>
        <w:rPr>
          <w:rFonts w:hint="default" w:ascii="Times New Roman" w:hAnsi="Times New Roman" w:eastAsia="宋体" w:cs="Times New Roman"/>
          <w:color w:val="auto"/>
          <w:spacing w:val="4"/>
          <w:kern w:val="24"/>
          <w:szCs w:val="20"/>
          <w:highlight w:val="none"/>
        </w:rPr>
      </w:pP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对生态环境的影响主要在施工期</w:t>
      </w:r>
      <w:r>
        <w:rPr>
          <w:rFonts w:hint="eastAsia" w:cs="Times New Roman"/>
          <w:color w:val="auto"/>
          <w:kern w:val="0"/>
          <w:szCs w:val="20"/>
          <w:highlight w:val="none"/>
          <w:lang w:val="en-US" w:eastAsia="zh-CN"/>
        </w:rPr>
        <w:t>，为施工占地等地表扰动带来的生态环境影响</w:t>
      </w:r>
      <w:r>
        <w:rPr>
          <w:rFonts w:hint="default" w:ascii="Times New Roman" w:hAnsi="Times New Roman" w:eastAsia="宋体" w:cs="Times New Roman"/>
          <w:color w:val="auto"/>
          <w:kern w:val="0"/>
          <w:szCs w:val="20"/>
          <w:highlight w:val="none"/>
          <w:lang w:val="en-US" w:eastAsia="zh-CN"/>
        </w:rPr>
        <w:t>。</w:t>
      </w: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cs="Times New Roman"/>
          <w:color w:val="auto"/>
          <w:sz w:val="24"/>
          <w:szCs w:val="24"/>
          <w:highlight w:val="none"/>
        </w:rPr>
        <w:t>总占地约</w:t>
      </w:r>
      <w:r>
        <w:rPr>
          <w:rFonts w:hint="eastAsia" w:cs="Times New Roman"/>
          <w:color w:val="auto"/>
          <w:sz w:val="24"/>
          <w:szCs w:val="24"/>
          <w:highlight w:val="none"/>
          <w:lang w:val="en-US" w:eastAsia="zh-CN"/>
        </w:rPr>
        <w:t>4.8608</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均为</w:t>
      </w:r>
      <w:r>
        <w:rPr>
          <w:rFonts w:hint="default" w:ascii="Times New Roman" w:hAnsi="Times New Roman" w:cs="Times New Roman"/>
          <w:color w:val="auto"/>
          <w:sz w:val="24"/>
          <w:szCs w:val="24"/>
          <w:highlight w:val="none"/>
        </w:rPr>
        <w:t>临时占地</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kern w:val="0"/>
          <w:szCs w:val="20"/>
          <w:highlight w:val="none"/>
          <w:lang w:val="en-US" w:eastAsia="zh-CN"/>
        </w:rPr>
        <w:t>临时性工程占地仅在施工阶段对沿线土地利用产生短期影响，且大部分用地在施工结束后能恢复原有的利用功能。总体而言，施工结束后，随着生态补偿或生态恢复措施的实施，临时性工程用地扰动区内的原有植被可逐渐恢复，临时性工程占地影响将逐渐减小或消失。</w:t>
      </w: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位于阿克苏地区库车市境内，项目评价范围和占地范围内均不涉及自然保护地、世界自然遗产地、生态保护红线、重要生境等生态敏感区。此外，项目共涉及</w:t>
      </w:r>
      <w:r>
        <w:rPr>
          <w:rFonts w:hint="eastAsia" w:cs="Times New Roman"/>
          <w:color w:val="auto"/>
          <w:kern w:val="0"/>
          <w:szCs w:val="20"/>
          <w:highlight w:val="none"/>
          <w:lang w:val="en-US" w:eastAsia="zh-CN"/>
        </w:rPr>
        <w:t>天然林约1.5177</w:t>
      </w:r>
      <w:r>
        <w:rPr>
          <w:rFonts w:hint="default" w:ascii="Times New Roman" w:hAnsi="Times New Roman" w:eastAsia="宋体" w:cs="Times New Roman"/>
          <w:color w:val="auto"/>
          <w:kern w:val="0"/>
          <w:szCs w:val="20"/>
          <w:highlight w:val="none"/>
          <w:lang w:val="en-US" w:eastAsia="zh-CN"/>
        </w:rPr>
        <w:t>hm</w:t>
      </w:r>
      <w:r>
        <w:rPr>
          <w:rFonts w:hint="default" w:ascii="Times New Roman" w:hAnsi="Times New Roman" w:eastAsia="宋体" w:cs="Times New Roman"/>
          <w:color w:val="auto"/>
          <w:kern w:val="0"/>
          <w:szCs w:val="20"/>
          <w:highlight w:val="none"/>
          <w:vertAlign w:val="superscript"/>
          <w:lang w:val="en-US" w:eastAsia="zh-CN"/>
        </w:rPr>
        <w:t>2</w:t>
      </w:r>
      <w:r>
        <w:rPr>
          <w:rFonts w:hint="default" w:ascii="Times New Roman" w:hAnsi="Times New Roman" w:eastAsia="宋体" w:cs="Times New Roman"/>
          <w:color w:val="auto"/>
          <w:kern w:val="0"/>
          <w:szCs w:val="20"/>
          <w:highlight w:val="none"/>
          <w:lang w:val="en-US" w:eastAsia="zh-CN"/>
        </w:rPr>
        <w:t>，在规范施工以及严格按照林草部门的要求对占用</w:t>
      </w:r>
      <w:r>
        <w:rPr>
          <w:rFonts w:hint="eastAsia" w:cs="Times New Roman"/>
          <w:color w:val="auto"/>
          <w:kern w:val="0"/>
          <w:szCs w:val="20"/>
          <w:highlight w:val="none"/>
          <w:lang w:val="en-US" w:eastAsia="zh-CN"/>
        </w:rPr>
        <w:t>天然林</w:t>
      </w:r>
      <w:r>
        <w:rPr>
          <w:rFonts w:hint="default" w:ascii="Times New Roman" w:hAnsi="Times New Roman" w:eastAsia="宋体" w:cs="Times New Roman"/>
          <w:color w:val="auto"/>
          <w:kern w:val="0"/>
          <w:szCs w:val="20"/>
          <w:highlight w:val="none"/>
          <w:lang w:val="en-US" w:eastAsia="zh-CN"/>
        </w:rPr>
        <w:t>采取相应补偿措施后，</w:t>
      </w:r>
      <w:r>
        <w:rPr>
          <w:rFonts w:hint="default" w:ascii="Times New Roman" w:hAnsi="Times New Roman" w:cs="Times New Roman"/>
          <w:color w:val="auto"/>
          <w:kern w:val="0"/>
          <w:szCs w:val="20"/>
          <w:highlight w:val="none"/>
          <w:lang w:val="en-US" w:eastAsia="zh-CN"/>
        </w:rPr>
        <w:t>本项目</w:t>
      </w:r>
      <w:r>
        <w:rPr>
          <w:rFonts w:hint="default" w:ascii="Times New Roman" w:hAnsi="Times New Roman" w:eastAsia="宋体" w:cs="Times New Roman"/>
          <w:color w:val="auto"/>
          <w:kern w:val="0"/>
          <w:szCs w:val="20"/>
          <w:highlight w:val="none"/>
          <w:lang w:val="en-US" w:eastAsia="zh-CN"/>
        </w:rPr>
        <w:t>的建设对区域生态环境保护目标的影响在可接受范围内</w:t>
      </w:r>
      <w:r>
        <w:rPr>
          <w:rFonts w:hint="eastAsia" w:cs="Times New Roman"/>
          <w:color w:val="auto"/>
          <w:kern w:val="0"/>
          <w:szCs w:val="20"/>
          <w:highlight w:val="none"/>
          <w:lang w:val="en-US" w:eastAsia="zh-CN"/>
        </w:rPr>
        <w:t>。</w:t>
      </w:r>
      <w:r>
        <w:rPr>
          <w:rFonts w:hint="default" w:ascii="Times New Roman" w:hAnsi="Times New Roman" w:eastAsia="宋体" w:cs="Times New Roman"/>
          <w:color w:val="auto"/>
          <w:kern w:val="0"/>
          <w:szCs w:val="20"/>
          <w:highlight w:val="none"/>
        </w:rPr>
        <w:t>由于本区域的野生动物种类少，少有大型野生动物在本区域出现，项目对野生动物的影响较小。</w:t>
      </w:r>
      <w:r>
        <w:rPr>
          <w:rFonts w:hint="default" w:ascii="Times New Roman" w:hAnsi="Times New Roman" w:eastAsia="宋体" w:cs="Times New Roman"/>
          <w:color w:val="auto"/>
          <w:kern w:val="0"/>
          <w:szCs w:val="20"/>
          <w:highlight w:val="none"/>
          <w:lang w:val="en-US" w:eastAsia="zh-CN"/>
        </w:rPr>
        <w:t>综上所述，</w:t>
      </w:r>
      <w:r>
        <w:rPr>
          <w:rFonts w:hint="default" w:ascii="Times New Roman" w:hAnsi="Times New Roman" w:cs="Times New Roman"/>
          <w:color w:val="auto"/>
          <w:spacing w:val="4"/>
          <w:kern w:val="24"/>
          <w:szCs w:val="20"/>
          <w:highlight w:val="none"/>
          <w:lang w:eastAsia="zh-CN"/>
        </w:rPr>
        <w:t>本项目</w:t>
      </w:r>
      <w:r>
        <w:rPr>
          <w:rFonts w:hint="default" w:ascii="Times New Roman" w:hAnsi="Times New Roman" w:eastAsia="宋体" w:cs="Times New Roman"/>
          <w:color w:val="auto"/>
          <w:spacing w:val="4"/>
          <w:kern w:val="24"/>
          <w:szCs w:val="20"/>
          <w:highlight w:val="none"/>
        </w:rPr>
        <w:t>建设在采取严格的环境保护措施后，生态环境影响可接受。</w:t>
      </w:r>
    </w:p>
    <w:p w14:paraId="4834426A">
      <w:pPr>
        <w:pStyle w:val="44"/>
        <w:bidi w:val="0"/>
        <w:outlineLvl w:val="9"/>
        <w:rPr>
          <w:rFonts w:hint="default" w:ascii="Times New Roman" w:hAnsi="Times New Roman" w:cs="Times New Roman"/>
          <w:color w:val="auto"/>
          <w:highlight w:val="none"/>
          <w:lang w:val="zh-CN"/>
        </w:rPr>
        <w:sectPr>
          <w:pgSz w:w="11906" w:h="16838"/>
          <w:pgMar w:top="1440" w:right="1800" w:bottom="1440" w:left="1800" w:header="794" w:footer="992" w:gutter="0"/>
          <w:pgBorders>
            <w:top w:val="none" w:sz="0" w:space="0"/>
            <w:left w:val="none" w:sz="0" w:space="0"/>
            <w:bottom w:val="none" w:sz="0" w:space="0"/>
            <w:right w:val="none" w:sz="0" w:space="0"/>
          </w:pgBorders>
          <w:pgNumType w:fmt="decimal"/>
          <w:cols w:space="720" w:num="1"/>
          <w:docGrid w:linePitch="326" w:charSpace="0"/>
        </w:sectPr>
      </w:pPr>
    </w:p>
    <w:p w14:paraId="373BE9CB">
      <w:pPr>
        <w:pStyle w:val="44"/>
        <w:bidi w:val="0"/>
        <w:outlineLvl w:val="9"/>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表5.1-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rPr>
        <w:t>生态影响评价自查表</w:t>
      </w:r>
    </w:p>
    <w:tbl>
      <w:tblPr>
        <w:tblStyle w:val="35"/>
        <w:tblW w:w="0" w:type="auto"/>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28" w:type="dxa"/>
          <w:bottom w:w="0" w:type="dxa"/>
          <w:right w:w="28" w:type="dxa"/>
        </w:tblCellMar>
      </w:tblPr>
      <w:tblGrid>
        <w:gridCol w:w="891"/>
        <w:gridCol w:w="241"/>
        <w:gridCol w:w="1136"/>
        <w:gridCol w:w="6173"/>
      </w:tblGrid>
      <w:tr w14:paraId="5C62614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268" w:type="dxa"/>
            <w:gridSpan w:val="3"/>
            <w:noWrap w:val="0"/>
            <w:vAlign w:val="center"/>
          </w:tcPr>
          <w:p w14:paraId="7319656B">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工作内容</w:t>
            </w:r>
          </w:p>
        </w:tc>
        <w:tc>
          <w:tcPr>
            <w:tcW w:w="6173" w:type="dxa"/>
            <w:noWrap w:val="0"/>
            <w:vAlign w:val="center"/>
          </w:tcPr>
          <w:p w14:paraId="17D76F2A">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自查项目</w:t>
            </w:r>
          </w:p>
        </w:tc>
      </w:tr>
      <w:tr w14:paraId="7FF0274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91" w:type="dxa"/>
            <w:vMerge w:val="restart"/>
            <w:noWrap w:val="0"/>
            <w:vAlign w:val="center"/>
          </w:tcPr>
          <w:p w14:paraId="069ECB7F">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生态影响识别</w:t>
            </w:r>
          </w:p>
        </w:tc>
        <w:tc>
          <w:tcPr>
            <w:tcW w:w="1377" w:type="dxa"/>
            <w:gridSpan w:val="2"/>
            <w:noWrap w:val="0"/>
            <w:vAlign w:val="center"/>
          </w:tcPr>
          <w:p w14:paraId="4F2D5A0F">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生态保护目标</w:t>
            </w:r>
          </w:p>
        </w:tc>
        <w:tc>
          <w:tcPr>
            <w:tcW w:w="6173" w:type="dxa"/>
            <w:noWrap w:val="0"/>
            <w:vAlign w:val="center"/>
          </w:tcPr>
          <w:p w14:paraId="2C6C47A5">
            <w:pPr>
              <w:pStyle w:val="52"/>
              <w:bidi w:val="0"/>
              <w:jc w:val="both"/>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重要物种☑；国家公园□；自然保护区</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；自然公园□；世界自然遗产□；生态保护红线</w:t>
            </w:r>
            <w:r>
              <w:rPr>
                <w:rFonts w:hint="eastAsia"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；重要生境</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；其他具有重要生态功能、对保护生物多样性具有重要意义的区域</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；其他</w:t>
            </w:r>
            <w:r>
              <w:rPr>
                <w:rFonts w:hint="eastAsia" w:cs="Times New Roman"/>
                <w:color w:val="auto"/>
                <w:highlight w:val="none"/>
                <w:lang w:val="zh-CN"/>
              </w:rPr>
              <w:t>☑</w:t>
            </w:r>
          </w:p>
        </w:tc>
      </w:tr>
      <w:tr w14:paraId="3F11712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91" w:type="dxa"/>
            <w:vMerge w:val="continue"/>
            <w:noWrap w:val="0"/>
            <w:vAlign w:val="center"/>
          </w:tcPr>
          <w:p w14:paraId="7D13F25C">
            <w:pPr>
              <w:pStyle w:val="52"/>
              <w:bidi w:val="0"/>
              <w:rPr>
                <w:rFonts w:hint="default" w:ascii="Times New Roman" w:hAnsi="Times New Roman" w:cs="Times New Roman"/>
                <w:color w:val="auto"/>
                <w:highlight w:val="none"/>
                <w:lang w:val="zh-CN"/>
              </w:rPr>
            </w:pPr>
          </w:p>
        </w:tc>
        <w:tc>
          <w:tcPr>
            <w:tcW w:w="1377" w:type="dxa"/>
            <w:gridSpan w:val="2"/>
            <w:noWrap w:val="0"/>
            <w:vAlign w:val="center"/>
          </w:tcPr>
          <w:p w14:paraId="6D8BC57F">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影响方式</w:t>
            </w:r>
          </w:p>
        </w:tc>
        <w:tc>
          <w:tcPr>
            <w:tcW w:w="6173" w:type="dxa"/>
            <w:noWrap w:val="0"/>
            <w:vAlign w:val="center"/>
          </w:tcPr>
          <w:p w14:paraId="2B6E68FD">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工程占用</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；施工活动干扰☑；改变环境条件□；其他□</w:t>
            </w:r>
          </w:p>
        </w:tc>
      </w:tr>
      <w:tr w14:paraId="45C7077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91" w:type="dxa"/>
            <w:vMerge w:val="continue"/>
            <w:noWrap w:val="0"/>
            <w:vAlign w:val="center"/>
          </w:tcPr>
          <w:p w14:paraId="5DB6887D">
            <w:pPr>
              <w:pStyle w:val="52"/>
              <w:bidi w:val="0"/>
              <w:rPr>
                <w:rFonts w:hint="default" w:ascii="Times New Roman" w:hAnsi="Times New Roman" w:cs="Times New Roman"/>
                <w:color w:val="auto"/>
                <w:highlight w:val="none"/>
                <w:lang w:val="zh-CN"/>
              </w:rPr>
            </w:pPr>
          </w:p>
        </w:tc>
        <w:tc>
          <w:tcPr>
            <w:tcW w:w="1377" w:type="dxa"/>
            <w:gridSpan w:val="2"/>
            <w:noWrap w:val="0"/>
            <w:vAlign w:val="center"/>
          </w:tcPr>
          <w:p w14:paraId="14BD663E">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评价因子</w:t>
            </w:r>
          </w:p>
        </w:tc>
        <w:tc>
          <w:tcPr>
            <w:tcW w:w="6173" w:type="dxa"/>
            <w:noWrap w:val="0"/>
            <w:vAlign w:val="bottom"/>
          </w:tcPr>
          <w:p w14:paraId="36D31ADC">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物种☑（</w:t>
            </w:r>
            <w:r>
              <w:rPr>
                <w:rFonts w:hint="default" w:ascii="Times New Roman" w:hAnsi="Times New Roman" w:cs="Times New Roman"/>
                <w:color w:val="auto"/>
                <w:highlight w:val="none"/>
                <w:lang w:val="zh-CN" w:eastAsia="zh-CN"/>
              </w:rPr>
              <w:t>分布范围、种群数量、种群结构、行为等</w:t>
            </w:r>
            <w:r>
              <w:rPr>
                <w:rFonts w:hint="default" w:ascii="Times New Roman" w:hAnsi="Times New Roman" w:cs="Times New Roman"/>
                <w:color w:val="auto"/>
                <w:highlight w:val="none"/>
                <w:lang w:val="zh-CN"/>
              </w:rPr>
              <w:t>）</w:t>
            </w:r>
          </w:p>
          <w:p w14:paraId="4E9EC53A">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生境☑（生境面积、质量）</w:t>
            </w:r>
          </w:p>
          <w:p w14:paraId="2912910F">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生物群落☑（物种组成、群落结构等）</w:t>
            </w:r>
          </w:p>
          <w:p w14:paraId="7636D0D1">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生态系统☑（植被覆盖度、生态系统功能</w:t>
            </w:r>
            <w:r>
              <w:rPr>
                <w:rFonts w:hint="default" w:ascii="Times New Roman" w:hAnsi="Times New Roman" w:cs="Times New Roman"/>
                <w:color w:val="auto"/>
                <w:highlight w:val="none"/>
                <w:lang w:val="zh-CN" w:eastAsia="zh-CN"/>
              </w:rPr>
              <w:t>等</w:t>
            </w:r>
            <w:r>
              <w:rPr>
                <w:rFonts w:hint="default" w:ascii="Times New Roman" w:hAnsi="Times New Roman" w:cs="Times New Roman"/>
                <w:color w:val="auto"/>
                <w:highlight w:val="none"/>
                <w:lang w:val="zh-CN"/>
              </w:rPr>
              <w:t>）</w:t>
            </w:r>
          </w:p>
          <w:p w14:paraId="2D4C9940">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生物多样性☑（</w:t>
            </w:r>
            <w:r>
              <w:rPr>
                <w:rFonts w:hint="default" w:ascii="Times New Roman" w:hAnsi="Times New Roman" w:cs="Times New Roman"/>
                <w:color w:val="auto"/>
                <w:highlight w:val="none"/>
                <w:lang w:val="zh-CN" w:eastAsia="zh-CN"/>
              </w:rPr>
              <w:t>物种丰富度、优势度等</w:t>
            </w:r>
            <w:r>
              <w:rPr>
                <w:rFonts w:hint="default" w:ascii="Times New Roman" w:hAnsi="Times New Roman" w:cs="Times New Roman"/>
                <w:color w:val="auto"/>
                <w:highlight w:val="none"/>
                <w:lang w:val="zh-CN"/>
              </w:rPr>
              <w:t>）</w:t>
            </w:r>
          </w:p>
          <w:p w14:paraId="667E3ABA">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生态敏感区</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w:t>
            </w:r>
          </w:p>
          <w:p w14:paraId="1623BF67">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自然景观☑（景观多样性、完整性）</w:t>
            </w:r>
          </w:p>
          <w:p w14:paraId="7BF3EF34">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自然遗迹□（）</w:t>
            </w:r>
          </w:p>
          <w:p w14:paraId="78BFA496">
            <w:pPr>
              <w:pStyle w:val="121"/>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其他☑（</w:t>
            </w:r>
            <w:r>
              <w:rPr>
                <w:rFonts w:hint="default" w:ascii="Times New Roman" w:hAnsi="Times New Roman" w:cs="Times New Roman"/>
                <w:color w:val="auto"/>
                <w:highlight w:val="none"/>
                <w:lang w:val="zh-CN" w:eastAsia="zh-CN"/>
              </w:rPr>
              <w:t>水土流失、土地沙化等</w:t>
            </w:r>
            <w:r>
              <w:rPr>
                <w:rFonts w:hint="default" w:ascii="Times New Roman" w:hAnsi="Times New Roman" w:cs="Times New Roman"/>
                <w:color w:val="auto"/>
                <w:highlight w:val="none"/>
                <w:lang w:val="zh-CN"/>
              </w:rPr>
              <w:t>）</w:t>
            </w:r>
          </w:p>
        </w:tc>
      </w:tr>
      <w:tr w14:paraId="3C8B4F0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268" w:type="dxa"/>
            <w:gridSpan w:val="3"/>
            <w:noWrap w:val="0"/>
            <w:vAlign w:val="center"/>
          </w:tcPr>
          <w:p w14:paraId="5355DC59">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评价等级</w:t>
            </w:r>
          </w:p>
        </w:tc>
        <w:tc>
          <w:tcPr>
            <w:tcW w:w="6173" w:type="dxa"/>
            <w:noWrap w:val="0"/>
            <w:vAlign w:val="center"/>
          </w:tcPr>
          <w:p w14:paraId="283A87BB">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一级</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二级☑三级</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生态影响简单分析□</w:t>
            </w:r>
          </w:p>
        </w:tc>
      </w:tr>
      <w:tr w14:paraId="781B785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268" w:type="dxa"/>
            <w:gridSpan w:val="3"/>
            <w:noWrap w:val="0"/>
            <w:vAlign w:val="center"/>
          </w:tcPr>
          <w:p w14:paraId="21636F25">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评价范围</w:t>
            </w:r>
          </w:p>
        </w:tc>
        <w:tc>
          <w:tcPr>
            <w:tcW w:w="6173" w:type="dxa"/>
            <w:noWrap w:val="0"/>
            <w:vAlign w:val="center"/>
          </w:tcPr>
          <w:p w14:paraId="1B500B35">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陆域面积：（</w:t>
            </w:r>
            <w:r>
              <w:rPr>
                <w:rFonts w:hint="eastAsia" w:cs="Times New Roman"/>
                <w:color w:val="auto"/>
                <w:highlight w:val="none"/>
                <w:lang w:val="en-US" w:eastAsia="zh-CN"/>
              </w:rPr>
              <w:t>4.28</w:t>
            </w:r>
            <w:r>
              <w:rPr>
                <w:rFonts w:hint="default" w:ascii="Times New Roman" w:hAnsi="Times New Roman" w:cs="Times New Roman"/>
                <w:color w:val="auto"/>
                <w:highlight w:val="none"/>
                <w:lang w:val="zh-CN"/>
              </w:rPr>
              <w:t>）km</w:t>
            </w:r>
            <w:r>
              <w:rPr>
                <w:rFonts w:hint="default" w:ascii="Times New Roman" w:hAnsi="Times New Roman" w:cs="Times New Roman"/>
                <w:color w:val="auto"/>
                <w:highlight w:val="none"/>
                <w:vertAlign w:val="superscript"/>
                <w:lang w:val="zh-CN"/>
              </w:rPr>
              <w:t>2</w:t>
            </w:r>
            <w:r>
              <w:rPr>
                <w:rFonts w:hint="default" w:ascii="Times New Roman" w:hAnsi="Times New Roman" w:cs="Times New Roman"/>
                <w:color w:val="auto"/>
                <w:highlight w:val="none"/>
                <w:lang w:val="zh-CN"/>
              </w:rPr>
              <w:t>；水域面积：（</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zh-CN"/>
              </w:rPr>
              <w:t>）km</w:t>
            </w:r>
            <w:r>
              <w:rPr>
                <w:rFonts w:hint="default" w:ascii="Times New Roman" w:hAnsi="Times New Roman" w:cs="Times New Roman"/>
                <w:color w:val="auto"/>
                <w:highlight w:val="none"/>
                <w:vertAlign w:val="superscript"/>
                <w:lang w:val="zh-CN"/>
              </w:rPr>
              <w:t>2</w:t>
            </w:r>
          </w:p>
        </w:tc>
      </w:tr>
      <w:tr w14:paraId="12C2B54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restart"/>
            <w:noWrap w:val="0"/>
            <w:vAlign w:val="center"/>
          </w:tcPr>
          <w:p w14:paraId="1FC6D3EC">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生态现状调查与评价</w:t>
            </w:r>
          </w:p>
        </w:tc>
        <w:tc>
          <w:tcPr>
            <w:tcW w:w="1136" w:type="dxa"/>
            <w:noWrap w:val="0"/>
            <w:vAlign w:val="center"/>
          </w:tcPr>
          <w:p w14:paraId="12273C1A">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调查方法</w:t>
            </w:r>
          </w:p>
        </w:tc>
        <w:tc>
          <w:tcPr>
            <w:tcW w:w="6173" w:type="dxa"/>
            <w:noWrap w:val="0"/>
            <w:vAlign w:val="center"/>
          </w:tcPr>
          <w:p w14:paraId="54BDF821">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资料收集</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；遥感调查</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；调查样方、样线☑；调查点位、断面□；专家和公众咨询法□；其他</w:t>
            </w:r>
            <w:r>
              <w:rPr>
                <w:rFonts w:hint="eastAsia" w:cs="Times New Roman"/>
                <w:color w:val="auto"/>
                <w:highlight w:val="none"/>
                <w:lang w:val="zh-CN" w:eastAsia="zh-CN"/>
              </w:rPr>
              <w:t>☑</w:t>
            </w:r>
          </w:p>
        </w:tc>
      </w:tr>
      <w:tr w14:paraId="737DAA8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noWrap w:val="0"/>
            <w:vAlign w:val="center"/>
          </w:tcPr>
          <w:p w14:paraId="3A360B54">
            <w:pPr>
              <w:pStyle w:val="52"/>
              <w:bidi w:val="0"/>
              <w:rPr>
                <w:rFonts w:hint="default" w:ascii="Times New Roman" w:hAnsi="Times New Roman" w:cs="Times New Roman"/>
                <w:color w:val="auto"/>
                <w:highlight w:val="none"/>
                <w:lang w:val="zh-CN"/>
              </w:rPr>
            </w:pPr>
          </w:p>
        </w:tc>
        <w:tc>
          <w:tcPr>
            <w:tcW w:w="1136" w:type="dxa"/>
            <w:noWrap w:val="0"/>
            <w:vAlign w:val="center"/>
          </w:tcPr>
          <w:p w14:paraId="2AFCE349">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调查时间</w:t>
            </w:r>
          </w:p>
        </w:tc>
        <w:tc>
          <w:tcPr>
            <w:tcW w:w="6173" w:type="dxa"/>
            <w:noWrap w:val="0"/>
            <w:vAlign w:val="center"/>
          </w:tcPr>
          <w:p w14:paraId="1EE28DAC">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春季</w:t>
            </w:r>
            <w:r>
              <w:rPr>
                <w:rFonts w:hint="eastAsia" w:cs="Times New Roman"/>
                <w:color w:val="auto"/>
                <w:highlight w:val="none"/>
                <w:lang w:val="zh-CN" w:eastAsia="zh-CN"/>
              </w:rPr>
              <w:t>☑</w:t>
            </w:r>
            <w:r>
              <w:rPr>
                <w:rFonts w:hint="default" w:ascii="Times New Roman" w:hAnsi="Times New Roman" w:cs="Times New Roman"/>
                <w:color w:val="auto"/>
                <w:highlight w:val="none"/>
                <w:lang w:val="zh-CN"/>
              </w:rPr>
              <w:t>；夏季</w:t>
            </w:r>
            <w:r>
              <w:rPr>
                <w:rFonts w:hint="eastAsia" w:ascii="Times New Roman" w:hAnsi="Times New Roman" w:cs="Times New Roman"/>
                <w:color w:val="auto"/>
                <w:highlight w:val="none"/>
                <w:lang w:val="zh-CN"/>
              </w:rPr>
              <w:t>□</w:t>
            </w:r>
            <w:r>
              <w:rPr>
                <w:rFonts w:hint="default" w:ascii="Times New Roman" w:hAnsi="Times New Roman" w:cs="Times New Roman"/>
                <w:color w:val="auto"/>
                <w:highlight w:val="none"/>
                <w:lang w:val="zh-CN"/>
              </w:rPr>
              <w:t>；秋季</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；冬季□</w:t>
            </w:r>
          </w:p>
          <w:p w14:paraId="49473072">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丰水期□；枯水期□；平水期□</w:t>
            </w:r>
          </w:p>
        </w:tc>
      </w:tr>
      <w:tr w14:paraId="3E76C1C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600" w:hRule="atLeast"/>
          <w:jc w:val="center"/>
        </w:trPr>
        <w:tc>
          <w:tcPr>
            <w:tcW w:w="1132" w:type="dxa"/>
            <w:gridSpan w:val="2"/>
            <w:vMerge w:val="continue"/>
            <w:noWrap w:val="0"/>
            <w:vAlign w:val="center"/>
          </w:tcPr>
          <w:p w14:paraId="79926598">
            <w:pPr>
              <w:pStyle w:val="52"/>
              <w:bidi w:val="0"/>
              <w:rPr>
                <w:rFonts w:hint="default" w:ascii="Times New Roman" w:hAnsi="Times New Roman" w:cs="Times New Roman"/>
                <w:color w:val="auto"/>
                <w:highlight w:val="none"/>
                <w:lang w:val="zh-CN"/>
              </w:rPr>
            </w:pPr>
          </w:p>
        </w:tc>
        <w:tc>
          <w:tcPr>
            <w:tcW w:w="1136" w:type="dxa"/>
            <w:noWrap w:val="0"/>
            <w:vAlign w:val="center"/>
          </w:tcPr>
          <w:p w14:paraId="04F59EF4">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所在区域的生态问题</w:t>
            </w:r>
          </w:p>
        </w:tc>
        <w:tc>
          <w:tcPr>
            <w:tcW w:w="6173" w:type="dxa"/>
            <w:noWrap w:val="0"/>
            <w:vAlign w:val="center"/>
          </w:tcPr>
          <w:p w14:paraId="6E25D345">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水土流失☑；沙漠化</w:t>
            </w:r>
            <w:r>
              <w:rPr>
                <w:rFonts w:hint="eastAsia" w:cs="Times New Roman"/>
                <w:color w:val="auto"/>
                <w:highlight w:val="none"/>
                <w:lang w:val="zh-CN"/>
              </w:rPr>
              <w:t>☑</w:t>
            </w:r>
            <w:r>
              <w:rPr>
                <w:rFonts w:hint="default" w:ascii="Times New Roman" w:hAnsi="Times New Roman" w:cs="Times New Roman"/>
                <w:color w:val="auto"/>
                <w:highlight w:val="none"/>
                <w:lang w:val="zh-CN"/>
              </w:rPr>
              <w:t>；石漠化□；盐渍化</w:t>
            </w:r>
            <w:r>
              <w:rPr>
                <w:rFonts w:hint="eastAsia" w:cs="Times New Roman"/>
                <w:color w:val="auto"/>
                <w:highlight w:val="none"/>
                <w:lang w:val="zh-CN"/>
              </w:rPr>
              <w:t>☑</w:t>
            </w:r>
            <w:r>
              <w:rPr>
                <w:rFonts w:hint="default" w:ascii="Times New Roman" w:hAnsi="Times New Roman" w:cs="Times New Roman"/>
                <w:color w:val="auto"/>
                <w:highlight w:val="none"/>
                <w:lang w:val="zh-CN"/>
              </w:rPr>
              <w:t>；生物入侵□；污染危害□；其他</w:t>
            </w:r>
            <w:r>
              <w:rPr>
                <w:rFonts w:hint="eastAsia" w:cs="Times New Roman"/>
                <w:color w:val="auto"/>
                <w:highlight w:val="none"/>
                <w:lang w:val="zh-CN"/>
              </w:rPr>
              <w:t>☑</w:t>
            </w:r>
          </w:p>
        </w:tc>
      </w:tr>
      <w:tr w14:paraId="4612F98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noWrap w:val="0"/>
            <w:vAlign w:val="center"/>
          </w:tcPr>
          <w:p w14:paraId="09FE8C7F">
            <w:pPr>
              <w:pStyle w:val="52"/>
              <w:bidi w:val="0"/>
              <w:rPr>
                <w:rFonts w:hint="default" w:ascii="Times New Roman" w:hAnsi="Times New Roman" w:cs="Times New Roman"/>
                <w:color w:val="auto"/>
                <w:highlight w:val="none"/>
                <w:lang w:val="zh-CN"/>
              </w:rPr>
            </w:pPr>
          </w:p>
        </w:tc>
        <w:tc>
          <w:tcPr>
            <w:tcW w:w="1136" w:type="dxa"/>
            <w:noWrap w:val="0"/>
            <w:vAlign w:val="center"/>
          </w:tcPr>
          <w:p w14:paraId="66D748FC">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评价内容</w:t>
            </w:r>
          </w:p>
        </w:tc>
        <w:tc>
          <w:tcPr>
            <w:tcW w:w="6173" w:type="dxa"/>
            <w:noWrap w:val="0"/>
            <w:vAlign w:val="center"/>
          </w:tcPr>
          <w:p w14:paraId="39930296">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植被/植物群落☑；土地利用☑；生态系统☑；生物多样性□；重要物种</w:t>
            </w:r>
            <w:r>
              <w:rPr>
                <w:rFonts w:hint="eastAsia" w:cs="Times New Roman"/>
                <w:color w:val="auto"/>
                <w:highlight w:val="none"/>
                <w:lang w:val="zh-CN"/>
              </w:rPr>
              <w:t>☑</w:t>
            </w:r>
            <w:r>
              <w:rPr>
                <w:rFonts w:hint="default" w:ascii="Times New Roman" w:hAnsi="Times New Roman" w:cs="Times New Roman"/>
                <w:color w:val="auto"/>
                <w:highlight w:val="none"/>
                <w:lang w:val="zh-CN"/>
              </w:rPr>
              <w:t>；生态敏感区</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；其他</w:t>
            </w:r>
            <w:r>
              <w:rPr>
                <w:rFonts w:hint="eastAsia" w:cs="Times New Roman"/>
                <w:color w:val="auto"/>
                <w:highlight w:val="none"/>
                <w:lang w:val="zh-CN"/>
              </w:rPr>
              <w:t>☑</w:t>
            </w:r>
          </w:p>
        </w:tc>
      </w:tr>
      <w:tr w14:paraId="6ACE179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restart"/>
            <w:noWrap w:val="0"/>
            <w:vAlign w:val="center"/>
          </w:tcPr>
          <w:p w14:paraId="5F2FD663">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生态影响预测与评价</w:t>
            </w:r>
          </w:p>
        </w:tc>
        <w:tc>
          <w:tcPr>
            <w:tcW w:w="1136" w:type="dxa"/>
            <w:noWrap w:val="0"/>
            <w:vAlign w:val="center"/>
          </w:tcPr>
          <w:p w14:paraId="078984B9">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评价方法</w:t>
            </w:r>
          </w:p>
        </w:tc>
        <w:tc>
          <w:tcPr>
            <w:tcW w:w="6173" w:type="dxa"/>
            <w:noWrap w:val="0"/>
            <w:vAlign w:val="center"/>
          </w:tcPr>
          <w:p w14:paraId="1AED104F">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定性</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；定性和定量□</w:t>
            </w:r>
          </w:p>
        </w:tc>
      </w:tr>
      <w:tr w14:paraId="4211EA7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noWrap w:val="0"/>
            <w:vAlign w:val="center"/>
          </w:tcPr>
          <w:p w14:paraId="437F9982">
            <w:pPr>
              <w:pStyle w:val="52"/>
              <w:bidi w:val="0"/>
              <w:rPr>
                <w:rFonts w:hint="default" w:ascii="Times New Roman" w:hAnsi="Times New Roman" w:cs="Times New Roman"/>
                <w:color w:val="auto"/>
                <w:highlight w:val="none"/>
                <w:lang w:val="zh-CN"/>
              </w:rPr>
            </w:pPr>
          </w:p>
        </w:tc>
        <w:tc>
          <w:tcPr>
            <w:tcW w:w="1136" w:type="dxa"/>
            <w:noWrap w:val="0"/>
            <w:vAlign w:val="center"/>
          </w:tcPr>
          <w:p w14:paraId="728259FB">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评价内容</w:t>
            </w:r>
          </w:p>
        </w:tc>
        <w:tc>
          <w:tcPr>
            <w:tcW w:w="6173" w:type="dxa"/>
            <w:noWrap w:val="0"/>
            <w:vAlign w:val="center"/>
          </w:tcPr>
          <w:p w14:paraId="33DA49B5">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植被/植物群落☑；土地利用☑；生态系统☑；生物多样性</w:t>
            </w:r>
            <w:r>
              <w:rPr>
                <w:rFonts w:hint="eastAsia" w:cs="Times New Roman"/>
                <w:color w:val="auto"/>
                <w:highlight w:val="none"/>
                <w:lang w:val="zh-CN"/>
              </w:rPr>
              <w:t>☑</w:t>
            </w:r>
            <w:r>
              <w:rPr>
                <w:rFonts w:hint="default" w:ascii="Times New Roman" w:hAnsi="Times New Roman" w:cs="Times New Roman"/>
                <w:color w:val="auto"/>
                <w:highlight w:val="none"/>
                <w:lang w:val="zh-CN"/>
              </w:rPr>
              <w:t>；重要物种□；生态敏感区</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；生物入侵风险□；其他□</w:t>
            </w:r>
          </w:p>
        </w:tc>
      </w:tr>
      <w:tr w14:paraId="0AEC785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restart"/>
            <w:noWrap w:val="0"/>
            <w:vAlign w:val="center"/>
          </w:tcPr>
          <w:p w14:paraId="6E8F9EAC">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生态保护对策措施</w:t>
            </w:r>
          </w:p>
        </w:tc>
        <w:tc>
          <w:tcPr>
            <w:tcW w:w="1136" w:type="dxa"/>
            <w:noWrap w:val="0"/>
            <w:vAlign w:val="center"/>
          </w:tcPr>
          <w:p w14:paraId="3AF77AD9">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对策措施</w:t>
            </w:r>
          </w:p>
        </w:tc>
        <w:tc>
          <w:tcPr>
            <w:tcW w:w="6173" w:type="dxa"/>
            <w:noWrap w:val="0"/>
            <w:vAlign w:val="center"/>
          </w:tcPr>
          <w:p w14:paraId="622D9FC7">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避让☑；减缓</w:t>
            </w:r>
            <w:r>
              <w:rPr>
                <w:rFonts w:hint="eastAsia" w:cs="Times New Roman"/>
                <w:color w:val="auto"/>
                <w:highlight w:val="none"/>
                <w:lang w:val="zh-CN"/>
              </w:rPr>
              <w:t>☑</w:t>
            </w:r>
            <w:r>
              <w:rPr>
                <w:rFonts w:hint="default" w:ascii="Times New Roman" w:hAnsi="Times New Roman" w:cs="Times New Roman"/>
                <w:color w:val="auto"/>
                <w:highlight w:val="none"/>
                <w:lang w:val="zh-CN"/>
              </w:rPr>
              <w:t>；生态修复</w:t>
            </w:r>
            <w:r>
              <w:rPr>
                <w:rFonts w:hint="eastAsia" w:cs="Times New Roman"/>
                <w:color w:val="auto"/>
                <w:highlight w:val="none"/>
                <w:lang w:val="zh-CN"/>
              </w:rPr>
              <w:t>□</w:t>
            </w:r>
            <w:r>
              <w:rPr>
                <w:rFonts w:hint="default" w:ascii="Times New Roman" w:hAnsi="Times New Roman" w:cs="Times New Roman"/>
                <w:color w:val="auto"/>
                <w:highlight w:val="none"/>
                <w:lang w:val="zh-CN"/>
              </w:rPr>
              <w:t>；生态补偿</w:t>
            </w:r>
            <w:r>
              <w:rPr>
                <w:rFonts w:hint="eastAsia" w:cs="Times New Roman"/>
                <w:color w:val="auto"/>
                <w:highlight w:val="none"/>
                <w:lang w:val="zh-CN" w:eastAsia="zh-CN"/>
              </w:rPr>
              <w:t>☑</w:t>
            </w:r>
            <w:r>
              <w:rPr>
                <w:rFonts w:hint="default" w:ascii="Times New Roman" w:hAnsi="Times New Roman" w:cs="Times New Roman"/>
                <w:color w:val="auto"/>
                <w:highlight w:val="none"/>
                <w:lang w:val="zh-CN"/>
              </w:rPr>
              <w:t>；科研□；其他</w:t>
            </w:r>
            <w:r>
              <w:rPr>
                <w:rFonts w:hint="eastAsia" w:cs="Times New Roman"/>
                <w:color w:val="auto"/>
                <w:highlight w:val="none"/>
                <w:lang w:val="zh-CN"/>
              </w:rPr>
              <w:t>☑</w:t>
            </w:r>
          </w:p>
        </w:tc>
      </w:tr>
      <w:tr w14:paraId="5C19DB0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noWrap w:val="0"/>
            <w:vAlign w:val="center"/>
          </w:tcPr>
          <w:p w14:paraId="1E29E64E">
            <w:pPr>
              <w:pStyle w:val="52"/>
              <w:bidi w:val="0"/>
              <w:rPr>
                <w:rFonts w:hint="default" w:ascii="Times New Roman" w:hAnsi="Times New Roman" w:cs="Times New Roman"/>
                <w:color w:val="auto"/>
                <w:highlight w:val="none"/>
                <w:lang w:val="zh-CN"/>
              </w:rPr>
            </w:pPr>
          </w:p>
        </w:tc>
        <w:tc>
          <w:tcPr>
            <w:tcW w:w="1136" w:type="dxa"/>
            <w:noWrap w:val="0"/>
            <w:vAlign w:val="center"/>
          </w:tcPr>
          <w:p w14:paraId="1CF910E2">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生态监测计划</w:t>
            </w:r>
          </w:p>
        </w:tc>
        <w:tc>
          <w:tcPr>
            <w:tcW w:w="6173" w:type="dxa"/>
            <w:noWrap w:val="0"/>
            <w:vAlign w:val="center"/>
          </w:tcPr>
          <w:p w14:paraId="78F370A4">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全生命周期</w:t>
            </w:r>
            <w:r>
              <w:rPr>
                <w:rFonts w:hint="eastAsia" w:cs="Times New Roman"/>
                <w:color w:val="auto"/>
                <w:highlight w:val="none"/>
                <w:lang w:val="zh-CN"/>
              </w:rPr>
              <w:t>☑</w:t>
            </w:r>
            <w:r>
              <w:rPr>
                <w:rFonts w:hint="default" w:ascii="Times New Roman" w:hAnsi="Times New Roman" w:cs="Times New Roman"/>
                <w:color w:val="auto"/>
                <w:highlight w:val="none"/>
                <w:lang w:val="zh-CN"/>
              </w:rPr>
              <w:t>；长期跟踪□；常规</w:t>
            </w:r>
            <w:r>
              <w:rPr>
                <w:rFonts w:hint="eastAsia" w:cs="Times New Roman"/>
                <w:color w:val="auto"/>
                <w:highlight w:val="none"/>
                <w:lang w:val="zh-CN"/>
              </w:rPr>
              <w:t>□</w:t>
            </w:r>
            <w:r>
              <w:rPr>
                <w:rFonts w:hint="default" w:ascii="Times New Roman" w:hAnsi="Times New Roman" w:cs="Times New Roman"/>
                <w:color w:val="auto"/>
                <w:highlight w:val="none"/>
                <w:lang w:val="zh-CN"/>
              </w:rPr>
              <w:t>；无□</w:t>
            </w:r>
          </w:p>
        </w:tc>
      </w:tr>
      <w:tr w14:paraId="5615D77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noWrap w:val="0"/>
            <w:vAlign w:val="center"/>
          </w:tcPr>
          <w:p w14:paraId="5D19EC71">
            <w:pPr>
              <w:pStyle w:val="52"/>
              <w:bidi w:val="0"/>
              <w:rPr>
                <w:rFonts w:hint="default" w:ascii="Times New Roman" w:hAnsi="Times New Roman" w:cs="Times New Roman"/>
                <w:color w:val="auto"/>
                <w:highlight w:val="none"/>
                <w:lang w:val="zh-CN"/>
              </w:rPr>
            </w:pPr>
          </w:p>
        </w:tc>
        <w:tc>
          <w:tcPr>
            <w:tcW w:w="1136" w:type="dxa"/>
            <w:noWrap w:val="0"/>
            <w:vAlign w:val="center"/>
          </w:tcPr>
          <w:p w14:paraId="0835C7F7">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环境管理</w:t>
            </w:r>
          </w:p>
        </w:tc>
        <w:tc>
          <w:tcPr>
            <w:tcW w:w="6173" w:type="dxa"/>
            <w:noWrap w:val="0"/>
            <w:vAlign w:val="center"/>
          </w:tcPr>
          <w:p w14:paraId="0AB9C35F">
            <w:pPr>
              <w:pStyle w:val="52"/>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环境监理☑；环境影响后评价</w:t>
            </w:r>
            <w:r>
              <w:rPr>
                <w:rFonts w:hint="eastAsia" w:cs="Times New Roman"/>
                <w:color w:val="auto"/>
                <w:highlight w:val="none"/>
                <w:lang w:val="zh-CN"/>
              </w:rPr>
              <w:t>☑</w:t>
            </w:r>
            <w:r>
              <w:rPr>
                <w:rFonts w:hint="default" w:ascii="Times New Roman" w:hAnsi="Times New Roman" w:cs="Times New Roman"/>
                <w:color w:val="auto"/>
                <w:highlight w:val="none"/>
                <w:lang w:val="zh-CN"/>
              </w:rPr>
              <w:t>；其他</w:t>
            </w:r>
            <w:r>
              <w:rPr>
                <w:rFonts w:hint="eastAsia" w:cs="Times New Roman"/>
                <w:color w:val="auto"/>
                <w:highlight w:val="none"/>
                <w:lang w:val="zh-CN"/>
              </w:rPr>
              <w:t>☑</w:t>
            </w:r>
          </w:p>
        </w:tc>
      </w:tr>
      <w:tr w14:paraId="295992B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noWrap w:val="0"/>
            <w:vAlign w:val="center"/>
          </w:tcPr>
          <w:p w14:paraId="3478BEC8">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评价结论</w:t>
            </w:r>
          </w:p>
        </w:tc>
        <w:tc>
          <w:tcPr>
            <w:tcW w:w="1136" w:type="dxa"/>
            <w:noWrap w:val="0"/>
            <w:vAlign w:val="center"/>
          </w:tcPr>
          <w:p w14:paraId="2111FCB8">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生态影响</w:t>
            </w:r>
          </w:p>
        </w:tc>
        <w:tc>
          <w:tcPr>
            <w:tcW w:w="6173" w:type="dxa"/>
            <w:noWrap w:val="0"/>
            <w:vAlign w:val="center"/>
          </w:tcPr>
          <w:p w14:paraId="275BDC91">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可行☑；不可行□</w:t>
            </w:r>
          </w:p>
        </w:tc>
      </w:tr>
      <w:tr w14:paraId="26D4D76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441" w:type="dxa"/>
            <w:gridSpan w:val="4"/>
            <w:noWrap w:val="0"/>
            <w:vAlign w:val="center"/>
          </w:tcPr>
          <w:p w14:paraId="2B0949AC">
            <w:pPr>
              <w:pStyle w:val="5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eastAsia="zh-CN"/>
              </w:rPr>
              <w:t>注：</w:t>
            </w:r>
            <w:r>
              <w:rPr>
                <w:rFonts w:hint="default" w:ascii="Times New Roman" w:hAnsi="Times New Roman" w:cs="Times New Roman"/>
                <w:color w:val="auto"/>
                <w:highlight w:val="none"/>
                <w:lang w:val="zh-CN"/>
              </w:rPr>
              <w:t>“□”为勾选项，可√；“（）”为内容填写项。</w:t>
            </w:r>
          </w:p>
        </w:tc>
      </w:tr>
    </w:tbl>
    <w:p w14:paraId="428C33BC">
      <w:pPr>
        <w:pStyle w:val="34"/>
        <w:rPr>
          <w:rFonts w:hint="default" w:ascii="Times New Roman" w:hAnsi="Times New Roman" w:cs="Times New Roman"/>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26" w:charSpace="0"/>
        </w:sectPr>
      </w:pPr>
    </w:p>
    <w:p w14:paraId="1F00BD31">
      <w:pPr>
        <w:pStyle w:val="5"/>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472" w:name="_Toc2996"/>
      <w:bookmarkStart w:id="473" w:name="_Toc27794"/>
      <w:r>
        <w:rPr>
          <w:rFonts w:hint="default" w:ascii="Times New Roman" w:hAnsi="Times New Roman" w:cs="Times New Roman"/>
          <w:color w:val="auto"/>
          <w:highlight w:val="none"/>
        </w:rPr>
        <w:t>5.2大气环境影响分析</w:t>
      </w:r>
      <w:bookmarkEnd w:id="461"/>
      <w:bookmarkEnd w:id="462"/>
      <w:bookmarkEnd w:id="463"/>
      <w:bookmarkEnd w:id="464"/>
      <w:bookmarkEnd w:id="465"/>
      <w:bookmarkEnd w:id="466"/>
      <w:bookmarkEnd w:id="467"/>
      <w:bookmarkEnd w:id="472"/>
      <w:bookmarkEnd w:id="473"/>
    </w:p>
    <w:p w14:paraId="3CFC35C5">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474" w:name="_Toc28719"/>
      <w:bookmarkStart w:id="475" w:name="_Toc28186"/>
      <w:bookmarkStart w:id="476" w:name="_Toc5070"/>
      <w:r>
        <w:rPr>
          <w:rFonts w:hint="default" w:ascii="Times New Roman" w:hAnsi="Times New Roman" w:cs="Times New Roman"/>
          <w:color w:val="auto"/>
          <w:highlight w:val="none"/>
        </w:rPr>
        <w:t>5.2.1施工期环境空气影响分析</w:t>
      </w:r>
      <w:bookmarkEnd w:id="474"/>
      <w:bookmarkEnd w:id="475"/>
      <w:bookmarkEnd w:id="476"/>
    </w:p>
    <w:p w14:paraId="23E03B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eastAsia="zh-CN"/>
        </w:rPr>
        <w:t>本项目在施工期对环境空气的影响包括施工扬尘、施工车辆尾气、焊接废气、钻井工程废气和储层改造废气</w:t>
      </w:r>
      <w:r>
        <w:rPr>
          <w:rFonts w:hint="default" w:ascii="Times New Roman" w:hAnsi="Times New Roman" w:cs="Times New Roman"/>
          <w:color w:val="auto"/>
          <w:highlight w:val="none"/>
        </w:rPr>
        <w:t>。</w:t>
      </w:r>
    </w:p>
    <w:p w14:paraId="59E63056">
      <w:pPr>
        <w:keepNext w:val="0"/>
        <w:keepLines/>
        <w:pageBreakBefore w:val="0"/>
        <w:widowControl/>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color w:val="auto"/>
          <w:sz w:val="24"/>
          <w:szCs w:val="22"/>
          <w:highlight w:val="none"/>
        </w:rPr>
      </w:pPr>
      <w:r>
        <w:rPr>
          <w:rFonts w:hint="default" w:ascii="Times New Roman" w:hAnsi="Times New Roman" w:cs="Times New Roman"/>
          <w:b/>
          <w:color w:val="auto"/>
          <w:sz w:val="24"/>
          <w:szCs w:val="22"/>
          <w:highlight w:val="none"/>
        </w:rPr>
        <w:t>5.2.</w:t>
      </w:r>
      <w:r>
        <w:rPr>
          <w:rFonts w:hint="default" w:ascii="Times New Roman" w:hAnsi="Times New Roman" w:cs="Times New Roman"/>
          <w:b/>
          <w:color w:val="auto"/>
          <w:sz w:val="24"/>
          <w:szCs w:val="22"/>
          <w:highlight w:val="none"/>
          <w:lang w:val="en-US" w:eastAsia="zh-CN"/>
        </w:rPr>
        <w:t>1</w:t>
      </w:r>
      <w:r>
        <w:rPr>
          <w:rFonts w:hint="default" w:ascii="Times New Roman" w:hAnsi="Times New Roman" w:cs="Times New Roman"/>
          <w:b/>
          <w:color w:val="auto"/>
          <w:sz w:val="24"/>
          <w:szCs w:val="22"/>
          <w:highlight w:val="none"/>
        </w:rPr>
        <w:t>.1施工扬尘的影响分析</w:t>
      </w:r>
    </w:p>
    <w:p w14:paraId="6910F6D5">
      <w:pPr>
        <w:keepNext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油气田钻井工程和地面工程施工过程中，不可避免地要占用土地、进行土方施工、物料运输、场地建设、管沟开挖和管线铺设，该过程中将产生一定的施工扬尘。主要来自施工和运输产生的粉尘、车辆运输二次扬尘以及地面物料堆放时的遇风扬尘，施工扬尘的产生及影响程度跟施工季节、施工管理和风力等气候因素有一定关系，如遇干旱大风天气扬尘影响则较为严重。</w:t>
      </w:r>
    </w:p>
    <w:p w14:paraId="65C2C03C">
      <w:pPr>
        <w:keepNext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施工期的扬尘产生量与施工现场条件、管理水平、机械化程度以及气象条件等诸多因素有关，难以进行量化，类比调查结果表明，施工扬尘以土壤颗粒为主。施工期对环境造成不利影响的污染因素持续时间短，对环境的影响较小。施工期只要严格按施工规范文明施工，采取有效的防尘措施，可将施工期污染影响减到最小，施工期结束后，所有施工影响即可消除</w:t>
      </w:r>
      <w:r>
        <w:rPr>
          <w:rFonts w:hint="default" w:ascii="Times New Roman" w:hAnsi="Times New Roman" w:eastAsia="宋体" w:cs="Times New Roman"/>
          <w:color w:val="auto"/>
          <w:highlight w:val="none"/>
          <w:lang w:eastAsia="zh-CN"/>
        </w:rPr>
        <w:t>。</w:t>
      </w:r>
    </w:p>
    <w:p w14:paraId="76A9D548">
      <w:pPr>
        <w:keepNext w:val="0"/>
        <w:keepLines/>
        <w:pageBreakBefore w:val="0"/>
        <w:widowControl/>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color w:val="auto"/>
          <w:sz w:val="24"/>
          <w:szCs w:val="22"/>
          <w:highlight w:val="none"/>
        </w:rPr>
      </w:pPr>
      <w:r>
        <w:rPr>
          <w:rFonts w:hint="default" w:ascii="Times New Roman" w:hAnsi="Times New Roman" w:cs="Times New Roman"/>
          <w:b/>
          <w:color w:val="auto"/>
          <w:sz w:val="24"/>
          <w:szCs w:val="22"/>
          <w:highlight w:val="none"/>
        </w:rPr>
        <w:t>5.2.</w:t>
      </w:r>
      <w:r>
        <w:rPr>
          <w:rFonts w:hint="default" w:ascii="Times New Roman" w:hAnsi="Times New Roman" w:cs="Times New Roman"/>
          <w:b/>
          <w:color w:val="auto"/>
          <w:sz w:val="24"/>
          <w:szCs w:val="22"/>
          <w:highlight w:val="none"/>
          <w:lang w:val="en-US" w:eastAsia="zh-CN"/>
        </w:rPr>
        <w:t>1</w:t>
      </w:r>
      <w:r>
        <w:rPr>
          <w:rFonts w:hint="default" w:ascii="Times New Roman" w:hAnsi="Times New Roman" w:cs="Times New Roman"/>
          <w:b/>
          <w:color w:val="auto"/>
          <w:sz w:val="24"/>
          <w:szCs w:val="22"/>
          <w:highlight w:val="none"/>
        </w:rPr>
        <w:t>.2施工车辆尾气的影响分析</w:t>
      </w:r>
    </w:p>
    <w:p w14:paraId="0E0EDDB9">
      <w:pPr>
        <w:spacing w:beforeLines="0" w:afterLines="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0"/>
          <w:highlight w:val="none"/>
          <w:lang w:val="en-US" w:eastAsia="zh-CN" w:bidi="ar-SA"/>
        </w:rPr>
        <w:t>在油气田地面工程施工中使用多种燃油机动设备和运输车辆，会产生机械设备和车辆内燃机燃料燃烧废气，其污染物主要有颗粒物、SO</w:t>
      </w:r>
      <w:r>
        <w:rPr>
          <w:rFonts w:hint="default" w:ascii="Times New Roman" w:hAnsi="Times New Roman" w:eastAsia="宋体" w:cs="Times New Roman"/>
          <w:color w:val="auto"/>
          <w:sz w:val="24"/>
          <w:szCs w:val="20"/>
          <w:highlight w:val="none"/>
          <w:vertAlign w:val="subscript"/>
          <w:lang w:val="en-US" w:eastAsia="zh-CN" w:bidi="ar-SA"/>
        </w:rPr>
        <w:t>2</w:t>
      </w:r>
      <w:r>
        <w:rPr>
          <w:rFonts w:hint="default" w:ascii="Times New Roman" w:hAnsi="Times New Roman" w:eastAsia="宋体" w:cs="Times New Roman"/>
          <w:color w:val="auto"/>
          <w:sz w:val="24"/>
          <w:szCs w:val="20"/>
          <w:highlight w:val="none"/>
          <w:lang w:val="en-US" w:eastAsia="zh-CN" w:bidi="ar-SA"/>
        </w:rPr>
        <w:t>、NO</w:t>
      </w:r>
      <w:r>
        <w:rPr>
          <w:rFonts w:hint="default" w:ascii="Times New Roman" w:hAnsi="Times New Roman" w:eastAsia="宋体" w:cs="Times New Roman"/>
          <w:color w:val="auto"/>
          <w:sz w:val="24"/>
          <w:szCs w:val="20"/>
          <w:highlight w:val="none"/>
          <w:vertAlign w:val="subscript"/>
          <w:lang w:val="en-US" w:eastAsia="zh-CN" w:bidi="ar-SA"/>
        </w:rPr>
        <w:t>X</w:t>
      </w:r>
      <w:r>
        <w:rPr>
          <w:rFonts w:hint="default" w:ascii="Times New Roman" w:hAnsi="Times New Roman" w:eastAsia="宋体" w:cs="Times New Roman"/>
          <w:color w:val="auto"/>
          <w:sz w:val="24"/>
          <w:szCs w:val="20"/>
          <w:highlight w:val="none"/>
          <w:lang w:val="en-US" w:eastAsia="zh-CN" w:bidi="ar-SA"/>
        </w:rPr>
        <w:t>等</w:t>
      </w:r>
      <w:r>
        <w:rPr>
          <w:rFonts w:hint="default" w:ascii="Times New Roman" w:hAnsi="Times New Roman" w:cs="Times New Roman"/>
          <w:color w:val="auto"/>
          <w:sz w:val="24"/>
          <w:szCs w:val="20"/>
          <w:highlight w:val="none"/>
          <w:lang w:val="en-US" w:eastAsia="zh-CN" w:bidi="ar-SA"/>
        </w:rPr>
        <w:t>。</w:t>
      </w:r>
      <w:r>
        <w:rPr>
          <w:rFonts w:hint="default" w:ascii="Times New Roman" w:hAnsi="Times New Roman" w:eastAsia="宋体" w:cs="Times New Roman"/>
          <w:color w:val="auto"/>
          <w:sz w:val="24"/>
          <w:szCs w:val="20"/>
          <w:highlight w:val="none"/>
          <w:lang w:val="en-US" w:eastAsia="zh-CN" w:bidi="ar-SA"/>
        </w:rPr>
        <w:t>施工机械和运输车辆运行时间一般都较短，从影响范围和程度来看，施工机械废气对周围大气环境的影响是有限的</w:t>
      </w:r>
      <w:r>
        <w:rPr>
          <w:rFonts w:hint="default" w:ascii="Times New Roman" w:hAnsi="Times New Roman" w:cs="Times New Roman"/>
          <w:color w:val="auto"/>
          <w:sz w:val="24"/>
          <w:szCs w:val="24"/>
          <w:highlight w:val="none"/>
        </w:rPr>
        <w:t>。</w:t>
      </w:r>
    </w:p>
    <w:p w14:paraId="0C413A87">
      <w:pPr>
        <w:keepNext w:val="0"/>
        <w:keepLines/>
        <w:pageBreakBefore w:val="0"/>
        <w:widowControl/>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color w:val="auto"/>
          <w:sz w:val="24"/>
          <w:szCs w:val="22"/>
          <w:highlight w:val="none"/>
        </w:rPr>
      </w:pPr>
      <w:bookmarkStart w:id="477" w:name="_Toc19009"/>
      <w:bookmarkStart w:id="478" w:name="_Toc6355"/>
      <w:bookmarkStart w:id="479" w:name="_Toc23846"/>
      <w:r>
        <w:rPr>
          <w:rFonts w:hint="default" w:ascii="Times New Roman" w:hAnsi="Times New Roman" w:cs="Times New Roman"/>
          <w:b/>
          <w:color w:val="auto"/>
          <w:sz w:val="24"/>
          <w:szCs w:val="22"/>
          <w:highlight w:val="none"/>
        </w:rPr>
        <w:t>5.2.</w:t>
      </w:r>
      <w:r>
        <w:rPr>
          <w:rFonts w:hint="default" w:ascii="Times New Roman" w:hAnsi="Times New Roman" w:cs="Times New Roman"/>
          <w:b/>
          <w:color w:val="auto"/>
          <w:sz w:val="24"/>
          <w:szCs w:val="22"/>
          <w:highlight w:val="none"/>
          <w:lang w:val="en-US" w:eastAsia="zh-CN"/>
        </w:rPr>
        <w:t>1</w:t>
      </w:r>
      <w:r>
        <w:rPr>
          <w:rFonts w:hint="default" w:ascii="Times New Roman" w:hAnsi="Times New Roman" w:cs="Times New Roman"/>
          <w:b/>
          <w:color w:val="auto"/>
          <w:sz w:val="24"/>
          <w:szCs w:val="22"/>
          <w:highlight w:val="none"/>
        </w:rPr>
        <w:t>.</w:t>
      </w:r>
      <w:r>
        <w:rPr>
          <w:rFonts w:hint="default" w:ascii="Times New Roman" w:hAnsi="Times New Roman" w:cs="Times New Roman"/>
          <w:b/>
          <w:color w:val="auto"/>
          <w:sz w:val="24"/>
          <w:szCs w:val="22"/>
          <w:highlight w:val="none"/>
          <w:lang w:val="en-US" w:eastAsia="zh-CN"/>
        </w:rPr>
        <w:t>3</w:t>
      </w:r>
      <w:r>
        <w:rPr>
          <w:rFonts w:hint="default" w:ascii="Times New Roman" w:hAnsi="Times New Roman" w:cs="Times New Roman"/>
          <w:b/>
          <w:color w:val="auto"/>
          <w:sz w:val="24"/>
          <w:szCs w:val="22"/>
          <w:highlight w:val="none"/>
        </w:rPr>
        <w:t>焊接废气的影响分析</w:t>
      </w:r>
    </w:p>
    <w:p w14:paraId="27871FF8">
      <w:pPr>
        <w:keepNext w:val="0"/>
        <w:keepLines/>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金属材质管线连接过程中会产生一定量的焊接烟气，污染物主要为颗粒物。管线焊接时间一般都较短，从影响范围和程度来看，施工机械废气对周围大气环境的影响是有限的</w:t>
      </w:r>
      <w:r>
        <w:rPr>
          <w:rFonts w:hint="default" w:ascii="Times New Roman" w:hAnsi="Times New Roman" w:cs="Times New Roman"/>
          <w:color w:val="auto"/>
          <w:sz w:val="24"/>
          <w:szCs w:val="20"/>
          <w:highlight w:val="none"/>
          <w:lang w:val="en-US" w:eastAsia="zh-CN" w:bidi="ar-SA"/>
        </w:rPr>
        <w:t>。</w:t>
      </w:r>
    </w:p>
    <w:p w14:paraId="08623CDE">
      <w:pPr>
        <w:keepNext w:val="0"/>
        <w:keepLines/>
        <w:pageBreakBefore w:val="0"/>
        <w:widowControl/>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color w:val="auto"/>
          <w:sz w:val="24"/>
          <w:szCs w:val="22"/>
          <w:highlight w:val="none"/>
        </w:rPr>
      </w:pPr>
      <w:r>
        <w:rPr>
          <w:rFonts w:hint="default" w:ascii="Times New Roman" w:hAnsi="Times New Roman" w:cs="Times New Roman"/>
          <w:b/>
          <w:color w:val="auto"/>
          <w:sz w:val="24"/>
          <w:szCs w:val="22"/>
          <w:highlight w:val="none"/>
        </w:rPr>
        <w:t>5.2.</w:t>
      </w:r>
      <w:r>
        <w:rPr>
          <w:rFonts w:hint="default" w:ascii="Times New Roman" w:hAnsi="Times New Roman" w:cs="Times New Roman"/>
          <w:b/>
          <w:color w:val="auto"/>
          <w:sz w:val="24"/>
          <w:szCs w:val="22"/>
          <w:highlight w:val="none"/>
          <w:lang w:val="en-US" w:eastAsia="zh-CN"/>
        </w:rPr>
        <w:t>1</w:t>
      </w:r>
      <w:r>
        <w:rPr>
          <w:rFonts w:hint="default" w:ascii="Times New Roman" w:hAnsi="Times New Roman" w:cs="Times New Roman"/>
          <w:b/>
          <w:color w:val="auto"/>
          <w:sz w:val="24"/>
          <w:szCs w:val="22"/>
          <w:highlight w:val="none"/>
        </w:rPr>
        <w:t>.</w:t>
      </w:r>
      <w:r>
        <w:rPr>
          <w:rFonts w:hint="default" w:ascii="Times New Roman" w:hAnsi="Times New Roman" w:cs="Times New Roman"/>
          <w:b/>
          <w:color w:val="auto"/>
          <w:sz w:val="24"/>
          <w:szCs w:val="22"/>
          <w:highlight w:val="none"/>
          <w:lang w:val="en-US" w:eastAsia="zh-CN"/>
        </w:rPr>
        <w:t>4</w:t>
      </w:r>
      <w:r>
        <w:rPr>
          <w:rFonts w:hint="default" w:ascii="Times New Roman" w:hAnsi="Times New Roman" w:cs="Times New Roman"/>
          <w:b/>
          <w:color w:val="auto"/>
          <w:sz w:val="24"/>
          <w:szCs w:val="22"/>
          <w:highlight w:val="none"/>
        </w:rPr>
        <w:t>钻井工程的影响分析</w:t>
      </w:r>
    </w:p>
    <w:p w14:paraId="4C8BD0F2">
      <w:pPr>
        <w:pStyle w:val="13"/>
        <w:rPr>
          <w:rFonts w:hint="default" w:ascii="Times New Roman" w:hAnsi="Times New Roman" w:cs="Times New Roman"/>
          <w:color w:val="auto"/>
          <w:sz w:val="24"/>
          <w:szCs w:val="20"/>
          <w:highlight w:val="none"/>
          <w:lang w:val="en-US" w:eastAsia="zh-CN" w:bidi="ar-SA"/>
        </w:rPr>
      </w:pPr>
      <w:r>
        <w:rPr>
          <w:rFonts w:hint="default" w:ascii="Times New Roman" w:hAnsi="Times New Roman" w:cs="Times New Roman"/>
          <w:color w:val="auto"/>
          <w:sz w:val="24"/>
          <w:szCs w:val="20"/>
          <w:highlight w:val="none"/>
          <w:lang w:val="en-US" w:eastAsia="zh-CN" w:bidi="ar-SA"/>
        </w:rPr>
        <w:t>钻井结束时需进行油气测试，会产生测试放喷废气。本项目测试放喷期间分离出的天然气经管线引至放空火炬点燃。据此，测试放喷期间大气污染物主要来自放空天然气燃烧产生的废气。</w:t>
      </w:r>
    </w:p>
    <w:p w14:paraId="4DDAE28A">
      <w:pPr>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b w:val="0"/>
          <w:bCs/>
          <w:snapToGrid/>
          <w:color w:val="auto"/>
          <w:kern w:val="0"/>
          <w:sz w:val="24"/>
          <w:szCs w:val="24"/>
          <w:highlight w:val="none"/>
          <w:lang w:val="en-US" w:eastAsia="zh-CN" w:bidi="ar-SA"/>
        </w:rPr>
      </w:pPr>
      <w:r>
        <w:rPr>
          <w:rFonts w:hint="default" w:ascii="Times New Roman" w:hAnsi="Times New Roman" w:cs="Times New Roman"/>
          <w:b w:val="0"/>
          <w:bCs/>
          <w:color w:val="auto"/>
          <w:sz w:val="24"/>
          <w:szCs w:val="20"/>
          <w:highlight w:val="none"/>
          <w:lang w:val="en-US" w:eastAsia="zh-CN" w:bidi="ar-SA"/>
        </w:rPr>
        <w:t>测试放喷期间油气通过分离器分离，油水混合物进入油水罐储存，分离出的气体燃烧放空，当伴生气含有硫化氢时，通过燃烧转化成二氧化硫，可有效降低毒性气体的毒性。</w:t>
      </w:r>
    </w:p>
    <w:p w14:paraId="709DD1A9">
      <w:pPr>
        <w:keepNext w:val="0"/>
        <w:keepLines/>
        <w:pageBreakBefore w:val="0"/>
        <w:widowControl/>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color w:val="auto"/>
          <w:sz w:val="24"/>
          <w:szCs w:val="22"/>
          <w:highlight w:val="none"/>
        </w:rPr>
      </w:pPr>
      <w:r>
        <w:rPr>
          <w:rFonts w:hint="default" w:ascii="Times New Roman" w:hAnsi="Times New Roman" w:cs="Times New Roman"/>
          <w:b/>
          <w:color w:val="auto"/>
          <w:sz w:val="24"/>
          <w:szCs w:val="22"/>
          <w:highlight w:val="none"/>
        </w:rPr>
        <w:t>5.2.</w:t>
      </w:r>
      <w:r>
        <w:rPr>
          <w:rFonts w:hint="default" w:ascii="Times New Roman" w:hAnsi="Times New Roman" w:cs="Times New Roman"/>
          <w:b/>
          <w:color w:val="auto"/>
          <w:sz w:val="24"/>
          <w:szCs w:val="22"/>
          <w:highlight w:val="none"/>
          <w:lang w:val="en-US" w:eastAsia="zh-CN"/>
        </w:rPr>
        <w:t>1</w:t>
      </w:r>
      <w:r>
        <w:rPr>
          <w:rFonts w:hint="default" w:ascii="Times New Roman" w:hAnsi="Times New Roman" w:cs="Times New Roman"/>
          <w:b/>
          <w:color w:val="auto"/>
          <w:sz w:val="24"/>
          <w:szCs w:val="22"/>
          <w:highlight w:val="none"/>
        </w:rPr>
        <w:t>.</w:t>
      </w:r>
      <w:r>
        <w:rPr>
          <w:rFonts w:hint="default" w:ascii="Times New Roman" w:hAnsi="Times New Roman" w:cs="Times New Roman"/>
          <w:b/>
          <w:color w:val="auto"/>
          <w:sz w:val="24"/>
          <w:szCs w:val="22"/>
          <w:highlight w:val="none"/>
          <w:lang w:val="en-US" w:eastAsia="zh-CN"/>
        </w:rPr>
        <w:t>5</w:t>
      </w:r>
      <w:r>
        <w:rPr>
          <w:rFonts w:hint="default" w:ascii="Times New Roman" w:hAnsi="Times New Roman" w:cs="Times New Roman"/>
          <w:b/>
          <w:color w:val="auto"/>
          <w:sz w:val="24"/>
          <w:szCs w:val="22"/>
          <w:highlight w:val="none"/>
        </w:rPr>
        <w:t>储层改造废气的影响分析</w:t>
      </w:r>
    </w:p>
    <w:p w14:paraId="67BBEB51">
      <w:pPr>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b w:val="0"/>
          <w:snapToGrid/>
          <w:color w:val="auto"/>
          <w:kern w:val="0"/>
          <w:sz w:val="24"/>
          <w:szCs w:val="24"/>
          <w:highlight w:val="none"/>
          <w:lang w:val="en-US" w:eastAsia="zh-CN" w:bidi="ar-SA"/>
        </w:rPr>
      </w:pPr>
      <w:r>
        <w:rPr>
          <w:rFonts w:hint="default" w:ascii="Times New Roman" w:hAnsi="Times New Roman" w:eastAsia="宋体" w:cs="Times New Roman"/>
          <w:b w:val="0"/>
          <w:snapToGrid/>
          <w:color w:val="auto"/>
          <w:kern w:val="0"/>
          <w:sz w:val="24"/>
          <w:szCs w:val="24"/>
          <w:highlight w:val="none"/>
          <w:lang w:val="en-US" w:eastAsia="zh-CN" w:bidi="ar-SA"/>
        </w:rPr>
        <w:t>储层改造过程废气主要来源于压裂液现场暂存过程、压裂液注入过程以及压裂返排液暂存过程中产生的废气，主要成分为HCl等，采取压裂液和压裂返排液密闭罐存放措施，有效降低酸性废气排放</w:t>
      </w:r>
      <w:r>
        <w:rPr>
          <w:rFonts w:hint="default" w:ascii="Times New Roman" w:hAnsi="Times New Roman" w:cs="Times New Roman"/>
          <w:b w:val="0"/>
          <w:snapToGrid/>
          <w:color w:val="auto"/>
          <w:kern w:val="0"/>
          <w:sz w:val="24"/>
          <w:szCs w:val="24"/>
          <w:highlight w:val="none"/>
          <w:lang w:val="en-US" w:eastAsia="zh-CN" w:bidi="ar-SA"/>
        </w:rPr>
        <w:t>。</w:t>
      </w:r>
    </w:p>
    <w:p w14:paraId="06B22D35">
      <w:pPr>
        <w:pStyle w:val="6"/>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5.2.2运营期大气环境影响分析</w:t>
      </w:r>
      <w:bookmarkEnd w:id="477"/>
      <w:bookmarkEnd w:id="478"/>
      <w:bookmarkEnd w:id="479"/>
    </w:p>
    <w:p w14:paraId="11C3AC99">
      <w:pPr>
        <w:widowControl w:val="0"/>
        <w:shd w:val="clear"/>
        <w:adjustRightInd w:val="0"/>
        <w:snapToGrid w:val="0"/>
        <w:spacing w:line="360" w:lineRule="auto"/>
        <w:jc w:val="both"/>
        <w:outlineLvl w:val="3"/>
        <w:rPr>
          <w:rFonts w:ascii="Times New Roman" w:hAnsi="Times New Roman" w:eastAsia="黑体" w:cs="Times New Roman"/>
          <w:snapToGrid w:val="0"/>
          <w:color w:val="auto"/>
          <w:sz w:val="24"/>
          <w:highlight w:val="none"/>
          <w:lang w:val="en-US" w:eastAsia="zh-CN" w:bidi="ar-SA"/>
        </w:rPr>
      </w:pPr>
      <w:r>
        <w:rPr>
          <w:rFonts w:ascii="Times New Roman" w:hAnsi="Times New Roman" w:eastAsia="黑体" w:cs="Times New Roman"/>
          <w:snapToGrid w:val="0"/>
          <w:color w:val="auto"/>
          <w:sz w:val="24"/>
          <w:highlight w:val="none"/>
          <w:lang w:val="en-US" w:eastAsia="zh-CN" w:bidi="ar-SA"/>
        </w:rPr>
        <w:t>5.2.2.1区域地面污染气象特征分析</w:t>
      </w:r>
    </w:p>
    <w:p w14:paraId="6E65FD51">
      <w:pPr>
        <w:shd w:val="clear"/>
        <w:spacing w:line="360" w:lineRule="auto"/>
        <w:ind w:firstLine="480" w:firstLineChars="200"/>
        <w:rPr>
          <w:rFonts w:ascii="Times New Roman" w:hAnsi="Times New Roman" w:eastAsia="宋体" w:cs="Times New Roman"/>
          <w:color w:val="auto"/>
          <w:spacing w:val="0"/>
          <w:kern w:val="24"/>
          <w:sz w:val="24"/>
          <w:highlight w:val="none"/>
          <w:lang w:val="en-US" w:eastAsia="zh-CN" w:bidi="ar-SA"/>
        </w:rPr>
      </w:pPr>
      <w:r>
        <w:rPr>
          <w:rFonts w:ascii="Times New Roman" w:hAnsi="Times New Roman" w:eastAsia="宋体" w:cs="Times New Roman"/>
          <w:color w:val="auto"/>
          <w:spacing w:val="0"/>
          <w:kern w:val="24"/>
          <w:sz w:val="24"/>
          <w:highlight w:val="none"/>
          <w:lang w:val="en-US" w:eastAsia="zh-CN" w:bidi="ar-SA"/>
        </w:rPr>
        <w:t>（1）常规气象资料分析</w:t>
      </w:r>
    </w:p>
    <w:p w14:paraId="1E6B3990">
      <w:pPr>
        <w:shd w:val="clear"/>
        <w:spacing w:line="360" w:lineRule="auto"/>
        <w:ind w:firstLine="480" w:firstLineChars="200"/>
        <w:rPr>
          <w:rFonts w:ascii="Times New Roman" w:hAnsi="Times New Roman" w:eastAsia="宋体" w:cs="Times New Roman"/>
          <w:color w:val="auto"/>
          <w:spacing w:val="0"/>
          <w:kern w:val="24"/>
          <w:sz w:val="24"/>
          <w:highlight w:val="none"/>
          <w:lang w:val="en-US" w:eastAsia="zh-CN" w:bidi="ar-SA"/>
        </w:rPr>
      </w:pPr>
      <w:r>
        <w:rPr>
          <w:rFonts w:ascii="Times New Roman" w:hAnsi="Times New Roman" w:eastAsia="宋体" w:cs="Times New Roman"/>
          <w:color w:val="auto"/>
          <w:spacing w:val="0"/>
          <w:kern w:val="24"/>
          <w:sz w:val="24"/>
          <w:highlight w:val="none"/>
          <w:lang w:val="en-US" w:eastAsia="zh-CN" w:bidi="ar-SA"/>
        </w:rPr>
        <w:t>库车市地处欧亚大陆腹地，天山中段南麓，塔里木盆地北缘，由于深入大陆腹地，距离水汽源地较远，气候干旱，环境水分的时空分布极少且不均匀，为北温带典型大陆性沙漠干旱气候区。日照时间长，热量丰富，降水稀少，蒸发强烈，夏季炎热，冬季寒冷，昼夜温差大，春季多风沙。光热、风能气候资源丰富。多年平均风速为2.03m/s，最大风速为27m/s，全年盛行北风。年平均气温为10.6</w:t>
      </w:r>
      <w:r>
        <w:rPr>
          <w:rFonts w:hint="eastAsia" w:ascii="宋体" w:hAnsi="宋体" w:eastAsia="宋体" w:cs="宋体"/>
          <w:color w:val="auto"/>
          <w:spacing w:val="0"/>
          <w:kern w:val="24"/>
          <w:sz w:val="24"/>
          <w:highlight w:val="none"/>
          <w:lang w:val="en-US" w:eastAsia="zh-CN" w:bidi="ar-SA"/>
        </w:rPr>
        <w:t>℃</w:t>
      </w:r>
      <w:r>
        <w:rPr>
          <w:rFonts w:ascii="Times New Roman" w:hAnsi="Times New Roman" w:eastAsia="宋体" w:cs="Times New Roman"/>
          <w:color w:val="auto"/>
          <w:spacing w:val="0"/>
          <w:kern w:val="24"/>
          <w:sz w:val="24"/>
          <w:highlight w:val="none"/>
          <w:lang w:val="en-US" w:eastAsia="zh-CN" w:bidi="ar-SA"/>
        </w:rPr>
        <w:t>，夏季最高气温40.5</w:t>
      </w:r>
      <w:r>
        <w:rPr>
          <w:rFonts w:hint="eastAsia" w:ascii="宋体" w:hAnsi="宋体" w:eastAsia="宋体" w:cs="宋体"/>
          <w:color w:val="auto"/>
          <w:spacing w:val="0"/>
          <w:kern w:val="24"/>
          <w:sz w:val="24"/>
          <w:highlight w:val="none"/>
          <w:lang w:val="en-US" w:eastAsia="zh-CN" w:bidi="ar-SA"/>
        </w:rPr>
        <w:t>℃</w:t>
      </w:r>
      <w:r>
        <w:rPr>
          <w:rFonts w:ascii="Times New Roman" w:hAnsi="Times New Roman" w:eastAsia="宋体" w:cs="Times New Roman"/>
          <w:color w:val="auto"/>
          <w:spacing w:val="0"/>
          <w:kern w:val="24"/>
          <w:sz w:val="24"/>
          <w:highlight w:val="none"/>
          <w:lang w:val="en-US" w:eastAsia="zh-CN" w:bidi="ar-SA"/>
        </w:rPr>
        <w:t>，冬季最低气温-25.5</w:t>
      </w:r>
      <w:r>
        <w:rPr>
          <w:rFonts w:hint="eastAsia" w:ascii="宋体" w:hAnsi="宋体" w:eastAsia="宋体" w:cs="宋体"/>
          <w:color w:val="auto"/>
          <w:spacing w:val="0"/>
          <w:kern w:val="24"/>
          <w:sz w:val="24"/>
          <w:highlight w:val="none"/>
          <w:lang w:val="en-US" w:eastAsia="zh-CN" w:bidi="ar-SA"/>
        </w:rPr>
        <w:t>℃</w:t>
      </w:r>
      <w:r>
        <w:rPr>
          <w:rFonts w:ascii="Times New Roman" w:hAnsi="Times New Roman" w:eastAsia="宋体" w:cs="Times New Roman"/>
          <w:color w:val="auto"/>
          <w:spacing w:val="0"/>
          <w:kern w:val="24"/>
          <w:sz w:val="24"/>
          <w:highlight w:val="none"/>
          <w:lang w:val="en-US" w:eastAsia="zh-CN" w:bidi="ar-SA"/>
        </w:rPr>
        <w:t>。</w:t>
      </w:r>
    </w:p>
    <w:p w14:paraId="0BC7EC6B">
      <w:pPr>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b w:val="0"/>
          <w:snapToGrid/>
          <w:color w:val="auto"/>
          <w:kern w:val="0"/>
          <w:sz w:val="24"/>
          <w:szCs w:val="24"/>
          <w:highlight w:val="none"/>
          <w:lang w:val="en-US" w:eastAsia="zh-CN" w:bidi="ar-SA"/>
        </w:rPr>
      </w:pPr>
      <w:r>
        <w:rPr>
          <w:rFonts w:hint="default" w:ascii="Times New Roman" w:hAnsi="Times New Roman" w:eastAsia="宋体" w:cs="Times New Roman"/>
          <w:b w:val="0"/>
          <w:snapToGrid/>
          <w:color w:val="auto"/>
          <w:kern w:val="0"/>
          <w:sz w:val="24"/>
          <w:szCs w:val="24"/>
          <w:highlight w:val="none"/>
          <w:lang w:val="en-US" w:eastAsia="zh-CN" w:bidi="ar-SA"/>
        </w:rPr>
        <w:t>根据库车市气象站近30年的气候资料统计，结果见表4.1-1。</w:t>
      </w:r>
    </w:p>
    <w:p w14:paraId="4190DE18">
      <w:pPr>
        <w:adjustRightInd w:val="0"/>
        <w:snapToGrid w:val="0"/>
        <w:ind w:firstLine="197" w:firstLineChars="94"/>
        <w:jc w:val="center"/>
        <w:rPr>
          <w:rFonts w:hint="eastAsia" w:ascii="黑体" w:hAnsi="黑体" w:eastAsia="黑体" w:cs="黑体"/>
          <w:b w:val="0"/>
          <w:bCs/>
          <w:color w:val="auto"/>
          <w:sz w:val="21"/>
          <w:szCs w:val="16"/>
          <w:highlight w:val="none"/>
        </w:rPr>
      </w:pPr>
      <w:r>
        <w:rPr>
          <w:rFonts w:hint="eastAsia" w:ascii="黑体" w:hAnsi="黑体" w:eastAsia="黑体" w:cs="黑体"/>
          <w:b w:val="0"/>
          <w:bCs/>
          <w:color w:val="auto"/>
          <w:sz w:val="21"/>
          <w:szCs w:val="16"/>
          <w:highlight w:val="none"/>
        </w:rPr>
        <w:t>表4.1-1库车市气象站近30年的气候资料统计</w:t>
      </w:r>
    </w:p>
    <w:tbl>
      <w:tblPr>
        <w:tblStyle w:val="35"/>
        <w:tblW w:w="86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554"/>
        <w:gridCol w:w="554"/>
        <w:gridCol w:w="575"/>
        <w:gridCol w:w="575"/>
        <w:gridCol w:w="575"/>
        <w:gridCol w:w="583"/>
        <w:gridCol w:w="608"/>
        <w:gridCol w:w="575"/>
        <w:gridCol w:w="554"/>
        <w:gridCol w:w="554"/>
        <w:gridCol w:w="575"/>
        <w:gridCol w:w="554"/>
        <w:gridCol w:w="748"/>
      </w:tblGrid>
      <w:tr w14:paraId="11850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tcBorders>
              <w:tl2br w:val="nil"/>
              <w:tr2bl w:val="nil"/>
            </w:tcBorders>
            <w:vAlign w:val="center"/>
          </w:tcPr>
          <w:p w14:paraId="6EEAB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气象</w:t>
            </w:r>
          </w:p>
          <w:p w14:paraId="2E6FB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要素</w:t>
            </w:r>
          </w:p>
        </w:tc>
        <w:tc>
          <w:tcPr>
            <w:tcW w:w="554" w:type="dxa"/>
            <w:tcBorders>
              <w:tl2br w:val="nil"/>
              <w:tr2bl w:val="nil"/>
            </w:tcBorders>
            <w:vAlign w:val="center"/>
          </w:tcPr>
          <w:p w14:paraId="7B5E8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1月</w:t>
            </w:r>
          </w:p>
        </w:tc>
        <w:tc>
          <w:tcPr>
            <w:tcW w:w="554" w:type="dxa"/>
            <w:tcBorders>
              <w:tl2br w:val="nil"/>
              <w:tr2bl w:val="nil"/>
            </w:tcBorders>
            <w:vAlign w:val="center"/>
          </w:tcPr>
          <w:p w14:paraId="3A06C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2月</w:t>
            </w:r>
          </w:p>
        </w:tc>
        <w:tc>
          <w:tcPr>
            <w:tcW w:w="575" w:type="dxa"/>
            <w:tcBorders>
              <w:tl2br w:val="nil"/>
              <w:tr2bl w:val="nil"/>
            </w:tcBorders>
            <w:vAlign w:val="center"/>
          </w:tcPr>
          <w:p w14:paraId="589ED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3月</w:t>
            </w:r>
          </w:p>
        </w:tc>
        <w:tc>
          <w:tcPr>
            <w:tcW w:w="575" w:type="dxa"/>
            <w:tcBorders>
              <w:tl2br w:val="nil"/>
              <w:tr2bl w:val="nil"/>
            </w:tcBorders>
            <w:vAlign w:val="center"/>
          </w:tcPr>
          <w:p w14:paraId="488C8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4月</w:t>
            </w:r>
          </w:p>
        </w:tc>
        <w:tc>
          <w:tcPr>
            <w:tcW w:w="575" w:type="dxa"/>
            <w:tcBorders>
              <w:tl2br w:val="nil"/>
              <w:tr2bl w:val="nil"/>
            </w:tcBorders>
            <w:vAlign w:val="center"/>
          </w:tcPr>
          <w:p w14:paraId="49C8A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5月</w:t>
            </w:r>
          </w:p>
        </w:tc>
        <w:tc>
          <w:tcPr>
            <w:tcW w:w="583" w:type="dxa"/>
            <w:tcBorders>
              <w:tl2br w:val="nil"/>
              <w:tr2bl w:val="nil"/>
            </w:tcBorders>
            <w:vAlign w:val="center"/>
          </w:tcPr>
          <w:p w14:paraId="0F35C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6月</w:t>
            </w:r>
          </w:p>
        </w:tc>
        <w:tc>
          <w:tcPr>
            <w:tcW w:w="608" w:type="dxa"/>
            <w:tcBorders>
              <w:tl2br w:val="nil"/>
              <w:tr2bl w:val="nil"/>
            </w:tcBorders>
            <w:vAlign w:val="center"/>
          </w:tcPr>
          <w:p w14:paraId="3812B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7月</w:t>
            </w:r>
          </w:p>
        </w:tc>
        <w:tc>
          <w:tcPr>
            <w:tcW w:w="575" w:type="dxa"/>
            <w:tcBorders>
              <w:tl2br w:val="nil"/>
              <w:tr2bl w:val="nil"/>
            </w:tcBorders>
            <w:vAlign w:val="center"/>
          </w:tcPr>
          <w:p w14:paraId="23EE9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8月</w:t>
            </w:r>
          </w:p>
        </w:tc>
        <w:tc>
          <w:tcPr>
            <w:tcW w:w="554" w:type="dxa"/>
            <w:tcBorders>
              <w:tl2br w:val="nil"/>
              <w:tr2bl w:val="nil"/>
            </w:tcBorders>
            <w:vAlign w:val="center"/>
          </w:tcPr>
          <w:p w14:paraId="7DE8E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9月</w:t>
            </w:r>
          </w:p>
        </w:tc>
        <w:tc>
          <w:tcPr>
            <w:tcW w:w="554" w:type="dxa"/>
            <w:tcBorders>
              <w:tl2br w:val="nil"/>
              <w:tr2bl w:val="nil"/>
            </w:tcBorders>
            <w:vAlign w:val="center"/>
          </w:tcPr>
          <w:p w14:paraId="4CF92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10月</w:t>
            </w:r>
          </w:p>
        </w:tc>
        <w:tc>
          <w:tcPr>
            <w:tcW w:w="575" w:type="dxa"/>
            <w:tcBorders>
              <w:tl2br w:val="nil"/>
              <w:tr2bl w:val="nil"/>
            </w:tcBorders>
            <w:vAlign w:val="center"/>
          </w:tcPr>
          <w:p w14:paraId="0593D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11月</w:t>
            </w:r>
          </w:p>
        </w:tc>
        <w:tc>
          <w:tcPr>
            <w:tcW w:w="554" w:type="dxa"/>
            <w:tcBorders>
              <w:tl2br w:val="nil"/>
              <w:tr2bl w:val="nil"/>
            </w:tcBorders>
            <w:vAlign w:val="center"/>
          </w:tcPr>
          <w:p w14:paraId="5E391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12月</w:t>
            </w:r>
          </w:p>
        </w:tc>
        <w:tc>
          <w:tcPr>
            <w:tcW w:w="748" w:type="dxa"/>
            <w:tcBorders>
              <w:tl2br w:val="nil"/>
              <w:tr2bl w:val="nil"/>
            </w:tcBorders>
            <w:vAlign w:val="center"/>
          </w:tcPr>
          <w:p w14:paraId="5BC34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年均值</w:t>
            </w:r>
          </w:p>
        </w:tc>
      </w:tr>
      <w:tr w14:paraId="4A12F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tcBorders>
              <w:tl2br w:val="nil"/>
              <w:tr2bl w:val="nil"/>
            </w:tcBorders>
            <w:vAlign w:val="center"/>
          </w:tcPr>
          <w:p w14:paraId="14040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气压（hPa）</w:t>
            </w:r>
          </w:p>
        </w:tc>
        <w:tc>
          <w:tcPr>
            <w:tcW w:w="554" w:type="dxa"/>
            <w:tcBorders>
              <w:tl2br w:val="nil"/>
              <w:tr2bl w:val="nil"/>
            </w:tcBorders>
            <w:vAlign w:val="center"/>
          </w:tcPr>
          <w:p w14:paraId="79BC7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901.7</w:t>
            </w:r>
          </w:p>
        </w:tc>
        <w:tc>
          <w:tcPr>
            <w:tcW w:w="554" w:type="dxa"/>
            <w:tcBorders>
              <w:tl2br w:val="nil"/>
              <w:tr2bl w:val="nil"/>
            </w:tcBorders>
            <w:vAlign w:val="center"/>
          </w:tcPr>
          <w:p w14:paraId="2DB1E6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898.5</w:t>
            </w:r>
          </w:p>
        </w:tc>
        <w:tc>
          <w:tcPr>
            <w:tcW w:w="575" w:type="dxa"/>
            <w:tcBorders>
              <w:tl2br w:val="nil"/>
              <w:tr2bl w:val="nil"/>
            </w:tcBorders>
            <w:vAlign w:val="center"/>
          </w:tcPr>
          <w:p w14:paraId="14CFD6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895.4</w:t>
            </w:r>
          </w:p>
        </w:tc>
        <w:tc>
          <w:tcPr>
            <w:tcW w:w="575" w:type="dxa"/>
            <w:tcBorders>
              <w:tl2br w:val="nil"/>
              <w:tr2bl w:val="nil"/>
            </w:tcBorders>
            <w:vAlign w:val="center"/>
          </w:tcPr>
          <w:p w14:paraId="72C20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892.9</w:t>
            </w:r>
          </w:p>
        </w:tc>
        <w:tc>
          <w:tcPr>
            <w:tcW w:w="575" w:type="dxa"/>
            <w:tcBorders>
              <w:tl2br w:val="nil"/>
              <w:tr2bl w:val="nil"/>
            </w:tcBorders>
            <w:vAlign w:val="center"/>
          </w:tcPr>
          <w:p w14:paraId="73CA1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891.1</w:t>
            </w:r>
          </w:p>
        </w:tc>
        <w:tc>
          <w:tcPr>
            <w:tcW w:w="583" w:type="dxa"/>
            <w:tcBorders>
              <w:tl2br w:val="nil"/>
              <w:tr2bl w:val="nil"/>
            </w:tcBorders>
            <w:vAlign w:val="center"/>
          </w:tcPr>
          <w:p w14:paraId="582392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888.1</w:t>
            </w:r>
          </w:p>
        </w:tc>
        <w:tc>
          <w:tcPr>
            <w:tcW w:w="608" w:type="dxa"/>
            <w:tcBorders>
              <w:tl2br w:val="nil"/>
              <w:tr2bl w:val="nil"/>
            </w:tcBorders>
            <w:vAlign w:val="center"/>
          </w:tcPr>
          <w:p w14:paraId="2C9BE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886.7</w:t>
            </w:r>
          </w:p>
        </w:tc>
        <w:tc>
          <w:tcPr>
            <w:tcW w:w="575" w:type="dxa"/>
            <w:tcBorders>
              <w:tl2br w:val="nil"/>
              <w:tr2bl w:val="nil"/>
            </w:tcBorders>
            <w:vAlign w:val="center"/>
          </w:tcPr>
          <w:p w14:paraId="508F2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888.9</w:t>
            </w:r>
          </w:p>
        </w:tc>
        <w:tc>
          <w:tcPr>
            <w:tcW w:w="554" w:type="dxa"/>
            <w:tcBorders>
              <w:tl2br w:val="nil"/>
              <w:tr2bl w:val="nil"/>
            </w:tcBorders>
            <w:vAlign w:val="center"/>
          </w:tcPr>
          <w:p w14:paraId="6C095A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893.9</w:t>
            </w:r>
          </w:p>
        </w:tc>
        <w:tc>
          <w:tcPr>
            <w:tcW w:w="554" w:type="dxa"/>
            <w:tcBorders>
              <w:tl2br w:val="nil"/>
              <w:tr2bl w:val="nil"/>
            </w:tcBorders>
            <w:vAlign w:val="center"/>
          </w:tcPr>
          <w:p w14:paraId="5ECDE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898.8</w:t>
            </w:r>
          </w:p>
        </w:tc>
        <w:tc>
          <w:tcPr>
            <w:tcW w:w="575" w:type="dxa"/>
            <w:tcBorders>
              <w:tl2br w:val="nil"/>
              <w:tr2bl w:val="nil"/>
            </w:tcBorders>
            <w:vAlign w:val="center"/>
          </w:tcPr>
          <w:p w14:paraId="077E5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902.2</w:t>
            </w:r>
          </w:p>
        </w:tc>
        <w:tc>
          <w:tcPr>
            <w:tcW w:w="554" w:type="dxa"/>
            <w:tcBorders>
              <w:tl2br w:val="nil"/>
              <w:tr2bl w:val="nil"/>
            </w:tcBorders>
            <w:vAlign w:val="center"/>
          </w:tcPr>
          <w:p w14:paraId="7B6ED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903.3</w:t>
            </w:r>
          </w:p>
        </w:tc>
        <w:tc>
          <w:tcPr>
            <w:tcW w:w="748" w:type="dxa"/>
            <w:tcBorders>
              <w:tl2br w:val="nil"/>
              <w:tr2bl w:val="nil"/>
            </w:tcBorders>
            <w:vAlign w:val="center"/>
          </w:tcPr>
          <w:p w14:paraId="491D3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893.3</w:t>
            </w:r>
          </w:p>
        </w:tc>
      </w:tr>
      <w:tr w14:paraId="41CC6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tcBorders>
              <w:tl2br w:val="nil"/>
              <w:tr2bl w:val="nil"/>
            </w:tcBorders>
            <w:vAlign w:val="center"/>
          </w:tcPr>
          <w:p w14:paraId="414AF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气温（</w:t>
            </w:r>
            <w:r>
              <w:rPr>
                <w:rFonts w:hint="eastAsia" w:ascii="宋体" w:hAnsi="宋体" w:eastAsia="宋体" w:cs="宋体"/>
                <w:color w:val="auto"/>
                <w:sz w:val="18"/>
                <w:szCs w:val="18"/>
                <w:highlight w:val="none"/>
              </w:rPr>
              <w:t>℃</w:t>
            </w:r>
            <w:r>
              <w:rPr>
                <w:rFonts w:hint="default" w:ascii="Times New Roman" w:hAnsi="Times New Roman" w:eastAsia="宋体" w:cs="Times New Roman"/>
                <w:color w:val="auto"/>
                <w:sz w:val="18"/>
                <w:szCs w:val="18"/>
                <w:highlight w:val="none"/>
              </w:rPr>
              <w:t>）</w:t>
            </w:r>
          </w:p>
        </w:tc>
        <w:tc>
          <w:tcPr>
            <w:tcW w:w="554" w:type="dxa"/>
            <w:tcBorders>
              <w:tl2br w:val="nil"/>
              <w:tr2bl w:val="nil"/>
            </w:tcBorders>
            <w:vAlign w:val="center"/>
          </w:tcPr>
          <w:p w14:paraId="679F4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-7.1</w:t>
            </w:r>
          </w:p>
        </w:tc>
        <w:tc>
          <w:tcPr>
            <w:tcW w:w="554" w:type="dxa"/>
            <w:tcBorders>
              <w:tl2br w:val="nil"/>
              <w:tr2bl w:val="nil"/>
            </w:tcBorders>
            <w:vAlign w:val="center"/>
          </w:tcPr>
          <w:p w14:paraId="52579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w:t>
            </w:r>
          </w:p>
        </w:tc>
        <w:tc>
          <w:tcPr>
            <w:tcW w:w="575" w:type="dxa"/>
            <w:tcBorders>
              <w:tl2br w:val="nil"/>
              <w:tr2bl w:val="nil"/>
            </w:tcBorders>
            <w:vAlign w:val="center"/>
          </w:tcPr>
          <w:p w14:paraId="04E1A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6.9</w:t>
            </w:r>
          </w:p>
        </w:tc>
        <w:tc>
          <w:tcPr>
            <w:tcW w:w="575" w:type="dxa"/>
            <w:tcBorders>
              <w:tl2br w:val="nil"/>
              <w:tr2bl w:val="nil"/>
            </w:tcBorders>
            <w:vAlign w:val="center"/>
          </w:tcPr>
          <w:p w14:paraId="23682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15.2</w:t>
            </w:r>
          </w:p>
        </w:tc>
        <w:tc>
          <w:tcPr>
            <w:tcW w:w="575" w:type="dxa"/>
            <w:tcBorders>
              <w:tl2br w:val="nil"/>
              <w:tr2bl w:val="nil"/>
            </w:tcBorders>
            <w:vAlign w:val="center"/>
          </w:tcPr>
          <w:p w14:paraId="7231E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20.3</w:t>
            </w:r>
          </w:p>
        </w:tc>
        <w:tc>
          <w:tcPr>
            <w:tcW w:w="583" w:type="dxa"/>
            <w:tcBorders>
              <w:tl2br w:val="nil"/>
              <w:tr2bl w:val="nil"/>
            </w:tcBorders>
            <w:vAlign w:val="center"/>
          </w:tcPr>
          <w:p w14:paraId="732DF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23.5</w:t>
            </w:r>
          </w:p>
        </w:tc>
        <w:tc>
          <w:tcPr>
            <w:tcW w:w="608" w:type="dxa"/>
            <w:tcBorders>
              <w:tl2br w:val="nil"/>
              <w:tr2bl w:val="nil"/>
            </w:tcBorders>
            <w:vAlign w:val="center"/>
          </w:tcPr>
          <w:p w14:paraId="6E2C5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25.3</w:t>
            </w:r>
          </w:p>
        </w:tc>
        <w:tc>
          <w:tcPr>
            <w:tcW w:w="575" w:type="dxa"/>
            <w:tcBorders>
              <w:tl2br w:val="nil"/>
              <w:tr2bl w:val="nil"/>
            </w:tcBorders>
            <w:vAlign w:val="center"/>
          </w:tcPr>
          <w:p w14:paraId="19BFE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24.2</w:t>
            </w:r>
          </w:p>
        </w:tc>
        <w:tc>
          <w:tcPr>
            <w:tcW w:w="554" w:type="dxa"/>
            <w:tcBorders>
              <w:tl2br w:val="nil"/>
              <w:tr2bl w:val="nil"/>
            </w:tcBorders>
            <w:vAlign w:val="center"/>
          </w:tcPr>
          <w:p w14:paraId="0DCD2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19.4</w:t>
            </w:r>
          </w:p>
        </w:tc>
        <w:tc>
          <w:tcPr>
            <w:tcW w:w="554" w:type="dxa"/>
            <w:tcBorders>
              <w:tl2br w:val="nil"/>
              <w:tr2bl w:val="nil"/>
            </w:tcBorders>
            <w:vAlign w:val="center"/>
          </w:tcPr>
          <w:p w14:paraId="33D26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11.5</w:t>
            </w:r>
          </w:p>
        </w:tc>
        <w:tc>
          <w:tcPr>
            <w:tcW w:w="575" w:type="dxa"/>
            <w:tcBorders>
              <w:tl2br w:val="nil"/>
              <w:tr2bl w:val="nil"/>
            </w:tcBorders>
            <w:vAlign w:val="center"/>
          </w:tcPr>
          <w:p w14:paraId="4EDE63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2.8</w:t>
            </w:r>
          </w:p>
        </w:tc>
        <w:tc>
          <w:tcPr>
            <w:tcW w:w="554" w:type="dxa"/>
            <w:tcBorders>
              <w:tl2br w:val="nil"/>
              <w:tr2bl w:val="nil"/>
            </w:tcBorders>
            <w:vAlign w:val="center"/>
          </w:tcPr>
          <w:p w14:paraId="6E50F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748" w:type="dxa"/>
            <w:tcBorders>
              <w:tl2br w:val="nil"/>
              <w:tr2bl w:val="nil"/>
            </w:tcBorders>
            <w:vAlign w:val="center"/>
          </w:tcPr>
          <w:p w14:paraId="57245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11.4</w:t>
            </w:r>
          </w:p>
        </w:tc>
      </w:tr>
      <w:tr w14:paraId="341B6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tcBorders>
              <w:tl2br w:val="nil"/>
              <w:tr2bl w:val="nil"/>
            </w:tcBorders>
            <w:vAlign w:val="center"/>
          </w:tcPr>
          <w:p w14:paraId="42115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空气湿度（%）</w:t>
            </w:r>
          </w:p>
        </w:tc>
        <w:tc>
          <w:tcPr>
            <w:tcW w:w="554" w:type="dxa"/>
            <w:tcBorders>
              <w:tl2br w:val="nil"/>
              <w:tr2bl w:val="nil"/>
            </w:tcBorders>
            <w:vAlign w:val="center"/>
          </w:tcPr>
          <w:p w14:paraId="509AC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64</w:t>
            </w:r>
          </w:p>
        </w:tc>
        <w:tc>
          <w:tcPr>
            <w:tcW w:w="554" w:type="dxa"/>
            <w:tcBorders>
              <w:tl2br w:val="nil"/>
              <w:tr2bl w:val="nil"/>
            </w:tcBorders>
            <w:vAlign w:val="center"/>
          </w:tcPr>
          <w:p w14:paraId="17158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52</w:t>
            </w:r>
          </w:p>
        </w:tc>
        <w:tc>
          <w:tcPr>
            <w:tcW w:w="575" w:type="dxa"/>
            <w:tcBorders>
              <w:tl2br w:val="nil"/>
              <w:tr2bl w:val="nil"/>
            </w:tcBorders>
            <w:vAlign w:val="center"/>
          </w:tcPr>
          <w:p w14:paraId="07262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w:t>
            </w:r>
          </w:p>
        </w:tc>
        <w:tc>
          <w:tcPr>
            <w:tcW w:w="575" w:type="dxa"/>
            <w:tcBorders>
              <w:tl2br w:val="nil"/>
              <w:tr2bl w:val="nil"/>
            </w:tcBorders>
            <w:vAlign w:val="center"/>
          </w:tcPr>
          <w:p w14:paraId="679EC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31</w:t>
            </w:r>
          </w:p>
        </w:tc>
        <w:tc>
          <w:tcPr>
            <w:tcW w:w="575" w:type="dxa"/>
            <w:tcBorders>
              <w:tl2br w:val="nil"/>
              <w:tr2bl w:val="nil"/>
            </w:tcBorders>
            <w:vAlign w:val="center"/>
          </w:tcPr>
          <w:p w14:paraId="26112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34</w:t>
            </w:r>
          </w:p>
        </w:tc>
        <w:tc>
          <w:tcPr>
            <w:tcW w:w="583" w:type="dxa"/>
            <w:tcBorders>
              <w:tl2br w:val="nil"/>
              <w:tr2bl w:val="nil"/>
            </w:tcBorders>
            <w:vAlign w:val="center"/>
          </w:tcPr>
          <w:p w14:paraId="43568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39</w:t>
            </w:r>
          </w:p>
        </w:tc>
        <w:tc>
          <w:tcPr>
            <w:tcW w:w="608" w:type="dxa"/>
            <w:tcBorders>
              <w:tl2br w:val="nil"/>
              <w:tr2bl w:val="nil"/>
            </w:tcBorders>
            <w:vAlign w:val="center"/>
          </w:tcPr>
          <w:p w14:paraId="6ADAC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41</w:t>
            </w:r>
          </w:p>
        </w:tc>
        <w:tc>
          <w:tcPr>
            <w:tcW w:w="575" w:type="dxa"/>
            <w:tcBorders>
              <w:tl2br w:val="nil"/>
              <w:tr2bl w:val="nil"/>
            </w:tcBorders>
            <w:vAlign w:val="center"/>
          </w:tcPr>
          <w:p w14:paraId="6F56A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43</w:t>
            </w:r>
          </w:p>
        </w:tc>
        <w:tc>
          <w:tcPr>
            <w:tcW w:w="554" w:type="dxa"/>
            <w:tcBorders>
              <w:tl2br w:val="nil"/>
              <w:tr2bl w:val="nil"/>
            </w:tcBorders>
            <w:vAlign w:val="center"/>
          </w:tcPr>
          <w:p w14:paraId="565BB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45</w:t>
            </w:r>
          </w:p>
        </w:tc>
        <w:tc>
          <w:tcPr>
            <w:tcW w:w="554" w:type="dxa"/>
            <w:tcBorders>
              <w:tl2br w:val="nil"/>
              <w:tr2bl w:val="nil"/>
            </w:tcBorders>
            <w:vAlign w:val="center"/>
          </w:tcPr>
          <w:p w14:paraId="1268E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48</w:t>
            </w:r>
          </w:p>
        </w:tc>
        <w:tc>
          <w:tcPr>
            <w:tcW w:w="575" w:type="dxa"/>
            <w:tcBorders>
              <w:tl2br w:val="nil"/>
              <w:tr2bl w:val="nil"/>
            </w:tcBorders>
            <w:vAlign w:val="center"/>
          </w:tcPr>
          <w:p w14:paraId="150C1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55</w:t>
            </w:r>
          </w:p>
        </w:tc>
        <w:tc>
          <w:tcPr>
            <w:tcW w:w="554" w:type="dxa"/>
            <w:tcBorders>
              <w:tl2br w:val="nil"/>
              <w:tr2bl w:val="nil"/>
            </w:tcBorders>
            <w:vAlign w:val="center"/>
          </w:tcPr>
          <w:p w14:paraId="63516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66</w:t>
            </w:r>
          </w:p>
        </w:tc>
        <w:tc>
          <w:tcPr>
            <w:tcW w:w="748" w:type="dxa"/>
            <w:tcBorders>
              <w:tl2br w:val="nil"/>
              <w:tr2bl w:val="nil"/>
            </w:tcBorders>
            <w:vAlign w:val="center"/>
          </w:tcPr>
          <w:p w14:paraId="03BF0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47</w:t>
            </w:r>
          </w:p>
        </w:tc>
      </w:tr>
      <w:tr w14:paraId="433AB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tcBorders>
              <w:tl2br w:val="nil"/>
              <w:tr2bl w:val="nil"/>
            </w:tcBorders>
            <w:vAlign w:val="center"/>
          </w:tcPr>
          <w:p w14:paraId="68A78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风速（m/s）</w:t>
            </w:r>
          </w:p>
        </w:tc>
        <w:tc>
          <w:tcPr>
            <w:tcW w:w="554" w:type="dxa"/>
            <w:tcBorders>
              <w:tl2br w:val="nil"/>
              <w:tr2bl w:val="nil"/>
            </w:tcBorders>
            <w:vAlign w:val="center"/>
          </w:tcPr>
          <w:p w14:paraId="7800C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w:t>
            </w:r>
          </w:p>
        </w:tc>
        <w:tc>
          <w:tcPr>
            <w:tcW w:w="554" w:type="dxa"/>
            <w:tcBorders>
              <w:tl2br w:val="nil"/>
              <w:tr2bl w:val="nil"/>
            </w:tcBorders>
            <w:vAlign w:val="center"/>
          </w:tcPr>
          <w:p w14:paraId="095B6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w:t>
            </w:r>
          </w:p>
        </w:tc>
        <w:tc>
          <w:tcPr>
            <w:tcW w:w="575" w:type="dxa"/>
            <w:tcBorders>
              <w:tl2br w:val="nil"/>
              <w:tr2bl w:val="nil"/>
            </w:tcBorders>
            <w:vAlign w:val="center"/>
          </w:tcPr>
          <w:p w14:paraId="4B5E6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2.2</w:t>
            </w:r>
          </w:p>
        </w:tc>
        <w:tc>
          <w:tcPr>
            <w:tcW w:w="575" w:type="dxa"/>
            <w:tcBorders>
              <w:tl2br w:val="nil"/>
              <w:tr2bl w:val="nil"/>
            </w:tcBorders>
            <w:vAlign w:val="center"/>
          </w:tcPr>
          <w:p w14:paraId="5BFE2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w:t>
            </w:r>
          </w:p>
        </w:tc>
        <w:tc>
          <w:tcPr>
            <w:tcW w:w="575" w:type="dxa"/>
            <w:tcBorders>
              <w:tl2br w:val="nil"/>
              <w:tr2bl w:val="nil"/>
            </w:tcBorders>
            <w:vAlign w:val="center"/>
          </w:tcPr>
          <w:p w14:paraId="6F5A8E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w:t>
            </w:r>
          </w:p>
        </w:tc>
        <w:tc>
          <w:tcPr>
            <w:tcW w:w="583" w:type="dxa"/>
            <w:tcBorders>
              <w:tl2br w:val="nil"/>
              <w:tr2bl w:val="nil"/>
            </w:tcBorders>
            <w:vAlign w:val="center"/>
          </w:tcPr>
          <w:p w14:paraId="4D06B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w:t>
            </w:r>
          </w:p>
        </w:tc>
        <w:tc>
          <w:tcPr>
            <w:tcW w:w="608" w:type="dxa"/>
            <w:tcBorders>
              <w:tl2br w:val="nil"/>
              <w:tr2bl w:val="nil"/>
            </w:tcBorders>
            <w:vAlign w:val="center"/>
          </w:tcPr>
          <w:p w14:paraId="284B4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w:t>
            </w:r>
          </w:p>
        </w:tc>
        <w:tc>
          <w:tcPr>
            <w:tcW w:w="575" w:type="dxa"/>
            <w:tcBorders>
              <w:tl2br w:val="nil"/>
              <w:tr2bl w:val="nil"/>
            </w:tcBorders>
            <w:vAlign w:val="center"/>
          </w:tcPr>
          <w:p w14:paraId="1CB42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2.2</w:t>
            </w:r>
          </w:p>
        </w:tc>
        <w:tc>
          <w:tcPr>
            <w:tcW w:w="554" w:type="dxa"/>
            <w:tcBorders>
              <w:tl2br w:val="nil"/>
              <w:tr2bl w:val="nil"/>
            </w:tcBorders>
            <w:vAlign w:val="center"/>
          </w:tcPr>
          <w:p w14:paraId="609FB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554" w:type="dxa"/>
            <w:tcBorders>
              <w:tl2br w:val="nil"/>
              <w:tr2bl w:val="nil"/>
            </w:tcBorders>
            <w:vAlign w:val="center"/>
          </w:tcPr>
          <w:p w14:paraId="006B5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1.7</w:t>
            </w:r>
          </w:p>
        </w:tc>
        <w:tc>
          <w:tcPr>
            <w:tcW w:w="575" w:type="dxa"/>
            <w:tcBorders>
              <w:tl2br w:val="nil"/>
              <w:tr2bl w:val="nil"/>
            </w:tcBorders>
            <w:vAlign w:val="center"/>
          </w:tcPr>
          <w:p w14:paraId="5E939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w:t>
            </w:r>
          </w:p>
        </w:tc>
        <w:tc>
          <w:tcPr>
            <w:tcW w:w="554" w:type="dxa"/>
            <w:tcBorders>
              <w:tl2br w:val="nil"/>
              <w:tr2bl w:val="nil"/>
            </w:tcBorders>
            <w:vAlign w:val="center"/>
          </w:tcPr>
          <w:p w14:paraId="66163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748" w:type="dxa"/>
            <w:tcBorders>
              <w:tl2br w:val="nil"/>
              <w:tr2bl w:val="nil"/>
            </w:tcBorders>
            <w:vAlign w:val="center"/>
          </w:tcPr>
          <w:p w14:paraId="673F6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r>
      <w:tr w14:paraId="77B3A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tcBorders>
              <w:tl2br w:val="nil"/>
              <w:tr2bl w:val="nil"/>
            </w:tcBorders>
            <w:vAlign w:val="center"/>
          </w:tcPr>
          <w:p w14:paraId="148F9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降水（mm）</w:t>
            </w:r>
          </w:p>
        </w:tc>
        <w:tc>
          <w:tcPr>
            <w:tcW w:w="554" w:type="dxa"/>
            <w:tcBorders>
              <w:tl2br w:val="nil"/>
              <w:tr2bl w:val="nil"/>
            </w:tcBorders>
            <w:vAlign w:val="center"/>
          </w:tcPr>
          <w:p w14:paraId="33AC0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w:t>
            </w:r>
          </w:p>
        </w:tc>
        <w:tc>
          <w:tcPr>
            <w:tcW w:w="554" w:type="dxa"/>
            <w:tcBorders>
              <w:tl2br w:val="nil"/>
              <w:tr2bl w:val="nil"/>
            </w:tcBorders>
            <w:vAlign w:val="center"/>
          </w:tcPr>
          <w:p w14:paraId="044B3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2.9</w:t>
            </w:r>
          </w:p>
        </w:tc>
        <w:tc>
          <w:tcPr>
            <w:tcW w:w="575" w:type="dxa"/>
            <w:tcBorders>
              <w:tl2br w:val="nil"/>
              <w:tr2bl w:val="nil"/>
            </w:tcBorders>
            <w:vAlign w:val="center"/>
          </w:tcPr>
          <w:p w14:paraId="06D0D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3.4</w:t>
            </w:r>
          </w:p>
        </w:tc>
        <w:tc>
          <w:tcPr>
            <w:tcW w:w="575" w:type="dxa"/>
            <w:tcBorders>
              <w:tl2br w:val="nil"/>
              <w:tr2bl w:val="nil"/>
            </w:tcBorders>
            <w:vAlign w:val="center"/>
          </w:tcPr>
          <w:p w14:paraId="05E7C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2.7</w:t>
            </w:r>
          </w:p>
        </w:tc>
        <w:tc>
          <w:tcPr>
            <w:tcW w:w="575" w:type="dxa"/>
            <w:tcBorders>
              <w:tl2br w:val="nil"/>
              <w:tr2bl w:val="nil"/>
            </w:tcBorders>
            <w:vAlign w:val="center"/>
          </w:tcPr>
          <w:p w14:paraId="43657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8.7</w:t>
            </w:r>
          </w:p>
        </w:tc>
        <w:tc>
          <w:tcPr>
            <w:tcW w:w="583" w:type="dxa"/>
            <w:tcBorders>
              <w:tl2br w:val="nil"/>
              <w:tr2bl w:val="nil"/>
            </w:tcBorders>
            <w:vAlign w:val="center"/>
          </w:tcPr>
          <w:p w14:paraId="715CE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18.1</w:t>
            </w:r>
          </w:p>
        </w:tc>
        <w:tc>
          <w:tcPr>
            <w:tcW w:w="608" w:type="dxa"/>
            <w:tcBorders>
              <w:tl2br w:val="nil"/>
              <w:tr2bl w:val="nil"/>
            </w:tcBorders>
            <w:vAlign w:val="center"/>
          </w:tcPr>
          <w:p w14:paraId="39026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12.9</w:t>
            </w:r>
          </w:p>
        </w:tc>
        <w:tc>
          <w:tcPr>
            <w:tcW w:w="575" w:type="dxa"/>
            <w:tcBorders>
              <w:tl2br w:val="nil"/>
              <w:tr2bl w:val="nil"/>
            </w:tcBorders>
            <w:vAlign w:val="center"/>
          </w:tcPr>
          <w:p w14:paraId="5CFE91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11.6</w:t>
            </w:r>
          </w:p>
        </w:tc>
        <w:tc>
          <w:tcPr>
            <w:tcW w:w="554" w:type="dxa"/>
            <w:tcBorders>
              <w:tl2br w:val="nil"/>
              <w:tr2bl w:val="nil"/>
            </w:tcBorders>
            <w:vAlign w:val="center"/>
          </w:tcPr>
          <w:p w14:paraId="73787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7.0</w:t>
            </w:r>
          </w:p>
        </w:tc>
        <w:tc>
          <w:tcPr>
            <w:tcW w:w="554" w:type="dxa"/>
            <w:tcBorders>
              <w:tl2br w:val="nil"/>
              <w:tr2bl w:val="nil"/>
            </w:tcBorders>
            <w:vAlign w:val="center"/>
          </w:tcPr>
          <w:p w14:paraId="314C7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3.2</w:t>
            </w:r>
          </w:p>
        </w:tc>
        <w:tc>
          <w:tcPr>
            <w:tcW w:w="575" w:type="dxa"/>
            <w:tcBorders>
              <w:tl2br w:val="nil"/>
              <w:tr2bl w:val="nil"/>
            </w:tcBorders>
            <w:vAlign w:val="center"/>
          </w:tcPr>
          <w:p w14:paraId="7D7DF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w:t>
            </w:r>
          </w:p>
        </w:tc>
        <w:tc>
          <w:tcPr>
            <w:tcW w:w="554" w:type="dxa"/>
            <w:tcBorders>
              <w:tl2br w:val="nil"/>
              <w:tr2bl w:val="nil"/>
            </w:tcBorders>
            <w:vAlign w:val="center"/>
          </w:tcPr>
          <w:p w14:paraId="1CF05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748" w:type="dxa"/>
            <w:tcBorders>
              <w:tl2br w:val="nil"/>
              <w:tr2bl w:val="nil"/>
            </w:tcBorders>
            <w:vAlign w:val="center"/>
          </w:tcPr>
          <w:p w14:paraId="1E90D3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74.5</w:t>
            </w:r>
          </w:p>
        </w:tc>
      </w:tr>
      <w:tr w14:paraId="00D21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vMerge w:val="restart"/>
            <w:tcBorders>
              <w:tl2br w:val="nil"/>
              <w:tr2bl w:val="nil"/>
            </w:tcBorders>
            <w:vAlign w:val="center"/>
          </w:tcPr>
          <w:p w14:paraId="4EB5F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最大风速（m/s）/风向</w:t>
            </w:r>
          </w:p>
        </w:tc>
        <w:tc>
          <w:tcPr>
            <w:tcW w:w="554" w:type="dxa"/>
            <w:tcBorders>
              <w:tl2br w:val="nil"/>
              <w:tr2bl w:val="nil"/>
            </w:tcBorders>
            <w:vAlign w:val="center"/>
          </w:tcPr>
          <w:p w14:paraId="7674B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7.7</w:t>
            </w:r>
          </w:p>
        </w:tc>
        <w:tc>
          <w:tcPr>
            <w:tcW w:w="554" w:type="dxa"/>
            <w:tcBorders>
              <w:tl2br w:val="nil"/>
              <w:tr2bl w:val="nil"/>
            </w:tcBorders>
            <w:vAlign w:val="center"/>
          </w:tcPr>
          <w:p w14:paraId="35BD2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10.5</w:t>
            </w:r>
          </w:p>
        </w:tc>
        <w:tc>
          <w:tcPr>
            <w:tcW w:w="575" w:type="dxa"/>
            <w:tcBorders>
              <w:tl2br w:val="nil"/>
              <w:tr2bl w:val="nil"/>
            </w:tcBorders>
            <w:vAlign w:val="center"/>
          </w:tcPr>
          <w:p w14:paraId="16B04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w:t>
            </w:r>
          </w:p>
        </w:tc>
        <w:tc>
          <w:tcPr>
            <w:tcW w:w="575" w:type="dxa"/>
            <w:tcBorders>
              <w:tl2br w:val="nil"/>
              <w:tr2bl w:val="nil"/>
            </w:tcBorders>
            <w:vAlign w:val="center"/>
          </w:tcPr>
          <w:p w14:paraId="141D9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w:t>
            </w:r>
          </w:p>
        </w:tc>
        <w:tc>
          <w:tcPr>
            <w:tcW w:w="575" w:type="dxa"/>
            <w:tcBorders>
              <w:tl2br w:val="nil"/>
              <w:tr2bl w:val="nil"/>
            </w:tcBorders>
            <w:vAlign w:val="center"/>
          </w:tcPr>
          <w:p w14:paraId="37226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27.0</w:t>
            </w:r>
          </w:p>
        </w:tc>
        <w:tc>
          <w:tcPr>
            <w:tcW w:w="583" w:type="dxa"/>
            <w:tcBorders>
              <w:tl2br w:val="nil"/>
              <w:tr2bl w:val="nil"/>
            </w:tcBorders>
            <w:vAlign w:val="center"/>
          </w:tcPr>
          <w:p w14:paraId="3EBF1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18.0</w:t>
            </w:r>
          </w:p>
        </w:tc>
        <w:tc>
          <w:tcPr>
            <w:tcW w:w="608" w:type="dxa"/>
            <w:tcBorders>
              <w:tl2br w:val="nil"/>
              <w:tr2bl w:val="nil"/>
            </w:tcBorders>
            <w:vAlign w:val="center"/>
          </w:tcPr>
          <w:p w14:paraId="58C7F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18.0</w:t>
            </w:r>
          </w:p>
        </w:tc>
        <w:tc>
          <w:tcPr>
            <w:tcW w:w="575" w:type="dxa"/>
            <w:tcBorders>
              <w:tl2br w:val="nil"/>
              <w:tr2bl w:val="nil"/>
            </w:tcBorders>
            <w:vAlign w:val="center"/>
          </w:tcPr>
          <w:p w14:paraId="0F7AA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15.0</w:t>
            </w:r>
          </w:p>
        </w:tc>
        <w:tc>
          <w:tcPr>
            <w:tcW w:w="554" w:type="dxa"/>
            <w:tcBorders>
              <w:tl2br w:val="nil"/>
              <w:tr2bl w:val="nil"/>
            </w:tcBorders>
            <w:vAlign w:val="center"/>
          </w:tcPr>
          <w:p w14:paraId="1B77C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18.0</w:t>
            </w:r>
          </w:p>
        </w:tc>
        <w:tc>
          <w:tcPr>
            <w:tcW w:w="554" w:type="dxa"/>
            <w:tcBorders>
              <w:tl2br w:val="nil"/>
              <w:tr2bl w:val="nil"/>
            </w:tcBorders>
            <w:vAlign w:val="center"/>
          </w:tcPr>
          <w:p w14:paraId="7C7D1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16.3</w:t>
            </w:r>
          </w:p>
        </w:tc>
        <w:tc>
          <w:tcPr>
            <w:tcW w:w="575" w:type="dxa"/>
            <w:tcBorders>
              <w:tl2br w:val="nil"/>
              <w:tr2bl w:val="nil"/>
            </w:tcBorders>
            <w:vAlign w:val="center"/>
          </w:tcPr>
          <w:p w14:paraId="3FEEE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17.5</w:t>
            </w:r>
          </w:p>
        </w:tc>
        <w:tc>
          <w:tcPr>
            <w:tcW w:w="554" w:type="dxa"/>
            <w:tcBorders>
              <w:tl2br w:val="nil"/>
              <w:tr2bl w:val="nil"/>
            </w:tcBorders>
            <w:vAlign w:val="center"/>
          </w:tcPr>
          <w:p w14:paraId="1803D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9.0</w:t>
            </w:r>
          </w:p>
        </w:tc>
        <w:tc>
          <w:tcPr>
            <w:tcW w:w="748" w:type="dxa"/>
            <w:tcBorders>
              <w:tl2br w:val="nil"/>
              <w:tr2bl w:val="nil"/>
            </w:tcBorders>
            <w:vAlign w:val="center"/>
          </w:tcPr>
          <w:p w14:paraId="00227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27.0</w:t>
            </w:r>
          </w:p>
        </w:tc>
      </w:tr>
      <w:tr w14:paraId="0DDCD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vMerge w:val="continue"/>
            <w:tcBorders>
              <w:tl2br w:val="nil"/>
              <w:tr2bl w:val="nil"/>
            </w:tcBorders>
            <w:vAlign w:val="center"/>
          </w:tcPr>
          <w:p w14:paraId="4F642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p>
        </w:tc>
        <w:tc>
          <w:tcPr>
            <w:tcW w:w="554" w:type="dxa"/>
            <w:tcBorders>
              <w:tl2br w:val="nil"/>
              <w:tr2bl w:val="nil"/>
            </w:tcBorders>
            <w:vAlign w:val="center"/>
          </w:tcPr>
          <w:p w14:paraId="78E7A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E</w:t>
            </w:r>
          </w:p>
        </w:tc>
        <w:tc>
          <w:tcPr>
            <w:tcW w:w="554" w:type="dxa"/>
            <w:tcBorders>
              <w:tl2br w:val="nil"/>
              <w:tr2bl w:val="nil"/>
            </w:tcBorders>
            <w:vAlign w:val="center"/>
          </w:tcPr>
          <w:p w14:paraId="528D3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ENE</w:t>
            </w:r>
          </w:p>
        </w:tc>
        <w:tc>
          <w:tcPr>
            <w:tcW w:w="575" w:type="dxa"/>
            <w:tcBorders>
              <w:tl2br w:val="nil"/>
              <w:tr2bl w:val="nil"/>
            </w:tcBorders>
            <w:vAlign w:val="center"/>
          </w:tcPr>
          <w:p w14:paraId="1B8F9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NNW</w:t>
            </w:r>
          </w:p>
        </w:tc>
        <w:tc>
          <w:tcPr>
            <w:tcW w:w="575" w:type="dxa"/>
            <w:tcBorders>
              <w:tl2br w:val="nil"/>
              <w:tr2bl w:val="nil"/>
            </w:tcBorders>
            <w:vAlign w:val="center"/>
          </w:tcPr>
          <w:p w14:paraId="0B06D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NNW</w:t>
            </w:r>
          </w:p>
        </w:tc>
        <w:tc>
          <w:tcPr>
            <w:tcW w:w="575" w:type="dxa"/>
            <w:tcBorders>
              <w:tl2br w:val="nil"/>
              <w:tr2bl w:val="nil"/>
            </w:tcBorders>
            <w:vAlign w:val="center"/>
          </w:tcPr>
          <w:p w14:paraId="17F0A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NNW</w:t>
            </w:r>
          </w:p>
        </w:tc>
        <w:tc>
          <w:tcPr>
            <w:tcW w:w="583" w:type="dxa"/>
            <w:tcBorders>
              <w:tl2br w:val="nil"/>
              <w:tr2bl w:val="nil"/>
            </w:tcBorders>
            <w:vAlign w:val="center"/>
          </w:tcPr>
          <w:p w14:paraId="1D11F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WSW</w:t>
            </w:r>
          </w:p>
        </w:tc>
        <w:tc>
          <w:tcPr>
            <w:tcW w:w="608" w:type="dxa"/>
            <w:tcBorders>
              <w:tl2br w:val="nil"/>
              <w:tr2bl w:val="nil"/>
            </w:tcBorders>
            <w:vAlign w:val="center"/>
          </w:tcPr>
          <w:p w14:paraId="1BAEE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WNW</w:t>
            </w:r>
          </w:p>
        </w:tc>
        <w:tc>
          <w:tcPr>
            <w:tcW w:w="575" w:type="dxa"/>
            <w:tcBorders>
              <w:tl2br w:val="nil"/>
              <w:tr2bl w:val="nil"/>
            </w:tcBorders>
            <w:vAlign w:val="center"/>
          </w:tcPr>
          <w:p w14:paraId="11834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NNW</w:t>
            </w:r>
          </w:p>
        </w:tc>
        <w:tc>
          <w:tcPr>
            <w:tcW w:w="554" w:type="dxa"/>
            <w:tcBorders>
              <w:tl2br w:val="nil"/>
              <w:tr2bl w:val="nil"/>
            </w:tcBorders>
            <w:vAlign w:val="center"/>
          </w:tcPr>
          <w:p w14:paraId="70D3C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w:t>
            </w:r>
          </w:p>
        </w:tc>
        <w:tc>
          <w:tcPr>
            <w:tcW w:w="554" w:type="dxa"/>
            <w:tcBorders>
              <w:tl2br w:val="nil"/>
              <w:tr2bl w:val="nil"/>
            </w:tcBorders>
            <w:vAlign w:val="center"/>
          </w:tcPr>
          <w:p w14:paraId="0C42C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75" w:type="dxa"/>
            <w:tcBorders>
              <w:tl2br w:val="nil"/>
              <w:tr2bl w:val="nil"/>
            </w:tcBorders>
            <w:vAlign w:val="center"/>
          </w:tcPr>
          <w:p w14:paraId="6BEB1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NNW</w:t>
            </w:r>
          </w:p>
        </w:tc>
        <w:tc>
          <w:tcPr>
            <w:tcW w:w="554" w:type="dxa"/>
            <w:tcBorders>
              <w:tl2br w:val="nil"/>
              <w:tr2bl w:val="nil"/>
            </w:tcBorders>
            <w:vAlign w:val="center"/>
          </w:tcPr>
          <w:p w14:paraId="6EE6E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748" w:type="dxa"/>
            <w:tcBorders>
              <w:tl2br w:val="nil"/>
              <w:tr2bl w:val="nil"/>
            </w:tcBorders>
            <w:vAlign w:val="center"/>
          </w:tcPr>
          <w:p w14:paraId="23A08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NNW</w:t>
            </w:r>
          </w:p>
        </w:tc>
      </w:tr>
      <w:tr w14:paraId="72571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vMerge w:val="restart"/>
            <w:tcBorders>
              <w:tl2br w:val="nil"/>
              <w:tr2bl w:val="nil"/>
            </w:tcBorders>
            <w:vAlign w:val="center"/>
          </w:tcPr>
          <w:p w14:paraId="727CF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最多风向风频（%）</w:t>
            </w:r>
          </w:p>
        </w:tc>
        <w:tc>
          <w:tcPr>
            <w:tcW w:w="554" w:type="dxa"/>
            <w:tcBorders>
              <w:tl2br w:val="nil"/>
              <w:tr2bl w:val="nil"/>
            </w:tcBorders>
            <w:vAlign w:val="center"/>
          </w:tcPr>
          <w:p w14:paraId="23838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54" w:type="dxa"/>
            <w:tcBorders>
              <w:tl2br w:val="nil"/>
              <w:tr2bl w:val="nil"/>
            </w:tcBorders>
            <w:vAlign w:val="center"/>
          </w:tcPr>
          <w:p w14:paraId="60D5A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75" w:type="dxa"/>
            <w:tcBorders>
              <w:tl2br w:val="nil"/>
              <w:tr2bl w:val="nil"/>
            </w:tcBorders>
            <w:vAlign w:val="center"/>
          </w:tcPr>
          <w:p w14:paraId="6017E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75" w:type="dxa"/>
            <w:tcBorders>
              <w:tl2br w:val="nil"/>
              <w:tr2bl w:val="nil"/>
            </w:tcBorders>
            <w:vAlign w:val="center"/>
          </w:tcPr>
          <w:p w14:paraId="4CFF8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75" w:type="dxa"/>
            <w:tcBorders>
              <w:tl2br w:val="nil"/>
              <w:tr2bl w:val="nil"/>
            </w:tcBorders>
            <w:vAlign w:val="center"/>
          </w:tcPr>
          <w:p w14:paraId="09CA3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83" w:type="dxa"/>
            <w:tcBorders>
              <w:tl2br w:val="nil"/>
              <w:tr2bl w:val="nil"/>
            </w:tcBorders>
            <w:vAlign w:val="center"/>
          </w:tcPr>
          <w:p w14:paraId="33D7C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608" w:type="dxa"/>
            <w:tcBorders>
              <w:tl2br w:val="nil"/>
              <w:tr2bl w:val="nil"/>
            </w:tcBorders>
            <w:vAlign w:val="center"/>
          </w:tcPr>
          <w:p w14:paraId="323F0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75" w:type="dxa"/>
            <w:tcBorders>
              <w:tl2br w:val="nil"/>
              <w:tr2bl w:val="nil"/>
            </w:tcBorders>
            <w:vAlign w:val="center"/>
          </w:tcPr>
          <w:p w14:paraId="2CB90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54" w:type="dxa"/>
            <w:tcBorders>
              <w:tl2br w:val="nil"/>
              <w:tr2bl w:val="nil"/>
            </w:tcBorders>
            <w:vAlign w:val="center"/>
          </w:tcPr>
          <w:p w14:paraId="07882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54" w:type="dxa"/>
            <w:tcBorders>
              <w:tl2br w:val="nil"/>
              <w:tr2bl w:val="nil"/>
            </w:tcBorders>
            <w:vAlign w:val="center"/>
          </w:tcPr>
          <w:p w14:paraId="275A6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75" w:type="dxa"/>
            <w:tcBorders>
              <w:tl2br w:val="nil"/>
              <w:tr2bl w:val="nil"/>
            </w:tcBorders>
            <w:vAlign w:val="center"/>
          </w:tcPr>
          <w:p w14:paraId="70A36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54" w:type="dxa"/>
            <w:tcBorders>
              <w:tl2br w:val="nil"/>
              <w:tr2bl w:val="nil"/>
            </w:tcBorders>
            <w:vAlign w:val="center"/>
          </w:tcPr>
          <w:p w14:paraId="4D24F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748" w:type="dxa"/>
            <w:tcBorders>
              <w:tl2br w:val="nil"/>
              <w:tr2bl w:val="nil"/>
            </w:tcBorders>
            <w:vAlign w:val="center"/>
          </w:tcPr>
          <w:p w14:paraId="37C39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r>
      <w:tr w14:paraId="5C7F7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vMerge w:val="continue"/>
            <w:tcBorders>
              <w:tl2br w:val="nil"/>
              <w:tr2bl w:val="nil"/>
            </w:tcBorders>
            <w:vAlign w:val="center"/>
          </w:tcPr>
          <w:p w14:paraId="4E6FE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p>
        </w:tc>
        <w:tc>
          <w:tcPr>
            <w:tcW w:w="554" w:type="dxa"/>
            <w:tcBorders>
              <w:tl2br w:val="nil"/>
              <w:tr2bl w:val="nil"/>
            </w:tcBorders>
            <w:vAlign w:val="center"/>
          </w:tcPr>
          <w:p w14:paraId="3BB00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19</w:t>
            </w:r>
          </w:p>
        </w:tc>
        <w:tc>
          <w:tcPr>
            <w:tcW w:w="554" w:type="dxa"/>
            <w:tcBorders>
              <w:tl2br w:val="nil"/>
              <w:tr2bl w:val="nil"/>
            </w:tcBorders>
            <w:vAlign w:val="center"/>
          </w:tcPr>
          <w:p w14:paraId="36972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21</w:t>
            </w:r>
          </w:p>
        </w:tc>
        <w:tc>
          <w:tcPr>
            <w:tcW w:w="575" w:type="dxa"/>
            <w:tcBorders>
              <w:tl2br w:val="nil"/>
              <w:tr2bl w:val="nil"/>
            </w:tcBorders>
            <w:vAlign w:val="center"/>
          </w:tcPr>
          <w:p w14:paraId="4E808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w:t>
            </w:r>
          </w:p>
        </w:tc>
        <w:tc>
          <w:tcPr>
            <w:tcW w:w="575" w:type="dxa"/>
            <w:tcBorders>
              <w:tl2br w:val="nil"/>
              <w:tr2bl w:val="nil"/>
            </w:tcBorders>
            <w:vAlign w:val="center"/>
          </w:tcPr>
          <w:p w14:paraId="68EEB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w:t>
            </w:r>
          </w:p>
        </w:tc>
        <w:tc>
          <w:tcPr>
            <w:tcW w:w="575" w:type="dxa"/>
            <w:tcBorders>
              <w:tl2br w:val="nil"/>
              <w:tr2bl w:val="nil"/>
            </w:tcBorders>
            <w:vAlign w:val="center"/>
          </w:tcPr>
          <w:p w14:paraId="7FC20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w:t>
            </w:r>
          </w:p>
        </w:tc>
        <w:tc>
          <w:tcPr>
            <w:tcW w:w="583" w:type="dxa"/>
            <w:tcBorders>
              <w:tl2br w:val="nil"/>
              <w:tr2bl w:val="nil"/>
            </w:tcBorders>
            <w:vAlign w:val="center"/>
          </w:tcPr>
          <w:p w14:paraId="21C48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w:t>
            </w:r>
          </w:p>
        </w:tc>
        <w:tc>
          <w:tcPr>
            <w:tcW w:w="608" w:type="dxa"/>
            <w:tcBorders>
              <w:tl2br w:val="nil"/>
              <w:tr2bl w:val="nil"/>
            </w:tcBorders>
            <w:vAlign w:val="center"/>
          </w:tcPr>
          <w:p w14:paraId="3DB65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w:t>
            </w:r>
          </w:p>
        </w:tc>
        <w:tc>
          <w:tcPr>
            <w:tcW w:w="575" w:type="dxa"/>
            <w:tcBorders>
              <w:tl2br w:val="nil"/>
              <w:tr2bl w:val="nil"/>
            </w:tcBorders>
            <w:vAlign w:val="center"/>
          </w:tcPr>
          <w:p w14:paraId="6530C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w:t>
            </w:r>
          </w:p>
        </w:tc>
        <w:tc>
          <w:tcPr>
            <w:tcW w:w="554" w:type="dxa"/>
            <w:tcBorders>
              <w:tl2br w:val="nil"/>
              <w:tr2bl w:val="nil"/>
            </w:tcBorders>
            <w:vAlign w:val="center"/>
          </w:tcPr>
          <w:p w14:paraId="78158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w:t>
            </w:r>
          </w:p>
        </w:tc>
        <w:tc>
          <w:tcPr>
            <w:tcW w:w="554" w:type="dxa"/>
            <w:tcBorders>
              <w:tl2br w:val="nil"/>
              <w:tr2bl w:val="nil"/>
            </w:tcBorders>
            <w:vAlign w:val="center"/>
          </w:tcPr>
          <w:p w14:paraId="4EA91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19</w:t>
            </w:r>
          </w:p>
        </w:tc>
        <w:tc>
          <w:tcPr>
            <w:tcW w:w="575" w:type="dxa"/>
            <w:tcBorders>
              <w:tl2br w:val="nil"/>
              <w:tr2bl w:val="nil"/>
            </w:tcBorders>
            <w:vAlign w:val="center"/>
          </w:tcPr>
          <w:p w14:paraId="5A6CF8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w:t>
            </w:r>
          </w:p>
        </w:tc>
        <w:tc>
          <w:tcPr>
            <w:tcW w:w="554" w:type="dxa"/>
            <w:tcBorders>
              <w:tl2br w:val="nil"/>
              <w:tr2bl w:val="nil"/>
            </w:tcBorders>
            <w:vAlign w:val="center"/>
          </w:tcPr>
          <w:p w14:paraId="6A771E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13</w:t>
            </w:r>
          </w:p>
        </w:tc>
        <w:tc>
          <w:tcPr>
            <w:tcW w:w="748" w:type="dxa"/>
            <w:tcBorders>
              <w:tl2br w:val="nil"/>
              <w:tr2bl w:val="nil"/>
            </w:tcBorders>
            <w:vAlign w:val="center"/>
          </w:tcPr>
          <w:p w14:paraId="68E56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w:t>
            </w:r>
          </w:p>
        </w:tc>
      </w:tr>
      <w:tr w14:paraId="555FF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7" w:type="dxa"/>
            <w:tcBorders>
              <w:tl2br w:val="nil"/>
              <w:tr2bl w:val="nil"/>
            </w:tcBorders>
            <w:vAlign w:val="center"/>
          </w:tcPr>
          <w:p w14:paraId="2787A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蒸发量（mm）</w:t>
            </w:r>
          </w:p>
        </w:tc>
        <w:tc>
          <w:tcPr>
            <w:tcW w:w="554" w:type="dxa"/>
            <w:tcBorders>
              <w:tl2br w:val="nil"/>
              <w:tr2bl w:val="nil"/>
            </w:tcBorders>
            <w:vAlign w:val="center"/>
          </w:tcPr>
          <w:p w14:paraId="6E26E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25.0</w:t>
            </w:r>
          </w:p>
        </w:tc>
        <w:tc>
          <w:tcPr>
            <w:tcW w:w="554" w:type="dxa"/>
            <w:tcBorders>
              <w:tl2br w:val="nil"/>
              <w:tr2bl w:val="nil"/>
            </w:tcBorders>
            <w:vAlign w:val="center"/>
          </w:tcPr>
          <w:p w14:paraId="71688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53.8</w:t>
            </w:r>
          </w:p>
        </w:tc>
        <w:tc>
          <w:tcPr>
            <w:tcW w:w="575" w:type="dxa"/>
            <w:tcBorders>
              <w:tl2br w:val="nil"/>
              <w:tr2bl w:val="nil"/>
            </w:tcBorders>
            <w:vAlign w:val="center"/>
          </w:tcPr>
          <w:p w14:paraId="026A2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149.9</w:t>
            </w:r>
          </w:p>
        </w:tc>
        <w:tc>
          <w:tcPr>
            <w:tcW w:w="575" w:type="dxa"/>
            <w:tcBorders>
              <w:tl2br w:val="nil"/>
              <w:tr2bl w:val="nil"/>
            </w:tcBorders>
            <w:vAlign w:val="center"/>
          </w:tcPr>
          <w:p w14:paraId="611F2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264.2</w:t>
            </w:r>
          </w:p>
        </w:tc>
        <w:tc>
          <w:tcPr>
            <w:tcW w:w="575" w:type="dxa"/>
            <w:tcBorders>
              <w:tl2br w:val="nil"/>
              <w:tr2bl w:val="nil"/>
            </w:tcBorders>
            <w:vAlign w:val="center"/>
          </w:tcPr>
          <w:p w14:paraId="0DFA7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337.0</w:t>
            </w:r>
          </w:p>
        </w:tc>
        <w:tc>
          <w:tcPr>
            <w:tcW w:w="583" w:type="dxa"/>
            <w:tcBorders>
              <w:tl2br w:val="nil"/>
              <w:tr2bl w:val="nil"/>
            </w:tcBorders>
            <w:vAlign w:val="center"/>
          </w:tcPr>
          <w:p w14:paraId="38D0D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359.0</w:t>
            </w:r>
          </w:p>
        </w:tc>
        <w:tc>
          <w:tcPr>
            <w:tcW w:w="608" w:type="dxa"/>
            <w:tcBorders>
              <w:tl2br w:val="nil"/>
              <w:tr2bl w:val="nil"/>
            </w:tcBorders>
            <w:vAlign w:val="center"/>
          </w:tcPr>
          <w:p w14:paraId="6A976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370.4</w:t>
            </w:r>
          </w:p>
        </w:tc>
        <w:tc>
          <w:tcPr>
            <w:tcW w:w="575" w:type="dxa"/>
            <w:tcBorders>
              <w:tl2br w:val="nil"/>
              <w:tr2bl w:val="nil"/>
            </w:tcBorders>
            <w:vAlign w:val="center"/>
          </w:tcPr>
          <w:p w14:paraId="01284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319.5</w:t>
            </w:r>
          </w:p>
        </w:tc>
        <w:tc>
          <w:tcPr>
            <w:tcW w:w="554" w:type="dxa"/>
            <w:tcBorders>
              <w:tl2br w:val="nil"/>
              <w:tr2bl w:val="nil"/>
            </w:tcBorders>
            <w:vAlign w:val="center"/>
          </w:tcPr>
          <w:p w14:paraId="7BB3A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229.2</w:t>
            </w:r>
          </w:p>
        </w:tc>
        <w:tc>
          <w:tcPr>
            <w:tcW w:w="554" w:type="dxa"/>
            <w:tcBorders>
              <w:tl2br w:val="nil"/>
              <w:tr2bl w:val="nil"/>
            </w:tcBorders>
            <w:vAlign w:val="center"/>
          </w:tcPr>
          <w:p w14:paraId="18C00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143.7</w:t>
            </w:r>
          </w:p>
        </w:tc>
        <w:tc>
          <w:tcPr>
            <w:tcW w:w="575" w:type="dxa"/>
            <w:tcBorders>
              <w:tl2br w:val="nil"/>
              <w:tr2bl w:val="nil"/>
            </w:tcBorders>
            <w:vAlign w:val="center"/>
          </w:tcPr>
          <w:p w14:paraId="74D6F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61.9</w:t>
            </w:r>
          </w:p>
        </w:tc>
        <w:tc>
          <w:tcPr>
            <w:tcW w:w="554" w:type="dxa"/>
            <w:tcBorders>
              <w:tl2br w:val="nil"/>
              <w:tr2bl w:val="nil"/>
            </w:tcBorders>
            <w:vAlign w:val="center"/>
          </w:tcPr>
          <w:p w14:paraId="08890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24.0</w:t>
            </w:r>
          </w:p>
        </w:tc>
        <w:tc>
          <w:tcPr>
            <w:tcW w:w="748" w:type="dxa"/>
            <w:tcBorders>
              <w:tl2br w:val="nil"/>
              <w:tr2bl w:val="nil"/>
            </w:tcBorders>
            <w:vAlign w:val="center"/>
          </w:tcPr>
          <w:p w14:paraId="07D47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8" w:leftChars="-20" w:right="-48" w:rightChars="-2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2337.6</w:t>
            </w:r>
          </w:p>
        </w:tc>
      </w:tr>
    </w:tbl>
    <w:p w14:paraId="2011FB41">
      <w:pPr>
        <w:spacing w:line="360" w:lineRule="auto"/>
        <w:ind w:firstLine="480" w:firstLineChars="200"/>
        <w:jc w:val="both"/>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（1）日照与气温：每年日照时间2947h，日照百分率67%，7月份最长，日平均9.1h，12月份最短，日平均6.1h。年平均气温11.4</w:t>
      </w:r>
      <w:r>
        <w:rPr>
          <w:rFonts w:hint="eastAsia" w:ascii="宋体" w:hAnsi="宋体" w:eastAsia="宋体" w:cs="宋体"/>
          <w:snapToGrid w:val="0"/>
          <w:color w:val="auto"/>
          <w:highlight w:val="none"/>
        </w:rPr>
        <w:t>℃</w:t>
      </w:r>
      <w:r>
        <w:rPr>
          <w:rFonts w:ascii="Times New Roman" w:hAnsi="Times New Roman" w:eastAsia="宋体" w:cs="Times New Roman"/>
          <w:snapToGrid w:val="0"/>
          <w:color w:val="auto"/>
          <w:highlight w:val="none"/>
        </w:rPr>
        <w:t>，年极端最高气温41.5</w:t>
      </w:r>
      <w:r>
        <w:rPr>
          <w:rFonts w:hint="eastAsia" w:ascii="宋体" w:hAnsi="宋体" w:eastAsia="宋体" w:cs="宋体"/>
          <w:snapToGrid w:val="0"/>
          <w:color w:val="auto"/>
          <w:highlight w:val="none"/>
        </w:rPr>
        <w:t>℃</w:t>
      </w:r>
      <w:r>
        <w:rPr>
          <w:rFonts w:ascii="Times New Roman" w:hAnsi="Times New Roman" w:eastAsia="宋体" w:cs="Times New Roman"/>
          <w:snapToGrid w:val="0"/>
          <w:color w:val="auto"/>
          <w:highlight w:val="none"/>
        </w:rPr>
        <w:t>，极端最低气温-27.4</w:t>
      </w:r>
      <w:r>
        <w:rPr>
          <w:rFonts w:hint="eastAsia" w:ascii="宋体" w:hAnsi="宋体" w:eastAsia="宋体" w:cs="宋体"/>
          <w:snapToGrid w:val="0"/>
          <w:color w:val="auto"/>
          <w:highlight w:val="none"/>
        </w:rPr>
        <w:t>℃</w:t>
      </w:r>
      <w:r>
        <w:rPr>
          <w:rFonts w:ascii="Times New Roman" w:hAnsi="Times New Roman" w:eastAsia="宋体" w:cs="Times New Roman"/>
          <w:snapToGrid w:val="0"/>
          <w:color w:val="auto"/>
          <w:highlight w:val="none"/>
        </w:rPr>
        <w:t>，平均日较差11.9</w:t>
      </w:r>
      <w:r>
        <w:rPr>
          <w:rFonts w:hint="eastAsia" w:ascii="宋体" w:hAnsi="宋体" w:eastAsia="宋体" w:cs="宋体"/>
          <w:snapToGrid w:val="0"/>
          <w:color w:val="auto"/>
          <w:highlight w:val="none"/>
        </w:rPr>
        <w:t>℃</w:t>
      </w:r>
      <w:r>
        <w:rPr>
          <w:rFonts w:ascii="Times New Roman" w:hAnsi="Times New Roman" w:eastAsia="宋体" w:cs="Times New Roman"/>
          <w:snapToGrid w:val="0"/>
          <w:color w:val="auto"/>
          <w:highlight w:val="none"/>
        </w:rPr>
        <w:t>。</w:t>
      </w:r>
    </w:p>
    <w:p w14:paraId="65B5F339">
      <w:pPr>
        <w:spacing w:line="360" w:lineRule="auto"/>
        <w:ind w:firstLine="480" w:firstLineChars="200"/>
        <w:jc w:val="both"/>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（2）降水与蒸发：</w:t>
      </w:r>
      <w:r>
        <w:rPr>
          <w:rFonts w:hint="eastAsia" w:cs="Times New Roman"/>
          <w:snapToGrid w:val="0"/>
          <w:color w:val="auto"/>
          <w:highlight w:val="none"/>
          <w:lang w:eastAsia="zh-CN"/>
        </w:rPr>
        <w:t>平均年降水量</w:t>
      </w:r>
      <w:r>
        <w:rPr>
          <w:rFonts w:ascii="Times New Roman" w:hAnsi="Times New Roman" w:eastAsia="宋体" w:cs="Times New Roman"/>
          <w:snapToGrid w:val="0"/>
          <w:color w:val="auto"/>
          <w:highlight w:val="none"/>
        </w:rPr>
        <w:t>74.5mm，多集中每年6-8月份</w:t>
      </w:r>
      <w:r>
        <w:rPr>
          <w:rFonts w:hint="eastAsia" w:ascii="Times New Roman" w:hAnsi="Times New Roman" w:eastAsia="宋体" w:cs="Times New Roman"/>
          <w:snapToGrid w:val="0"/>
          <w:color w:val="auto"/>
          <w:highlight w:val="none"/>
          <w:lang w:eastAsia="zh-CN"/>
        </w:rPr>
        <w:t>（</w:t>
      </w:r>
      <w:r>
        <w:rPr>
          <w:rFonts w:ascii="Times New Roman" w:hAnsi="Times New Roman" w:eastAsia="宋体" w:cs="Times New Roman"/>
          <w:snapToGrid w:val="0"/>
          <w:color w:val="auto"/>
          <w:highlight w:val="none"/>
        </w:rPr>
        <w:t>夏季</w:t>
      </w:r>
      <w:r>
        <w:rPr>
          <w:rFonts w:hint="eastAsia" w:ascii="Times New Roman" w:hAnsi="Times New Roman" w:eastAsia="宋体" w:cs="Times New Roman"/>
          <w:snapToGrid w:val="0"/>
          <w:color w:val="auto"/>
          <w:highlight w:val="none"/>
          <w:lang w:eastAsia="zh-CN"/>
        </w:rPr>
        <w:t>）</w:t>
      </w:r>
      <w:r>
        <w:rPr>
          <w:rFonts w:ascii="Times New Roman" w:hAnsi="Times New Roman" w:eastAsia="宋体" w:cs="Times New Roman"/>
          <w:snapToGrid w:val="0"/>
          <w:color w:val="auto"/>
          <w:highlight w:val="none"/>
        </w:rPr>
        <w:t>。小时最大降水量30.3mm</w:t>
      </w:r>
      <w:r>
        <w:rPr>
          <w:rFonts w:hint="eastAsia" w:ascii="Times New Roman" w:hAnsi="Times New Roman" w:eastAsia="宋体" w:cs="Times New Roman"/>
          <w:snapToGrid w:val="0"/>
          <w:color w:val="auto"/>
          <w:highlight w:val="none"/>
          <w:lang w:eastAsia="zh-CN"/>
        </w:rPr>
        <w:t>（</w:t>
      </w:r>
      <w:r>
        <w:rPr>
          <w:rFonts w:ascii="Times New Roman" w:hAnsi="Times New Roman" w:eastAsia="宋体" w:cs="Times New Roman"/>
          <w:snapToGrid w:val="0"/>
          <w:color w:val="auto"/>
          <w:highlight w:val="none"/>
        </w:rPr>
        <w:t>1960年6月4日</w:t>
      </w:r>
      <w:r>
        <w:rPr>
          <w:rFonts w:hint="eastAsia" w:ascii="Times New Roman" w:hAnsi="Times New Roman" w:eastAsia="宋体" w:cs="Times New Roman"/>
          <w:snapToGrid w:val="0"/>
          <w:color w:val="auto"/>
          <w:highlight w:val="none"/>
          <w:lang w:eastAsia="zh-CN"/>
        </w:rPr>
        <w:t>）</w:t>
      </w:r>
      <w:r>
        <w:rPr>
          <w:rFonts w:ascii="Times New Roman" w:hAnsi="Times New Roman" w:eastAsia="宋体" w:cs="Times New Roman"/>
          <w:snapToGrid w:val="0"/>
          <w:color w:val="auto"/>
          <w:highlight w:val="none"/>
        </w:rPr>
        <w:t>，年最小降水量为33.6mm，最长无水期153天。年平均蒸发量可达2337.6mm。</w:t>
      </w:r>
    </w:p>
    <w:p w14:paraId="37E401AA">
      <w:pPr>
        <w:spacing w:line="360" w:lineRule="auto"/>
        <w:ind w:firstLine="480" w:firstLineChars="200"/>
        <w:jc w:val="both"/>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（3）地温与冻土：地表下深度40cm的地温变化与气温变化同步，大于40cm时，随着深度的增加，温度的滞后性越大，高低温均滞后于气温。地表极端最高地温为69</w:t>
      </w:r>
      <w:r>
        <w:rPr>
          <w:rFonts w:hint="eastAsia" w:ascii="宋体" w:hAnsi="宋体" w:eastAsia="宋体" w:cs="宋体"/>
          <w:snapToGrid w:val="0"/>
          <w:color w:val="auto"/>
          <w:highlight w:val="none"/>
        </w:rPr>
        <w:t>℃</w:t>
      </w:r>
      <w:r>
        <w:rPr>
          <w:rFonts w:ascii="Times New Roman" w:hAnsi="Times New Roman" w:eastAsia="宋体" w:cs="Times New Roman"/>
          <w:snapToGrid w:val="0"/>
          <w:color w:val="auto"/>
          <w:highlight w:val="none"/>
        </w:rPr>
        <w:t>，极端最低地温-33</w:t>
      </w:r>
      <w:r>
        <w:rPr>
          <w:rFonts w:hint="eastAsia" w:ascii="宋体" w:hAnsi="宋体" w:eastAsia="宋体" w:cs="宋体"/>
          <w:snapToGrid w:val="0"/>
          <w:color w:val="auto"/>
          <w:highlight w:val="none"/>
        </w:rPr>
        <w:t>℃</w:t>
      </w:r>
      <w:r>
        <w:rPr>
          <w:rFonts w:ascii="Times New Roman" w:hAnsi="Times New Roman" w:eastAsia="宋体" w:cs="Times New Roman"/>
          <w:snapToGrid w:val="0"/>
          <w:color w:val="auto"/>
          <w:highlight w:val="none"/>
        </w:rPr>
        <w:t>。</w:t>
      </w:r>
    </w:p>
    <w:p w14:paraId="248651D1">
      <w:pPr>
        <w:spacing w:line="360" w:lineRule="auto"/>
        <w:ind w:firstLine="480" w:firstLineChars="200"/>
        <w:jc w:val="both"/>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（4）湿度：年平均相对湿度47%，12月份相对湿度66%，3-10月份相对湿度50%以下。</w:t>
      </w:r>
    </w:p>
    <w:p w14:paraId="56C4AE91">
      <w:pPr>
        <w:spacing w:line="360" w:lineRule="auto"/>
        <w:ind w:firstLine="480" w:firstLineChars="200"/>
        <w:jc w:val="both"/>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5）风速风向：年平均大风日（瞬间风速≥17m/s）18天，多出现在4-6月，占全年大风日85%，并时常伴有沙暴，风后浮尘有时持续数日，平均风力9-10级，历史瞬间最大风速40m/s。历年最多风向为N（北风），频率16%，其中静风为14%，SW（西南风）和NNW（北北西风）各为9%，E（东风）为7%，年平均风速为2.0m/s。</w:t>
      </w:r>
    </w:p>
    <w:p w14:paraId="3D986373">
      <w:pPr>
        <w:widowControl w:val="0"/>
        <w:adjustRightInd w:val="0"/>
        <w:snapToGrid w:val="0"/>
        <w:spacing w:beforeLines="0" w:afterLines="0" w:line="360" w:lineRule="auto"/>
        <w:jc w:val="both"/>
        <w:outlineLvl w:val="3"/>
        <w:rPr>
          <w:rFonts w:hint="default" w:ascii="Times New Roman" w:hAnsi="Times New Roman" w:eastAsia="黑体" w:cs="Times New Roman"/>
          <w:snapToGrid w:val="0"/>
          <w:color w:val="auto"/>
          <w:sz w:val="24"/>
          <w:szCs w:val="24"/>
          <w:highlight w:val="none"/>
        </w:rPr>
      </w:pPr>
      <w:bookmarkStart w:id="480" w:name="_Toc361761839"/>
      <w:bookmarkStart w:id="481" w:name="_Toc374724192"/>
      <w:bookmarkStart w:id="482" w:name="_Toc353966747"/>
      <w:bookmarkStart w:id="483" w:name="_Toc75438901"/>
      <w:bookmarkStart w:id="484" w:name="_Toc42981116"/>
      <w:bookmarkStart w:id="485" w:name="_Toc508291895"/>
      <w:r>
        <w:rPr>
          <w:rFonts w:hint="default" w:ascii="Times New Roman" w:hAnsi="Times New Roman" w:eastAsia="黑体" w:cs="Times New Roman"/>
          <w:snapToGrid w:val="0"/>
          <w:color w:val="auto"/>
          <w:sz w:val="24"/>
          <w:szCs w:val="24"/>
          <w:highlight w:val="none"/>
        </w:rPr>
        <w:t>5.2.</w:t>
      </w:r>
      <w:r>
        <w:rPr>
          <w:rFonts w:hint="default" w:ascii="Times New Roman" w:hAnsi="Times New Roman" w:eastAsia="黑体" w:cs="Times New Roman"/>
          <w:snapToGrid w:val="0"/>
          <w:color w:val="auto"/>
          <w:sz w:val="24"/>
          <w:szCs w:val="24"/>
          <w:highlight w:val="none"/>
          <w:lang w:val="en-US" w:eastAsia="zh-CN"/>
        </w:rPr>
        <w:t>2</w:t>
      </w:r>
      <w:r>
        <w:rPr>
          <w:rFonts w:hint="default" w:ascii="Times New Roman" w:hAnsi="Times New Roman" w:eastAsia="黑体" w:cs="Times New Roman"/>
          <w:snapToGrid w:val="0"/>
          <w:color w:val="auto"/>
          <w:sz w:val="24"/>
          <w:szCs w:val="24"/>
          <w:highlight w:val="none"/>
        </w:rPr>
        <w:t>.</w:t>
      </w:r>
      <w:r>
        <w:rPr>
          <w:rFonts w:hint="default" w:ascii="Times New Roman" w:hAnsi="Times New Roman" w:eastAsia="黑体" w:cs="Times New Roman"/>
          <w:snapToGrid w:val="0"/>
          <w:color w:val="auto"/>
          <w:sz w:val="24"/>
          <w:szCs w:val="24"/>
          <w:highlight w:val="none"/>
          <w:lang w:val="en-US" w:eastAsia="zh-CN"/>
        </w:rPr>
        <w:t>2</w:t>
      </w:r>
      <w:r>
        <w:rPr>
          <w:rFonts w:hint="default" w:ascii="Times New Roman" w:hAnsi="Times New Roman" w:eastAsia="黑体" w:cs="Times New Roman"/>
          <w:snapToGrid w:val="0"/>
          <w:color w:val="auto"/>
          <w:sz w:val="24"/>
          <w:szCs w:val="24"/>
          <w:highlight w:val="none"/>
        </w:rPr>
        <w:t>无组织排放烃类大气影响估算</w:t>
      </w:r>
    </w:p>
    <w:p w14:paraId="76E3F24D">
      <w:pPr>
        <w:spacing w:beforeLines="0" w:afterLines="0" w:line="360" w:lineRule="auto"/>
        <w:ind w:firstLine="496" w:firstLineChars="200"/>
        <w:jc w:val="both"/>
        <w:rPr>
          <w:rFonts w:hint="default" w:ascii="Times New Roman" w:hAnsi="Times New Roman" w:cs="Times New Roman"/>
          <w:color w:val="auto"/>
          <w:spacing w:val="4"/>
          <w:kern w:val="24"/>
          <w:sz w:val="24"/>
          <w:szCs w:val="24"/>
          <w:highlight w:val="none"/>
        </w:rPr>
      </w:pPr>
      <w:r>
        <w:rPr>
          <w:rFonts w:hint="default" w:ascii="Times New Roman" w:hAnsi="Times New Roman" w:cs="Times New Roman"/>
          <w:color w:val="auto"/>
          <w:spacing w:val="4"/>
          <w:kern w:val="24"/>
          <w:sz w:val="24"/>
          <w:szCs w:val="24"/>
          <w:highlight w:val="none"/>
        </w:rPr>
        <w:t>（1）污染源参数</w:t>
      </w:r>
    </w:p>
    <w:p w14:paraId="02BD37AB">
      <w:pPr>
        <w:spacing w:beforeLines="0" w:afterLines="0" w:line="360" w:lineRule="auto"/>
        <w:ind w:firstLine="496" w:firstLineChars="200"/>
        <w:jc w:val="both"/>
        <w:rPr>
          <w:rFonts w:hint="default" w:ascii="Times New Roman" w:hAnsi="Times New Roman" w:cs="Times New Roman"/>
          <w:color w:val="auto"/>
          <w:spacing w:val="4"/>
          <w:kern w:val="24"/>
          <w:sz w:val="24"/>
          <w:szCs w:val="24"/>
          <w:highlight w:val="none"/>
        </w:rPr>
      </w:pPr>
      <w:r>
        <w:rPr>
          <w:rFonts w:hint="default" w:ascii="Times New Roman" w:hAnsi="Times New Roman" w:cs="Times New Roman"/>
          <w:color w:val="auto"/>
          <w:spacing w:val="4"/>
          <w:kern w:val="24"/>
          <w:sz w:val="24"/>
          <w:szCs w:val="24"/>
          <w:highlight w:val="none"/>
        </w:rPr>
        <w:t>运营期</w:t>
      </w:r>
      <w:r>
        <w:rPr>
          <w:rFonts w:hint="default" w:ascii="Times New Roman" w:hAnsi="Times New Roman" w:cs="Times New Roman"/>
          <w:color w:val="auto"/>
          <w:spacing w:val="4"/>
          <w:kern w:val="24"/>
          <w:sz w:val="24"/>
          <w:szCs w:val="24"/>
          <w:highlight w:val="none"/>
          <w:lang w:eastAsia="zh-CN"/>
        </w:rPr>
        <w:t>本项目</w:t>
      </w:r>
      <w:r>
        <w:rPr>
          <w:rFonts w:hint="default" w:ascii="Times New Roman" w:hAnsi="Times New Roman" w:cs="Times New Roman"/>
          <w:color w:val="auto"/>
          <w:spacing w:val="4"/>
          <w:kern w:val="24"/>
          <w:sz w:val="24"/>
          <w:szCs w:val="24"/>
          <w:highlight w:val="none"/>
        </w:rPr>
        <w:t>产生的无组织大气污染物主要为油气开采和集油外输过程中的烃类和硫化氢无组织挥发。</w:t>
      </w:r>
    </w:p>
    <w:p w14:paraId="670AC199">
      <w:pPr>
        <w:spacing w:beforeLines="0" w:afterLines="0" w:line="360" w:lineRule="auto"/>
        <w:ind w:firstLine="480" w:firstLineChars="200"/>
        <w:jc w:val="both"/>
        <w:rPr>
          <w:rFonts w:hint="default" w:ascii="Times New Roman" w:hAnsi="Times New Roman" w:cs="Times New Roman"/>
          <w:color w:val="auto"/>
          <w:spacing w:val="4"/>
          <w:kern w:val="24"/>
          <w:sz w:val="24"/>
          <w:szCs w:val="24"/>
          <w:highlight w:val="none"/>
        </w:rPr>
      </w:pPr>
      <w:r>
        <w:rPr>
          <w:rFonts w:hint="default" w:ascii="Times New Roman" w:hAnsi="Times New Roman" w:eastAsia="宋体" w:cs="Times New Roman"/>
          <w:color w:val="auto"/>
          <w:kern w:val="0"/>
          <w:sz w:val="24"/>
          <w:szCs w:val="24"/>
          <w:highlight w:val="none"/>
          <w:lang w:val="en-US" w:eastAsia="zh-CN"/>
        </w:rPr>
        <w:t>以</w:t>
      </w:r>
      <w:r>
        <w:rPr>
          <w:rFonts w:hint="default" w:ascii="Times New Roman" w:hAnsi="Times New Roman" w:cs="Times New Roman"/>
          <w:color w:val="auto"/>
          <w:sz w:val="24"/>
          <w:szCs w:val="24"/>
          <w:highlight w:val="none"/>
          <w:lang w:val="en-US" w:eastAsia="zh-CN"/>
        </w:rPr>
        <w:t>T</w:t>
      </w:r>
      <w:r>
        <w:rPr>
          <w:rFonts w:hint="eastAsia" w:cs="Times New Roman"/>
          <w:color w:val="auto"/>
          <w:sz w:val="24"/>
          <w:szCs w:val="24"/>
          <w:highlight w:val="none"/>
          <w:lang w:val="en-US" w:eastAsia="zh-CN"/>
        </w:rPr>
        <w:t>K872CH</w:t>
      </w:r>
      <w:r>
        <w:rPr>
          <w:rFonts w:hint="default" w:ascii="Times New Roman" w:hAnsi="Times New Roman" w:eastAsia="宋体" w:cs="Times New Roman"/>
          <w:color w:val="auto"/>
          <w:kern w:val="0"/>
          <w:sz w:val="24"/>
          <w:szCs w:val="24"/>
          <w:highlight w:val="none"/>
          <w:lang w:val="en-US" w:eastAsia="zh-CN"/>
        </w:rPr>
        <w:t>（塔河油田8区）、</w:t>
      </w:r>
      <w:r>
        <w:rPr>
          <w:rFonts w:hint="default" w:ascii="Times New Roman" w:hAnsi="Times New Roman" w:cs="Times New Roman"/>
          <w:color w:val="auto"/>
          <w:sz w:val="24"/>
          <w:szCs w:val="24"/>
          <w:highlight w:val="none"/>
          <w:lang w:val="en-US" w:eastAsia="zh-CN"/>
        </w:rPr>
        <w:t>T</w:t>
      </w:r>
      <w:r>
        <w:rPr>
          <w:rFonts w:hint="eastAsia" w:cs="Times New Roman"/>
          <w:color w:val="auto"/>
          <w:sz w:val="24"/>
          <w:szCs w:val="24"/>
          <w:highlight w:val="none"/>
          <w:lang w:val="en-US" w:eastAsia="zh-CN"/>
        </w:rPr>
        <w:t>H10294CH</w:t>
      </w:r>
      <w:r>
        <w:rPr>
          <w:rFonts w:hint="default" w:ascii="Times New Roman" w:hAnsi="Times New Roman" w:eastAsia="宋体" w:cs="Times New Roman"/>
          <w:color w:val="auto"/>
          <w:kern w:val="0"/>
          <w:sz w:val="24"/>
          <w:szCs w:val="24"/>
          <w:highlight w:val="none"/>
          <w:lang w:val="en-US" w:eastAsia="zh-CN"/>
        </w:rPr>
        <w:t>（塔河油田10区）为代表，进行大气污染物最大落地浓度估算。</w:t>
      </w:r>
      <w:r>
        <w:rPr>
          <w:rFonts w:hint="default" w:ascii="Times New Roman" w:hAnsi="Times New Roman" w:cs="Times New Roman"/>
          <w:color w:val="auto"/>
          <w:spacing w:val="4"/>
          <w:kern w:val="24"/>
          <w:sz w:val="24"/>
          <w:szCs w:val="24"/>
          <w:highlight w:val="none"/>
        </w:rPr>
        <w:t>根据工程分析，运营期</w:t>
      </w:r>
      <w:r>
        <w:rPr>
          <w:rFonts w:hint="default" w:ascii="Times New Roman" w:hAnsi="Times New Roman" w:cs="Times New Roman"/>
          <w:color w:val="auto"/>
          <w:spacing w:val="4"/>
          <w:kern w:val="24"/>
          <w:sz w:val="24"/>
          <w:szCs w:val="24"/>
          <w:highlight w:val="none"/>
          <w:lang w:eastAsia="zh-CN"/>
        </w:rPr>
        <w:t>本项目</w:t>
      </w:r>
      <w:r>
        <w:rPr>
          <w:rFonts w:hint="default" w:ascii="Times New Roman" w:hAnsi="Times New Roman" w:cs="Times New Roman"/>
          <w:color w:val="auto"/>
          <w:spacing w:val="4"/>
          <w:kern w:val="24"/>
          <w:sz w:val="24"/>
          <w:szCs w:val="24"/>
          <w:highlight w:val="none"/>
        </w:rPr>
        <w:t>各用地类型内代表性井场产生的无组织排放污染物参数见表5.2-</w:t>
      </w:r>
      <w:r>
        <w:rPr>
          <w:rFonts w:hint="default" w:ascii="Times New Roman" w:hAnsi="Times New Roman" w:cs="Times New Roman"/>
          <w:color w:val="auto"/>
          <w:spacing w:val="4"/>
          <w:kern w:val="24"/>
          <w:sz w:val="24"/>
          <w:szCs w:val="24"/>
          <w:highlight w:val="none"/>
          <w:lang w:val="en-US" w:eastAsia="zh-CN"/>
        </w:rPr>
        <w:t>6</w:t>
      </w:r>
      <w:r>
        <w:rPr>
          <w:rFonts w:hint="default" w:ascii="Times New Roman" w:hAnsi="Times New Roman" w:cs="Times New Roman"/>
          <w:color w:val="auto"/>
          <w:spacing w:val="4"/>
          <w:kern w:val="24"/>
          <w:sz w:val="24"/>
          <w:szCs w:val="24"/>
          <w:highlight w:val="none"/>
        </w:rPr>
        <w:t>。</w:t>
      </w:r>
    </w:p>
    <w:p w14:paraId="77EE1E21">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表5.2-</w:t>
      </w:r>
      <w:r>
        <w:rPr>
          <w:rFonts w:hint="eastAsia" w:ascii="Times New Roman" w:hAnsi="Times New Roman" w:cs="Times New Roman"/>
          <w:b w:val="0"/>
          <w:bCs/>
          <w:color w:val="auto"/>
          <w:highlight w:val="none"/>
          <w:lang w:val="en-US" w:eastAsia="zh-CN"/>
        </w:rPr>
        <w:t xml:space="preserve">6  </w:t>
      </w:r>
      <w:r>
        <w:rPr>
          <w:rFonts w:hint="default" w:ascii="Times New Roman" w:hAnsi="Times New Roman" w:cs="Times New Roman"/>
          <w:b w:val="0"/>
          <w:bCs/>
          <w:color w:val="auto"/>
          <w:highlight w:val="none"/>
        </w:rPr>
        <w:t>运营期</w:t>
      </w:r>
      <w:r>
        <w:rPr>
          <w:rFonts w:hint="eastAsia" w:ascii="Times New Roman" w:hAnsi="Times New Roman" w:cs="Times New Roman"/>
          <w:b w:val="0"/>
          <w:bCs/>
          <w:color w:val="auto"/>
          <w:highlight w:val="none"/>
          <w:lang w:val="en-US" w:eastAsia="zh-CN"/>
        </w:rPr>
        <w:t>井场</w:t>
      </w:r>
      <w:r>
        <w:rPr>
          <w:rFonts w:hint="default" w:ascii="Times New Roman" w:hAnsi="Times New Roman" w:cs="Times New Roman"/>
          <w:b w:val="0"/>
          <w:bCs/>
          <w:color w:val="auto"/>
          <w:highlight w:val="none"/>
        </w:rPr>
        <w:t>无组织废气源强一览表</w:t>
      </w:r>
    </w:p>
    <w:tbl>
      <w:tblPr>
        <w:tblStyle w:val="35"/>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53"/>
        <w:gridCol w:w="652"/>
        <w:gridCol w:w="616"/>
        <w:gridCol w:w="546"/>
        <w:gridCol w:w="493"/>
        <w:gridCol w:w="505"/>
        <w:gridCol w:w="536"/>
        <w:gridCol w:w="704"/>
        <w:gridCol w:w="639"/>
        <w:gridCol w:w="529"/>
        <w:gridCol w:w="860"/>
        <w:gridCol w:w="1039"/>
      </w:tblGrid>
      <w:tr w14:paraId="4522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4" w:type="pct"/>
            <w:vMerge w:val="restart"/>
            <w:noWrap w:val="0"/>
            <w:vAlign w:val="center"/>
          </w:tcPr>
          <w:p w14:paraId="7C32FE76">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面源</w:t>
            </w:r>
          </w:p>
          <w:p w14:paraId="5E5705EB">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768" w:type="pct"/>
            <w:gridSpan w:val="2"/>
            <w:noWrap w:val="0"/>
            <w:vAlign w:val="center"/>
          </w:tcPr>
          <w:p w14:paraId="28B70326">
            <w:pPr>
              <w:widowControl/>
              <w:shd w:val="clear" w:color="auto" w:fill="auto"/>
              <w:topLinePunct/>
              <w:adjustRightIn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面源起点坐标</w:t>
            </w:r>
            <w:r>
              <w:rPr>
                <w:rFonts w:hint="default" w:ascii="Times New Roman" w:hAnsi="Times New Roman" w:cs="Times New Roman"/>
                <w:color w:val="auto"/>
                <w:kern w:val="0"/>
                <w:sz w:val="21"/>
                <w:szCs w:val="21"/>
                <w:highlight w:val="none"/>
                <w:lang w:val="en-US" w:eastAsia="zh-CN"/>
              </w:rPr>
              <w:t>/m</w:t>
            </w:r>
          </w:p>
        </w:tc>
        <w:tc>
          <w:tcPr>
            <w:tcW w:w="331" w:type="pct"/>
            <w:vMerge w:val="restart"/>
            <w:noWrap w:val="0"/>
            <w:vAlign w:val="center"/>
          </w:tcPr>
          <w:p w14:paraId="6AAAEA95">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面源</w:t>
            </w:r>
          </w:p>
          <w:p w14:paraId="1FF68276">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海拔</w:t>
            </w:r>
            <w:r>
              <w:rPr>
                <w:rFonts w:hint="default" w:ascii="Times New Roman" w:hAnsi="Times New Roman" w:cs="Times New Roman"/>
                <w:color w:val="auto"/>
                <w:kern w:val="0"/>
                <w:sz w:val="21"/>
                <w:szCs w:val="21"/>
                <w:highlight w:val="none"/>
              </w:rPr>
              <w:t>/m</w:t>
            </w:r>
          </w:p>
        </w:tc>
        <w:tc>
          <w:tcPr>
            <w:tcW w:w="299" w:type="pct"/>
            <w:vMerge w:val="restart"/>
            <w:noWrap w:val="0"/>
            <w:vAlign w:val="center"/>
          </w:tcPr>
          <w:p w14:paraId="2FBBC0B8">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面源长度/m</w:t>
            </w:r>
          </w:p>
        </w:tc>
        <w:tc>
          <w:tcPr>
            <w:tcW w:w="306" w:type="pct"/>
            <w:vMerge w:val="restart"/>
            <w:noWrap w:val="0"/>
            <w:vAlign w:val="center"/>
          </w:tcPr>
          <w:p w14:paraId="7656551A">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面源宽度/m</w:t>
            </w:r>
          </w:p>
        </w:tc>
        <w:tc>
          <w:tcPr>
            <w:tcW w:w="325" w:type="pct"/>
            <w:vMerge w:val="restart"/>
            <w:noWrap w:val="0"/>
            <w:vAlign w:val="center"/>
          </w:tcPr>
          <w:p w14:paraId="78077F85">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与正北向夹角/°</w:t>
            </w:r>
          </w:p>
        </w:tc>
        <w:tc>
          <w:tcPr>
            <w:tcW w:w="426" w:type="pct"/>
            <w:vMerge w:val="restart"/>
            <w:noWrap w:val="0"/>
            <w:vAlign w:val="center"/>
          </w:tcPr>
          <w:p w14:paraId="1865C3A9">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面源有效排放高度/m</w:t>
            </w:r>
          </w:p>
        </w:tc>
        <w:tc>
          <w:tcPr>
            <w:tcW w:w="387" w:type="pct"/>
            <w:vMerge w:val="restart"/>
            <w:noWrap w:val="0"/>
            <w:vAlign w:val="center"/>
          </w:tcPr>
          <w:p w14:paraId="44DB6E0C">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年排</w:t>
            </w:r>
          </w:p>
          <w:p w14:paraId="1B7B67FC">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放小时数</w:t>
            </w:r>
          </w:p>
          <w:p w14:paraId="302D54D4">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/h</w:t>
            </w:r>
          </w:p>
        </w:tc>
        <w:tc>
          <w:tcPr>
            <w:tcW w:w="320" w:type="pct"/>
            <w:vMerge w:val="restart"/>
            <w:noWrap w:val="0"/>
            <w:vAlign w:val="center"/>
          </w:tcPr>
          <w:p w14:paraId="753A60F3">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排放</w:t>
            </w:r>
          </w:p>
          <w:p w14:paraId="30E724C9">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工况</w:t>
            </w:r>
          </w:p>
        </w:tc>
        <w:tc>
          <w:tcPr>
            <w:tcW w:w="1148" w:type="pct"/>
            <w:gridSpan w:val="2"/>
            <w:noWrap w:val="0"/>
            <w:vAlign w:val="center"/>
          </w:tcPr>
          <w:p w14:paraId="475B5161">
            <w:pPr>
              <w:widowControl/>
              <w:shd w:val="clear" w:color="auto" w:fill="auto"/>
              <w:topLinePunct/>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排放速率/（</w:t>
            </w:r>
            <w:r>
              <w:rPr>
                <w:rFonts w:hint="default" w:ascii="Times New Roman" w:hAnsi="Times New Roman" w:cs="Times New Roman"/>
                <w:color w:val="auto"/>
                <w:kern w:val="0"/>
                <w:sz w:val="21"/>
                <w:szCs w:val="21"/>
                <w:highlight w:val="none"/>
                <w:lang w:val="en-US" w:eastAsia="zh-CN"/>
              </w:rPr>
              <w:t>kg/h</w:t>
            </w:r>
            <w:r>
              <w:rPr>
                <w:rFonts w:hint="default" w:ascii="Times New Roman" w:hAnsi="Times New Roman" w:cs="Times New Roman"/>
                <w:color w:val="auto"/>
                <w:kern w:val="0"/>
                <w:sz w:val="21"/>
                <w:szCs w:val="21"/>
                <w:highlight w:val="none"/>
              </w:rPr>
              <w:t>）</w:t>
            </w:r>
          </w:p>
        </w:tc>
      </w:tr>
      <w:tr w14:paraId="617B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4" w:type="pct"/>
            <w:vMerge w:val="continue"/>
            <w:noWrap w:val="0"/>
            <w:vAlign w:val="center"/>
          </w:tcPr>
          <w:p w14:paraId="65C2CE52">
            <w:pPr>
              <w:widowControl/>
              <w:shd w:val="clear" w:color="auto" w:fill="auto"/>
              <w:jc w:val="center"/>
              <w:rPr>
                <w:rFonts w:hint="default" w:ascii="Times New Roman" w:hAnsi="Times New Roman" w:cs="Times New Roman"/>
                <w:color w:val="auto"/>
                <w:kern w:val="0"/>
                <w:sz w:val="21"/>
                <w:szCs w:val="21"/>
                <w:highlight w:val="none"/>
              </w:rPr>
            </w:pPr>
          </w:p>
        </w:tc>
        <w:tc>
          <w:tcPr>
            <w:tcW w:w="395" w:type="pct"/>
            <w:noWrap w:val="0"/>
            <w:vAlign w:val="center"/>
          </w:tcPr>
          <w:p w14:paraId="37064D7F">
            <w:pPr>
              <w:shd w:val="clear" w:color="auto" w:fill="auto"/>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rPr>
              <w:t>X</w:t>
            </w:r>
          </w:p>
        </w:tc>
        <w:tc>
          <w:tcPr>
            <w:tcW w:w="372" w:type="pct"/>
            <w:noWrap w:val="0"/>
            <w:vAlign w:val="center"/>
          </w:tcPr>
          <w:p w14:paraId="2F5B8844">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Y</w:t>
            </w:r>
          </w:p>
        </w:tc>
        <w:tc>
          <w:tcPr>
            <w:tcW w:w="331" w:type="pct"/>
            <w:vMerge w:val="continue"/>
            <w:noWrap w:val="0"/>
            <w:vAlign w:val="center"/>
          </w:tcPr>
          <w:p w14:paraId="03F239E1">
            <w:pPr>
              <w:widowControl/>
              <w:shd w:val="clear" w:color="auto" w:fill="auto"/>
              <w:jc w:val="center"/>
              <w:rPr>
                <w:rFonts w:hint="default" w:ascii="Times New Roman" w:hAnsi="Times New Roman" w:cs="Times New Roman"/>
                <w:color w:val="auto"/>
                <w:kern w:val="0"/>
                <w:sz w:val="21"/>
                <w:szCs w:val="21"/>
                <w:highlight w:val="none"/>
              </w:rPr>
            </w:pPr>
          </w:p>
        </w:tc>
        <w:tc>
          <w:tcPr>
            <w:tcW w:w="299" w:type="pct"/>
            <w:vMerge w:val="continue"/>
            <w:noWrap w:val="0"/>
            <w:vAlign w:val="center"/>
          </w:tcPr>
          <w:p w14:paraId="511ADCFE">
            <w:pPr>
              <w:widowControl/>
              <w:shd w:val="clear" w:color="auto" w:fill="auto"/>
              <w:jc w:val="center"/>
              <w:rPr>
                <w:rFonts w:hint="default" w:ascii="Times New Roman" w:hAnsi="Times New Roman" w:cs="Times New Roman"/>
                <w:color w:val="auto"/>
                <w:kern w:val="0"/>
                <w:sz w:val="21"/>
                <w:szCs w:val="21"/>
                <w:highlight w:val="none"/>
              </w:rPr>
            </w:pPr>
          </w:p>
        </w:tc>
        <w:tc>
          <w:tcPr>
            <w:tcW w:w="306" w:type="pct"/>
            <w:vMerge w:val="continue"/>
            <w:noWrap w:val="0"/>
            <w:vAlign w:val="center"/>
          </w:tcPr>
          <w:p w14:paraId="1CB093BC">
            <w:pPr>
              <w:widowControl/>
              <w:shd w:val="clear" w:color="auto" w:fill="auto"/>
              <w:jc w:val="center"/>
              <w:rPr>
                <w:rFonts w:hint="default" w:ascii="Times New Roman" w:hAnsi="Times New Roman" w:cs="Times New Roman"/>
                <w:color w:val="auto"/>
                <w:kern w:val="0"/>
                <w:sz w:val="21"/>
                <w:szCs w:val="21"/>
                <w:highlight w:val="none"/>
              </w:rPr>
            </w:pPr>
          </w:p>
        </w:tc>
        <w:tc>
          <w:tcPr>
            <w:tcW w:w="325" w:type="pct"/>
            <w:vMerge w:val="continue"/>
            <w:noWrap w:val="0"/>
            <w:vAlign w:val="center"/>
          </w:tcPr>
          <w:p w14:paraId="684A6DA8">
            <w:pPr>
              <w:widowControl/>
              <w:shd w:val="clear" w:color="auto" w:fill="auto"/>
              <w:jc w:val="center"/>
              <w:rPr>
                <w:rFonts w:hint="default" w:ascii="Times New Roman" w:hAnsi="Times New Roman" w:cs="Times New Roman"/>
                <w:color w:val="auto"/>
                <w:kern w:val="0"/>
                <w:sz w:val="21"/>
                <w:szCs w:val="21"/>
                <w:highlight w:val="none"/>
              </w:rPr>
            </w:pPr>
          </w:p>
        </w:tc>
        <w:tc>
          <w:tcPr>
            <w:tcW w:w="426" w:type="pct"/>
            <w:vMerge w:val="continue"/>
            <w:noWrap w:val="0"/>
            <w:vAlign w:val="center"/>
          </w:tcPr>
          <w:p w14:paraId="77CD6F78">
            <w:pPr>
              <w:widowControl/>
              <w:shd w:val="clear" w:color="auto" w:fill="auto"/>
              <w:jc w:val="center"/>
              <w:rPr>
                <w:rFonts w:hint="default" w:ascii="Times New Roman" w:hAnsi="Times New Roman" w:cs="Times New Roman"/>
                <w:color w:val="auto"/>
                <w:kern w:val="0"/>
                <w:sz w:val="21"/>
                <w:szCs w:val="21"/>
                <w:highlight w:val="none"/>
              </w:rPr>
            </w:pPr>
          </w:p>
        </w:tc>
        <w:tc>
          <w:tcPr>
            <w:tcW w:w="387" w:type="pct"/>
            <w:vMerge w:val="continue"/>
            <w:noWrap w:val="0"/>
            <w:vAlign w:val="center"/>
          </w:tcPr>
          <w:p w14:paraId="76FD8275">
            <w:pPr>
              <w:widowControl/>
              <w:shd w:val="clear" w:color="auto" w:fill="auto"/>
              <w:jc w:val="center"/>
              <w:rPr>
                <w:rFonts w:hint="default" w:ascii="Times New Roman" w:hAnsi="Times New Roman" w:cs="Times New Roman"/>
                <w:color w:val="auto"/>
                <w:kern w:val="0"/>
                <w:sz w:val="21"/>
                <w:szCs w:val="21"/>
                <w:highlight w:val="none"/>
              </w:rPr>
            </w:pPr>
          </w:p>
        </w:tc>
        <w:tc>
          <w:tcPr>
            <w:tcW w:w="320" w:type="pct"/>
            <w:vMerge w:val="continue"/>
            <w:noWrap w:val="0"/>
            <w:vAlign w:val="center"/>
          </w:tcPr>
          <w:p w14:paraId="7D51F7C9">
            <w:pPr>
              <w:widowControl/>
              <w:shd w:val="clear" w:color="auto" w:fill="auto"/>
              <w:jc w:val="center"/>
              <w:rPr>
                <w:rFonts w:hint="default" w:ascii="Times New Roman" w:hAnsi="Times New Roman" w:cs="Times New Roman"/>
                <w:color w:val="auto"/>
                <w:kern w:val="0"/>
                <w:sz w:val="21"/>
                <w:szCs w:val="21"/>
                <w:highlight w:val="none"/>
              </w:rPr>
            </w:pPr>
          </w:p>
        </w:tc>
        <w:tc>
          <w:tcPr>
            <w:tcW w:w="520" w:type="pct"/>
            <w:noWrap w:val="0"/>
            <w:vAlign w:val="center"/>
          </w:tcPr>
          <w:p w14:paraId="5B76F34A">
            <w:pPr>
              <w:widowControl/>
              <w:shd w:val="clear" w:color="auto" w:fill="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非甲烷</w:t>
            </w:r>
          </w:p>
          <w:p w14:paraId="1808554B">
            <w:pPr>
              <w:widowControl/>
              <w:shd w:val="clear" w:color="auto" w:fill="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总烃</w:t>
            </w:r>
          </w:p>
        </w:tc>
        <w:tc>
          <w:tcPr>
            <w:tcW w:w="627" w:type="pct"/>
            <w:noWrap w:val="0"/>
            <w:vAlign w:val="center"/>
          </w:tcPr>
          <w:p w14:paraId="3689C843">
            <w:pPr>
              <w:widowControl/>
              <w:shd w:val="clear" w:color="auto" w:fill="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硫化氢</w:t>
            </w:r>
          </w:p>
        </w:tc>
      </w:tr>
      <w:tr w14:paraId="15B2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684" w:type="pct"/>
            <w:noWrap w:val="0"/>
            <w:vAlign w:val="center"/>
          </w:tcPr>
          <w:p w14:paraId="36A7216B">
            <w:pPr>
              <w:widowControl/>
              <w:shd w:val="clear" w:color="auto" w:fill="auto"/>
              <w:jc w:val="center"/>
              <w:rPr>
                <w:rFonts w:hint="default" w:ascii="Times New Roman" w:hAnsi="Times New Roman" w:cs="Times New Roman"/>
                <w:b/>
                <w:bCs/>
                <w:color w:val="auto"/>
                <w:kern w:val="0"/>
                <w:sz w:val="21"/>
                <w:szCs w:val="21"/>
                <w:highlight w:val="none"/>
                <w:lang w:val="en-US"/>
              </w:rPr>
            </w:pPr>
            <w:r>
              <w:rPr>
                <w:rFonts w:hint="default" w:ascii="Times New Roman" w:hAnsi="Times New Roman" w:cs="Times New Roman"/>
                <w:color w:val="auto"/>
                <w:sz w:val="21"/>
                <w:szCs w:val="18"/>
                <w:highlight w:val="none"/>
                <w:lang w:val="en-US" w:eastAsia="zh-CN"/>
              </w:rPr>
              <w:t>T</w:t>
            </w:r>
            <w:r>
              <w:rPr>
                <w:rFonts w:hint="eastAsia" w:cs="Times New Roman"/>
                <w:color w:val="auto"/>
                <w:sz w:val="21"/>
                <w:szCs w:val="18"/>
                <w:highlight w:val="none"/>
                <w:lang w:val="en-US" w:eastAsia="zh-CN"/>
              </w:rPr>
              <w:t>H10294CH</w:t>
            </w:r>
          </w:p>
        </w:tc>
        <w:tc>
          <w:tcPr>
            <w:tcW w:w="395" w:type="pct"/>
            <w:noWrap w:val="0"/>
            <w:vAlign w:val="center"/>
          </w:tcPr>
          <w:p w14:paraId="37A7535F">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rPr>
            </w:pPr>
          </w:p>
        </w:tc>
        <w:tc>
          <w:tcPr>
            <w:tcW w:w="372" w:type="pct"/>
            <w:noWrap w:val="0"/>
            <w:vAlign w:val="center"/>
          </w:tcPr>
          <w:p w14:paraId="397C8E33">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rPr>
            </w:pPr>
          </w:p>
        </w:tc>
        <w:tc>
          <w:tcPr>
            <w:tcW w:w="331" w:type="pct"/>
            <w:noWrap w:val="0"/>
            <w:vAlign w:val="center"/>
          </w:tcPr>
          <w:p w14:paraId="34473F4C">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946</w:t>
            </w:r>
          </w:p>
        </w:tc>
        <w:tc>
          <w:tcPr>
            <w:tcW w:w="299" w:type="pct"/>
            <w:noWrap w:val="0"/>
            <w:vAlign w:val="center"/>
          </w:tcPr>
          <w:p w14:paraId="41ED9B95">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20</w:t>
            </w:r>
          </w:p>
        </w:tc>
        <w:tc>
          <w:tcPr>
            <w:tcW w:w="306" w:type="pct"/>
            <w:noWrap w:val="0"/>
            <w:vAlign w:val="center"/>
          </w:tcPr>
          <w:p w14:paraId="097DF404">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w:t>
            </w:r>
          </w:p>
        </w:tc>
        <w:tc>
          <w:tcPr>
            <w:tcW w:w="325" w:type="pct"/>
            <w:noWrap w:val="0"/>
            <w:vAlign w:val="center"/>
          </w:tcPr>
          <w:p w14:paraId="78C2C925">
            <w:pPr>
              <w:widowControl/>
              <w:shd w:val="clear" w:color="auto" w:fill="auto"/>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426" w:type="pct"/>
            <w:noWrap w:val="0"/>
            <w:vAlign w:val="center"/>
          </w:tcPr>
          <w:p w14:paraId="17E8CD3F">
            <w:pPr>
              <w:widowControl/>
              <w:shd w:val="clear" w:color="auto" w:fill="auto"/>
              <w:adjustRightIn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5</w:t>
            </w:r>
          </w:p>
        </w:tc>
        <w:tc>
          <w:tcPr>
            <w:tcW w:w="387" w:type="pct"/>
            <w:noWrap w:val="0"/>
            <w:vAlign w:val="center"/>
          </w:tcPr>
          <w:p w14:paraId="602D8C4B">
            <w:pPr>
              <w:widowControl/>
              <w:shd w:val="clear" w:color="auto" w:fill="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8000</w:t>
            </w:r>
          </w:p>
        </w:tc>
        <w:tc>
          <w:tcPr>
            <w:tcW w:w="320" w:type="pct"/>
            <w:noWrap w:val="0"/>
            <w:vAlign w:val="center"/>
          </w:tcPr>
          <w:p w14:paraId="12064F7D">
            <w:pPr>
              <w:widowControl/>
              <w:shd w:val="clear" w:color="auto" w:fill="auto"/>
              <w:adjustRightIn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正常</w:t>
            </w:r>
          </w:p>
        </w:tc>
        <w:tc>
          <w:tcPr>
            <w:tcW w:w="520" w:type="pct"/>
            <w:noWrap w:val="0"/>
            <w:vAlign w:val="center"/>
          </w:tcPr>
          <w:p w14:paraId="784A3AB0">
            <w:pPr>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18"/>
                <w:highlight w:val="none"/>
                <w:lang w:val="en-US" w:eastAsia="zh-CN"/>
              </w:rPr>
              <w:t>0.0</w:t>
            </w:r>
            <w:r>
              <w:rPr>
                <w:rFonts w:hint="eastAsia" w:cs="Times New Roman"/>
                <w:color w:val="auto"/>
                <w:sz w:val="21"/>
                <w:szCs w:val="18"/>
                <w:highlight w:val="none"/>
                <w:lang w:val="en-US" w:eastAsia="zh-CN"/>
              </w:rPr>
              <w:t>113</w:t>
            </w:r>
          </w:p>
        </w:tc>
        <w:tc>
          <w:tcPr>
            <w:tcW w:w="627" w:type="pct"/>
            <w:noWrap w:val="0"/>
            <w:vAlign w:val="center"/>
          </w:tcPr>
          <w:p w14:paraId="67F75D76">
            <w:pPr>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18"/>
                <w:highlight w:val="none"/>
                <w:lang w:val="en-US" w:eastAsia="zh-CN"/>
              </w:rPr>
              <w:t>0.000</w:t>
            </w:r>
            <w:r>
              <w:rPr>
                <w:rFonts w:hint="eastAsia" w:cs="Times New Roman"/>
                <w:color w:val="auto"/>
                <w:sz w:val="21"/>
                <w:szCs w:val="18"/>
                <w:highlight w:val="none"/>
                <w:lang w:val="en-US" w:eastAsia="zh-CN"/>
              </w:rPr>
              <w:t>39</w:t>
            </w:r>
          </w:p>
        </w:tc>
      </w:tr>
      <w:tr w14:paraId="3D4C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2" w:hRule="atLeast"/>
          <w:jc w:val="center"/>
        </w:trPr>
        <w:tc>
          <w:tcPr>
            <w:tcW w:w="684" w:type="pct"/>
            <w:noWrap w:val="0"/>
            <w:vAlign w:val="center"/>
          </w:tcPr>
          <w:p w14:paraId="7D57B18C">
            <w:pPr>
              <w:widowControl/>
              <w:shd w:val="clear" w:color="auto" w:fill="auto"/>
              <w:jc w:val="center"/>
              <w:rPr>
                <w:rFonts w:hint="default" w:ascii="Times New Roman" w:hAnsi="Times New Roman" w:cs="Times New Roman"/>
                <w:b/>
                <w:bCs/>
                <w:color w:val="auto"/>
                <w:sz w:val="21"/>
                <w:szCs w:val="18"/>
                <w:highlight w:val="none"/>
                <w:lang w:val="en-US" w:eastAsia="zh-CN"/>
              </w:rPr>
            </w:pPr>
            <w:r>
              <w:rPr>
                <w:rFonts w:hint="default" w:ascii="Times New Roman" w:hAnsi="Times New Roman" w:cs="Times New Roman"/>
                <w:color w:val="auto"/>
                <w:sz w:val="21"/>
                <w:szCs w:val="18"/>
                <w:highlight w:val="none"/>
                <w:lang w:val="en-US" w:eastAsia="zh-CN"/>
              </w:rPr>
              <w:t>T</w:t>
            </w:r>
            <w:r>
              <w:rPr>
                <w:rFonts w:hint="eastAsia" w:cs="Times New Roman"/>
                <w:color w:val="auto"/>
                <w:sz w:val="21"/>
                <w:szCs w:val="18"/>
                <w:highlight w:val="none"/>
                <w:lang w:val="en-US" w:eastAsia="zh-CN"/>
              </w:rPr>
              <w:t>K872CH</w:t>
            </w:r>
          </w:p>
        </w:tc>
        <w:tc>
          <w:tcPr>
            <w:tcW w:w="395" w:type="pct"/>
            <w:shd w:val="clear" w:color="auto" w:fill="auto"/>
            <w:noWrap w:val="0"/>
            <w:vAlign w:val="center"/>
          </w:tcPr>
          <w:p w14:paraId="64AE4C88">
            <w:pPr>
              <w:widowControl/>
              <w:shd w:val="clear" w:color="auto" w:fill="auto"/>
              <w:adjustRightInd w:val="0"/>
              <w:jc w:val="center"/>
              <w:rPr>
                <w:rFonts w:hint="eastAsia" w:ascii="Times New Roman" w:hAnsi="Times New Roman" w:eastAsia="宋体" w:cs="Times New Roman"/>
                <w:color w:val="auto"/>
                <w:kern w:val="0"/>
                <w:sz w:val="21"/>
                <w:szCs w:val="21"/>
                <w:highlight w:val="none"/>
                <w:lang w:val="en-US" w:eastAsia="zh-CN" w:bidi="ar-SA"/>
              </w:rPr>
            </w:pPr>
          </w:p>
        </w:tc>
        <w:tc>
          <w:tcPr>
            <w:tcW w:w="372" w:type="pct"/>
            <w:shd w:val="clear" w:color="auto" w:fill="auto"/>
            <w:noWrap w:val="0"/>
            <w:vAlign w:val="center"/>
          </w:tcPr>
          <w:p w14:paraId="094446A8">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bidi="ar-SA"/>
              </w:rPr>
            </w:pPr>
          </w:p>
        </w:tc>
        <w:tc>
          <w:tcPr>
            <w:tcW w:w="331" w:type="pct"/>
            <w:shd w:val="clear" w:color="auto" w:fill="auto"/>
            <w:noWrap w:val="0"/>
            <w:vAlign w:val="center"/>
          </w:tcPr>
          <w:p w14:paraId="52D23FF5">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943</w:t>
            </w:r>
          </w:p>
        </w:tc>
        <w:tc>
          <w:tcPr>
            <w:tcW w:w="299" w:type="pct"/>
            <w:shd w:val="clear" w:color="auto" w:fill="auto"/>
            <w:noWrap w:val="0"/>
            <w:vAlign w:val="center"/>
          </w:tcPr>
          <w:p w14:paraId="57DA9F91">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20</w:t>
            </w:r>
          </w:p>
        </w:tc>
        <w:tc>
          <w:tcPr>
            <w:tcW w:w="306" w:type="pct"/>
            <w:shd w:val="clear" w:color="auto" w:fill="auto"/>
            <w:noWrap w:val="0"/>
            <w:vAlign w:val="center"/>
          </w:tcPr>
          <w:p w14:paraId="5BEE9A4E">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15</w:t>
            </w:r>
          </w:p>
        </w:tc>
        <w:tc>
          <w:tcPr>
            <w:tcW w:w="325" w:type="pct"/>
            <w:shd w:val="clear" w:color="auto" w:fill="auto"/>
            <w:noWrap w:val="0"/>
            <w:vAlign w:val="center"/>
          </w:tcPr>
          <w:p w14:paraId="120451F7">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w:t>
            </w:r>
          </w:p>
        </w:tc>
        <w:tc>
          <w:tcPr>
            <w:tcW w:w="426" w:type="pct"/>
            <w:shd w:val="clear" w:color="auto" w:fill="auto"/>
            <w:noWrap w:val="0"/>
            <w:vAlign w:val="center"/>
          </w:tcPr>
          <w:p w14:paraId="7E36D4BD">
            <w:pPr>
              <w:widowControl/>
              <w:shd w:val="clear" w:color="auto" w:fill="auto"/>
              <w:adjustRightIn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5</w:t>
            </w:r>
          </w:p>
        </w:tc>
        <w:tc>
          <w:tcPr>
            <w:tcW w:w="387" w:type="pct"/>
            <w:shd w:val="clear" w:color="auto" w:fill="auto"/>
            <w:noWrap w:val="0"/>
            <w:vAlign w:val="center"/>
          </w:tcPr>
          <w:p w14:paraId="79F5FE1D">
            <w:pPr>
              <w:widowControl/>
              <w:shd w:val="clear" w:color="auto" w:fill="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8000</w:t>
            </w:r>
          </w:p>
        </w:tc>
        <w:tc>
          <w:tcPr>
            <w:tcW w:w="320" w:type="pct"/>
            <w:shd w:val="clear" w:color="auto" w:fill="auto"/>
            <w:noWrap w:val="0"/>
            <w:vAlign w:val="center"/>
          </w:tcPr>
          <w:p w14:paraId="0C18DC81">
            <w:pPr>
              <w:widowControl/>
              <w:shd w:val="clear" w:color="auto" w:fill="auto"/>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正常</w:t>
            </w:r>
          </w:p>
        </w:tc>
        <w:tc>
          <w:tcPr>
            <w:tcW w:w="520" w:type="pct"/>
            <w:shd w:val="clear" w:color="auto" w:fill="auto"/>
            <w:noWrap w:val="0"/>
            <w:vAlign w:val="center"/>
          </w:tcPr>
          <w:p w14:paraId="1E3F3884">
            <w:pPr>
              <w:spacing w:beforeLines="0" w:afterLines="0"/>
              <w:jc w:val="center"/>
              <w:rPr>
                <w:rFonts w:hint="default" w:ascii="Times New Roman" w:hAnsi="Times New Roman" w:cs="Times New Roman" w:eastAsiaTheme="minorEastAsia"/>
                <w:color w:val="auto"/>
                <w:sz w:val="21"/>
                <w:szCs w:val="18"/>
                <w:highlight w:val="none"/>
                <w:lang w:val="en-US" w:eastAsia="zh-CN" w:bidi="ar-SA"/>
              </w:rPr>
            </w:pPr>
            <w:r>
              <w:rPr>
                <w:rFonts w:hint="default" w:ascii="Times New Roman" w:hAnsi="Times New Roman" w:cs="Times New Roman"/>
                <w:color w:val="auto"/>
                <w:sz w:val="21"/>
                <w:szCs w:val="18"/>
                <w:highlight w:val="none"/>
                <w:lang w:val="en-US" w:eastAsia="zh-CN"/>
              </w:rPr>
              <w:t>0.0</w:t>
            </w:r>
            <w:r>
              <w:rPr>
                <w:rFonts w:hint="eastAsia" w:cs="Times New Roman"/>
                <w:color w:val="auto"/>
                <w:sz w:val="21"/>
                <w:szCs w:val="18"/>
                <w:highlight w:val="none"/>
                <w:lang w:val="en-US" w:eastAsia="zh-CN"/>
              </w:rPr>
              <w:t>113</w:t>
            </w:r>
          </w:p>
        </w:tc>
        <w:tc>
          <w:tcPr>
            <w:tcW w:w="627" w:type="pct"/>
            <w:shd w:val="clear" w:color="auto" w:fill="auto"/>
            <w:noWrap w:val="0"/>
            <w:vAlign w:val="center"/>
          </w:tcPr>
          <w:p w14:paraId="67B5D806">
            <w:pPr>
              <w:spacing w:beforeLines="0" w:afterLines="0"/>
              <w:jc w:val="center"/>
              <w:rPr>
                <w:rFonts w:hint="default" w:ascii="Times New Roman" w:hAnsi="Times New Roman" w:eastAsia="宋体" w:cs="Times New Roman"/>
                <w:color w:val="auto"/>
                <w:sz w:val="21"/>
                <w:szCs w:val="18"/>
                <w:highlight w:val="none"/>
                <w:lang w:val="en-US" w:eastAsia="zh-CN" w:bidi="ar-SA"/>
              </w:rPr>
            </w:pPr>
            <w:r>
              <w:rPr>
                <w:rFonts w:hint="default" w:ascii="Times New Roman" w:hAnsi="Times New Roman" w:cs="Times New Roman"/>
                <w:color w:val="auto"/>
                <w:sz w:val="21"/>
                <w:szCs w:val="18"/>
                <w:highlight w:val="none"/>
                <w:lang w:val="en-US" w:eastAsia="zh-CN"/>
              </w:rPr>
              <w:t>0.000</w:t>
            </w:r>
            <w:r>
              <w:rPr>
                <w:rFonts w:hint="eastAsia" w:cs="Times New Roman"/>
                <w:color w:val="auto"/>
                <w:sz w:val="21"/>
                <w:szCs w:val="18"/>
                <w:highlight w:val="none"/>
                <w:lang w:val="en-US" w:eastAsia="zh-CN"/>
              </w:rPr>
              <w:t>11</w:t>
            </w:r>
          </w:p>
        </w:tc>
      </w:tr>
    </w:tbl>
    <w:p w14:paraId="7CDDD8F7">
      <w:pPr>
        <w:widowControl/>
        <w:shd w:val="clear" w:color="auto" w:fill="auto"/>
        <w:adjustRightInd w:val="0"/>
        <w:snapToGrid w:val="0"/>
        <w:ind w:firstLine="420" w:firstLineChars="200"/>
        <w:jc w:val="both"/>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注：分别以井场中心为（0，0）。</w:t>
      </w:r>
    </w:p>
    <w:p w14:paraId="256DF97A">
      <w:pPr>
        <w:pStyle w:val="86"/>
        <w:keepNext w:val="0"/>
        <w:keepLines w:val="0"/>
        <w:pageBreakBefore w:val="0"/>
        <w:widowControl/>
        <w:shd w:val="clear" w:color="auto" w:fill="auto"/>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表5.2-</w:t>
      </w:r>
      <w:r>
        <w:rPr>
          <w:rFonts w:hint="default" w:ascii="Times New Roman" w:hAnsi="Times New Roman" w:cs="Times New Roman"/>
          <w:b w:val="0"/>
          <w:bCs/>
          <w:color w:val="auto"/>
          <w:highlight w:val="none"/>
          <w:lang w:val="en-US" w:eastAsia="zh-CN"/>
        </w:rPr>
        <w:t>5</w:t>
      </w:r>
      <w:r>
        <w:rPr>
          <w:rFonts w:hint="eastAsia" w:ascii="Times New Roman" w:hAnsi="Times New Roman" w:cs="Times New Roman"/>
          <w:b w:val="0"/>
          <w:bCs/>
          <w:color w:val="auto"/>
          <w:highlight w:val="none"/>
          <w:lang w:val="en-US" w:eastAsia="zh-CN"/>
        </w:rPr>
        <w:t xml:space="preserve">  </w:t>
      </w:r>
      <w:r>
        <w:rPr>
          <w:rFonts w:hint="default" w:ascii="Times New Roman" w:hAnsi="Times New Roman" w:cs="Times New Roman"/>
          <w:b w:val="0"/>
          <w:bCs/>
          <w:color w:val="auto"/>
          <w:highlight w:val="none"/>
        </w:rPr>
        <w:t>估算模型参数表</w:t>
      </w:r>
    </w:p>
    <w:tbl>
      <w:tblPr>
        <w:tblStyle w:val="3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88"/>
        <w:gridCol w:w="2637"/>
        <w:gridCol w:w="3597"/>
      </w:tblGrid>
      <w:tr w14:paraId="6244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16C5EECD">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3510" w:type="dxa"/>
            <w:noWrap w:val="0"/>
            <w:vAlign w:val="center"/>
          </w:tcPr>
          <w:p w14:paraId="45022E4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取值</w:t>
            </w:r>
          </w:p>
        </w:tc>
      </w:tr>
      <w:tr w14:paraId="588C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restart"/>
            <w:noWrap w:val="0"/>
            <w:vAlign w:val="center"/>
          </w:tcPr>
          <w:p w14:paraId="7EC3104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城市/农村选项</w:t>
            </w:r>
          </w:p>
        </w:tc>
        <w:tc>
          <w:tcPr>
            <w:tcW w:w="2573" w:type="dxa"/>
            <w:noWrap w:val="0"/>
            <w:vAlign w:val="center"/>
          </w:tcPr>
          <w:p w14:paraId="735E9DE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w:t>
            </w:r>
          </w:p>
        </w:tc>
        <w:tc>
          <w:tcPr>
            <w:tcW w:w="3510" w:type="dxa"/>
            <w:noWrap w:val="0"/>
            <w:vAlign w:val="center"/>
          </w:tcPr>
          <w:p w14:paraId="4859C97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农村</w:t>
            </w:r>
          </w:p>
        </w:tc>
      </w:tr>
      <w:tr w14:paraId="138E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69856435">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4ACB2C5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人口数（城市人口数）</w:t>
            </w:r>
          </w:p>
        </w:tc>
        <w:tc>
          <w:tcPr>
            <w:tcW w:w="3510" w:type="dxa"/>
            <w:noWrap w:val="0"/>
            <w:vAlign w:val="center"/>
          </w:tcPr>
          <w:p w14:paraId="4198AE0C">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62A2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2290B5AD">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最高环境温度/℃</w:t>
            </w:r>
          </w:p>
        </w:tc>
        <w:tc>
          <w:tcPr>
            <w:tcW w:w="3510" w:type="dxa"/>
            <w:noWrap w:val="0"/>
            <w:vAlign w:val="center"/>
          </w:tcPr>
          <w:p w14:paraId="62B80CDB">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40.8</w:t>
            </w:r>
          </w:p>
        </w:tc>
      </w:tr>
      <w:tr w14:paraId="60D7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5FCFCB0B">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最低环境温度/℃</w:t>
            </w:r>
          </w:p>
        </w:tc>
        <w:tc>
          <w:tcPr>
            <w:tcW w:w="3510" w:type="dxa"/>
            <w:noWrap w:val="0"/>
            <w:vAlign w:val="center"/>
          </w:tcPr>
          <w:p w14:paraId="27C8AF0F">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23.7</w:t>
            </w:r>
          </w:p>
        </w:tc>
      </w:tr>
      <w:tr w14:paraId="4D04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0BF9146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土地利用类型</w:t>
            </w:r>
          </w:p>
        </w:tc>
        <w:tc>
          <w:tcPr>
            <w:tcW w:w="3510" w:type="dxa"/>
            <w:noWrap w:val="0"/>
            <w:vAlign w:val="center"/>
          </w:tcPr>
          <w:p w14:paraId="0E47D275">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荒漠</w:t>
            </w:r>
          </w:p>
        </w:tc>
      </w:tr>
      <w:tr w14:paraId="1937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6" w:type="dxa"/>
            <w:gridSpan w:val="2"/>
            <w:noWrap w:val="0"/>
            <w:vAlign w:val="center"/>
          </w:tcPr>
          <w:p w14:paraId="2C3C1AB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区域湿度条件</w:t>
            </w:r>
          </w:p>
        </w:tc>
        <w:tc>
          <w:tcPr>
            <w:tcW w:w="3510" w:type="dxa"/>
            <w:noWrap w:val="0"/>
            <w:vAlign w:val="center"/>
          </w:tcPr>
          <w:p w14:paraId="606C0FB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干燥</w:t>
            </w:r>
          </w:p>
        </w:tc>
      </w:tr>
      <w:tr w14:paraId="091A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restart"/>
            <w:noWrap w:val="0"/>
            <w:vAlign w:val="center"/>
          </w:tcPr>
          <w:p w14:paraId="1347E6D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是否考虑地形</w:t>
            </w:r>
          </w:p>
        </w:tc>
        <w:tc>
          <w:tcPr>
            <w:tcW w:w="2573" w:type="dxa"/>
            <w:noWrap w:val="0"/>
            <w:vAlign w:val="center"/>
          </w:tcPr>
          <w:p w14:paraId="44D4305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考虑地形</w:t>
            </w:r>
          </w:p>
        </w:tc>
        <w:tc>
          <w:tcPr>
            <w:tcW w:w="3510" w:type="dxa"/>
            <w:noWrap w:val="0"/>
            <w:vAlign w:val="center"/>
          </w:tcPr>
          <w:p w14:paraId="5F536BB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shd w:val="clear" w:color="auto" w:fill="FFFFFF"/>
              </w:rPr>
              <w:t>□否</w:t>
            </w:r>
          </w:p>
        </w:tc>
      </w:tr>
      <w:tr w14:paraId="5E01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67E8DA9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3F7CAAF8">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地形数据分辨率（m）</w:t>
            </w:r>
          </w:p>
        </w:tc>
        <w:tc>
          <w:tcPr>
            <w:tcW w:w="3510" w:type="dxa"/>
            <w:noWrap w:val="0"/>
            <w:vAlign w:val="center"/>
          </w:tcPr>
          <w:p w14:paraId="4772B176">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r>
      <w:tr w14:paraId="657A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restart"/>
            <w:noWrap w:val="0"/>
            <w:vAlign w:val="center"/>
          </w:tcPr>
          <w:p w14:paraId="2E50D7C3">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是否考虑海岸线熏烟</w:t>
            </w:r>
          </w:p>
        </w:tc>
        <w:tc>
          <w:tcPr>
            <w:tcW w:w="2573" w:type="dxa"/>
            <w:noWrap w:val="0"/>
            <w:vAlign w:val="center"/>
          </w:tcPr>
          <w:p w14:paraId="2B63F241">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考虑海岸线熏烟</w:t>
            </w:r>
          </w:p>
        </w:tc>
        <w:tc>
          <w:tcPr>
            <w:tcW w:w="3510" w:type="dxa"/>
            <w:noWrap w:val="0"/>
            <w:vAlign w:val="center"/>
          </w:tcPr>
          <w:p w14:paraId="188F3039">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shd w:val="clear" w:color="auto" w:fill="FFFFFF"/>
              </w:rPr>
              <w:t>☑否</w:t>
            </w:r>
          </w:p>
        </w:tc>
      </w:tr>
      <w:tr w14:paraId="59FE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067DFBC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31806E22">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岸线距离/km</w:t>
            </w:r>
          </w:p>
        </w:tc>
        <w:tc>
          <w:tcPr>
            <w:tcW w:w="3510" w:type="dxa"/>
            <w:noWrap w:val="0"/>
            <w:vAlign w:val="center"/>
          </w:tcPr>
          <w:p w14:paraId="1FA96870">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25E0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33" w:type="dxa"/>
            <w:vMerge w:val="continue"/>
            <w:noWrap w:val="0"/>
            <w:vAlign w:val="center"/>
          </w:tcPr>
          <w:p w14:paraId="4CA3A85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p>
        </w:tc>
        <w:tc>
          <w:tcPr>
            <w:tcW w:w="2573" w:type="dxa"/>
            <w:noWrap w:val="0"/>
            <w:vAlign w:val="center"/>
          </w:tcPr>
          <w:p w14:paraId="1F5F93A4">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岸线方向/°</w:t>
            </w:r>
          </w:p>
        </w:tc>
        <w:tc>
          <w:tcPr>
            <w:tcW w:w="3510" w:type="dxa"/>
            <w:noWrap w:val="0"/>
            <w:vAlign w:val="center"/>
          </w:tcPr>
          <w:p w14:paraId="5C131347">
            <w:pPr>
              <w:pStyle w:val="138"/>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6A8F357E">
      <w:pPr>
        <w:keepNext w:val="0"/>
        <w:keepLines w:val="0"/>
        <w:pageBreakBefore w:val="0"/>
        <w:widowControl/>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（2）预测结果</w:t>
      </w:r>
    </w:p>
    <w:p w14:paraId="0ACD7120">
      <w:pPr>
        <w:keepNext w:val="0"/>
        <w:keepLines w:val="0"/>
        <w:pageBreakBefore w:val="0"/>
        <w:widowControl/>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各井场无组织排放源强相同，井场所处土地利用类型主要为天然牧草地</w:t>
      </w:r>
      <w:r>
        <w:rPr>
          <w:rFonts w:hint="default" w:ascii="Times New Roman" w:hAnsi="Times New Roman" w:cs="Times New Roman"/>
          <w:color w:val="auto"/>
          <w:sz w:val="24"/>
          <w:szCs w:val="24"/>
          <w:highlight w:val="none"/>
          <w:lang w:eastAsia="zh-CN"/>
        </w:rPr>
        <w:t>和</w:t>
      </w:r>
      <w:r>
        <w:rPr>
          <w:rFonts w:hint="default" w:ascii="Times New Roman" w:hAnsi="Times New Roman" w:cs="Times New Roman"/>
          <w:color w:val="auto"/>
          <w:sz w:val="24"/>
          <w:szCs w:val="24"/>
          <w:highlight w:val="none"/>
        </w:rPr>
        <w:t>灌木林地，因此本次预测选取各用地类型内代表性井场进行分析，见表5.2-</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p>
    <w:p w14:paraId="51D85BC9">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黑体" w:cs="Times New Roman"/>
          <w:color w:val="auto"/>
          <w:sz w:val="21"/>
          <w:szCs w:val="24"/>
          <w:highlight w:val="none"/>
        </w:rPr>
      </w:pPr>
      <w:r>
        <w:rPr>
          <w:rFonts w:hint="default" w:ascii="Times New Roman" w:hAnsi="Times New Roman" w:eastAsia="黑体" w:cs="Times New Roman"/>
          <w:color w:val="auto"/>
          <w:sz w:val="21"/>
          <w:szCs w:val="24"/>
          <w:highlight w:val="none"/>
        </w:rPr>
        <w:t>表5.2-</w:t>
      </w:r>
      <w:r>
        <w:rPr>
          <w:rFonts w:hint="default" w:ascii="Times New Roman" w:hAnsi="Times New Roman" w:eastAsia="黑体" w:cs="Times New Roman"/>
          <w:color w:val="auto"/>
          <w:sz w:val="21"/>
          <w:szCs w:val="24"/>
          <w:highlight w:val="none"/>
          <w:lang w:val="en-US" w:eastAsia="zh-CN"/>
        </w:rPr>
        <w:t>7</w:t>
      </w:r>
      <w:r>
        <w:rPr>
          <w:rFonts w:hint="eastAsia" w:eastAsia="黑体" w:cs="Times New Roman"/>
          <w:color w:val="auto"/>
          <w:sz w:val="21"/>
          <w:szCs w:val="24"/>
          <w:highlight w:val="none"/>
          <w:lang w:val="en-US" w:eastAsia="zh-CN"/>
        </w:rPr>
        <w:t xml:space="preserve"> 井场</w:t>
      </w:r>
      <w:r>
        <w:rPr>
          <w:rFonts w:hint="default" w:ascii="Times New Roman" w:hAnsi="Times New Roman" w:eastAsia="黑体" w:cs="Times New Roman"/>
          <w:color w:val="auto"/>
          <w:sz w:val="21"/>
          <w:szCs w:val="24"/>
          <w:highlight w:val="none"/>
        </w:rPr>
        <w:t>无组织排放废气估算模式预测污染物扩散结果</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2"/>
        <w:gridCol w:w="1078"/>
        <w:gridCol w:w="712"/>
        <w:gridCol w:w="1078"/>
        <w:gridCol w:w="848"/>
        <w:gridCol w:w="1078"/>
        <w:gridCol w:w="712"/>
        <w:gridCol w:w="1078"/>
        <w:gridCol w:w="713"/>
      </w:tblGrid>
      <w:tr w14:paraId="4A6B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672" w:type="pct"/>
            <w:vMerge w:val="restart"/>
            <w:tcBorders>
              <w:top w:val="single" w:color="auto" w:sz="4" w:space="0"/>
              <w:left w:val="single" w:color="auto" w:sz="4" w:space="0"/>
              <w:bottom w:val="single" w:color="auto" w:sz="4" w:space="0"/>
              <w:right w:val="single" w:color="auto" w:sz="4" w:space="0"/>
            </w:tcBorders>
            <w:noWrap w:val="0"/>
            <w:vAlign w:val="center"/>
          </w:tcPr>
          <w:p w14:paraId="059733F9">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距源中心下风向距离(m)</w:t>
            </w:r>
          </w:p>
        </w:tc>
        <w:tc>
          <w:tcPr>
            <w:tcW w:w="2203" w:type="pct"/>
            <w:gridSpan w:val="4"/>
            <w:tcBorders>
              <w:top w:val="single" w:color="auto" w:sz="4" w:space="0"/>
              <w:left w:val="single" w:color="auto" w:sz="4" w:space="0"/>
              <w:bottom w:val="single" w:color="auto" w:sz="4" w:space="0"/>
              <w:right w:val="single" w:color="auto" w:sz="4" w:space="0"/>
            </w:tcBorders>
            <w:noWrap w:val="0"/>
            <w:vAlign w:val="center"/>
          </w:tcPr>
          <w:p w14:paraId="1293653E">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18"/>
                <w:highlight w:val="none"/>
                <w:lang w:val="en-US" w:eastAsia="zh-CN"/>
              </w:rPr>
              <w:t>TH102</w:t>
            </w:r>
            <w:r>
              <w:rPr>
                <w:rFonts w:hint="eastAsia" w:ascii="Times New Roman" w:hAnsi="Times New Roman" w:cs="Times New Roman" w:eastAsiaTheme="minorEastAsia"/>
                <w:color w:val="auto"/>
                <w:sz w:val="21"/>
                <w:szCs w:val="18"/>
                <w:highlight w:val="none"/>
                <w:lang w:val="en-US" w:eastAsia="zh-CN"/>
              </w:rPr>
              <w:t>94</w:t>
            </w:r>
            <w:r>
              <w:rPr>
                <w:rFonts w:hint="default" w:ascii="Times New Roman" w:hAnsi="Times New Roman" w:cs="Times New Roman" w:eastAsiaTheme="minorEastAsia"/>
                <w:color w:val="auto"/>
                <w:sz w:val="21"/>
                <w:szCs w:val="18"/>
                <w:highlight w:val="none"/>
                <w:lang w:val="en-US" w:eastAsia="zh-CN"/>
              </w:rPr>
              <w:t>CH井场</w:t>
            </w:r>
          </w:p>
        </w:tc>
        <w:tc>
          <w:tcPr>
            <w:tcW w:w="2123" w:type="pct"/>
            <w:gridSpan w:val="4"/>
            <w:tcBorders>
              <w:top w:val="single" w:color="auto" w:sz="4" w:space="0"/>
              <w:left w:val="single" w:color="auto" w:sz="4" w:space="0"/>
              <w:bottom w:val="single" w:color="auto" w:sz="4" w:space="0"/>
              <w:right w:val="single" w:color="auto" w:sz="4" w:space="0"/>
            </w:tcBorders>
            <w:noWrap w:val="0"/>
            <w:vAlign w:val="center"/>
          </w:tcPr>
          <w:p w14:paraId="53DF4662">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18"/>
                <w:highlight w:val="none"/>
                <w:lang w:val="en-US" w:eastAsia="zh-CN"/>
              </w:rPr>
              <w:t>TK872CH</w:t>
            </w:r>
            <w:r>
              <w:rPr>
                <w:rFonts w:hint="default" w:ascii="Times New Roman" w:hAnsi="Times New Roman" w:cs="Times New Roman" w:eastAsiaTheme="minorEastAsia"/>
                <w:color w:val="auto"/>
                <w:sz w:val="21"/>
                <w:szCs w:val="24"/>
                <w:highlight w:val="none"/>
              </w:rPr>
              <w:t>井场</w:t>
            </w:r>
          </w:p>
        </w:tc>
      </w:tr>
      <w:tr w14:paraId="369A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672" w:type="pct"/>
            <w:vMerge w:val="continue"/>
            <w:tcBorders>
              <w:left w:val="single" w:color="auto" w:sz="4" w:space="0"/>
              <w:right w:val="single" w:color="auto" w:sz="4" w:space="0"/>
            </w:tcBorders>
            <w:noWrap w:val="0"/>
            <w:vAlign w:val="center"/>
          </w:tcPr>
          <w:p w14:paraId="44A3F39E">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p>
        </w:tc>
        <w:tc>
          <w:tcPr>
            <w:tcW w:w="1061"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6FAA27F">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NMHC</w:t>
            </w:r>
          </w:p>
        </w:tc>
        <w:tc>
          <w:tcPr>
            <w:tcW w:w="114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FCFA6A1">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H</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S</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7159F4F1">
            <w:pPr>
              <w:pStyle w:val="87"/>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NMHC</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147A51AB">
            <w:pPr>
              <w:pStyle w:val="87"/>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S</w:t>
            </w:r>
          </w:p>
        </w:tc>
      </w:tr>
      <w:tr w14:paraId="67D1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jc w:val="center"/>
        </w:trPr>
        <w:tc>
          <w:tcPr>
            <w:tcW w:w="672" w:type="pct"/>
            <w:vMerge w:val="continue"/>
            <w:tcBorders>
              <w:top w:val="single" w:color="auto" w:sz="4" w:space="0"/>
              <w:left w:val="single" w:color="auto" w:sz="4" w:space="0"/>
              <w:bottom w:val="single" w:color="auto" w:sz="4" w:space="0"/>
              <w:right w:val="single" w:color="auto" w:sz="4" w:space="0"/>
            </w:tcBorders>
            <w:noWrap w:val="0"/>
            <w:vAlign w:val="center"/>
          </w:tcPr>
          <w:p w14:paraId="213317DA">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p>
        </w:tc>
        <w:tc>
          <w:tcPr>
            <w:tcW w:w="639" w:type="pct"/>
            <w:tcBorders>
              <w:top w:val="single" w:color="auto" w:sz="4" w:space="0"/>
              <w:left w:val="single" w:color="auto" w:sz="4" w:space="0"/>
              <w:bottom w:val="single" w:color="auto" w:sz="4" w:space="0"/>
              <w:right w:val="single" w:color="auto" w:sz="4" w:space="0"/>
            </w:tcBorders>
            <w:noWrap w:val="0"/>
            <w:vAlign w:val="center"/>
          </w:tcPr>
          <w:p w14:paraId="2C929E03">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下风向预测浓度（</w:t>
            </w:r>
            <w:r>
              <w:rPr>
                <w:rFonts w:hint="default" w:ascii="Times New Roman" w:hAnsi="Times New Roman" w:eastAsia="宋体" w:cs="Times New Roman"/>
                <w:color w:val="auto"/>
                <w:sz w:val="21"/>
                <w:szCs w:val="21"/>
                <w:highlight w:val="none"/>
                <w:lang w:val="en-US" w:eastAsia="zh-CN"/>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8BA542A">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52C9DFB">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下风向预测浓度（</w:t>
            </w:r>
            <w:r>
              <w:rPr>
                <w:rFonts w:hint="default" w:ascii="Times New Roman" w:hAnsi="Times New Roman" w:eastAsia="宋体" w:cs="Times New Roman"/>
                <w:color w:val="auto"/>
                <w:sz w:val="21"/>
                <w:szCs w:val="21"/>
                <w:highlight w:val="none"/>
                <w:lang w:val="en-US" w:eastAsia="zh-CN"/>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14969057">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D3C2981">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下风向预测浓度（</w:t>
            </w:r>
            <w:r>
              <w:rPr>
                <w:rFonts w:hint="default" w:ascii="Times New Roman" w:hAnsi="Times New Roman" w:eastAsia="宋体" w:cs="Times New Roman"/>
                <w:color w:val="auto"/>
                <w:sz w:val="21"/>
                <w:szCs w:val="21"/>
                <w:highlight w:val="none"/>
                <w:lang w:val="en-US" w:eastAsia="zh-CN"/>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568DA17C">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6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464618">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下风向预测浓度（</w:t>
            </w:r>
            <w:r>
              <w:rPr>
                <w:rFonts w:hint="default" w:ascii="Times New Roman" w:hAnsi="Times New Roman" w:eastAsia="宋体" w:cs="Times New Roman"/>
                <w:color w:val="auto"/>
                <w:sz w:val="21"/>
                <w:szCs w:val="21"/>
                <w:highlight w:val="none"/>
                <w:lang w:val="en-US" w:eastAsia="zh-CN"/>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42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600801">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占标率（%）</w:t>
            </w:r>
          </w:p>
        </w:tc>
      </w:tr>
      <w:tr w14:paraId="3239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09C5D4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622C6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41.637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7F2AC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F28445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0.143703</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700C516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5A21D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41.637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26567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0C98A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0.040532</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5BA12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r>
      <w:tr w14:paraId="45C8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7B334648">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12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B2A933F">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45.037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4F81431D">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2.25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A29F2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0.155437</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6C6E0E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1.55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01BF8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45.037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E2DD0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2.25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4239E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0.043841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58E1EE0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0.44</w:t>
            </w:r>
          </w:p>
        </w:tc>
      </w:tr>
      <w:tr w14:paraId="2052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2FAEF9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bookmarkStart w:id="486" w:name="OLE_LINK644" w:colFirst="3" w:colLast="4"/>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BB9C8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23.81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6BA81F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3D1685B">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0.082176</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63F18009">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AE04F74">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23.809</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07156E1">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41784F7">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0.023177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263F14A">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0.23</w:t>
            </w:r>
          </w:p>
        </w:tc>
      </w:tr>
      <w:bookmarkEnd w:id="486"/>
      <w:tr w14:paraId="28D3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6845A5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093640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18.55</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B9103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0.93</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BA405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0.064022</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5AF6E8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681C84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18.55</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51D63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0.93</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B7557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0.018058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1A7C3D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14:paraId="4207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2158F6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CAFCB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12.826</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65BE6E6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D6502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0.044267</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6D2652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BE2A2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12.826</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61A58B3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85C9E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0.012485</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4936D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14:paraId="5A7E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770105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5BFFE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9.695301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84929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FBFFB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0.033462</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4D348EA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0.33</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9C886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9.695301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6E1523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7A46A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0.009438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606907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14:paraId="7827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60AD8B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1BBC0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7.7008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6B0350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0FD22C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0.026578</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2546E2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0.27</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F9B02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7.7008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9FB2D5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05B7B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0.007496</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577584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14:paraId="10A5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51F5B4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1B9EC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6.3494</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584A5B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9A9B30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0.021914</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320AE2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C2B13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6.3494</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436CB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1D834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0.006181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511DE9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3D11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78CC71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53E55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5.5888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41D4DB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867FD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0.019289</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79A6948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AC5FE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5.5888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57D6C64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01872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0.00544</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5638E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3309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193469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A02F5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4.963301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E3255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36989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0.01713</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0EAE44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A8B1D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4.963301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43BA09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06322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0.004832</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A9619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17BD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58B3CB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EB11E4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4.4492</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74C77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A08CC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0.015356</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21C248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BD506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4.4492</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40F0EC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173871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0.004331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DF3B3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14:paraId="216E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3FEBAD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DD790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4.0397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44D9F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0A5A5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0.013942</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43167E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722B8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4.0397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C5EC4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68093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0.003932</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7E5513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14:paraId="1977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2F08508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38612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3.7103</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17407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228FBB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0.012805</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1910A6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BC0DD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3.7103</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9DF5F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0C30B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0.003612</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E4116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14:paraId="2728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61A641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25F624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3.4323</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A58C7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307F3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0.011846</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5650360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BD5236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3.4323</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A0BDD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533E2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0.003341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2FBCE1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0376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54B634A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0A8C9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3.1953</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A9E404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D4AC9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0.011028</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447E5E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0BE3F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3.1953</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42D3CB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41EAD3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0.00311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4243B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40CB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450009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1F3C4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2.9937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5E8F3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C9EBFF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0.010332</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57B6EE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89EA4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2.9937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CBED0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BCD19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0.002914</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F142B3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337B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7CF40F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99194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2.8141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78028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81835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0.009712</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316DF7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5D7DE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2.8141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5EFC763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85949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0.002739</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D4B74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62DC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3B11F24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E9C51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2.6517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F7398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C5D33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0.009152</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4BEE4E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D7211D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2.6517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CCCD7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107B7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0.002581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B4565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34E1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576845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A290B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2.0326</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036DF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80E55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0.007015</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0F19BB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23E144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2.0326</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5F60E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F1B67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0.001979</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E6F0D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7ABE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08B58F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743B10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1.6246</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83DE8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D7A54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0.005607</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449EBE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DFB1E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1.6246</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5CD5AF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5AA474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0.001581</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292FE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25CC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6FB882FC">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下风向最大地面空气质量浓度及占标率%</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DEB3D5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45.037</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3E0DAA9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2.25</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232A3AE1">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0.155437</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183C4F4A">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1.55</w:t>
            </w:r>
          </w:p>
        </w:tc>
        <w:tc>
          <w:tcPr>
            <w:tcW w:w="6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74209D">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45.037</w:t>
            </w:r>
          </w:p>
        </w:tc>
        <w:tc>
          <w:tcPr>
            <w:tcW w:w="42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B85E60">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2.25</w:t>
            </w:r>
          </w:p>
        </w:tc>
        <w:tc>
          <w:tcPr>
            <w:tcW w:w="6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DF324E">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0.043841</w:t>
            </w:r>
          </w:p>
        </w:tc>
        <w:tc>
          <w:tcPr>
            <w:tcW w:w="42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4DA16A">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0.44</w:t>
            </w:r>
          </w:p>
        </w:tc>
      </w:tr>
      <w:tr w14:paraId="3582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79692A50">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D10%最远距离（m）</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712F191C">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42" w:type="pct"/>
            <w:gridSpan w:val="2"/>
            <w:tcBorders>
              <w:top w:val="single" w:color="auto" w:sz="4" w:space="0"/>
              <w:left w:val="single" w:color="auto" w:sz="4" w:space="0"/>
              <w:bottom w:val="single" w:color="auto" w:sz="4" w:space="0"/>
              <w:right w:val="single" w:color="auto" w:sz="4" w:space="0"/>
            </w:tcBorders>
            <w:noWrap w:val="0"/>
            <w:vAlign w:val="center"/>
          </w:tcPr>
          <w:p w14:paraId="724B7C20">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4EB956CC">
            <w:pPr>
              <w:pStyle w:val="87"/>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2228921F">
            <w:pPr>
              <w:pStyle w:val="87"/>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697B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2" w:hRule="atLeast"/>
          <w:jc w:val="center"/>
        </w:trPr>
        <w:tc>
          <w:tcPr>
            <w:tcW w:w="672" w:type="pct"/>
            <w:tcBorders>
              <w:top w:val="single" w:color="auto" w:sz="4" w:space="0"/>
              <w:left w:val="single" w:color="auto" w:sz="4" w:space="0"/>
              <w:bottom w:val="single" w:color="auto" w:sz="4" w:space="0"/>
              <w:right w:val="single" w:color="auto" w:sz="4" w:space="0"/>
            </w:tcBorders>
            <w:noWrap w:val="0"/>
            <w:vAlign w:val="center"/>
          </w:tcPr>
          <w:p w14:paraId="31C4247F">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w:t>
            </w:r>
            <w:r>
              <w:rPr>
                <w:rFonts w:hint="default" w:ascii="Times New Roman" w:hAnsi="Times New Roman" w:eastAsia="宋体" w:cs="Times New Roman"/>
                <w:color w:val="auto"/>
                <w:sz w:val="21"/>
                <w:szCs w:val="21"/>
                <w:highlight w:val="none"/>
                <w:lang w:val="en-US" w:eastAsia="zh-CN"/>
              </w:rPr>
              <w:t>落地</w:t>
            </w:r>
            <w:r>
              <w:rPr>
                <w:rFonts w:hint="default" w:ascii="Times New Roman" w:hAnsi="Times New Roman" w:eastAsia="宋体" w:cs="Times New Roman"/>
                <w:color w:val="auto"/>
                <w:sz w:val="21"/>
                <w:szCs w:val="21"/>
                <w:highlight w:val="none"/>
              </w:rPr>
              <w:t>空气质量浓度距源距离（m）</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7DFE6919">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142" w:type="pct"/>
            <w:gridSpan w:val="2"/>
            <w:tcBorders>
              <w:top w:val="single" w:color="auto" w:sz="4" w:space="0"/>
              <w:left w:val="single" w:color="auto" w:sz="4" w:space="0"/>
              <w:bottom w:val="single" w:color="auto" w:sz="4" w:space="0"/>
              <w:right w:val="single" w:color="auto" w:sz="4" w:space="0"/>
            </w:tcBorders>
            <w:noWrap w:val="0"/>
            <w:vAlign w:val="center"/>
          </w:tcPr>
          <w:p w14:paraId="3DB7914B">
            <w:pPr>
              <w:pStyle w:val="87"/>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49CBC316">
            <w:pPr>
              <w:pStyle w:val="87"/>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061" w:type="pct"/>
            <w:gridSpan w:val="2"/>
            <w:tcBorders>
              <w:top w:val="single" w:color="auto" w:sz="4" w:space="0"/>
              <w:left w:val="single" w:color="auto" w:sz="4" w:space="0"/>
              <w:bottom w:val="single" w:color="auto" w:sz="4" w:space="0"/>
              <w:right w:val="single" w:color="auto" w:sz="4" w:space="0"/>
            </w:tcBorders>
            <w:noWrap w:val="0"/>
            <w:vAlign w:val="center"/>
          </w:tcPr>
          <w:p w14:paraId="718AF29D">
            <w:pPr>
              <w:pStyle w:val="87"/>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r>
    </w:tbl>
    <w:p w14:paraId="6DC20A6F">
      <w:pPr>
        <w:keepNext w:val="0"/>
        <w:keepLines w:val="0"/>
        <w:pageBreakBefore w:val="0"/>
        <w:widowControl/>
        <w:kinsoku/>
        <w:wordWrap/>
        <w:overflowPunct/>
        <w:topLinePunct w:val="0"/>
        <w:autoSpaceDE/>
        <w:autoSpaceDN/>
        <w:bidi w:val="0"/>
        <w:adjustRightInd/>
        <w:snapToGrid/>
        <w:spacing w:before="0" w:beforeLines="50" w:afterLines="0" w:line="360" w:lineRule="auto"/>
        <w:ind w:firstLine="482"/>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根据表5.2-</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预测结果可知：各代表性井场无组织废气污染源排放的非甲烷总烃最大落地浓度</w:t>
      </w:r>
      <w:r>
        <w:rPr>
          <w:rFonts w:hint="default" w:ascii="Times New Roman" w:hAnsi="Times New Roman" w:eastAsia="宋体" w:cs="Times New Roman"/>
          <w:color w:val="auto"/>
          <w:sz w:val="24"/>
          <w:szCs w:val="24"/>
          <w:highlight w:val="none"/>
          <w:lang w:val="en-US" w:eastAsia="zh-CN"/>
        </w:rPr>
        <w:t>45.037</w:t>
      </w:r>
      <w:r>
        <w:rPr>
          <w:rFonts w:hint="default" w:ascii="Times New Roman" w:hAnsi="Times New Roman" w:eastAsia="宋体" w:cs="Times New Roman"/>
          <w:color w:val="auto"/>
          <w:sz w:val="24"/>
          <w:szCs w:val="24"/>
          <w:highlight w:val="none"/>
        </w:rPr>
        <w:t>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w:t>
      </w:r>
      <w:r>
        <w:rPr>
          <w:rFonts w:hint="eastAsia" w:ascii="Times New Roman" w:hAnsi="Times New Roman" w:eastAsia="宋体" w:cs="Times New Roman"/>
          <w:color w:val="auto"/>
          <w:sz w:val="24"/>
          <w:szCs w:val="24"/>
          <w:highlight w:val="none"/>
          <w:lang w:val="en-US" w:eastAsia="zh-CN"/>
        </w:rPr>
        <w:t>2.25</w:t>
      </w:r>
      <w:r>
        <w:rPr>
          <w:rFonts w:hint="default" w:ascii="Times New Roman" w:hAnsi="Times New Roman" w:eastAsia="宋体" w:cs="Times New Roman"/>
          <w:color w:val="auto"/>
          <w:sz w:val="24"/>
          <w:szCs w:val="24"/>
          <w:highlight w:val="none"/>
        </w:rPr>
        <w:t>%；硫化氢最大落地浓度</w:t>
      </w:r>
      <w:r>
        <w:rPr>
          <w:rFonts w:hint="default" w:ascii="Times New Roman" w:hAnsi="Times New Roman" w:eastAsia="宋体" w:cs="Times New Roman"/>
          <w:color w:val="auto"/>
          <w:sz w:val="24"/>
          <w:szCs w:val="24"/>
          <w:highlight w:val="none"/>
          <w:lang w:val="en-US" w:eastAsia="zh-CN"/>
        </w:rPr>
        <w:t>0.155437</w:t>
      </w:r>
      <w:r>
        <w:rPr>
          <w:rFonts w:hint="default" w:ascii="Times New Roman" w:hAnsi="Times New Roman" w:eastAsia="宋体" w:cs="Times New Roman"/>
          <w:color w:val="auto"/>
          <w:sz w:val="24"/>
          <w:szCs w:val="24"/>
          <w:highlight w:val="none"/>
        </w:rPr>
        <w:t>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%；最大落地浓度点位下风向</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m。非甲烷总烃满足《大气污染物综合排放标准详解》2.0mg/m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的标准要求，硫化氢满足《环境影响评价技术导则大气环境》（HJ2.2-2018）附录D中的1h平均浓度限值10μg/m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的要求。</w:t>
      </w:r>
    </w:p>
    <w:p w14:paraId="5F3FAC11">
      <w:pPr>
        <w:widowControl w:val="0"/>
        <w:adjustRightInd w:val="0"/>
        <w:snapToGrid w:val="0"/>
        <w:spacing w:beforeLines="0" w:afterLines="0" w:line="360" w:lineRule="auto"/>
        <w:jc w:val="both"/>
        <w:outlineLvl w:val="3"/>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rPr>
        <w:t>5.2.</w:t>
      </w:r>
      <w:r>
        <w:rPr>
          <w:rFonts w:hint="default" w:ascii="Times New Roman" w:hAnsi="Times New Roman" w:eastAsia="黑体" w:cs="Times New Roman"/>
          <w:snapToGrid w:val="0"/>
          <w:color w:val="auto"/>
          <w:sz w:val="24"/>
          <w:szCs w:val="24"/>
          <w:highlight w:val="none"/>
          <w:lang w:val="en-US" w:eastAsia="zh-CN"/>
        </w:rPr>
        <w:t>2</w:t>
      </w:r>
      <w:r>
        <w:rPr>
          <w:rFonts w:hint="default" w:ascii="Times New Roman" w:hAnsi="Times New Roman" w:eastAsia="黑体" w:cs="Times New Roman"/>
          <w:snapToGrid w:val="0"/>
          <w:color w:val="auto"/>
          <w:sz w:val="24"/>
          <w:szCs w:val="24"/>
          <w:highlight w:val="none"/>
        </w:rPr>
        <w:t>.</w:t>
      </w:r>
      <w:r>
        <w:rPr>
          <w:rFonts w:hint="default" w:ascii="Times New Roman" w:hAnsi="Times New Roman" w:eastAsia="黑体" w:cs="Times New Roman"/>
          <w:snapToGrid w:val="0"/>
          <w:color w:val="auto"/>
          <w:sz w:val="24"/>
          <w:szCs w:val="24"/>
          <w:highlight w:val="none"/>
          <w:lang w:val="en-US" w:eastAsia="zh-CN"/>
        </w:rPr>
        <w:t>3</w:t>
      </w:r>
      <w:r>
        <w:rPr>
          <w:rFonts w:hint="default" w:ascii="Times New Roman" w:hAnsi="Times New Roman" w:eastAsia="黑体" w:cs="Times New Roman"/>
          <w:snapToGrid w:val="0"/>
          <w:color w:val="auto"/>
          <w:sz w:val="24"/>
          <w:szCs w:val="24"/>
          <w:highlight w:val="none"/>
        </w:rPr>
        <w:t>非正常排放大气影响估算</w:t>
      </w:r>
    </w:p>
    <w:p w14:paraId="5D11CC0F">
      <w:pPr>
        <w:pStyle w:val="1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（1）污染源强</w:t>
      </w:r>
    </w:p>
    <w:p w14:paraId="7D2B232D">
      <w:pPr>
        <w:pStyle w:val="13"/>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本项目油气集输过程中，若井口压力过高，此时利用防喷器迅速封闭井口，打开放喷管线阀门泄压，采出液通过放喷管线直接进入放喷池，事故放喷一般时间较短。本次评价将</w:t>
      </w:r>
      <w:r>
        <w:rPr>
          <w:rFonts w:hint="default" w:ascii="Times New Roman" w:hAnsi="Times New Roman" w:cs="Times New Roman"/>
          <w:color w:val="auto"/>
          <w:sz w:val="24"/>
          <w:szCs w:val="24"/>
          <w:highlight w:val="none"/>
          <w:lang w:val="en-US" w:eastAsia="zh-CN"/>
        </w:rPr>
        <w:t>T</w:t>
      </w:r>
      <w:r>
        <w:rPr>
          <w:rFonts w:hint="eastAsia" w:cs="Times New Roman"/>
          <w:color w:val="auto"/>
          <w:sz w:val="24"/>
          <w:szCs w:val="24"/>
          <w:highlight w:val="none"/>
          <w:lang w:val="en-US" w:eastAsia="zh-CN"/>
        </w:rPr>
        <w:t>H10250CH</w:t>
      </w:r>
      <w:r>
        <w:rPr>
          <w:rFonts w:hint="default" w:ascii="Times New Roman" w:hAnsi="Times New Roman" w:eastAsia="宋体" w:cs="Times New Roman"/>
          <w:color w:val="auto"/>
          <w:sz w:val="24"/>
          <w:szCs w:val="24"/>
          <w:highlight w:val="none"/>
          <w:lang w:val="en-US" w:eastAsia="zh-CN"/>
        </w:rPr>
        <w:t>井口压力异常情况作为非正常排放考虑，本项目放喷非正常工况下污染物源强情况见表5.2-</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p>
    <w:p w14:paraId="41BCF21D">
      <w:pPr>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default" w:ascii="Times New Roman" w:hAnsi="Times New Roman" w:eastAsia="黑体" w:cs="Times New Roman"/>
          <w:color w:val="auto"/>
          <w:sz w:val="21"/>
          <w:szCs w:val="21"/>
          <w:highlight w:val="none"/>
          <w:lang w:val="en-US" w:eastAsia="zh-CN"/>
        </w:rPr>
        <w:t>5.2-</w:t>
      </w:r>
      <w:r>
        <w:rPr>
          <w:rFonts w:hint="eastAsia" w:eastAsia="黑体" w:cs="Times New Roman"/>
          <w:color w:val="auto"/>
          <w:sz w:val="21"/>
          <w:szCs w:val="21"/>
          <w:highlight w:val="none"/>
          <w:lang w:val="en-US" w:eastAsia="zh-CN"/>
        </w:rPr>
        <w:t xml:space="preserve">8  </w:t>
      </w:r>
      <w:r>
        <w:rPr>
          <w:rFonts w:hint="default" w:ascii="Times New Roman" w:hAnsi="Times New Roman" w:eastAsia="黑体" w:cs="Times New Roman"/>
          <w:color w:val="auto"/>
          <w:sz w:val="21"/>
          <w:szCs w:val="21"/>
          <w:highlight w:val="none"/>
        </w:rPr>
        <w:t>非正常工况下污染物排放一览表</w:t>
      </w:r>
    </w:p>
    <w:tbl>
      <w:tblPr>
        <w:tblStyle w:val="35"/>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30"/>
        <w:gridCol w:w="714"/>
        <w:gridCol w:w="420"/>
        <w:gridCol w:w="579"/>
        <w:gridCol w:w="683"/>
        <w:gridCol w:w="699"/>
        <w:gridCol w:w="594"/>
        <w:gridCol w:w="647"/>
        <w:gridCol w:w="681"/>
        <w:gridCol w:w="699"/>
        <w:gridCol w:w="470"/>
        <w:gridCol w:w="990"/>
        <w:gridCol w:w="802"/>
      </w:tblGrid>
      <w:tr w14:paraId="1C7FD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5" w:type="pct"/>
            <w:vMerge w:val="restart"/>
            <w:noWrap w:val="0"/>
            <w:vAlign w:val="center"/>
          </w:tcPr>
          <w:p w14:paraId="0DBC5DCB">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序号</w:t>
            </w:r>
          </w:p>
        </w:tc>
        <w:tc>
          <w:tcPr>
            <w:tcW w:w="424" w:type="pct"/>
            <w:vMerge w:val="restart"/>
            <w:noWrap w:val="0"/>
            <w:vAlign w:val="center"/>
          </w:tcPr>
          <w:p w14:paraId="4A12FA51">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面源</w:t>
            </w:r>
          </w:p>
          <w:p w14:paraId="54967A3E">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名称</w:t>
            </w:r>
          </w:p>
        </w:tc>
        <w:tc>
          <w:tcPr>
            <w:tcW w:w="594" w:type="pct"/>
            <w:gridSpan w:val="2"/>
            <w:noWrap w:val="0"/>
            <w:vAlign w:val="center"/>
          </w:tcPr>
          <w:p w14:paraId="1BC92A6F">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面源起点坐标</w:t>
            </w:r>
          </w:p>
        </w:tc>
        <w:tc>
          <w:tcPr>
            <w:tcW w:w="405" w:type="pct"/>
            <w:vMerge w:val="restart"/>
            <w:noWrap w:val="0"/>
            <w:vAlign w:val="center"/>
          </w:tcPr>
          <w:p w14:paraId="278CC7A4">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面源海拔高度/m</w:t>
            </w:r>
          </w:p>
        </w:tc>
        <w:tc>
          <w:tcPr>
            <w:tcW w:w="416" w:type="pct"/>
            <w:vMerge w:val="restart"/>
            <w:noWrap w:val="0"/>
            <w:vAlign w:val="center"/>
          </w:tcPr>
          <w:p w14:paraId="7BAFDF78">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面源长度/m</w:t>
            </w:r>
          </w:p>
        </w:tc>
        <w:tc>
          <w:tcPr>
            <w:tcW w:w="353" w:type="pct"/>
            <w:vMerge w:val="restart"/>
            <w:noWrap w:val="0"/>
            <w:vAlign w:val="center"/>
          </w:tcPr>
          <w:p w14:paraId="0AB65981">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面源宽度/m</w:t>
            </w:r>
          </w:p>
        </w:tc>
        <w:tc>
          <w:tcPr>
            <w:tcW w:w="384" w:type="pct"/>
            <w:vMerge w:val="restart"/>
            <w:noWrap w:val="0"/>
            <w:vAlign w:val="center"/>
          </w:tcPr>
          <w:p w14:paraId="1D459BE3">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与正北向夹角/°</w:t>
            </w:r>
          </w:p>
        </w:tc>
        <w:tc>
          <w:tcPr>
            <w:tcW w:w="404" w:type="pct"/>
            <w:vMerge w:val="restart"/>
            <w:noWrap w:val="0"/>
            <w:vAlign w:val="center"/>
          </w:tcPr>
          <w:p w14:paraId="05DA47DA">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面源有效排放高度/m</w:t>
            </w:r>
          </w:p>
        </w:tc>
        <w:tc>
          <w:tcPr>
            <w:tcW w:w="416" w:type="pct"/>
            <w:vMerge w:val="restart"/>
            <w:noWrap w:val="0"/>
            <w:vAlign w:val="center"/>
          </w:tcPr>
          <w:p w14:paraId="634DA10C">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年排放小时数/h</w:t>
            </w:r>
          </w:p>
        </w:tc>
        <w:tc>
          <w:tcPr>
            <w:tcW w:w="279" w:type="pct"/>
            <w:vMerge w:val="restart"/>
            <w:noWrap w:val="0"/>
            <w:vAlign w:val="center"/>
          </w:tcPr>
          <w:p w14:paraId="4F514A88">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排放工况</w:t>
            </w:r>
          </w:p>
        </w:tc>
        <w:tc>
          <w:tcPr>
            <w:tcW w:w="588" w:type="pct"/>
            <w:vMerge w:val="restart"/>
            <w:noWrap w:val="0"/>
            <w:vAlign w:val="center"/>
          </w:tcPr>
          <w:p w14:paraId="36ADF416">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评价</w:t>
            </w:r>
          </w:p>
          <w:p w14:paraId="5CD37ED2">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因子</w:t>
            </w:r>
          </w:p>
        </w:tc>
        <w:tc>
          <w:tcPr>
            <w:tcW w:w="476" w:type="pct"/>
            <w:vMerge w:val="restart"/>
            <w:noWrap w:val="0"/>
            <w:vAlign w:val="center"/>
          </w:tcPr>
          <w:p w14:paraId="4B7051F4">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排放</w:t>
            </w:r>
          </w:p>
          <w:p w14:paraId="5D0139CE">
            <w:pPr>
              <w:topLinePunct/>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速率</w:t>
            </w:r>
            <w:r>
              <w:rPr>
                <w:rFonts w:hint="default" w:ascii="Times New Roman" w:hAnsi="Times New Roman" w:eastAsia="宋体" w:cs="Times New Roman"/>
                <w:color w:val="auto"/>
                <w:spacing w:val="-20"/>
                <w:sz w:val="21"/>
                <w:szCs w:val="21"/>
                <w:highlight w:val="none"/>
              </w:rPr>
              <w:t>/(kg/h)</w:t>
            </w:r>
          </w:p>
        </w:tc>
      </w:tr>
      <w:tr w14:paraId="0FE72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5" w:type="pct"/>
            <w:vMerge w:val="continue"/>
            <w:noWrap w:val="0"/>
            <w:vAlign w:val="center"/>
          </w:tcPr>
          <w:p w14:paraId="521544BC">
            <w:pPr>
              <w:spacing w:line="0" w:lineRule="atLeast"/>
              <w:jc w:val="left"/>
              <w:rPr>
                <w:rFonts w:hint="default" w:ascii="Times New Roman" w:hAnsi="Times New Roman" w:eastAsia="宋体" w:cs="Times New Roman"/>
                <w:color w:val="auto"/>
                <w:spacing w:val="-10"/>
                <w:sz w:val="21"/>
                <w:szCs w:val="21"/>
                <w:highlight w:val="none"/>
              </w:rPr>
            </w:pPr>
          </w:p>
        </w:tc>
        <w:tc>
          <w:tcPr>
            <w:tcW w:w="424" w:type="pct"/>
            <w:vMerge w:val="continue"/>
            <w:noWrap w:val="0"/>
            <w:vAlign w:val="center"/>
          </w:tcPr>
          <w:p w14:paraId="1D04808A">
            <w:pPr>
              <w:spacing w:line="0" w:lineRule="atLeast"/>
              <w:jc w:val="left"/>
              <w:rPr>
                <w:rFonts w:hint="default" w:ascii="Times New Roman" w:hAnsi="Times New Roman" w:eastAsia="宋体" w:cs="Times New Roman"/>
                <w:color w:val="auto"/>
                <w:spacing w:val="-10"/>
                <w:sz w:val="21"/>
                <w:szCs w:val="21"/>
                <w:highlight w:val="none"/>
              </w:rPr>
            </w:pPr>
          </w:p>
        </w:tc>
        <w:tc>
          <w:tcPr>
            <w:tcW w:w="249" w:type="pct"/>
            <w:noWrap w:val="0"/>
            <w:vAlign w:val="center"/>
          </w:tcPr>
          <w:p w14:paraId="5D96BACD">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X</w:t>
            </w:r>
          </w:p>
        </w:tc>
        <w:tc>
          <w:tcPr>
            <w:tcW w:w="344" w:type="pct"/>
            <w:noWrap w:val="0"/>
            <w:vAlign w:val="center"/>
          </w:tcPr>
          <w:p w14:paraId="7C08DA58">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Y</w:t>
            </w:r>
          </w:p>
        </w:tc>
        <w:tc>
          <w:tcPr>
            <w:tcW w:w="405" w:type="pct"/>
            <w:vMerge w:val="continue"/>
            <w:noWrap w:val="0"/>
            <w:vAlign w:val="center"/>
          </w:tcPr>
          <w:p w14:paraId="7B9D8278">
            <w:pPr>
              <w:spacing w:line="0" w:lineRule="atLeast"/>
              <w:jc w:val="left"/>
              <w:rPr>
                <w:rFonts w:hint="default" w:ascii="Times New Roman" w:hAnsi="Times New Roman" w:eastAsia="宋体" w:cs="Times New Roman"/>
                <w:color w:val="auto"/>
                <w:spacing w:val="-10"/>
                <w:sz w:val="21"/>
                <w:szCs w:val="21"/>
                <w:highlight w:val="none"/>
              </w:rPr>
            </w:pPr>
          </w:p>
        </w:tc>
        <w:tc>
          <w:tcPr>
            <w:tcW w:w="416" w:type="pct"/>
            <w:vMerge w:val="continue"/>
            <w:noWrap w:val="0"/>
            <w:vAlign w:val="center"/>
          </w:tcPr>
          <w:p w14:paraId="670C90F5">
            <w:pPr>
              <w:spacing w:line="0" w:lineRule="atLeast"/>
              <w:jc w:val="left"/>
              <w:rPr>
                <w:rFonts w:hint="default" w:ascii="Times New Roman" w:hAnsi="Times New Roman" w:eastAsia="宋体" w:cs="Times New Roman"/>
                <w:color w:val="auto"/>
                <w:spacing w:val="-10"/>
                <w:sz w:val="21"/>
                <w:szCs w:val="21"/>
                <w:highlight w:val="none"/>
              </w:rPr>
            </w:pPr>
          </w:p>
        </w:tc>
        <w:tc>
          <w:tcPr>
            <w:tcW w:w="353" w:type="pct"/>
            <w:vMerge w:val="continue"/>
            <w:noWrap w:val="0"/>
            <w:vAlign w:val="center"/>
          </w:tcPr>
          <w:p w14:paraId="3B73CCC8">
            <w:pPr>
              <w:spacing w:line="0" w:lineRule="atLeast"/>
              <w:jc w:val="left"/>
              <w:rPr>
                <w:rFonts w:hint="default" w:ascii="Times New Roman" w:hAnsi="Times New Roman" w:eastAsia="宋体" w:cs="Times New Roman"/>
                <w:color w:val="auto"/>
                <w:spacing w:val="-10"/>
                <w:sz w:val="21"/>
                <w:szCs w:val="21"/>
                <w:highlight w:val="none"/>
              </w:rPr>
            </w:pPr>
          </w:p>
        </w:tc>
        <w:tc>
          <w:tcPr>
            <w:tcW w:w="384" w:type="pct"/>
            <w:vMerge w:val="continue"/>
            <w:noWrap w:val="0"/>
            <w:vAlign w:val="center"/>
          </w:tcPr>
          <w:p w14:paraId="47DAEF82">
            <w:pPr>
              <w:spacing w:line="0" w:lineRule="atLeast"/>
              <w:jc w:val="left"/>
              <w:rPr>
                <w:rFonts w:hint="default" w:ascii="Times New Roman" w:hAnsi="Times New Roman" w:eastAsia="宋体" w:cs="Times New Roman"/>
                <w:color w:val="auto"/>
                <w:spacing w:val="-10"/>
                <w:sz w:val="21"/>
                <w:szCs w:val="21"/>
                <w:highlight w:val="none"/>
              </w:rPr>
            </w:pPr>
          </w:p>
        </w:tc>
        <w:tc>
          <w:tcPr>
            <w:tcW w:w="404" w:type="pct"/>
            <w:vMerge w:val="continue"/>
            <w:noWrap w:val="0"/>
            <w:vAlign w:val="center"/>
          </w:tcPr>
          <w:p w14:paraId="4129D170">
            <w:pPr>
              <w:spacing w:line="0" w:lineRule="atLeast"/>
              <w:jc w:val="left"/>
              <w:rPr>
                <w:rFonts w:hint="default" w:ascii="Times New Roman" w:hAnsi="Times New Roman" w:eastAsia="宋体" w:cs="Times New Roman"/>
                <w:color w:val="auto"/>
                <w:spacing w:val="-10"/>
                <w:sz w:val="21"/>
                <w:szCs w:val="21"/>
                <w:highlight w:val="none"/>
              </w:rPr>
            </w:pPr>
          </w:p>
        </w:tc>
        <w:tc>
          <w:tcPr>
            <w:tcW w:w="416" w:type="pct"/>
            <w:vMerge w:val="continue"/>
            <w:noWrap w:val="0"/>
            <w:vAlign w:val="center"/>
          </w:tcPr>
          <w:p w14:paraId="3B98A90F">
            <w:pPr>
              <w:spacing w:line="0" w:lineRule="atLeast"/>
              <w:jc w:val="left"/>
              <w:rPr>
                <w:rFonts w:hint="default" w:ascii="Times New Roman" w:hAnsi="Times New Roman" w:eastAsia="宋体" w:cs="Times New Roman"/>
                <w:color w:val="auto"/>
                <w:spacing w:val="-10"/>
                <w:sz w:val="21"/>
                <w:szCs w:val="21"/>
                <w:highlight w:val="none"/>
              </w:rPr>
            </w:pPr>
          </w:p>
        </w:tc>
        <w:tc>
          <w:tcPr>
            <w:tcW w:w="279" w:type="pct"/>
            <w:vMerge w:val="continue"/>
            <w:noWrap w:val="0"/>
            <w:vAlign w:val="center"/>
          </w:tcPr>
          <w:p w14:paraId="03681D97">
            <w:pPr>
              <w:spacing w:line="0" w:lineRule="atLeast"/>
              <w:jc w:val="left"/>
              <w:rPr>
                <w:rFonts w:hint="default" w:ascii="Times New Roman" w:hAnsi="Times New Roman" w:eastAsia="宋体" w:cs="Times New Roman"/>
                <w:color w:val="auto"/>
                <w:spacing w:val="-10"/>
                <w:sz w:val="21"/>
                <w:szCs w:val="21"/>
                <w:highlight w:val="none"/>
              </w:rPr>
            </w:pPr>
          </w:p>
        </w:tc>
        <w:tc>
          <w:tcPr>
            <w:tcW w:w="588" w:type="pct"/>
            <w:vMerge w:val="continue"/>
            <w:noWrap w:val="0"/>
            <w:vAlign w:val="center"/>
          </w:tcPr>
          <w:p w14:paraId="1E38311A">
            <w:pPr>
              <w:spacing w:line="0" w:lineRule="atLeast"/>
              <w:jc w:val="left"/>
              <w:rPr>
                <w:rFonts w:hint="default" w:ascii="Times New Roman" w:hAnsi="Times New Roman" w:eastAsia="宋体" w:cs="Times New Roman"/>
                <w:color w:val="auto"/>
                <w:spacing w:val="-10"/>
                <w:sz w:val="21"/>
                <w:szCs w:val="21"/>
                <w:highlight w:val="none"/>
              </w:rPr>
            </w:pPr>
          </w:p>
        </w:tc>
        <w:tc>
          <w:tcPr>
            <w:tcW w:w="476" w:type="pct"/>
            <w:vMerge w:val="continue"/>
            <w:noWrap w:val="0"/>
            <w:vAlign w:val="center"/>
          </w:tcPr>
          <w:p w14:paraId="4873F287">
            <w:pPr>
              <w:spacing w:line="0" w:lineRule="atLeast"/>
              <w:jc w:val="left"/>
              <w:rPr>
                <w:rFonts w:hint="default" w:ascii="Times New Roman" w:hAnsi="Times New Roman" w:eastAsia="宋体" w:cs="Times New Roman"/>
                <w:color w:val="auto"/>
                <w:spacing w:val="-10"/>
                <w:sz w:val="21"/>
                <w:szCs w:val="21"/>
                <w:highlight w:val="none"/>
              </w:rPr>
            </w:pPr>
          </w:p>
        </w:tc>
      </w:tr>
      <w:tr w14:paraId="414BE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28" w:hRule="atLeast"/>
          <w:jc w:val="center"/>
        </w:trPr>
        <w:tc>
          <w:tcPr>
            <w:tcW w:w="255" w:type="pct"/>
            <w:vMerge w:val="restart"/>
            <w:noWrap w:val="0"/>
            <w:vAlign w:val="center"/>
          </w:tcPr>
          <w:p w14:paraId="5AEBBD42">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w:t>
            </w:r>
          </w:p>
        </w:tc>
        <w:tc>
          <w:tcPr>
            <w:tcW w:w="424" w:type="pct"/>
            <w:vMerge w:val="restart"/>
            <w:noWrap w:val="0"/>
            <w:vAlign w:val="center"/>
          </w:tcPr>
          <w:p w14:paraId="1F8690B2">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放喷池</w:t>
            </w:r>
          </w:p>
        </w:tc>
        <w:tc>
          <w:tcPr>
            <w:tcW w:w="249" w:type="pct"/>
            <w:vMerge w:val="restart"/>
            <w:noWrap w:val="0"/>
            <w:vAlign w:val="center"/>
          </w:tcPr>
          <w:p w14:paraId="258D54F6">
            <w:pPr>
              <w:adjustRightInd w:val="0"/>
              <w:spacing w:line="0" w:lineRule="atLeast"/>
              <w:jc w:val="center"/>
              <w:rPr>
                <w:rFonts w:hint="default" w:ascii="Times New Roman" w:hAnsi="Times New Roman" w:eastAsia="宋体" w:cs="Times New Roman"/>
                <w:color w:val="auto"/>
                <w:spacing w:val="-10"/>
                <w:sz w:val="21"/>
                <w:szCs w:val="21"/>
                <w:highlight w:val="none"/>
              </w:rPr>
            </w:pPr>
          </w:p>
        </w:tc>
        <w:tc>
          <w:tcPr>
            <w:tcW w:w="344" w:type="pct"/>
            <w:vMerge w:val="restart"/>
            <w:noWrap w:val="0"/>
            <w:vAlign w:val="center"/>
          </w:tcPr>
          <w:p w14:paraId="070A0EDE">
            <w:pPr>
              <w:adjustRightInd w:val="0"/>
              <w:spacing w:line="0" w:lineRule="atLeast"/>
              <w:jc w:val="center"/>
              <w:rPr>
                <w:rFonts w:hint="default" w:ascii="Times New Roman" w:hAnsi="Times New Roman" w:eastAsia="宋体" w:cs="Times New Roman"/>
                <w:color w:val="auto"/>
                <w:spacing w:val="-10"/>
                <w:sz w:val="21"/>
                <w:szCs w:val="21"/>
                <w:highlight w:val="none"/>
              </w:rPr>
            </w:pPr>
          </w:p>
        </w:tc>
        <w:tc>
          <w:tcPr>
            <w:tcW w:w="405" w:type="pct"/>
            <w:vMerge w:val="restart"/>
            <w:noWrap w:val="0"/>
            <w:vAlign w:val="center"/>
          </w:tcPr>
          <w:p w14:paraId="1C496005">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943</w:t>
            </w:r>
          </w:p>
        </w:tc>
        <w:tc>
          <w:tcPr>
            <w:tcW w:w="416" w:type="pct"/>
            <w:vMerge w:val="restart"/>
            <w:noWrap w:val="0"/>
            <w:vAlign w:val="center"/>
          </w:tcPr>
          <w:p w14:paraId="59336B56">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5</w:t>
            </w:r>
          </w:p>
        </w:tc>
        <w:tc>
          <w:tcPr>
            <w:tcW w:w="353" w:type="pct"/>
            <w:vMerge w:val="restart"/>
            <w:noWrap w:val="0"/>
            <w:vAlign w:val="center"/>
          </w:tcPr>
          <w:p w14:paraId="17364092">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5</w:t>
            </w:r>
          </w:p>
        </w:tc>
        <w:tc>
          <w:tcPr>
            <w:tcW w:w="384" w:type="pct"/>
            <w:vMerge w:val="restart"/>
            <w:noWrap w:val="0"/>
            <w:vAlign w:val="center"/>
          </w:tcPr>
          <w:p w14:paraId="2FFE1530">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0</w:t>
            </w:r>
          </w:p>
        </w:tc>
        <w:tc>
          <w:tcPr>
            <w:tcW w:w="404" w:type="pct"/>
            <w:vMerge w:val="restart"/>
            <w:noWrap w:val="0"/>
            <w:vAlign w:val="center"/>
          </w:tcPr>
          <w:p w14:paraId="2F75E2FC">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2</w:t>
            </w:r>
          </w:p>
        </w:tc>
        <w:tc>
          <w:tcPr>
            <w:tcW w:w="416" w:type="pct"/>
            <w:vMerge w:val="restart"/>
            <w:noWrap w:val="0"/>
            <w:vAlign w:val="center"/>
          </w:tcPr>
          <w:p w14:paraId="3355639F">
            <w:pPr>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0.17</w:t>
            </w:r>
          </w:p>
        </w:tc>
        <w:tc>
          <w:tcPr>
            <w:tcW w:w="279" w:type="pct"/>
            <w:vMerge w:val="restart"/>
            <w:noWrap w:val="0"/>
            <w:vAlign w:val="center"/>
          </w:tcPr>
          <w:p w14:paraId="0045051F">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非正常</w:t>
            </w:r>
          </w:p>
        </w:tc>
        <w:tc>
          <w:tcPr>
            <w:tcW w:w="588" w:type="pct"/>
            <w:noWrap w:val="0"/>
            <w:vAlign w:val="center"/>
          </w:tcPr>
          <w:p w14:paraId="526323F0">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H</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S</w:t>
            </w:r>
          </w:p>
        </w:tc>
        <w:tc>
          <w:tcPr>
            <w:tcW w:w="476" w:type="pct"/>
            <w:noWrap w:val="0"/>
            <w:vAlign w:val="center"/>
          </w:tcPr>
          <w:p w14:paraId="37ADDF25">
            <w:pPr>
              <w:adjustRightInd w:val="0"/>
              <w:spacing w:line="0" w:lineRule="atLeast"/>
              <w:jc w:val="center"/>
              <w:rPr>
                <w:rFonts w:hint="default" w:ascii="Times New Roman" w:hAnsi="Times New Roman" w:eastAsia="宋体" w:cs="Times New Roman"/>
                <w:snapToGrid w:val="0"/>
                <w:color w:val="auto"/>
                <w:spacing w:val="-10"/>
                <w:sz w:val="21"/>
                <w:szCs w:val="21"/>
                <w:highlight w:val="none"/>
              </w:rPr>
            </w:pPr>
            <w:r>
              <w:rPr>
                <w:rFonts w:hint="default" w:ascii="Times New Roman" w:hAnsi="Times New Roman" w:eastAsia="宋体" w:cs="Times New Roman"/>
                <w:snapToGrid w:val="0"/>
                <w:color w:val="auto"/>
                <w:spacing w:val="-10"/>
                <w:sz w:val="21"/>
                <w:szCs w:val="21"/>
                <w:highlight w:val="none"/>
              </w:rPr>
              <w:t>0.001</w:t>
            </w:r>
          </w:p>
        </w:tc>
      </w:tr>
      <w:tr w14:paraId="01BF3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55" w:type="pct"/>
            <w:vMerge w:val="continue"/>
            <w:noWrap w:val="0"/>
            <w:vAlign w:val="center"/>
          </w:tcPr>
          <w:p w14:paraId="0767C9EE">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424" w:type="pct"/>
            <w:vMerge w:val="continue"/>
            <w:noWrap w:val="0"/>
            <w:vAlign w:val="center"/>
          </w:tcPr>
          <w:p w14:paraId="14D6A626">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249" w:type="pct"/>
            <w:vMerge w:val="continue"/>
            <w:noWrap w:val="0"/>
            <w:vAlign w:val="center"/>
          </w:tcPr>
          <w:p w14:paraId="173D8CC6">
            <w:pPr>
              <w:spacing w:line="0" w:lineRule="atLeast"/>
              <w:jc w:val="left"/>
              <w:rPr>
                <w:rFonts w:hint="default" w:ascii="Times New Roman" w:hAnsi="Times New Roman" w:eastAsia="宋体" w:cs="Times New Roman"/>
                <w:color w:val="auto"/>
                <w:spacing w:val="-10"/>
                <w:sz w:val="21"/>
                <w:szCs w:val="21"/>
                <w:highlight w:val="none"/>
              </w:rPr>
            </w:pPr>
          </w:p>
        </w:tc>
        <w:tc>
          <w:tcPr>
            <w:tcW w:w="344" w:type="pct"/>
            <w:vMerge w:val="continue"/>
            <w:noWrap w:val="0"/>
            <w:vAlign w:val="center"/>
          </w:tcPr>
          <w:p w14:paraId="26EE3CFD">
            <w:pPr>
              <w:spacing w:line="0" w:lineRule="atLeast"/>
              <w:jc w:val="left"/>
              <w:rPr>
                <w:rFonts w:hint="default" w:ascii="Times New Roman" w:hAnsi="Times New Roman" w:eastAsia="宋体" w:cs="Times New Roman"/>
                <w:color w:val="auto"/>
                <w:spacing w:val="-10"/>
                <w:sz w:val="21"/>
                <w:szCs w:val="21"/>
                <w:highlight w:val="none"/>
              </w:rPr>
            </w:pPr>
          </w:p>
        </w:tc>
        <w:tc>
          <w:tcPr>
            <w:tcW w:w="405" w:type="pct"/>
            <w:vMerge w:val="continue"/>
            <w:noWrap w:val="0"/>
            <w:vAlign w:val="center"/>
          </w:tcPr>
          <w:p w14:paraId="745C62B8">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416" w:type="pct"/>
            <w:vMerge w:val="continue"/>
            <w:noWrap w:val="0"/>
            <w:vAlign w:val="center"/>
          </w:tcPr>
          <w:p w14:paraId="5B89E48D">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353" w:type="pct"/>
            <w:vMerge w:val="continue"/>
            <w:noWrap w:val="0"/>
            <w:vAlign w:val="center"/>
          </w:tcPr>
          <w:p w14:paraId="56E78FA3">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384" w:type="pct"/>
            <w:vMerge w:val="continue"/>
            <w:noWrap w:val="0"/>
            <w:vAlign w:val="center"/>
          </w:tcPr>
          <w:p w14:paraId="3F380716">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404" w:type="pct"/>
            <w:vMerge w:val="continue"/>
            <w:noWrap w:val="0"/>
            <w:vAlign w:val="center"/>
          </w:tcPr>
          <w:p w14:paraId="6F21873B">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416" w:type="pct"/>
            <w:vMerge w:val="continue"/>
            <w:noWrap w:val="0"/>
            <w:vAlign w:val="center"/>
          </w:tcPr>
          <w:p w14:paraId="332561EC">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279" w:type="pct"/>
            <w:vMerge w:val="continue"/>
            <w:noWrap w:val="0"/>
            <w:vAlign w:val="center"/>
          </w:tcPr>
          <w:p w14:paraId="1E1D7FDE">
            <w:pPr>
              <w:spacing w:line="0" w:lineRule="atLeast"/>
              <w:jc w:val="left"/>
              <w:rPr>
                <w:rFonts w:hint="default" w:ascii="Times New Roman" w:hAnsi="Times New Roman" w:eastAsia="宋体" w:cs="Times New Roman"/>
                <w:snapToGrid w:val="0"/>
                <w:color w:val="auto"/>
                <w:spacing w:val="-10"/>
                <w:sz w:val="21"/>
                <w:szCs w:val="21"/>
                <w:highlight w:val="none"/>
              </w:rPr>
            </w:pPr>
          </w:p>
        </w:tc>
        <w:tc>
          <w:tcPr>
            <w:tcW w:w="588" w:type="pct"/>
            <w:noWrap w:val="0"/>
            <w:vAlign w:val="center"/>
          </w:tcPr>
          <w:p w14:paraId="67B74321">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非甲烷</w:t>
            </w:r>
          </w:p>
          <w:p w14:paraId="68451355">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总烃</w:t>
            </w:r>
          </w:p>
        </w:tc>
        <w:tc>
          <w:tcPr>
            <w:tcW w:w="476" w:type="pct"/>
            <w:noWrap w:val="0"/>
            <w:vAlign w:val="center"/>
          </w:tcPr>
          <w:p w14:paraId="1F2F81C7">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0.1</w:t>
            </w:r>
          </w:p>
        </w:tc>
      </w:tr>
    </w:tbl>
    <w:p w14:paraId="7EE6C5D3">
      <w:pPr>
        <w:pStyle w:val="1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（2）影响分析</w:t>
      </w:r>
    </w:p>
    <w:p w14:paraId="6DDCE5B8">
      <w:pPr>
        <w:pStyle w:val="1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非正常工况条件下外排废气持续时间较短，采用估算模式计算最大占标率，计算结果见表5.2-</w:t>
      </w:r>
      <w:r>
        <w:rPr>
          <w:rFonts w:hint="eastAsia" w:cs="Times New Roman"/>
          <w:color w:val="auto"/>
          <w:highlight w:val="none"/>
          <w:lang w:val="en-US" w:eastAsia="zh-CN"/>
        </w:rPr>
        <w:t>9</w:t>
      </w:r>
      <w:r>
        <w:rPr>
          <w:rFonts w:hint="default" w:ascii="Times New Roman" w:hAnsi="Times New Roman" w:eastAsia="宋体" w:cs="Times New Roman"/>
          <w:color w:val="auto"/>
          <w:highlight w:val="none"/>
          <w:lang w:val="en-US" w:eastAsia="zh-CN"/>
        </w:rPr>
        <w:t>。</w:t>
      </w:r>
    </w:p>
    <w:p w14:paraId="77B5A725">
      <w:pPr>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default" w:ascii="Times New Roman" w:hAnsi="Times New Roman" w:eastAsia="黑体" w:cs="Times New Roman"/>
          <w:color w:val="auto"/>
          <w:sz w:val="21"/>
          <w:szCs w:val="21"/>
          <w:highlight w:val="none"/>
          <w:lang w:val="en-US" w:eastAsia="zh-CN"/>
        </w:rPr>
        <w:t>5.2-</w:t>
      </w:r>
      <w:r>
        <w:rPr>
          <w:rFonts w:hint="eastAsia" w:eastAsia="黑体" w:cs="Times New Roman"/>
          <w:color w:val="auto"/>
          <w:sz w:val="21"/>
          <w:szCs w:val="21"/>
          <w:highlight w:val="none"/>
          <w:lang w:val="en-US" w:eastAsia="zh-CN"/>
        </w:rPr>
        <w:t xml:space="preserve">9  </w:t>
      </w:r>
      <w:r>
        <w:rPr>
          <w:rFonts w:hint="default" w:ascii="Times New Roman" w:hAnsi="Times New Roman" w:eastAsia="黑体" w:cs="Times New Roman"/>
          <w:color w:val="auto"/>
          <w:sz w:val="21"/>
          <w:szCs w:val="21"/>
          <w:highlight w:val="none"/>
        </w:rPr>
        <w:t>非正常排放Pmax及D10%预测及计算结果一览表单位：μg/m</w:t>
      </w:r>
      <w:r>
        <w:rPr>
          <w:rFonts w:hint="default" w:ascii="Times New Roman" w:hAnsi="Times New Roman" w:eastAsia="黑体" w:cs="Times New Roman"/>
          <w:color w:val="auto"/>
          <w:sz w:val="21"/>
          <w:szCs w:val="21"/>
          <w:highlight w:val="none"/>
          <w:vertAlign w:val="superscript"/>
        </w:rPr>
        <w:t>3</w:t>
      </w:r>
    </w:p>
    <w:tbl>
      <w:tblPr>
        <w:tblStyle w:val="36"/>
        <w:tblW w:w="493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277"/>
        <w:gridCol w:w="1431"/>
        <w:gridCol w:w="1606"/>
        <w:gridCol w:w="1163"/>
        <w:gridCol w:w="1230"/>
        <w:gridCol w:w="1358"/>
      </w:tblGrid>
      <w:tr w14:paraId="090B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9" w:type="pct"/>
            <w:tcBorders>
              <w:tl2br w:val="nil"/>
              <w:tr2bl w:val="nil"/>
            </w:tcBorders>
            <w:vAlign w:val="center"/>
          </w:tcPr>
          <w:p w14:paraId="21E91D6E">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53" w:type="pct"/>
            <w:tcBorders>
              <w:tl2br w:val="nil"/>
              <w:tr2bl w:val="nil"/>
            </w:tcBorders>
            <w:vAlign w:val="center"/>
          </w:tcPr>
          <w:p w14:paraId="4026CC47">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844" w:type="pct"/>
            <w:tcBorders>
              <w:tl2br w:val="nil"/>
              <w:tr2bl w:val="nil"/>
            </w:tcBorders>
            <w:vAlign w:val="center"/>
          </w:tcPr>
          <w:p w14:paraId="572DABE7">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947" w:type="pct"/>
            <w:tcBorders>
              <w:tl2br w:val="nil"/>
              <w:tr2bl w:val="nil"/>
            </w:tcBorders>
            <w:vAlign w:val="center"/>
          </w:tcPr>
          <w:p w14:paraId="2ECE5FE5">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Cmax（μg/m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86" w:type="pct"/>
            <w:tcBorders>
              <w:tl2br w:val="nil"/>
              <w:tr2bl w:val="nil"/>
            </w:tcBorders>
            <w:vAlign w:val="center"/>
          </w:tcPr>
          <w:p w14:paraId="062F058D">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w:t>
            </w:r>
          </w:p>
        </w:tc>
        <w:tc>
          <w:tcPr>
            <w:tcW w:w="725" w:type="pct"/>
            <w:tcBorders>
              <w:tl2br w:val="nil"/>
              <w:tr2bl w:val="nil"/>
            </w:tcBorders>
            <w:vAlign w:val="center"/>
          </w:tcPr>
          <w:p w14:paraId="01FA6B66">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最大浓度出现距离</w:t>
            </w:r>
          </w:p>
        </w:tc>
        <w:tc>
          <w:tcPr>
            <w:tcW w:w="800" w:type="pct"/>
            <w:tcBorders>
              <w:tl2br w:val="nil"/>
              <w:tr2bl w:val="nil"/>
            </w:tcBorders>
            <w:vAlign w:val="center"/>
          </w:tcPr>
          <w:p w14:paraId="4F0C2326">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（m）</w:t>
            </w:r>
          </w:p>
        </w:tc>
      </w:tr>
      <w:tr w14:paraId="496C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9" w:type="pct"/>
            <w:vMerge w:val="restart"/>
            <w:tcBorders>
              <w:tl2br w:val="nil"/>
              <w:tr2bl w:val="nil"/>
            </w:tcBorders>
            <w:vAlign w:val="center"/>
          </w:tcPr>
          <w:p w14:paraId="7ECECDDE">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53" w:type="pct"/>
            <w:vMerge w:val="restart"/>
            <w:tcBorders>
              <w:tl2br w:val="nil"/>
              <w:tr2bl w:val="nil"/>
            </w:tcBorders>
            <w:vAlign w:val="center"/>
          </w:tcPr>
          <w:p w14:paraId="0A5BE6F5">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放喷口</w:t>
            </w:r>
          </w:p>
        </w:tc>
        <w:tc>
          <w:tcPr>
            <w:tcW w:w="844" w:type="pct"/>
            <w:tcBorders>
              <w:tl2br w:val="nil"/>
              <w:tr2bl w:val="nil"/>
            </w:tcBorders>
            <w:vAlign w:val="center"/>
          </w:tcPr>
          <w:p w14:paraId="23519146">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947" w:type="pct"/>
            <w:tcBorders>
              <w:tl2br w:val="nil"/>
              <w:tr2bl w:val="nil"/>
            </w:tcBorders>
            <w:vAlign w:val="center"/>
          </w:tcPr>
          <w:p w14:paraId="5B81F936">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369.3100</w:t>
            </w:r>
          </w:p>
        </w:tc>
        <w:tc>
          <w:tcPr>
            <w:tcW w:w="686" w:type="pct"/>
            <w:tcBorders>
              <w:tl2br w:val="nil"/>
              <w:tr2bl w:val="nil"/>
            </w:tcBorders>
            <w:vAlign w:val="center"/>
          </w:tcPr>
          <w:p w14:paraId="029E9B0F">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18.4655</w:t>
            </w:r>
          </w:p>
        </w:tc>
        <w:tc>
          <w:tcPr>
            <w:tcW w:w="725" w:type="pct"/>
            <w:vMerge w:val="restart"/>
            <w:tcBorders>
              <w:tl2br w:val="nil"/>
              <w:tr2bl w:val="nil"/>
            </w:tcBorders>
            <w:vAlign w:val="center"/>
          </w:tcPr>
          <w:p w14:paraId="497A9EF9">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800" w:type="pct"/>
            <w:tcBorders>
              <w:tl2br w:val="nil"/>
              <w:tr2bl w:val="nil"/>
            </w:tcBorders>
            <w:vAlign w:val="center"/>
          </w:tcPr>
          <w:p w14:paraId="175ABCFD">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r>
      <w:tr w14:paraId="3521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vAlign w:val="center"/>
          </w:tcPr>
          <w:p w14:paraId="52EE2CD3">
            <w:pPr>
              <w:pStyle w:val="129"/>
              <w:widowControl w:val="0"/>
              <w:rPr>
                <w:rFonts w:hint="default" w:ascii="Times New Roman" w:hAnsi="Times New Roman" w:eastAsia="宋体" w:cs="Times New Roman"/>
                <w:color w:val="auto"/>
                <w:sz w:val="21"/>
                <w:szCs w:val="21"/>
                <w:highlight w:val="none"/>
              </w:rPr>
            </w:pPr>
          </w:p>
        </w:tc>
        <w:tc>
          <w:tcPr>
            <w:tcW w:w="753" w:type="pct"/>
            <w:vMerge w:val="continue"/>
            <w:tcBorders>
              <w:tl2br w:val="nil"/>
              <w:tr2bl w:val="nil"/>
            </w:tcBorders>
            <w:vAlign w:val="center"/>
          </w:tcPr>
          <w:p w14:paraId="46106136">
            <w:pPr>
              <w:pStyle w:val="129"/>
              <w:widowControl w:val="0"/>
              <w:rPr>
                <w:rFonts w:hint="default" w:ascii="Times New Roman" w:hAnsi="Times New Roman" w:eastAsia="宋体" w:cs="Times New Roman"/>
                <w:color w:val="auto"/>
                <w:sz w:val="21"/>
                <w:szCs w:val="21"/>
                <w:highlight w:val="none"/>
              </w:rPr>
            </w:pPr>
          </w:p>
        </w:tc>
        <w:tc>
          <w:tcPr>
            <w:tcW w:w="844" w:type="pct"/>
            <w:tcBorders>
              <w:tl2br w:val="nil"/>
              <w:tr2bl w:val="nil"/>
            </w:tcBorders>
            <w:vAlign w:val="center"/>
          </w:tcPr>
          <w:p w14:paraId="225001E0">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947" w:type="pct"/>
            <w:tcBorders>
              <w:tl2br w:val="nil"/>
              <w:tr2bl w:val="nil"/>
            </w:tcBorders>
            <w:vAlign w:val="center"/>
          </w:tcPr>
          <w:p w14:paraId="765CEB16">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3.6931</w:t>
            </w:r>
          </w:p>
        </w:tc>
        <w:tc>
          <w:tcPr>
            <w:tcW w:w="686" w:type="pct"/>
            <w:tcBorders>
              <w:tl2br w:val="nil"/>
              <w:tr2bl w:val="nil"/>
            </w:tcBorders>
            <w:vAlign w:val="center"/>
          </w:tcPr>
          <w:p w14:paraId="48648406">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36.9310</w:t>
            </w:r>
          </w:p>
        </w:tc>
        <w:tc>
          <w:tcPr>
            <w:tcW w:w="725" w:type="pct"/>
            <w:vMerge w:val="continue"/>
            <w:tcBorders>
              <w:tl2br w:val="nil"/>
              <w:tr2bl w:val="nil"/>
            </w:tcBorders>
            <w:vAlign w:val="center"/>
          </w:tcPr>
          <w:p w14:paraId="259DD699">
            <w:pPr>
              <w:pStyle w:val="129"/>
              <w:widowControl w:val="0"/>
              <w:rPr>
                <w:rFonts w:hint="default" w:ascii="Times New Roman" w:hAnsi="Times New Roman" w:eastAsia="宋体" w:cs="Times New Roman"/>
                <w:color w:val="auto"/>
                <w:sz w:val="21"/>
                <w:szCs w:val="21"/>
                <w:highlight w:val="none"/>
              </w:rPr>
            </w:pPr>
          </w:p>
        </w:tc>
        <w:tc>
          <w:tcPr>
            <w:tcW w:w="800" w:type="pct"/>
            <w:tcBorders>
              <w:tl2br w:val="nil"/>
              <w:tr2bl w:val="nil"/>
            </w:tcBorders>
            <w:vAlign w:val="center"/>
          </w:tcPr>
          <w:p w14:paraId="58F122AD">
            <w:pPr>
              <w:pStyle w:val="129"/>
              <w:widowContro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475.0</w:t>
            </w:r>
          </w:p>
        </w:tc>
      </w:tr>
    </w:tbl>
    <w:p w14:paraId="3C2C8178">
      <w:pPr>
        <w:pStyle w:val="1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由表5.2-</w:t>
      </w:r>
      <w:r>
        <w:rPr>
          <w:rFonts w:hint="eastAsia" w:cs="Times New Roman"/>
          <w:color w:val="auto"/>
          <w:highlight w:val="none"/>
          <w:lang w:val="en-US" w:eastAsia="zh-CN"/>
        </w:rPr>
        <w:t>9</w:t>
      </w:r>
      <w:r>
        <w:rPr>
          <w:rFonts w:hint="default" w:ascii="Times New Roman" w:hAnsi="Times New Roman" w:eastAsia="宋体" w:cs="Times New Roman"/>
          <w:color w:val="auto"/>
          <w:highlight w:val="none"/>
          <w:lang w:val="en-US" w:eastAsia="zh-CN"/>
        </w:rPr>
        <w:t>计算结果表明，</w:t>
      </w:r>
      <w:r>
        <w:rPr>
          <w:rStyle w:val="132"/>
          <w:rFonts w:hint="default" w:ascii="Times New Roman" w:hAnsi="Times New Roman" w:cs="Times New Roman"/>
          <w:color w:val="auto"/>
          <w:highlight w:val="none"/>
        </w:rPr>
        <w:t>非正常工况条件下，非甲烷总烃最大落地浓度为</w:t>
      </w:r>
      <w:r>
        <w:rPr>
          <w:rFonts w:hint="default" w:ascii="Times New Roman" w:hAnsi="Times New Roman" w:cs="Times New Roman"/>
          <w:color w:val="auto"/>
          <w:highlight w:val="none"/>
        </w:rPr>
        <w:t>369.31µg/m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，占标率为18.4655%；硫化氢最大落地浓度为3.6931µg/m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，占标率36.9310%。由以上分析可知，</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非正常排放对环境空气影响较大，建议做好定期巡检工作，确保井场远传数据系统处于正常工作状态，减少非正常排放的发生</w:t>
      </w:r>
      <w:r>
        <w:rPr>
          <w:rFonts w:hint="default" w:ascii="Times New Roman" w:hAnsi="Times New Roman" w:eastAsia="宋体" w:cs="Times New Roman"/>
          <w:color w:val="auto"/>
          <w:highlight w:val="none"/>
          <w:lang w:val="en-US" w:eastAsia="zh-CN"/>
        </w:rPr>
        <w:t>。</w:t>
      </w:r>
    </w:p>
    <w:p w14:paraId="3B955BA3">
      <w:pPr>
        <w:widowControl w:val="0"/>
        <w:adjustRightInd w:val="0"/>
        <w:snapToGrid w:val="0"/>
        <w:spacing w:beforeLines="0" w:afterLines="0" w:line="360" w:lineRule="auto"/>
        <w:jc w:val="both"/>
        <w:outlineLvl w:val="3"/>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rPr>
        <w:t>5.2.</w:t>
      </w:r>
      <w:r>
        <w:rPr>
          <w:rFonts w:hint="default" w:ascii="Times New Roman" w:hAnsi="Times New Roman" w:eastAsia="黑体" w:cs="Times New Roman"/>
          <w:snapToGrid w:val="0"/>
          <w:color w:val="auto"/>
          <w:sz w:val="24"/>
          <w:szCs w:val="24"/>
          <w:highlight w:val="none"/>
          <w:lang w:val="en-US" w:eastAsia="zh-CN"/>
        </w:rPr>
        <w:t>2</w:t>
      </w:r>
      <w:r>
        <w:rPr>
          <w:rFonts w:hint="default" w:ascii="Times New Roman" w:hAnsi="Times New Roman" w:eastAsia="黑体" w:cs="Times New Roman"/>
          <w:snapToGrid w:val="0"/>
          <w:color w:val="auto"/>
          <w:sz w:val="24"/>
          <w:szCs w:val="24"/>
          <w:highlight w:val="none"/>
        </w:rPr>
        <w:t>.</w:t>
      </w:r>
      <w:r>
        <w:rPr>
          <w:rFonts w:hint="default" w:ascii="Times New Roman" w:hAnsi="Times New Roman" w:eastAsia="黑体" w:cs="Times New Roman"/>
          <w:snapToGrid w:val="0"/>
          <w:color w:val="auto"/>
          <w:sz w:val="24"/>
          <w:szCs w:val="24"/>
          <w:highlight w:val="none"/>
          <w:lang w:val="en-US" w:eastAsia="zh-CN"/>
        </w:rPr>
        <w:t>4</w:t>
      </w:r>
      <w:r>
        <w:rPr>
          <w:rFonts w:hint="default" w:ascii="Times New Roman" w:hAnsi="Times New Roman" w:eastAsia="黑体" w:cs="Times New Roman"/>
          <w:snapToGrid w:val="0"/>
          <w:color w:val="auto"/>
          <w:sz w:val="24"/>
          <w:szCs w:val="24"/>
          <w:highlight w:val="none"/>
        </w:rPr>
        <w:t>大气污染物核算</w:t>
      </w:r>
    </w:p>
    <w:p w14:paraId="638388E2">
      <w:pPr>
        <w:spacing w:beforeLines="0" w:afterLines="0" w:line="360" w:lineRule="auto"/>
        <w:ind w:firstLine="496" w:firstLineChars="200"/>
        <w:rPr>
          <w:rFonts w:hint="default" w:ascii="Times New Roman" w:hAnsi="Times New Roman" w:cs="Times New Roman"/>
          <w:color w:val="auto"/>
          <w:spacing w:val="4"/>
          <w:kern w:val="24"/>
          <w:sz w:val="24"/>
          <w:szCs w:val="24"/>
          <w:highlight w:val="none"/>
        </w:rPr>
      </w:pPr>
      <w:r>
        <w:rPr>
          <w:rFonts w:hint="default" w:ascii="Times New Roman" w:hAnsi="Times New Roman" w:cs="Times New Roman"/>
          <w:color w:val="auto"/>
          <w:spacing w:val="4"/>
          <w:kern w:val="24"/>
          <w:sz w:val="24"/>
          <w:szCs w:val="24"/>
          <w:highlight w:val="none"/>
          <w:lang w:eastAsia="zh-CN"/>
        </w:rPr>
        <w:t>本项目</w:t>
      </w:r>
      <w:r>
        <w:rPr>
          <w:rFonts w:hint="default" w:ascii="Times New Roman" w:hAnsi="Times New Roman" w:cs="Times New Roman"/>
          <w:color w:val="auto"/>
          <w:spacing w:val="4"/>
          <w:kern w:val="24"/>
          <w:sz w:val="24"/>
          <w:szCs w:val="24"/>
          <w:highlight w:val="none"/>
        </w:rPr>
        <w:t>运营期大气污染物排放量见表5.2-1</w:t>
      </w:r>
      <w:r>
        <w:rPr>
          <w:rFonts w:hint="eastAsia" w:cs="Times New Roman"/>
          <w:color w:val="auto"/>
          <w:spacing w:val="4"/>
          <w:kern w:val="24"/>
          <w:sz w:val="24"/>
          <w:szCs w:val="24"/>
          <w:highlight w:val="none"/>
          <w:lang w:val="en-US" w:eastAsia="zh-CN"/>
        </w:rPr>
        <w:t>0</w:t>
      </w:r>
      <w:r>
        <w:rPr>
          <w:rFonts w:hint="default" w:ascii="Times New Roman" w:hAnsi="Times New Roman" w:cs="Times New Roman"/>
          <w:color w:val="auto"/>
          <w:spacing w:val="4"/>
          <w:kern w:val="24"/>
          <w:sz w:val="24"/>
          <w:szCs w:val="24"/>
          <w:highlight w:val="none"/>
        </w:rPr>
        <w:t>。</w:t>
      </w:r>
    </w:p>
    <w:p w14:paraId="77F2F862">
      <w:pPr>
        <w:spacing w:beforeLines="0" w:afterLines="0"/>
        <w:jc w:val="center"/>
        <w:rPr>
          <w:rFonts w:hint="default" w:ascii="Times New Roman" w:hAnsi="Times New Roman" w:eastAsia="黑体" w:cs="Times New Roman"/>
          <w:color w:val="auto"/>
          <w:sz w:val="21"/>
          <w:szCs w:val="24"/>
          <w:highlight w:val="none"/>
        </w:rPr>
      </w:pPr>
      <w:r>
        <w:rPr>
          <w:rFonts w:hint="default" w:ascii="Times New Roman" w:hAnsi="Times New Roman" w:eastAsia="黑体" w:cs="Times New Roman"/>
          <w:color w:val="auto"/>
          <w:sz w:val="21"/>
          <w:szCs w:val="24"/>
          <w:highlight w:val="none"/>
        </w:rPr>
        <w:t>表5.2-1</w:t>
      </w:r>
      <w:r>
        <w:rPr>
          <w:rFonts w:hint="eastAsia" w:eastAsia="黑体" w:cs="Times New Roman"/>
          <w:color w:val="auto"/>
          <w:sz w:val="21"/>
          <w:szCs w:val="24"/>
          <w:highlight w:val="none"/>
          <w:lang w:val="en-US" w:eastAsia="zh-CN"/>
        </w:rPr>
        <w:t xml:space="preserve">0  </w:t>
      </w:r>
      <w:r>
        <w:rPr>
          <w:rFonts w:hint="default" w:ascii="Times New Roman" w:hAnsi="Times New Roman" w:eastAsia="黑体" w:cs="Times New Roman"/>
          <w:color w:val="auto"/>
          <w:sz w:val="21"/>
          <w:szCs w:val="24"/>
          <w:highlight w:val="none"/>
          <w:lang w:eastAsia="zh-CN"/>
        </w:rPr>
        <w:t>本项目</w:t>
      </w:r>
      <w:r>
        <w:rPr>
          <w:rFonts w:hint="default" w:ascii="Times New Roman" w:hAnsi="Times New Roman" w:eastAsia="黑体" w:cs="Times New Roman"/>
          <w:color w:val="auto"/>
          <w:sz w:val="21"/>
          <w:szCs w:val="24"/>
          <w:highlight w:val="none"/>
        </w:rPr>
        <w:t>大气污染物排放量核算表</w:t>
      </w:r>
    </w:p>
    <w:tbl>
      <w:tblPr>
        <w:tblStyle w:val="35"/>
        <w:tblW w:w="5000" w:type="pct"/>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97"/>
        <w:gridCol w:w="773"/>
        <w:gridCol w:w="914"/>
        <w:gridCol w:w="1112"/>
        <w:gridCol w:w="3227"/>
        <w:gridCol w:w="1112"/>
        <w:gridCol w:w="856"/>
      </w:tblGrid>
      <w:tr w14:paraId="6ECFAC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48"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623C7DF0">
            <w:pPr>
              <w:adjustRightInd w:val="0"/>
              <w:snapToGrid w:val="0"/>
              <w:spacing w:beforeLines="0" w:afterLines="0"/>
              <w:ind w:left="-120" w:leftChars="-50" w:right="-120"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45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3D45B0A3">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w:t>
            </w:r>
          </w:p>
          <w:p w14:paraId="7B867384">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环节</w:t>
            </w:r>
          </w:p>
        </w:tc>
        <w:tc>
          <w:tcPr>
            <w:tcW w:w="532"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37A6A04B">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647"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71F550EA">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主要污染</w:t>
            </w:r>
          </w:p>
          <w:p w14:paraId="321B6126">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防治措施</w:t>
            </w:r>
          </w:p>
        </w:tc>
        <w:tc>
          <w:tcPr>
            <w:tcW w:w="2525"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49DE6907">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国家或地方污染物排放标准</w:t>
            </w:r>
          </w:p>
        </w:tc>
        <w:tc>
          <w:tcPr>
            <w:tcW w:w="496"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17BA8DCC">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w:t>
            </w:r>
          </w:p>
          <w:p w14:paraId="1494FFBA">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放量</w:t>
            </w:r>
          </w:p>
          <w:p w14:paraId="522E07C1">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r>
      <w:tr w14:paraId="3485EC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0" w:type="auto"/>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46449DD5">
            <w:pPr>
              <w:spacing w:beforeLines="0" w:afterLines="0"/>
              <w:rPr>
                <w:rFonts w:hint="default" w:ascii="Times New Roman" w:hAnsi="Times New Roman" w:cs="Times New Roman"/>
                <w:color w:val="auto"/>
                <w:sz w:val="21"/>
                <w:szCs w:val="21"/>
                <w:highlight w:val="none"/>
              </w:rPr>
            </w:pPr>
          </w:p>
        </w:tc>
        <w:tc>
          <w:tcPr>
            <w:tcW w:w="0" w:type="auto"/>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57D48C13">
            <w:pPr>
              <w:spacing w:beforeLines="0" w:afterLines="0"/>
              <w:rPr>
                <w:rFonts w:hint="default" w:ascii="Times New Roman" w:hAnsi="Times New Roman" w:cs="Times New Roman"/>
                <w:color w:val="auto"/>
                <w:sz w:val="21"/>
                <w:szCs w:val="21"/>
                <w:highlight w:val="none"/>
              </w:rPr>
            </w:pPr>
          </w:p>
        </w:tc>
        <w:tc>
          <w:tcPr>
            <w:tcW w:w="0" w:type="auto"/>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29959442">
            <w:pPr>
              <w:spacing w:beforeLines="0" w:afterLines="0"/>
              <w:rPr>
                <w:rFonts w:hint="default" w:ascii="Times New Roman" w:hAnsi="Times New Roman" w:cs="Times New Roman"/>
                <w:color w:val="auto"/>
                <w:sz w:val="21"/>
                <w:szCs w:val="21"/>
                <w:highlight w:val="none"/>
              </w:rPr>
            </w:pPr>
          </w:p>
        </w:tc>
        <w:tc>
          <w:tcPr>
            <w:tcW w:w="0" w:type="auto"/>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3222A167">
            <w:pPr>
              <w:spacing w:beforeLines="0" w:afterLines="0"/>
              <w:rPr>
                <w:rFonts w:hint="default" w:ascii="Times New Roman" w:hAnsi="Times New Roman" w:cs="Times New Roman"/>
                <w:color w:val="auto"/>
                <w:sz w:val="21"/>
                <w:szCs w:val="21"/>
                <w:highlight w:val="none"/>
              </w:rPr>
            </w:pPr>
          </w:p>
        </w:tc>
        <w:tc>
          <w:tcPr>
            <w:tcW w:w="1878"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0C90EF4">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标准名称</w:t>
            </w:r>
          </w:p>
        </w:tc>
        <w:tc>
          <w:tcPr>
            <w:tcW w:w="647"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9553CFC">
            <w:pPr>
              <w:adjustRightInd w:val="0"/>
              <w:snapToGrid w:val="0"/>
              <w:spacing w:beforeLines="0" w:afterLines="0"/>
              <w:ind w:left="-120" w:leftChars="-50" w:right="-120"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浓度限值</w:t>
            </w:r>
          </w:p>
          <w:p w14:paraId="6D98E14E">
            <w:pPr>
              <w:adjustRightInd w:val="0"/>
              <w:snapToGrid w:val="0"/>
              <w:spacing w:beforeLines="0" w:afterLines="0"/>
              <w:ind w:left="-120" w:leftChars="-50" w:right="-120"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0" w:type="auto"/>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7F370B81">
            <w:pPr>
              <w:spacing w:beforeLines="0" w:afterLines="0"/>
              <w:rPr>
                <w:rFonts w:hint="default" w:ascii="Times New Roman" w:hAnsi="Times New Roman" w:cs="Times New Roman"/>
                <w:color w:val="auto"/>
                <w:sz w:val="21"/>
                <w:szCs w:val="21"/>
                <w:highlight w:val="none"/>
              </w:rPr>
            </w:pPr>
          </w:p>
        </w:tc>
      </w:tr>
      <w:tr w14:paraId="08CCC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7"/>
            <w:tcBorders>
              <w:top w:val="single" w:color="auto" w:sz="2" w:space="0"/>
              <w:left w:val="single" w:color="auto" w:sz="2" w:space="0"/>
              <w:bottom w:val="single" w:color="auto" w:sz="2" w:space="0"/>
              <w:right w:val="single" w:color="auto" w:sz="2" w:space="0"/>
              <w:tl2br w:val="nil"/>
              <w:tr2bl w:val="nil"/>
            </w:tcBorders>
            <w:noWrap w:val="0"/>
            <w:vAlign w:val="center"/>
          </w:tcPr>
          <w:p w14:paraId="2A107BE9">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无有组织排放</w:t>
            </w:r>
          </w:p>
        </w:tc>
      </w:tr>
      <w:tr w14:paraId="05398F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48"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301FB02">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5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2EA0659B">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井场</w:t>
            </w:r>
          </w:p>
        </w:tc>
        <w:tc>
          <w:tcPr>
            <w:tcW w:w="532"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47E6C21">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w:t>
            </w:r>
          </w:p>
          <w:p w14:paraId="1C19ABA6">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总烃</w:t>
            </w:r>
          </w:p>
        </w:tc>
        <w:tc>
          <w:tcPr>
            <w:tcW w:w="647"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315B8082">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日常维护，做好密闭措施</w:t>
            </w:r>
          </w:p>
        </w:tc>
        <w:tc>
          <w:tcPr>
            <w:tcW w:w="1878"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8CF6719">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《陆上石油天然气开采工业大气污染物排放标准》（GB39728-2020）</w:t>
            </w:r>
          </w:p>
        </w:tc>
        <w:tc>
          <w:tcPr>
            <w:tcW w:w="647" w:type="pct"/>
            <w:tcBorders>
              <w:top w:val="single" w:color="auto" w:sz="2" w:space="0"/>
              <w:left w:val="single" w:color="auto" w:sz="2" w:space="0"/>
              <w:bottom w:val="single" w:color="auto" w:sz="2" w:space="0"/>
              <w:right w:val="single" w:color="auto" w:sz="2" w:space="0"/>
              <w:tl2br w:val="nil"/>
              <w:tr2bl w:val="nil"/>
            </w:tcBorders>
            <w:noWrap w:val="0"/>
            <w:vAlign w:val="center"/>
          </w:tcPr>
          <w:p w14:paraId="75B8BD3A">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496" w:type="pct"/>
            <w:tcBorders>
              <w:top w:val="single" w:color="auto" w:sz="2" w:space="0"/>
              <w:left w:val="single" w:color="auto" w:sz="2" w:space="0"/>
              <w:bottom w:val="single" w:color="auto" w:sz="2" w:space="0"/>
              <w:right w:val="single" w:color="auto" w:sz="2" w:space="0"/>
              <w:tl2br w:val="nil"/>
              <w:tr2bl w:val="nil"/>
            </w:tcBorders>
            <w:noWrap w:val="0"/>
            <w:vAlign w:val="center"/>
          </w:tcPr>
          <w:p w14:paraId="059E575E">
            <w:pPr>
              <w:adjustRightInd w:val="0"/>
              <w:snapToGrid w:val="0"/>
              <w:spacing w:beforeLines="0" w:afterLines="0"/>
              <w:ind w:left="-50" w:right="-5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0.364</w:t>
            </w:r>
          </w:p>
        </w:tc>
      </w:tr>
      <w:tr w14:paraId="20EDC9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48" w:type="pct"/>
            <w:tcBorders>
              <w:top w:val="single" w:color="auto" w:sz="2" w:space="0"/>
              <w:left w:val="single" w:color="auto" w:sz="2" w:space="0"/>
              <w:bottom w:val="single" w:color="auto" w:sz="2" w:space="0"/>
              <w:right w:val="single" w:color="auto" w:sz="2" w:space="0"/>
              <w:tl2br w:val="nil"/>
              <w:tr2bl w:val="nil"/>
            </w:tcBorders>
            <w:noWrap w:val="0"/>
            <w:vAlign w:val="center"/>
          </w:tcPr>
          <w:p w14:paraId="4D37E2B2">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0" w:type="auto"/>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60051F14">
            <w:pPr>
              <w:spacing w:beforeLines="0" w:afterLines="0"/>
              <w:rPr>
                <w:rFonts w:hint="default" w:ascii="Times New Roman" w:hAnsi="Times New Roman" w:cs="Times New Roman"/>
                <w:color w:val="auto"/>
                <w:sz w:val="21"/>
                <w:szCs w:val="21"/>
                <w:highlight w:val="none"/>
              </w:rPr>
            </w:pPr>
          </w:p>
        </w:tc>
        <w:tc>
          <w:tcPr>
            <w:tcW w:w="532" w:type="pct"/>
            <w:tcBorders>
              <w:top w:val="single" w:color="auto" w:sz="2" w:space="0"/>
              <w:left w:val="single" w:color="auto" w:sz="2" w:space="0"/>
              <w:bottom w:val="single" w:color="auto" w:sz="2" w:space="0"/>
              <w:right w:val="single" w:color="auto" w:sz="2" w:space="0"/>
              <w:tl2br w:val="nil"/>
              <w:tr2bl w:val="nil"/>
            </w:tcBorders>
            <w:noWrap w:val="0"/>
            <w:vAlign w:val="center"/>
          </w:tcPr>
          <w:p w14:paraId="2862261C">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0" w:type="auto"/>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1D224C6C">
            <w:pPr>
              <w:spacing w:beforeLines="0" w:afterLines="0"/>
              <w:rPr>
                <w:rFonts w:hint="default" w:ascii="Times New Roman" w:hAnsi="Times New Roman" w:cs="Times New Roman"/>
                <w:color w:val="auto"/>
                <w:sz w:val="21"/>
                <w:szCs w:val="21"/>
                <w:highlight w:val="none"/>
              </w:rPr>
            </w:pPr>
          </w:p>
        </w:tc>
        <w:tc>
          <w:tcPr>
            <w:tcW w:w="1878"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EC8A214">
            <w:pPr>
              <w:adjustRightInd w:val="0"/>
              <w:snapToGrid w:val="0"/>
              <w:spacing w:beforeLines="0" w:afterLines="0"/>
              <w:ind w:left="-120" w:leftChars="-50" w:right="-120"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《恶臭污染物排放标准》（GB14554-93）新建项目二级标准</w:t>
            </w:r>
          </w:p>
        </w:tc>
        <w:tc>
          <w:tcPr>
            <w:tcW w:w="647" w:type="pct"/>
            <w:tcBorders>
              <w:top w:val="single" w:color="auto" w:sz="2" w:space="0"/>
              <w:left w:val="single" w:color="auto" w:sz="2" w:space="0"/>
              <w:bottom w:val="single" w:color="auto" w:sz="2" w:space="0"/>
              <w:right w:val="single" w:color="auto" w:sz="2" w:space="0"/>
              <w:tl2br w:val="nil"/>
              <w:tr2bl w:val="nil"/>
            </w:tcBorders>
            <w:noWrap w:val="0"/>
            <w:vAlign w:val="center"/>
          </w:tcPr>
          <w:p w14:paraId="2EFA504A">
            <w:pPr>
              <w:adjustRightInd w:val="0"/>
              <w:snapToGrid w:val="0"/>
              <w:spacing w:beforeLines="0" w:afterLines="0"/>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w:t>
            </w:r>
          </w:p>
        </w:tc>
        <w:tc>
          <w:tcPr>
            <w:tcW w:w="496" w:type="pct"/>
            <w:tcBorders>
              <w:top w:val="single" w:color="auto" w:sz="2" w:space="0"/>
              <w:left w:val="single" w:color="auto" w:sz="2" w:space="0"/>
              <w:bottom w:val="single" w:color="auto" w:sz="2" w:space="0"/>
              <w:right w:val="single" w:color="auto" w:sz="2" w:space="0"/>
              <w:tl2br w:val="nil"/>
              <w:tr2bl w:val="nil"/>
            </w:tcBorders>
            <w:noWrap w:val="0"/>
            <w:vAlign w:val="center"/>
          </w:tcPr>
          <w:p w14:paraId="48C82F7B">
            <w:pPr>
              <w:adjustRightInd w:val="0"/>
              <w:snapToGrid w:val="0"/>
              <w:spacing w:beforeLines="0" w:afterLines="0"/>
              <w:ind w:left="-50" w:right="-5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0.01</w:t>
            </w:r>
          </w:p>
        </w:tc>
      </w:tr>
    </w:tbl>
    <w:p w14:paraId="6FD29006">
      <w:pPr>
        <w:keepNext/>
        <w:keepLines/>
        <w:pageBreakBefore w:val="0"/>
        <w:widowControl/>
        <w:kinsoku/>
        <w:wordWrap/>
        <w:overflowPunct/>
        <w:topLinePunct w:val="0"/>
        <w:autoSpaceDE/>
        <w:autoSpaceDN/>
        <w:bidi w:val="0"/>
        <w:adjustRightInd w:val="0"/>
        <w:snapToGrid w:val="0"/>
        <w:spacing w:before="0" w:beforeLines="50" w:line="360" w:lineRule="auto"/>
        <w:textAlignment w:val="auto"/>
        <w:outlineLvl w:val="2"/>
        <w:rPr>
          <w:rFonts w:hint="default" w:ascii="Times New Roman" w:hAnsi="Times New Roman" w:eastAsia="宋体" w:cs="Times New Roman"/>
          <w:b/>
          <w:snapToGrid w:val="0"/>
          <w:color w:val="auto"/>
          <w:kern w:val="0"/>
          <w:sz w:val="28"/>
          <w:szCs w:val="21"/>
          <w:highlight w:val="none"/>
          <w:lang w:val="en-US" w:eastAsia="en-US" w:bidi="ar-SA"/>
        </w:rPr>
      </w:pPr>
      <w:r>
        <w:rPr>
          <w:rFonts w:hint="default" w:ascii="Times New Roman" w:hAnsi="Times New Roman" w:eastAsia="宋体" w:cs="Times New Roman"/>
          <w:b/>
          <w:snapToGrid w:val="0"/>
          <w:color w:val="auto"/>
          <w:kern w:val="0"/>
          <w:sz w:val="28"/>
          <w:szCs w:val="21"/>
          <w:highlight w:val="none"/>
          <w:lang w:val="en-US" w:eastAsia="en-US" w:bidi="ar-SA"/>
        </w:rPr>
        <w:t>5.2.3退役期大气环境影响分析</w:t>
      </w:r>
    </w:p>
    <w:p w14:paraId="0FC7A246">
      <w:pPr>
        <w:pageBreakBefore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0"/>
          <w:kern w:val="0"/>
          <w:sz w:val="24"/>
          <w:szCs w:val="24"/>
          <w:highlight w:val="none"/>
        </w:rPr>
        <w:t>油井退役后各种相关辅助工作均停止，采油造成的环境空气污染源将消失，油井停止后将进行一系列清理工作，包括地面设施拆除、封井、井场清理等，将会产生少量扬尘。与当地自然条件导致的风沙相比较，清理过程中扬尘造成的环境影响是暂时的，且该区域内活动人群较少，主要为油田工作人员</w:t>
      </w:r>
      <w:r>
        <w:rPr>
          <w:rFonts w:hint="default" w:ascii="Times New Roman" w:hAnsi="Times New Roman" w:cs="Times New Roman"/>
          <w:color w:val="auto"/>
          <w:sz w:val="24"/>
          <w:szCs w:val="24"/>
          <w:highlight w:val="none"/>
        </w:rPr>
        <w:t>。</w:t>
      </w:r>
    </w:p>
    <w:p w14:paraId="6C2D847A">
      <w:pPr>
        <w:pStyle w:val="6"/>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lang w:val="en-US" w:eastAsia="zh-CN"/>
        </w:rPr>
      </w:pPr>
      <w:bookmarkStart w:id="487" w:name="_Toc20564"/>
      <w:bookmarkStart w:id="488" w:name="_Toc24581"/>
      <w:bookmarkStart w:id="489" w:name="_Toc4718"/>
      <w:r>
        <w:rPr>
          <w:rFonts w:hint="default" w:ascii="Times New Roman" w:hAnsi="Times New Roman" w:cs="Times New Roman"/>
          <w:color w:val="auto"/>
          <w:highlight w:val="none"/>
        </w:rPr>
        <w:t>5.2.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大气环境影响评价自查表</w:t>
      </w:r>
      <w:bookmarkEnd w:id="487"/>
      <w:bookmarkEnd w:id="488"/>
      <w:bookmarkEnd w:id="489"/>
    </w:p>
    <w:p w14:paraId="5150636E">
      <w:pPr>
        <w:pStyle w:val="46"/>
        <w:pageBreakBefore w:val="0"/>
        <w:widowControl/>
        <w:kinsoku/>
        <w:wordWrap/>
        <w:overflowPunct/>
        <w:topLinePunct w:val="0"/>
        <w:autoSpaceDE/>
        <w:autoSpaceDN/>
        <w:bidi w:val="0"/>
        <w:adjustRightInd w:val="0"/>
        <w:snapToGrid w:val="0"/>
        <w:ind w:left="0" w:firstLine="480" w:firstLineChars="200"/>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color w:val="auto"/>
          <w:highlight w:val="none"/>
          <w:lang w:eastAsia="zh-CN"/>
        </w:rPr>
        <w:t>建设项目大气环境影响评价自查表见表</w:t>
      </w:r>
      <w:r>
        <w:rPr>
          <w:rFonts w:hint="default" w:ascii="Times New Roman" w:hAnsi="Times New Roman" w:cs="Times New Roman"/>
          <w:color w:val="auto"/>
          <w:highlight w:val="none"/>
          <w:lang w:val="en-US"/>
        </w:rPr>
        <w:t>5.2-1</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eastAsia="zh-CN"/>
        </w:rPr>
        <w:t>。</w:t>
      </w:r>
    </w:p>
    <w:p w14:paraId="0D428CA7">
      <w:pPr>
        <w:keepNext w:val="0"/>
        <w:keepLines w:val="0"/>
        <w:pageBreakBefore w:val="0"/>
        <w:widowControl w:val="0"/>
        <w:suppressLineNumbers w:val="0"/>
        <w:kinsoku/>
        <w:wordWrap/>
        <w:bidi w:val="0"/>
        <w:snapToGrid/>
        <w:spacing w:before="0" w:beforeAutospacing="0" w:after="0" w:afterAutospacing="0" w:line="240" w:lineRule="auto"/>
        <w:ind w:left="0" w:right="0"/>
        <w:jc w:val="center"/>
        <w:rPr>
          <w:rFonts w:hint="default" w:ascii="Times New Roman" w:hAnsi="Times New Roman" w:eastAsia="黑体" w:cs="Times New Roman"/>
          <w:color w:val="auto"/>
          <w:kern w:val="2"/>
          <w:sz w:val="21"/>
          <w:szCs w:val="21"/>
          <w:highlight w:val="none"/>
          <w:lang w:val="en-US" w:eastAsia="zh-CN" w:bidi="ar"/>
        </w:rPr>
      </w:pPr>
      <w:bookmarkStart w:id="490" w:name="_Hlk48605021"/>
      <w:r>
        <w:rPr>
          <w:rFonts w:hint="default" w:ascii="Times New Roman" w:hAnsi="Times New Roman" w:eastAsia="黑体" w:cs="Times New Roman"/>
          <w:color w:val="auto"/>
          <w:kern w:val="2"/>
          <w:sz w:val="21"/>
          <w:szCs w:val="21"/>
          <w:highlight w:val="none"/>
          <w:lang w:val="en-US" w:eastAsia="zh-CN" w:bidi="ar"/>
        </w:rPr>
        <w:t>表5.2-14大气环境影响评价自查表</w:t>
      </w:r>
    </w:p>
    <w:tbl>
      <w:tblPr>
        <w:tblStyle w:val="35"/>
        <w:tblW w:w="5001"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78"/>
        <w:gridCol w:w="1330"/>
        <w:gridCol w:w="892"/>
        <w:gridCol w:w="983"/>
        <w:gridCol w:w="333"/>
        <w:gridCol w:w="998"/>
        <w:gridCol w:w="242"/>
        <w:gridCol w:w="683"/>
        <w:gridCol w:w="28"/>
        <w:gridCol w:w="287"/>
        <w:gridCol w:w="514"/>
        <w:gridCol w:w="756"/>
        <w:gridCol w:w="669"/>
      </w:tblGrid>
      <w:tr w14:paraId="73DFC0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85"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0648052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工作内容</w:t>
            </w:r>
          </w:p>
        </w:tc>
        <w:tc>
          <w:tcPr>
            <w:tcW w:w="3714" w:type="pct"/>
            <w:gridSpan w:val="11"/>
            <w:tcBorders>
              <w:top w:val="single" w:color="auto" w:sz="2" w:space="0"/>
              <w:left w:val="single" w:color="auto" w:sz="2" w:space="0"/>
              <w:bottom w:val="single" w:color="auto" w:sz="2" w:space="0"/>
              <w:right w:val="single" w:color="auto" w:sz="2" w:space="0"/>
              <w:tl2br w:val="nil"/>
              <w:tr2bl w:val="nil"/>
            </w:tcBorders>
            <w:noWrap w:val="0"/>
            <w:vAlign w:val="center"/>
          </w:tcPr>
          <w:p w14:paraId="41E7A98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自查项目</w:t>
            </w:r>
          </w:p>
        </w:tc>
      </w:tr>
      <w:tr w14:paraId="2A1B92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1CE38AC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评价等级与范围</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01BA030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w:t>
            </w:r>
          </w:p>
        </w:tc>
        <w:tc>
          <w:tcPr>
            <w:tcW w:w="1090"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01D699BC">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1312"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3D66B4DB">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二级</w:t>
            </w:r>
            <w:r>
              <w:rPr>
                <w:rFonts w:hint="default" w:ascii="Times New Roman" w:hAnsi="Times New Roman" w:cs="Times New Roman"/>
                <w:color w:val="auto"/>
                <w:sz w:val="21"/>
                <w:szCs w:val="21"/>
                <w:highlight w:val="none"/>
                <w:lang w:eastAsia="zh-CN"/>
              </w:rPr>
              <w:t>☑</w:t>
            </w:r>
          </w:p>
        </w:tc>
        <w:tc>
          <w:tcPr>
            <w:tcW w:w="131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57B3184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r>
      <w:tr w14:paraId="737EC7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61D3B406">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40B963D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评价范围</w:t>
            </w:r>
          </w:p>
        </w:tc>
        <w:tc>
          <w:tcPr>
            <w:tcW w:w="1090"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2293E03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边长=50km□</w:t>
            </w:r>
          </w:p>
        </w:tc>
        <w:tc>
          <w:tcPr>
            <w:tcW w:w="1312"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0E7233E9">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边长5～50km□</w:t>
            </w:r>
          </w:p>
        </w:tc>
        <w:tc>
          <w:tcPr>
            <w:tcW w:w="131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2E06E380">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边长=5km</w:t>
            </w:r>
            <w:r>
              <w:rPr>
                <w:rFonts w:hint="default" w:ascii="Times New Roman" w:hAnsi="Times New Roman" w:cs="Times New Roman"/>
                <w:color w:val="auto"/>
                <w:sz w:val="21"/>
                <w:szCs w:val="21"/>
                <w:highlight w:val="none"/>
                <w:lang w:eastAsia="zh-CN"/>
              </w:rPr>
              <w:t>☑</w:t>
            </w:r>
          </w:p>
        </w:tc>
      </w:tr>
      <w:tr w14:paraId="2C4A42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1E03B2DF">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B81CF8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rPr>
              <w:t>排放量</w:t>
            </w:r>
          </w:p>
        </w:tc>
        <w:tc>
          <w:tcPr>
            <w:tcW w:w="1090"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7A654166">
            <w:pPr>
              <w:spacing w:beforeLines="0" w:afterLines="0" w:line="240" w:lineRule="exact"/>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rPr>
              <w:t>≥2000t/a</w:t>
            </w:r>
            <w:r>
              <w:rPr>
                <w:rFonts w:hint="default" w:ascii="Times New Roman" w:hAnsi="Times New Roman" w:cs="Times New Roman"/>
                <w:color w:val="auto"/>
                <w:sz w:val="21"/>
                <w:szCs w:val="21"/>
                <w:highlight w:val="none"/>
                <w:lang w:eastAsia="zh-CN"/>
              </w:rPr>
              <w:t>□</w:t>
            </w:r>
          </w:p>
        </w:tc>
        <w:tc>
          <w:tcPr>
            <w:tcW w:w="1312"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1871203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500～2000t/a□</w:t>
            </w:r>
          </w:p>
        </w:tc>
        <w:tc>
          <w:tcPr>
            <w:tcW w:w="131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2124B1D4">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＜500t/a</w:t>
            </w:r>
            <w:r>
              <w:rPr>
                <w:rFonts w:hint="default" w:ascii="Times New Roman" w:hAnsi="Times New Roman" w:cs="Times New Roman"/>
                <w:color w:val="auto"/>
                <w:sz w:val="21"/>
                <w:szCs w:val="21"/>
                <w:highlight w:val="none"/>
                <w:lang w:eastAsia="zh-CN"/>
              </w:rPr>
              <w:t>☑</w:t>
            </w:r>
          </w:p>
        </w:tc>
      </w:tr>
      <w:tr w14:paraId="2775BA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2F50D078">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0A4D455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2005"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1BED62D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基本污染物（SO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、CO、O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p>
          <w:p w14:paraId="0069269E">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其他污染物（NMHC、H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300B701D">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包括二次PM2.5□</w:t>
            </w:r>
          </w:p>
          <w:p w14:paraId="7168BAA2">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不包括二次PM2.5</w:t>
            </w:r>
            <w:r>
              <w:rPr>
                <w:rFonts w:hint="default" w:ascii="Times New Roman" w:hAnsi="Times New Roman" w:cs="Times New Roman"/>
                <w:color w:val="auto"/>
                <w:sz w:val="21"/>
                <w:szCs w:val="21"/>
                <w:highlight w:val="none"/>
                <w:lang w:eastAsia="zh-CN"/>
              </w:rPr>
              <w:t>☑</w:t>
            </w:r>
          </w:p>
        </w:tc>
      </w:tr>
      <w:tr w14:paraId="4E16F9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tcBorders>
              <w:top w:val="single" w:color="auto" w:sz="2" w:space="0"/>
              <w:left w:val="single" w:color="auto" w:sz="2" w:space="0"/>
              <w:bottom w:val="single" w:color="auto" w:sz="2" w:space="0"/>
              <w:right w:val="single" w:color="auto" w:sz="2" w:space="0"/>
              <w:tl2br w:val="nil"/>
              <w:tr2bl w:val="nil"/>
            </w:tcBorders>
            <w:noWrap w:val="0"/>
            <w:vAlign w:val="center"/>
          </w:tcPr>
          <w:p w14:paraId="35B25CA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w:t>
            </w:r>
          </w:p>
          <w:p w14:paraId="5DD58A4A">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FA36F68">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28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4F02D351">
            <w:pPr>
              <w:spacing w:beforeLines="0" w:afterLines="0" w:line="24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国家标准</w:t>
            </w:r>
            <w:r>
              <w:rPr>
                <w:rFonts w:hint="eastAsia" w:cs="Times New Roman"/>
                <w:color w:val="auto"/>
                <w:sz w:val="21"/>
                <w:szCs w:val="21"/>
                <w:highlight w:val="none"/>
                <w:lang w:eastAsia="zh-CN"/>
              </w:rPr>
              <w:t>☑</w:t>
            </w:r>
          </w:p>
        </w:tc>
        <w:tc>
          <w:tcPr>
            <w:tcW w:w="721"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655983CC">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地方标准□</w:t>
            </w:r>
          </w:p>
        </w:tc>
        <w:tc>
          <w:tcPr>
            <w:tcW w:w="879"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72C8DE7C">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附录D</w:t>
            </w:r>
            <w:r>
              <w:rPr>
                <w:rFonts w:hint="default" w:ascii="Times New Roman" w:hAnsi="Times New Roman" w:cs="Times New Roman"/>
                <w:color w:val="auto"/>
                <w:sz w:val="21"/>
                <w:szCs w:val="21"/>
                <w:highlight w:val="none"/>
                <w:lang w:eastAsia="zh-CN"/>
              </w:rPr>
              <w:t>☑</w:t>
            </w:r>
          </w:p>
        </w:tc>
        <w:tc>
          <w:tcPr>
            <w:tcW w:w="829"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7F3808B7">
            <w:pPr>
              <w:spacing w:beforeLines="0" w:afterLines="0" w:line="24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其他标准</w:t>
            </w:r>
            <w:r>
              <w:rPr>
                <w:rFonts w:hint="eastAsia" w:cs="Times New Roman"/>
                <w:color w:val="auto"/>
                <w:sz w:val="21"/>
                <w:szCs w:val="21"/>
                <w:highlight w:val="none"/>
                <w:lang w:eastAsia="zh-CN"/>
              </w:rPr>
              <w:t>☑</w:t>
            </w:r>
          </w:p>
        </w:tc>
      </w:tr>
      <w:tr w14:paraId="553BFA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415A83F1">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3B929161">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环境功能区</w:t>
            </w:r>
          </w:p>
        </w:tc>
        <w:tc>
          <w:tcPr>
            <w:tcW w:w="1090"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04465555">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w:t>
            </w:r>
          </w:p>
        </w:tc>
        <w:tc>
          <w:tcPr>
            <w:tcW w:w="1312"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21AE2DB0">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二类区</w:t>
            </w:r>
            <w:r>
              <w:rPr>
                <w:rFonts w:hint="default" w:ascii="Times New Roman" w:hAnsi="Times New Roman" w:cs="Times New Roman"/>
                <w:color w:val="auto"/>
                <w:sz w:val="21"/>
                <w:szCs w:val="21"/>
                <w:highlight w:val="none"/>
                <w:lang w:eastAsia="zh-CN"/>
              </w:rPr>
              <w:t>☑</w:t>
            </w:r>
          </w:p>
        </w:tc>
        <w:tc>
          <w:tcPr>
            <w:tcW w:w="131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452DB7EE">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一类区和二类区□</w:t>
            </w:r>
          </w:p>
        </w:tc>
      </w:tr>
      <w:tr w14:paraId="10BB07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3B436A19">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7677B49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评价基准年</w:t>
            </w:r>
          </w:p>
        </w:tc>
        <w:tc>
          <w:tcPr>
            <w:tcW w:w="3714" w:type="pct"/>
            <w:gridSpan w:val="11"/>
            <w:tcBorders>
              <w:top w:val="single" w:color="auto" w:sz="2" w:space="0"/>
              <w:left w:val="single" w:color="auto" w:sz="2" w:space="0"/>
              <w:bottom w:val="single" w:color="auto" w:sz="2" w:space="0"/>
              <w:right w:val="single" w:color="auto" w:sz="2" w:space="0"/>
              <w:tl2br w:val="nil"/>
              <w:tr2bl w:val="nil"/>
            </w:tcBorders>
            <w:noWrap w:val="0"/>
            <w:vAlign w:val="center"/>
          </w:tcPr>
          <w:p w14:paraId="49C2903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（2022）年</w:t>
            </w:r>
          </w:p>
        </w:tc>
      </w:tr>
      <w:tr w14:paraId="76C9EE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2B557875">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CE33D3E">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环境空气质量现状调查数据来源</w:t>
            </w:r>
          </w:p>
        </w:tc>
        <w:tc>
          <w:tcPr>
            <w:tcW w:w="1090"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3EF20B94">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长期例行监测数据□</w:t>
            </w:r>
          </w:p>
        </w:tc>
        <w:tc>
          <w:tcPr>
            <w:tcW w:w="1312"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206E134C">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主管部门发布的数据</w:t>
            </w:r>
            <w:r>
              <w:rPr>
                <w:rFonts w:hint="default" w:ascii="Times New Roman" w:hAnsi="Times New Roman" w:cs="Times New Roman"/>
                <w:color w:val="auto"/>
                <w:sz w:val="21"/>
                <w:szCs w:val="21"/>
                <w:highlight w:val="none"/>
                <w:lang w:eastAsia="zh-CN"/>
              </w:rPr>
              <w:t>☑</w:t>
            </w:r>
          </w:p>
        </w:tc>
        <w:tc>
          <w:tcPr>
            <w:tcW w:w="131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50B1D518">
            <w:pPr>
              <w:spacing w:beforeLines="0" w:afterLines="0" w:line="24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现状补充监测</w:t>
            </w:r>
            <w:r>
              <w:rPr>
                <w:rFonts w:hint="eastAsia" w:cs="Times New Roman"/>
                <w:color w:val="auto"/>
                <w:sz w:val="21"/>
                <w:szCs w:val="21"/>
                <w:highlight w:val="none"/>
                <w:lang w:eastAsia="zh-CN"/>
              </w:rPr>
              <w:t>☑</w:t>
            </w:r>
          </w:p>
        </w:tc>
      </w:tr>
      <w:tr w14:paraId="419F03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559DB12E">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58B94C5">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2005"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23F446F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达标区□</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2E59EA98">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不达标区</w:t>
            </w:r>
            <w:r>
              <w:rPr>
                <w:rFonts w:hint="default" w:ascii="Times New Roman" w:hAnsi="Times New Roman" w:cs="Times New Roman"/>
                <w:color w:val="auto"/>
                <w:sz w:val="21"/>
                <w:szCs w:val="21"/>
                <w:highlight w:val="none"/>
                <w:lang w:eastAsia="zh-CN"/>
              </w:rPr>
              <w:t>☑</w:t>
            </w:r>
          </w:p>
        </w:tc>
      </w:tr>
      <w:tr w14:paraId="02DABA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tcBorders>
              <w:top w:val="single" w:color="auto" w:sz="2" w:space="0"/>
              <w:left w:val="single" w:color="auto" w:sz="2" w:space="0"/>
              <w:bottom w:val="single" w:color="auto" w:sz="2" w:space="0"/>
              <w:right w:val="single" w:color="auto" w:sz="2" w:space="0"/>
              <w:tl2br w:val="nil"/>
              <w:tr2bl w:val="nil"/>
            </w:tcBorders>
            <w:noWrap w:val="0"/>
            <w:vAlign w:val="center"/>
          </w:tcPr>
          <w:p w14:paraId="4B386DEA">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p w14:paraId="2246F72A">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44B5314">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调查内容</w:t>
            </w:r>
          </w:p>
        </w:tc>
        <w:tc>
          <w:tcPr>
            <w:tcW w:w="128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2D1CB616">
            <w:pPr>
              <w:spacing w:beforeLines="0" w:afterLines="0" w:line="24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正常排放源</w:t>
            </w:r>
            <w:r>
              <w:rPr>
                <w:rFonts w:hint="default" w:ascii="Times New Roman" w:hAnsi="Times New Roman" w:cs="Times New Roman"/>
                <w:color w:val="auto"/>
                <w:sz w:val="21"/>
                <w:szCs w:val="21"/>
                <w:highlight w:val="none"/>
                <w:lang w:eastAsia="zh-CN"/>
              </w:rPr>
              <w:t>☑</w:t>
            </w:r>
          </w:p>
          <w:p w14:paraId="26695F2C">
            <w:pPr>
              <w:spacing w:beforeLines="0" w:afterLines="0" w:line="24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10"/>
                <w:sz w:val="21"/>
                <w:szCs w:val="21"/>
                <w:highlight w:val="none"/>
                <w:lang w:eastAsia="zh-CN"/>
              </w:rPr>
              <w:t>本项目</w:t>
            </w:r>
            <w:r>
              <w:rPr>
                <w:rFonts w:hint="default" w:ascii="Times New Roman" w:hAnsi="Times New Roman" w:cs="Times New Roman"/>
                <w:color w:val="auto"/>
                <w:spacing w:val="-10"/>
                <w:sz w:val="21"/>
                <w:szCs w:val="21"/>
                <w:highlight w:val="none"/>
              </w:rPr>
              <w:t>非正常排放源</w:t>
            </w:r>
            <w:r>
              <w:rPr>
                <w:rFonts w:hint="default" w:ascii="Times New Roman" w:hAnsi="Times New Roman" w:cs="Times New Roman"/>
                <w:color w:val="auto"/>
                <w:sz w:val="21"/>
                <w:szCs w:val="21"/>
                <w:highlight w:val="none"/>
                <w:lang w:eastAsia="zh-CN"/>
              </w:rPr>
              <w:t>☑</w:t>
            </w:r>
          </w:p>
          <w:p w14:paraId="6D249F8F">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现有污染源□</w:t>
            </w:r>
          </w:p>
        </w:tc>
        <w:tc>
          <w:tcPr>
            <w:tcW w:w="721"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59C41152">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拟替代的污染源□</w:t>
            </w:r>
          </w:p>
        </w:tc>
        <w:tc>
          <w:tcPr>
            <w:tcW w:w="879"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63FDA70F">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其他在建、</w:t>
            </w: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污染源□</w:t>
            </w:r>
          </w:p>
        </w:tc>
        <w:tc>
          <w:tcPr>
            <w:tcW w:w="829"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7E1E231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区域污染源□</w:t>
            </w:r>
          </w:p>
        </w:tc>
      </w:tr>
      <w:tr w14:paraId="4000AE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4A859B6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大气环境影响预测与评价</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76D41C9E">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预测模型</w:t>
            </w:r>
          </w:p>
        </w:tc>
        <w:tc>
          <w:tcPr>
            <w:tcW w:w="51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061A47F">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AERMOD□</w:t>
            </w:r>
          </w:p>
        </w:tc>
        <w:tc>
          <w:tcPr>
            <w:tcW w:w="765"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1644020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ADMS</w:t>
            </w:r>
          </w:p>
          <w:p w14:paraId="354EEE5A">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80" w:type="pct"/>
            <w:tcBorders>
              <w:top w:val="single" w:color="auto" w:sz="2" w:space="0"/>
              <w:left w:val="single" w:color="auto" w:sz="2" w:space="0"/>
              <w:bottom w:val="single" w:color="auto" w:sz="2" w:space="0"/>
              <w:right w:val="single" w:color="auto" w:sz="2" w:space="0"/>
              <w:tl2br w:val="nil"/>
              <w:tr2bl w:val="nil"/>
            </w:tcBorders>
            <w:noWrap w:val="0"/>
            <w:vAlign w:val="center"/>
          </w:tcPr>
          <w:p w14:paraId="77DA128C">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AUSTAL2000□</w:t>
            </w:r>
          </w:p>
        </w:tc>
        <w:tc>
          <w:tcPr>
            <w:tcW w:w="55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4D488308">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EDMS/AEDT□</w:t>
            </w:r>
          </w:p>
        </w:tc>
        <w:tc>
          <w:tcPr>
            <w:tcW w:w="466"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08DE7C7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CALPUFF□</w:t>
            </w:r>
          </w:p>
        </w:tc>
        <w:tc>
          <w:tcPr>
            <w:tcW w:w="43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2A9C3CE">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网格</w:t>
            </w:r>
          </w:p>
          <w:p w14:paraId="4007FEC1">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模型□</w:t>
            </w:r>
          </w:p>
        </w:tc>
        <w:tc>
          <w:tcPr>
            <w:tcW w:w="38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5384B88">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p w14:paraId="0E624F00">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r>
      <w:tr w14:paraId="38DC80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272D08A1">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33F0B05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预测范围</w:t>
            </w:r>
          </w:p>
        </w:tc>
        <w:tc>
          <w:tcPr>
            <w:tcW w:w="128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383763F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边长≥50km□</w:t>
            </w:r>
          </w:p>
        </w:tc>
        <w:tc>
          <w:tcPr>
            <w:tcW w:w="130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1B13AA38">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边长5～50km□</w:t>
            </w:r>
          </w:p>
        </w:tc>
        <w:tc>
          <w:tcPr>
            <w:tcW w:w="1128"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279AFEC0">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边长=5km</w:t>
            </w:r>
            <w:r>
              <w:rPr>
                <w:rFonts w:hint="default" w:ascii="Times New Roman" w:hAnsi="Times New Roman" w:cs="Times New Roman"/>
                <w:color w:val="auto"/>
                <w:sz w:val="21"/>
                <w:szCs w:val="21"/>
                <w:highlight w:val="none"/>
                <w:lang w:eastAsia="zh-CN"/>
              </w:rPr>
              <w:t>☑</w:t>
            </w:r>
          </w:p>
        </w:tc>
      </w:tr>
      <w:tr w14:paraId="0BB308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65B61BE6">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4FFBD8D">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w:t>
            </w:r>
          </w:p>
        </w:tc>
        <w:tc>
          <w:tcPr>
            <w:tcW w:w="2005"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297BEE85">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预测因子（NMHC、H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4CF709DE">
            <w:pPr>
              <w:spacing w:beforeLines="0" w:afterLines="0"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包括二次PM2.5□</w:t>
            </w:r>
          </w:p>
          <w:p w14:paraId="533E4DCC">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不包括二次PM2.5</w:t>
            </w:r>
            <w:r>
              <w:rPr>
                <w:rFonts w:hint="default" w:ascii="Times New Roman" w:hAnsi="Times New Roman" w:cs="Times New Roman"/>
                <w:color w:val="auto"/>
                <w:sz w:val="21"/>
                <w:szCs w:val="21"/>
                <w:highlight w:val="none"/>
                <w:lang w:eastAsia="zh-CN"/>
              </w:rPr>
              <w:t>☑</w:t>
            </w:r>
          </w:p>
        </w:tc>
      </w:tr>
      <w:tr w14:paraId="12B929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4C468760">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A664C92">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正常排放短期浓度贡献值</w:t>
            </w:r>
          </w:p>
        </w:tc>
        <w:tc>
          <w:tcPr>
            <w:tcW w:w="2005"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261C5C67">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lang w:eastAsia="zh-CN"/>
              </w:rPr>
              <w:t>本项目</w:t>
            </w:r>
            <w:r>
              <w:rPr>
                <w:rFonts w:hint="default" w:ascii="Times New Roman" w:hAnsi="Times New Roman" w:cs="Times New Roman"/>
                <w:color w:val="auto"/>
                <w:sz w:val="21"/>
                <w:szCs w:val="21"/>
                <w:highlight w:val="none"/>
              </w:rPr>
              <w:t>最大占标率≤100%</w:t>
            </w:r>
            <w:r>
              <w:rPr>
                <w:rFonts w:hint="default" w:ascii="Times New Roman" w:hAnsi="Times New Roman" w:cs="Times New Roman"/>
                <w:color w:val="auto"/>
                <w:sz w:val="21"/>
                <w:szCs w:val="21"/>
                <w:highlight w:val="none"/>
                <w:lang w:eastAsia="zh-CN"/>
              </w:rPr>
              <w:t>☑</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285785AD">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lang w:eastAsia="zh-CN"/>
              </w:rPr>
              <w:t>本项目</w:t>
            </w:r>
            <w:r>
              <w:rPr>
                <w:rFonts w:hint="default" w:ascii="Times New Roman" w:hAnsi="Times New Roman" w:cs="Times New Roman"/>
                <w:color w:val="auto"/>
                <w:sz w:val="21"/>
                <w:szCs w:val="21"/>
                <w:highlight w:val="none"/>
              </w:rPr>
              <w:t>最大占标率＞100%□</w:t>
            </w:r>
          </w:p>
        </w:tc>
      </w:tr>
      <w:tr w14:paraId="38F22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53F27DC3">
            <w:pPr>
              <w:spacing w:beforeLines="0" w:afterLines="0" w:line="240" w:lineRule="exact"/>
              <w:jc w:val="center"/>
              <w:rPr>
                <w:rFonts w:hint="default" w:ascii="Times New Roman" w:hAnsi="Times New Roman" w:cs="Times New Roman"/>
                <w:color w:val="auto"/>
                <w:sz w:val="21"/>
                <w:szCs w:val="21"/>
                <w:highlight w:val="none"/>
              </w:rPr>
            </w:pPr>
          </w:p>
        </w:tc>
        <w:tc>
          <w:tcPr>
            <w:tcW w:w="774"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575B1C8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正常排放年均浓度贡献值</w:t>
            </w:r>
          </w:p>
        </w:tc>
        <w:tc>
          <w:tcPr>
            <w:tcW w:w="51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44A61F09">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w:t>
            </w:r>
          </w:p>
        </w:tc>
        <w:tc>
          <w:tcPr>
            <w:tcW w:w="1486"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6EB9167C">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lang w:eastAsia="zh-CN"/>
              </w:rPr>
              <w:t>本项目</w:t>
            </w:r>
            <w:r>
              <w:rPr>
                <w:rFonts w:hint="default" w:ascii="Times New Roman" w:hAnsi="Times New Roman" w:cs="Times New Roman"/>
                <w:color w:val="auto"/>
                <w:sz w:val="21"/>
                <w:szCs w:val="21"/>
                <w:highlight w:val="none"/>
              </w:rPr>
              <w:t>最大占标率≤10%□</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2C461F6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lang w:eastAsia="zh-CN"/>
              </w:rPr>
              <w:t>本项目</w:t>
            </w:r>
            <w:r>
              <w:rPr>
                <w:rFonts w:hint="default" w:ascii="Times New Roman" w:hAnsi="Times New Roman" w:cs="Times New Roman"/>
                <w:color w:val="auto"/>
                <w:sz w:val="21"/>
                <w:szCs w:val="21"/>
                <w:highlight w:val="none"/>
              </w:rPr>
              <w:t>最大占标率＞10%□</w:t>
            </w:r>
          </w:p>
        </w:tc>
      </w:tr>
      <w:tr w14:paraId="447F03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67B50934">
            <w:pPr>
              <w:spacing w:beforeLines="0" w:afterLines="0" w:line="240" w:lineRule="exact"/>
              <w:jc w:val="center"/>
              <w:rPr>
                <w:rFonts w:hint="default" w:ascii="Times New Roman" w:hAnsi="Times New Roman" w:cs="Times New Roman"/>
                <w:color w:val="auto"/>
                <w:sz w:val="21"/>
                <w:szCs w:val="21"/>
                <w:highlight w:val="none"/>
              </w:rPr>
            </w:pPr>
          </w:p>
        </w:tc>
        <w:tc>
          <w:tcPr>
            <w:tcW w:w="774"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64655EF6">
            <w:pPr>
              <w:spacing w:beforeLines="0" w:afterLines="0" w:line="240" w:lineRule="exact"/>
              <w:jc w:val="center"/>
              <w:rPr>
                <w:rFonts w:hint="default" w:ascii="Times New Roman" w:hAnsi="Times New Roman" w:cs="Times New Roman"/>
                <w:color w:val="auto"/>
                <w:sz w:val="21"/>
                <w:szCs w:val="21"/>
                <w:highlight w:val="none"/>
              </w:rPr>
            </w:pPr>
          </w:p>
        </w:tc>
        <w:tc>
          <w:tcPr>
            <w:tcW w:w="519" w:type="pct"/>
            <w:tcBorders>
              <w:top w:val="single" w:color="auto" w:sz="2" w:space="0"/>
              <w:left w:val="single" w:color="auto" w:sz="2" w:space="0"/>
              <w:bottom w:val="single" w:color="auto" w:sz="2" w:space="0"/>
              <w:right w:val="single" w:color="auto" w:sz="2" w:space="0"/>
              <w:tl2br w:val="nil"/>
              <w:tr2bl w:val="nil"/>
            </w:tcBorders>
            <w:noWrap w:val="0"/>
            <w:vAlign w:val="center"/>
          </w:tcPr>
          <w:p w14:paraId="00AC005C">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1486"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761C557F">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lang w:eastAsia="zh-CN"/>
              </w:rPr>
              <w:t>本项目</w:t>
            </w:r>
            <w:r>
              <w:rPr>
                <w:rFonts w:hint="default" w:ascii="Times New Roman" w:hAnsi="Times New Roman" w:cs="Times New Roman"/>
                <w:color w:val="auto"/>
                <w:sz w:val="21"/>
                <w:szCs w:val="21"/>
                <w:highlight w:val="none"/>
              </w:rPr>
              <w:t>最大占标率≤30%□</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3608F129">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lang w:eastAsia="zh-CN"/>
              </w:rPr>
              <w:t>本项目</w:t>
            </w:r>
            <w:r>
              <w:rPr>
                <w:rFonts w:hint="default" w:ascii="Times New Roman" w:hAnsi="Times New Roman" w:cs="Times New Roman"/>
                <w:color w:val="auto"/>
                <w:sz w:val="21"/>
                <w:szCs w:val="21"/>
                <w:highlight w:val="none"/>
              </w:rPr>
              <w:t>最大占标率＞30%□</w:t>
            </w:r>
          </w:p>
        </w:tc>
      </w:tr>
      <w:tr w14:paraId="506ACE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19B45130">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A3862CC">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非正常排放1h浓度贡献值</w:t>
            </w:r>
          </w:p>
        </w:tc>
        <w:tc>
          <w:tcPr>
            <w:tcW w:w="128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41C66EAC">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非正常持续时长（）h</w:t>
            </w:r>
          </w:p>
        </w:tc>
        <w:tc>
          <w:tcPr>
            <w:tcW w:w="721"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11533FE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非正常</w:t>
            </w:r>
            <w:r>
              <w:rPr>
                <w:rFonts w:hint="default" w:ascii="Times New Roman" w:hAnsi="Times New Roman" w:cs="Times New Roman"/>
                <w:color w:val="auto"/>
                <w:sz w:val="21"/>
                <w:szCs w:val="21"/>
                <w:highlight w:val="none"/>
              </w:rPr>
              <w:t>占标率≤100%□</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63DDD24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非正常</w:t>
            </w:r>
            <w:r>
              <w:rPr>
                <w:rFonts w:hint="default" w:ascii="Times New Roman" w:hAnsi="Times New Roman" w:cs="Times New Roman"/>
                <w:color w:val="auto"/>
                <w:sz w:val="21"/>
                <w:szCs w:val="21"/>
                <w:highlight w:val="none"/>
              </w:rPr>
              <w:t>占标率＞100%□</w:t>
            </w:r>
          </w:p>
        </w:tc>
      </w:tr>
      <w:tr w14:paraId="5B03E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150574D0">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19CF81C3">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保证率日平均浓度和年平均浓度叠加值</w:t>
            </w:r>
          </w:p>
        </w:tc>
        <w:tc>
          <w:tcPr>
            <w:tcW w:w="2005"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249814A9">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叠加</w:t>
            </w:r>
            <w:r>
              <w:rPr>
                <w:rFonts w:hint="default" w:ascii="Times New Roman" w:hAnsi="Times New Roman" w:cs="Times New Roman"/>
                <w:color w:val="auto"/>
                <w:sz w:val="21"/>
                <w:szCs w:val="21"/>
                <w:highlight w:val="none"/>
              </w:rPr>
              <w:t>达标□</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7BAEACD3">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叠加</w:t>
            </w:r>
            <w:r>
              <w:rPr>
                <w:rFonts w:hint="default" w:ascii="Times New Roman" w:hAnsi="Times New Roman" w:cs="Times New Roman"/>
                <w:color w:val="auto"/>
                <w:sz w:val="21"/>
                <w:szCs w:val="21"/>
                <w:highlight w:val="none"/>
              </w:rPr>
              <w:t>不达标□</w:t>
            </w:r>
          </w:p>
        </w:tc>
      </w:tr>
      <w:tr w14:paraId="244029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442439C3">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6E5E05D5">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区域环境质量的整体变化情况</w:t>
            </w:r>
          </w:p>
        </w:tc>
        <w:tc>
          <w:tcPr>
            <w:tcW w:w="2005"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363579B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k≤-20%□</w:t>
            </w:r>
          </w:p>
        </w:tc>
        <w:tc>
          <w:tcPr>
            <w:tcW w:w="1709" w:type="pct"/>
            <w:gridSpan w:val="6"/>
            <w:tcBorders>
              <w:top w:val="single" w:color="auto" w:sz="2" w:space="0"/>
              <w:left w:val="single" w:color="auto" w:sz="2" w:space="0"/>
              <w:bottom w:val="single" w:color="auto" w:sz="2" w:space="0"/>
              <w:right w:val="single" w:color="auto" w:sz="2" w:space="0"/>
              <w:tl2br w:val="nil"/>
              <w:tr2bl w:val="nil"/>
            </w:tcBorders>
            <w:noWrap w:val="0"/>
            <w:vAlign w:val="center"/>
          </w:tcPr>
          <w:p w14:paraId="4425BD5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k＞-20%□</w:t>
            </w:r>
          </w:p>
        </w:tc>
      </w:tr>
      <w:tr w14:paraId="45A242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2088156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环境监测计划</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287A54A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污染源监测</w:t>
            </w:r>
          </w:p>
        </w:tc>
        <w:tc>
          <w:tcPr>
            <w:tcW w:w="128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54DC21B7">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p w14:paraId="7A0D1A82">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（NMHC、H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30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33F2FEE1">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有组织废气监测</w:t>
            </w:r>
            <w:r>
              <w:rPr>
                <w:rFonts w:hint="eastAsia" w:cs="Times New Roman"/>
                <w:color w:val="auto"/>
                <w:sz w:val="21"/>
                <w:szCs w:val="21"/>
                <w:highlight w:val="none"/>
                <w:lang w:eastAsia="zh-CN"/>
              </w:rPr>
              <w:t>□</w:t>
            </w:r>
          </w:p>
          <w:p w14:paraId="5F53C790">
            <w:pPr>
              <w:spacing w:beforeLines="0" w:afterLines="0"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无组织废气监测</w:t>
            </w:r>
            <w:r>
              <w:rPr>
                <w:rFonts w:hint="default" w:ascii="Times New Roman" w:hAnsi="Times New Roman" w:cs="Times New Roman"/>
                <w:color w:val="auto"/>
                <w:sz w:val="21"/>
                <w:szCs w:val="21"/>
                <w:highlight w:val="none"/>
                <w:lang w:eastAsia="zh-CN"/>
              </w:rPr>
              <w:t>☑</w:t>
            </w:r>
          </w:p>
        </w:tc>
        <w:tc>
          <w:tcPr>
            <w:tcW w:w="1128"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0A65221D">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无监测□</w:t>
            </w:r>
          </w:p>
        </w:tc>
      </w:tr>
      <w:tr w14:paraId="66FBBA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0216BEED">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7AD78F1B">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环境质量</w:t>
            </w:r>
          </w:p>
          <w:p w14:paraId="54D865BA">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w:t>
            </w:r>
          </w:p>
        </w:tc>
        <w:tc>
          <w:tcPr>
            <w:tcW w:w="128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4C0DBBA1">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1302" w:type="pct"/>
            <w:gridSpan w:val="5"/>
            <w:tcBorders>
              <w:top w:val="single" w:color="auto" w:sz="2" w:space="0"/>
              <w:left w:val="single" w:color="auto" w:sz="2" w:space="0"/>
              <w:bottom w:val="single" w:color="auto" w:sz="2" w:space="0"/>
              <w:right w:val="single" w:color="auto" w:sz="2" w:space="0"/>
              <w:tl2br w:val="nil"/>
              <w:tr2bl w:val="nil"/>
            </w:tcBorders>
            <w:noWrap w:val="0"/>
            <w:vAlign w:val="center"/>
          </w:tcPr>
          <w:p w14:paraId="2A0A50C2">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监测点位数（）</w:t>
            </w:r>
          </w:p>
        </w:tc>
        <w:tc>
          <w:tcPr>
            <w:tcW w:w="1128"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4BCB0BAF">
            <w:pPr>
              <w:spacing w:beforeLines="0" w:afterLines="0" w:line="24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无监测</w:t>
            </w:r>
            <w:r>
              <w:rPr>
                <w:rFonts w:hint="eastAsia" w:cs="Times New Roman"/>
                <w:color w:val="auto"/>
                <w:sz w:val="21"/>
                <w:szCs w:val="21"/>
                <w:highlight w:val="none"/>
                <w:lang w:eastAsia="zh-CN"/>
              </w:rPr>
              <w:t>☑</w:t>
            </w:r>
          </w:p>
        </w:tc>
      </w:tr>
      <w:tr w14:paraId="49972F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14:paraId="35947104">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4CA64CA3">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w:t>
            </w:r>
          </w:p>
        </w:tc>
        <w:tc>
          <w:tcPr>
            <w:tcW w:w="3714" w:type="pct"/>
            <w:gridSpan w:val="11"/>
            <w:tcBorders>
              <w:top w:val="single" w:color="auto" w:sz="2" w:space="0"/>
              <w:left w:val="single" w:color="auto" w:sz="2" w:space="0"/>
              <w:bottom w:val="single" w:color="auto" w:sz="2" w:space="0"/>
              <w:right w:val="single" w:color="auto" w:sz="2" w:space="0"/>
              <w:tl2br w:val="nil"/>
              <w:tr2bl w:val="nil"/>
            </w:tcBorders>
            <w:noWrap w:val="0"/>
            <w:vAlign w:val="center"/>
          </w:tcPr>
          <w:p w14:paraId="0DD6E1DA">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可以接受</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不可以接受□</w:t>
            </w:r>
          </w:p>
        </w:tc>
      </w:tr>
      <w:tr w14:paraId="2F9731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291A2163">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5777462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大气环境防护距离</w:t>
            </w:r>
          </w:p>
        </w:tc>
        <w:tc>
          <w:tcPr>
            <w:tcW w:w="3714" w:type="pct"/>
            <w:gridSpan w:val="11"/>
            <w:tcBorders>
              <w:top w:val="single" w:color="auto" w:sz="2" w:space="0"/>
              <w:left w:val="single" w:color="auto" w:sz="2" w:space="0"/>
              <w:bottom w:val="single" w:color="auto" w:sz="2" w:space="0"/>
              <w:right w:val="single" w:color="auto" w:sz="2" w:space="0"/>
              <w:tl2br w:val="nil"/>
              <w:tr2bl w:val="nil"/>
            </w:tcBorders>
            <w:noWrap w:val="0"/>
            <w:vAlign w:val="center"/>
          </w:tcPr>
          <w:p w14:paraId="1652C3D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距厂界最远（</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w:t>
            </w:r>
          </w:p>
        </w:tc>
      </w:tr>
      <w:tr w14:paraId="1A9A31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0" w:type="pct"/>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14:paraId="2C89998F">
            <w:pPr>
              <w:spacing w:beforeLines="0" w:afterLines="0" w:line="240" w:lineRule="exact"/>
              <w:jc w:val="center"/>
              <w:rPr>
                <w:rFonts w:hint="default" w:ascii="Times New Roman" w:hAnsi="Times New Roman" w:cs="Times New Roman"/>
                <w:color w:val="auto"/>
                <w:sz w:val="21"/>
                <w:szCs w:val="21"/>
                <w:highlight w:val="none"/>
              </w:rPr>
            </w:pPr>
          </w:p>
        </w:tc>
        <w:tc>
          <w:tcPr>
            <w:tcW w:w="774" w:type="pct"/>
            <w:tcBorders>
              <w:top w:val="single" w:color="auto" w:sz="2" w:space="0"/>
              <w:left w:val="single" w:color="auto" w:sz="2" w:space="0"/>
              <w:bottom w:val="single" w:color="auto" w:sz="2" w:space="0"/>
              <w:right w:val="single" w:color="auto" w:sz="2" w:space="0"/>
              <w:tl2br w:val="nil"/>
              <w:tr2bl w:val="nil"/>
            </w:tcBorders>
            <w:noWrap w:val="0"/>
            <w:vAlign w:val="center"/>
          </w:tcPr>
          <w:p w14:paraId="2FCF34B1">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p w14:paraId="20179006">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年排放量</w:t>
            </w:r>
          </w:p>
        </w:tc>
        <w:tc>
          <w:tcPr>
            <w:tcW w:w="1284" w:type="pct"/>
            <w:gridSpan w:val="3"/>
            <w:tcBorders>
              <w:top w:val="single" w:color="auto" w:sz="2" w:space="0"/>
              <w:left w:val="single" w:color="auto" w:sz="2" w:space="0"/>
              <w:bottom w:val="single" w:color="auto" w:sz="2" w:space="0"/>
              <w:right w:val="single" w:color="auto" w:sz="2" w:space="0"/>
              <w:tl2br w:val="nil"/>
              <w:tr2bl w:val="nil"/>
            </w:tcBorders>
            <w:noWrap w:val="0"/>
            <w:vAlign w:val="center"/>
          </w:tcPr>
          <w:p w14:paraId="55B7E11F">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）t/a</w:t>
            </w:r>
          </w:p>
        </w:tc>
        <w:tc>
          <w:tcPr>
            <w:tcW w:w="721"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2DE44C9D">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）t/a</w:t>
            </w:r>
          </w:p>
        </w:tc>
        <w:tc>
          <w:tcPr>
            <w:tcW w:w="879" w:type="pct"/>
            <w:gridSpan w:val="4"/>
            <w:tcBorders>
              <w:top w:val="single" w:color="auto" w:sz="2" w:space="0"/>
              <w:left w:val="single" w:color="auto" w:sz="2" w:space="0"/>
              <w:bottom w:val="single" w:color="auto" w:sz="2" w:space="0"/>
              <w:right w:val="single" w:color="auto" w:sz="2" w:space="0"/>
              <w:tl2br w:val="nil"/>
              <w:tr2bl w:val="nil"/>
            </w:tcBorders>
            <w:noWrap w:val="0"/>
            <w:vAlign w:val="center"/>
          </w:tcPr>
          <w:p w14:paraId="025127FF">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）t/a</w:t>
            </w:r>
          </w:p>
        </w:tc>
        <w:tc>
          <w:tcPr>
            <w:tcW w:w="829" w:type="pct"/>
            <w:gridSpan w:val="2"/>
            <w:tcBorders>
              <w:top w:val="single" w:color="auto" w:sz="2" w:space="0"/>
              <w:left w:val="single" w:color="auto" w:sz="2" w:space="0"/>
              <w:bottom w:val="single" w:color="auto" w:sz="2" w:space="0"/>
              <w:right w:val="single" w:color="auto" w:sz="2" w:space="0"/>
              <w:tl2br w:val="nil"/>
              <w:tr2bl w:val="nil"/>
            </w:tcBorders>
            <w:noWrap w:val="0"/>
            <w:vAlign w:val="center"/>
          </w:tcPr>
          <w:p w14:paraId="1368FB60">
            <w:pPr>
              <w:spacing w:beforeLines="0" w:afterLines="0"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w:t>
            </w:r>
            <w:r>
              <w:rPr>
                <w:rFonts w:hint="eastAsia" w:cs="Times New Roman"/>
                <w:color w:val="auto"/>
                <w:sz w:val="21"/>
                <w:szCs w:val="21"/>
                <w:highlight w:val="none"/>
                <w:lang w:val="en-US" w:eastAsia="zh-CN"/>
              </w:rPr>
              <w:t>0.364</w:t>
            </w:r>
            <w:r>
              <w:rPr>
                <w:rFonts w:hint="default" w:ascii="Times New Roman" w:hAnsi="Times New Roman" w:cs="Times New Roman"/>
                <w:color w:val="auto"/>
                <w:sz w:val="21"/>
                <w:szCs w:val="21"/>
                <w:highlight w:val="none"/>
              </w:rPr>
              <w:t>）t/a</w:t>
            </w:r>
          </w:p>
        </w:tc>
      </w:tr>
    </w:tbl>
    <w:p w14:paraId="4830AFE4">
      <w:pPr>
        <w:keepNext w:val="0"/>
        <w:keepLines w:val="0"/>
        <w:pageBreakBefore w:val="0"/>
        <w:widowControl w:val="0"/>
        <w:suppressLineNumbers w:val="0"/>
        <w:kinsoku/>
        <w:wordWrap/>
        <w:bidi w:val="0"/>
        <w:snapToGrid/>
        <w:spacing w:before="0" w:beforeAutospacing="0" w:after="0" w:afterAutospacing="0" w:line="240" w:lineRule="auto"/>
        <w:ind w:left="0" w:right="0"/>
        <w:jc w:val="center"/>
        <w:rPr>
          <w:rFonts w:hint="default" w:ascii="Times New Roman" w:hAnsi="Times New Roman" w:eastAsia="黑体" w:cs="Times New Roman"/>
          <w:color w:val="auto"/>
          <w:kern w:val="2"/>
          <w:sz w:val="21"/>
          <w:szCs w:val="21"/>
          <w:highlight w:val="none"/>
          <w:lang w:val="en-US" w:eastAsia="zh-CN" w:bidi="ar"/>
        </w:rPr>
      </w:pPr>
    </w:p>
    <w:bookmarkEnd w:id="490"/>
    <w:p w14:paraId="47332953">
      <w:pPr>
        <w:pStyle w:val="5"/>
        <w:pageBreakBefore w:val="0"/>
        <w:widowControl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auto"/>
          <w:highlight w:val="none"/>
        </w:rPr>
      </w:pPr>
      <w:bookmarkStart w:id="491" w:name="_Toc29968"/>
      <w:bookmarkStart w:id="492" w:name="_Toc32642"/>
      <w:bookmarkStart w:id="493" w:name="_Toc1838"/>
      <w:r>
        <w:rPr>
          <w:rFonts w:hint="default" w:ascii="Times New Roman" w:hAnsi="Times New Roman" w:cs="Times New Roman"/>
          <w:color w:val="auto"/>
          <w:highlight w:val="none"/>
        </w:rPr>
        <w:t>5.3声环境影响分析</w:t>
      </w:r>
      <w:bookmarkEnd w:id="480"/>
      <w:bookmarkEnd w:id="481"/>
      <w:bookmarkEnd w:id="482"/>
      <w:bookmarkEnd w:id="483"/>
      <w:bookmarkEnd w:id="484"/>
      <w:bookmarkEnd w:id="485"/>
      <w:bookmarkEnd w:id="491"/>
      <w:bookmarkEnd w:id="492"/>
      <w:bookmarkEnd w:id="493"/>
    </w:p>
    <w:p w14:paraId="1787C5D8">
      <w:pPr>
        <w:pStyle w:val="6"/>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bookmarkStart w:id="494" w:name="_Toc5046"/>
      <w:bookmarkStart w:id="495" w:name="_Toc15267"/>
      <w:bookmarkStart w:id="496" w:name="_Toc9260"/>
      <w:r>
        <w:rPr>
          <w:rFonts w:hint="default" w:ascii="Times New Roman" w:hAnsi="Times New Roman" w:cs="Times New Roman"/>
          <w:color w:val="auto"/>
          <w:highlight w:val="none"/>
        </w:rPr>
        <w:t>5.3.1</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声环境影响分析</w:t>
      </w:r>
      <w:bookmarkEnd w:id="494"/>
      <w:bookmarkEnd w:id="495"/>
      <w:bookmarkEnd w:id="496"/>
    </w:p>
    <w:p w14:paraId="1FF72368">
      <w:pPr>
        <w:pStyle w:val="7"/>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5.3.1.1钻井过程声环境影响分析</w:t>
      </w:r>
    </w:p>
    <w:p w14:paraId="0271E238">
      <w:pPr>
        <w:pStyle w:val="12"/>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噪声源分析</w:t>
      </w:r>
    </w:p>
    <w:p w14:paraId="392E846C">
      <w:pPr>
        <w:pStyle w:val="46"/>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钻井期间</w:t>
      </w:r>
      <w:r>
        <w:rPr>
          <w:rFonts w:hint="default" w:ascii="Times New Roman" w:hAnsi="Times New Roman" w:cs="Times New Roman"/>
          <w:color w:val="auto"/>
          <w:highlight w:val="none"/>
        </w:rPr>
        <w:t>的噪声主要为施工机械和</w:t>
      </w:r>
      <w:r>
        <w:rPr>
          <w:rFonts w:hint="eastAsia" w:cs="Times New Roman"/>
          <w:color w:val="auto"/>
          <w:highlight w:val="none"/>
          <w:lang w:val="en-US" w:eastAsia="zh-CN"/>
        </w:rPr>
        <w:t>运输</w:t>
      </w:r>
      <w:r>
        <w:rPr>
          <w:rFonts w:hint="default" w:ascii="Times New Roman" w:hAnsi="Times New Roman" w:cs="Times New Roman"/>
          <w:color w:val="auto"/>
          <w:highlight w:val="none"/>
        </w:rPr>
        <w:t>车辆发出的噪声，声压级一般在</w:t>
      </w:r>
      <w:r>
        <w:rPr>
          <w:rFonts w:hint="eastAsia" w:cs="Times New Roman"/>
          <w:color w:val="auto"/>
          <w:highlight w:val="none"/>
          <w:lang w:val="en-US" w:eastAsia="zh-CN"/>
        </w:rPr>
        <w:t>84</w:t>
      </w:r>
      <w:r>
        <w:rPr>
          <w:rFonts w:hint="default" w:ascii="Times New Roman" w:hAnsi="Times New Roman" w:cs="Times New Roman"/>
          <w:color w:val="auto"/>
          <w:highlight w:val="none"/>
        </w:rPr>
        <w:t>~</w:t>
      </w:r>
      <w:r>
        <w:rPr>
          <w:rFonts w:hint="eastAsia" w:cs="Times New Roman"/>
          <w:color w:val="auto"/>
          <w:highlight w:val="none"/>
          <w:lang w:val="en-US" w:eastAsia="zh-CN"/>
        </w:rPr>
        <w:t>95</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14:paraId="762E1F5F">
      <w:pPr>
        <w:pageBreakBefore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敏感点分析</w:t>
      </w:r>
    </w:p>
    <w:p w14:paraId="4F1FBA2D">
      <w:pPr>
        <w:pageBreakBefore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根据现场调查评价范围内没有自然保护区、风景旅游区、文物古迹等特殊敏感目标，工程区周围200m范围内没有医院、学校、机关、科研单位、住宅等声环境敏感点。</w:t>
      </w:r>
    </w:p>
    <w:p w14:paraId="75388C80">
      <w:pPr>
        <w:pageBreakBefore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声影响分析</w:t>
      </w:r>
    </w:p>
    <w:p w14:paraId="6B1D9771">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工程区200m内无居民，钻井工程噪声不影响当地居民正常生活，施工期的这些噪声源均为暂时性的，只在短时期对局部环境和施工人员造成影响，待施工结束后这种影响也随之消失。施工期噪声对周围环境造成的影响属可接受范围。</w:t>
      </w:r>
    </w:p>
    <w:p w14:paraId="3C74DC2D">
      <w:pPr>
        <w:pStyle w:val="7"/>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5.3.1.2地面工程声环境影响分析</w:t>
      </w:r>
    </w:p>
    <w:p w14:paraId="7B77A732">
      <w:pPr>
        <w:pStyle w:val="12"/>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地面工程在建设施工过程中，由于运输、平整场地、管沟开挖及回填、建筑物修建等要使用各种车辆和机械，其产生的噪声对施工区周围的环境将产生一定的影响。</w:t>
      </w:r>
    </w:p>
    <w:p w14:paraId="1B1524A4">
      <w:pPr>
        <w:widowControl w:val="0"/>
        <w:spacing w:line="360" w:lineRule="auto"/>
        <w:ind w:firstLine="480" w:firstLineChars="20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本评价采用点源衰减模式，预测计算施工机械噪声源至受声点的几何发散衰减，计算中不考虑声屏障、空气吸收等衰减，预测公式如下：</w:t>
      </w:r>
    </w:p>
    <w:p w14:paraId="3322CBE2">
      <w:pPr>
        <w:widowControl w:val="0"/>
        <w:spacing w:line="360" w:lineRule="auto"/>
        <w:ind w:firstLine="480" w:firstLineChars="200"/>
        <w:jc w:val="center"/>
        <w:rPr>
          <w:rFonts w:hint="default" w:ascii="Times New Roman" w:hAnsi="Times New Roman" w:eastAsia="宋体" w:cs="Times New Roman"/>
          <w:color w:val="auto"/>
          <w:kern w:val="2"/>
          <w:szCs w:val="24"/>
          <w:highlight w:val="none"/>
          <w:lang w:val="pt-BR" w:eastAsia="zh-CN"/>
        </w:rPr>
      </w:pPr>
      <w:r>
        <w:rPr>
          <w:rFonts w:hint="default" w:ascii="Times New Roman" w:hAnsi="Times New Roman" w:cs="Times New Roman"/>
          <w:color w:val="auto"/>
          <w:kern w:val="2"/>
          <w:szCs w:val="24"/>
          <w:highlight w:val="none"/>
          <w:lang w:val="pt-BR"/>
        </w:rPr>
        <w:t>L</w:t>
      </w:r>
      <w:r>
        <w:rPr>
          <w:rFonts w:hint="default" w:ascii="Times New Roman" w:hAnsi="Times New Roman" w:cs="Times New Roman"/>
          <w:color w:val="auto"/>
          <w:kern w:val="2"/>
          <w:szCs w:val="24"/>
          <w:highlight w:val="none"/>
          <w:vertAlign w:val="subscript"/>
        </w:rPr>
        <w:t>P</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r</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lang w:val="pt-BR"/>
        </w:rPr>
        <w:t>=L</w:t>
      </w:r>
      <w:r>
        <w:rPr>
          <w:rFonts w:hint="default" w:ascii="Times New Roman" w:hAnsi="Times New Roman" w:cs="Times New Roman"/>
          <w:color w:val="auto"/>
          <w:kern w:val="2"/>
          <w:szCs w:val="24"/>
          <w:highlight w:val="none"/>
          <w:vertAlign w:val="subscript"/>
        </w:rPr>
        <w:t>P</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r</w:t>
      </w:r>
      <w:r>
        <w:rPr>
          <w:rFonts w:hint="default" w:ascii="Times New Roman" w:hAnsi="Times New Roman" w:cs="Times New Roman"/>
          <w:color w:val="auto"/>
          <w:kern w:val="2"/>
          <w:szCs w:val="24"/>
          <w:highlight w:val="none"/>
          <w:vertAlign w:val="subscript"/>
        </w:rPr>
        <w:t>0</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lang w:val="pt-BR"/>
        </w:rPr>
        <w:t>-20lg</w:t>
      </w:r>
      <w:r>
        <w:rPr>
          <w:rFonts w:hint="default" w:ascii="Times New Roman" w:hAnsi="Times New Roman" w:cs="Times New Roman"/>
          <w:color w:val="auto"/>
          <w:kern w:val="2"/>
          <w:szCs w:val="24"/>
          <w:highlight w:val="none"/>
          <w:lang w:val="pt-BR" w:eastAsia="zh-CN"/>
        </w:rPr>
        <w:t>（</w:t>
      </w:r>
      <w:r>
        <w:rPr>
          <w:rFonts w:hint="default" w:ascii="Times New Roman" w:hAnsi="Times New Roman" w:cs="Times New Roman"/>
          <w:color w:val="auto"/>
          <w:kern w:val="2"/>
          <w:szCs w:val="24"/>
          <w:highlight w:val="none"/>
          <w:lang w:val="pt-BR"/>
        </w:rPr>
        <w:t>r/r</w:t>
      </w:r>
      <w:r>
        <w:rPr>
          <w:rFonts w:hint="default" w:ascii="Times New Roman" w:hAnsi="Times New Roman" w:cs="Times New Roman"/>
          <w:color w:val="auto"/>
          <w:kern w:val="2"/>
          <w:szCs w:val="24"/>
          <w:highlight w:val="none"/>
          <w:vertAlign w:val="subscript"/>
          <w:lang w:val="pt-BR"/>
        </w:rPr>
        <w:t>o</w:t>
      </w:r>
      <w:r>
        <w:rPr>
          <w:rFonts w:hint="default" w:ascii="Times New Roman" w:hAnsi="Times New Roman" w:cs="Times New Roman"/>
          <w:color w:val="auto"/>
          <w:kern w:val="2"/>
          <w:szCs w:val="24"/>
          <w:highlight w:val="none"/>
          <w:lang w:val="pt-BR" w:eastAsia="zh-CN"/>
        </w:rPr>
        <w:t>）</w:t>
      </w:r>
    </w:p>
    <w:p w14:paraId="4E5900BF">
      <w:pPr>
        <w:widowControl w:val="0"/>
        <w:spacing w:line="360" w:lineRule="auto"/>
        <w:ind w:firstLine="480" w:firstLineChars="20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式中：</w:t>
      </w:r>
      <w:r>
        <w:rPr>
          <w:rFonts w:hint="default" w:ascii="Times New Roman" w:hAnsi="Times New Roman" w:cs="Times New Roman"/>
          <w:color w:val="auto"/>
          <w:kern w:val="2"/>
          <w:szCs w:val="24"/>
          <w:highlight w:val="none"/>
          <w:lang w:val="pt-BR"/>
        </w:rPr>
        <w:t>L</w:t>
      </w:r>
      <w:r>
        <w:rPr>
          <w:rFonts w:hint="default" w:ascii="Times New Roman" w:hAnsi="Times New Roman" w:cs="Times New Roman"/>
          <w:color w:val="auto"/>
          <w:kern w:val="2"/>
          <w:szCs w:val="24"/>
          <w:highlight w:val="none"/>
          <w:vertAlign w:val="subscript"/>
        </w:rPr>
        <w:t>P</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r</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——预测点处声压级，dB</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A</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w:t>
      </w:r>
    </w:p>
    <w:p w14:paraId="2F6CD445">
      <w:pPr>
        <w:widowControl w:val="0"/>
        <w:spacing w:line="360" w:lineRule="auto"/>
        <w:ind w:firstLine="480" w:firstLineChars="20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lang w:val="pt-BR"/>
        </w:rPr>
        <w:t>L</w:t>
      </w:r>
      <w:r>
        <w:rPr>
          <w:rFonts w:hint="default" w:ascii="Times New Roman" w:hAnsi="Times New Roman" w:cs="Times New Roman"/>
          <w:color w:val="auto"/>
          <w:kern w:val="2"/>
          <w:szCs w:val="24"/>
          <w:highlight w:val="none"/>
          <w:vertAlign w:val="subscript"/>
        </w:rPr>
        <w:t>P</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r</w:t>
      </w:r>
      <w:r>
        <w:rPr>
          <w:rFonts w:hint="default" w:ascii="Times New Roman" w:hAnsi="Times New Roman" w:cs="Times New Roman"/>
          <w:color w:val="auto"/>
          <w:kern w:val="2"/>
          <w:szCs w:val="24"/>
          <w:highlight w:val="none"/>
          <w:vertAlign w:val="subscript"/>
        </w:rPr>
        <w:t>0</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——参考位置r</w:t>
      </w:r>
      <w:r>
        <w:rPr>
          <w:rFonts w:hint="default" w:ascii="Times New Roman" w:hAnsi="Times New Roman" w:cs="Times New Roman"/>
          <w:color w:val="auto"/>
          <w:kern w:val="2"/>
          <w:szCs w:val="24"/>
          <w:highlight w:val="none"/>
          <w:vertAlign w:val="subscript"/>
        </w:rPr>
        <w:t>o</w:t>
      </w:r>
      <w:r>
        <w:rPr>
          <w:rFonts w:hint="default" w:ascii="Times New Roman" w:hAnsi="Times New Roman" w:cs="Times New Roman"/>
          <w:color w:val="auto"/>
          <w:kern w:val="2"/>
          <w:szCs w:val="24"/>
          <w:highlight w:val="none"/>
        </w:rPr>
        <w:t>处的声压级，dB</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A</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w:t>
      </w:r>
    </w:p>
    <w:p w14:paraId="4AC6F596">
      <w:pPr>
        <w:widowControl w:val="0"/>
        <w:spacing w:line="360" w:lineRule="auto"/>
        <w:ind w:firstLine="480" w:firstLineChars="20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r——预测点距声源的距离，m；</w:t>
      </w:r>
    </w:p>
    <w:p w14:paraId="0EB7410B">
      <w:pPr>
        <w:widowControl w:val="0"/>
        <w:spacing w:line="360" w:lineRule="auto"/>
        <w:ind w:firstLine="480" w:firstLineChars="20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r</w:t>
      </w:r>
      <w:r>
        <w:rPr>
          <w:rFonts w:hint="default" w:ascii="Times New Roman" w:hAnsi="Times New Roman" w:cs="Times New Roman"/>
          <w:color w:val="auto"/>
          <w:kern w:val="2"/>
          <w:szCs w:val="24"/>
          <w:highlight w:val="none"/>
          <w:vertAlign w:val="subscript"/>
        </w:rPr>
        <w:t>o</w:t>
      </w:r>
      <w:r>
        <w:rPr>
          <w:rFonts w:hint="default" w:ascii="Times New Roman" w:hAnsi="Times New Roman" w:cs="Times New Roman"/>
          <w:color w:val="auto"/>
          <w:kern w:val="2"/>
          <w:szCs w:val="24"/>
          <w:highlight w:val="none"/>
        </w:rPr>
        <w:t>——参考位置距声源的距离，m。</w:t>
      </w:r>
    </w:p>
    <w:p w14:paraId="4B8B3FC4">
      <w:pPr>
        <w:pStyle w:val="46"/>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kern w:val="2"/>
          <w:szCs w:val="24"/>
          <w:highlight w:val="none"/>
        </w:rPr>
        <w:t>利用上述公式，预测计算</w:t>
      </w:r>
      <w:r>
        <w:rPr>
          <w:rFonts w:hint="default" w:ascii="Times New Roman" w:hAnsi="Times New Roman" w:cs="Times New Roman"/>
          <w:color w:val="auto"/>
          <w:kern w:val="2"/>
          <w:szCs w:val="24"/>
          <w:highlight w:val="none"/>
          <w:lang w:eastAsia="zh-CN"/>
        </w:rPr>
        <w:t>本项目</w:t>
      </w:r>
      <w:r>
        <w:rPr>
          <w:rFonts w:hint="default" w:ascii="Times New Roman" w:hAnsi="Times New Roman" w:cs="Times New Roman"/>
          <w:color w:val="auto"/>
          <w:kern w:val="2"/>
          <w:szCs w:val="24"/>
          <w:highlight w:val="none"/>
        </w:rPr>
        <w:t>主要施工机械在不同距离处的贡献值，预测计算结果见表</w:t>
      </w:r>
      <w:r>
        <w:rPr>
          <w:rFonts w:hint="default" w:ascii="Times New Roman" w:hAnsi="Times New Roman" w:cs="Times New Roman"/>
          <w:color w:val="auto"/>
          <w:highlight w:val="none"/>
        </w:rPr>
        <w:t>5.3-1。</w:t>
      </w:r>
    </w:p>
    <w:p w14:paraId="48614F47">
      <w:pPr>
        <w:pStyle w:val="45"/>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表5.3-1主要施工机械在不同距离处的噪声贡献值一览表</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03"/>
        <w:gridCol w:w="946"/>
        <w:gridCol w:w="514"/>
        <w:gridCol w:w="514"/>
        <w:gridCol w:w="625"/>
        <w:gridCol w:w="625"/>
        <w:gridCol w:w="625"/>
        <w:gridCol w:w="625"/>
        <w:gridCol w:w="564"/>
        <w:gridCol w:w="564"/>
        <w:gridCol w:w="564"/>
        <w:gridCol w:w="678"/>
        <w:gridCol w:w="945"/>
      </w:tblGrid>
      <w:tr w14:paraId="4512A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Merge w:val="restart"/>
            <w:vAlign w:val="center"/>
          </w:tcPr>
          <w:p w14:paraId="10128E0F">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序号</w:t>
            </w:r>
          </w:p>
        </w:tc>
        <w:tc>
          <w:tcPr>
            <w:tcW w:w="946" w:type="dxa"/>
            <w:vMerge w:val="restart"/>
            <w:vAlign w:val="center"/>
          </w:tcPr>
          <w:p w14:paraId="4E2409DC">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机械</w:t>
            </w:r>
          </w:p>
        </w:tc>
        <w:tc>
          <w:tcPr>
            <w:tcW w:w="5898" w:type="dxa"/>
            <w:gridSpan w:val="10"/>
            <w:tcMar>
              <w:left w:w="57" w:type="dxa"/>
              <w:right w:w="57" w:type="dxa"/>
            </w:tcMar>
            <w:vAlign w:val="center"/>
          </w:tcPr>
          <w:p w14:paraId="0EF13216">
            <w:pPr>
              <w:widowControl w:val="0"/>
              <w:spacing w:line="0" w:lineRule="atLeast"/>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bidi="ar"/>
              </w:rPr>
              <w:t>不同距离处的噪声贡献值</w:t>
            </w:r>
            <w:r>
              <w:rPr>
                <w:rFonts w:hint="default" w:ascii="Times New Roman" w:hAnsi="Times New Roman" w:cs="Times New Roman"/>
                <w:color w:val="auto"/>
                <w:kern w:val="2"/>
                <w:sz w:val="21"/>
                <w:szCs w:val="21"/>
                <w:highlight w:val="none"/>
                <w:lang w:eastAsia="zh-CN" w:bidi="ar"/>
              </w:rPr>
              <w:t>〔</w:t>
            </w:r>
            <w:r>
              <w:rPr>
                <w:rFonts w:hint="default" w:ascii="Times New Roman" w:hAnsi="Times New Roman" w:cs="Times New Roman"/>
                <w:color w:val="auto"/>
                <w:kern w:val="2"/>
                <w:sz w:val="21"/>
                <w:szCs w:val="21"/>
                <w:highlight w:val="none"/>
                <w:lang w:bidi="ar"/>
              </w:rPr>
              <w:t>dB</w:t>
            </w:r>
            <w:r>
              <w:rPr>
                <w:rFonts w:hint="default" w:ascii="Times New Roman" w:hAnsi="Times New Roman" w:cs="Times New Roman"/>
                <w:color w:val="auto"/>
                <w:kern w:val="2"/>
                <w:sz w:val="21"/>
                <w:szCs w:val="21"/>
                <w:highlight w:val="none"/>
                <w:lang w:eastAsia="zh-CN" w:bidi="ar"/>
              </w:rPr>
              <w:t>（</w:t>
            </w:r>
            <w:r>
              <w:rPr>
                <w:rFonts w:hint="default" w:ascii="Times New Roman" w:hAnsi="Times New Roman" w:cs="Times New Roman"/>
                <w:color w:val="auto"/>
                <w:kern w:val="2"/>
                <w:sz w:val="21"/>
                <w:szCs w:val="21"/>
                <w:highlight w:val="none"/>
                <w:lang w:bidi="ar"/>
              </w:rPr>
              <w:t>A</w:t>
            </w:r>
            <w:r>
              <w:rPr>
                <w:rFonts w:hint="default" w:ascii="Times New Roman" w:hAnsi="Times New Roman" w:cs="Times New Roman"/>
                <w:color w:val="auto"/>
                <w:kern w:val="2"/>
                <w:sz w:val="21"/>
                <w:szCs w:val="21"/>
                <w:highlight w:val="none"/>
                <w:lang w:eastAsia="zh-CN" w:bidi="ar"/>
              </w:rPr>
              <w:t>）〕</w:t>
            </w:r>
          </w:p>
        </w:tc>
        <w:tc>
          <w:tcPr>
            <w:tcW w:w="945" w:type="dxa"/>
            <w:vMerge w:val="restart"/>
            <w:vAlign w:val="center"/>
          </w:tcPr>
          <w:p w14:paraId="16858F0D">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施工</w:t>
            </w:r>
          </w:p>
          <w:p w14:paraId="4F0E47FE">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阶段</w:t>
            </w:r>
          </w:p>
        </w:tc>
      </w:tr>
      <w:tr w14:paraId="4E835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Merge w:val="continue"/>
            <w:vAlign w:val="center"/>
          </w:tcPr>
          <w:p w14:paraId="4BBAA9B4">
            <w:pPr>
              <w:widowControl w:val="0"/>
              <w:spacing w:line="0" w:lineRule="atLeast"/>
              <w:jc w:val="both"/>
              <w:rPr>
                <w:rFonts w:hint="default" w:ascii="Times New Roman" w:hAnsi="Times New Roman" w:cs="Times New Roman"/>
                <w:color w:val="auto"/>
                <w:kern w:val="2"/>
                <w:sz w:val="21"/>
                <w:szCs w:val="21"/>
                <w:highlight w:val="none"/>
              </w:rPr>
            </w:pPr>
          </w:p>
        </w:tc>
        <w:tc>
          <w:tcPr>
            <w:tcW w:w="946" w:type="dxa"/>
            <w:vMerge w:val="continue"/>
            <w:vAlign w:val="center"/>
          </w:tcPr>
          <w:p w14:paraId="78989B59">
            <w:pPr>
              <w:widowControl w:val="0"/>
              <w:spacing w:line="0" w:lineRule="atLeast"/>
              <w:jc w:val="both"/>
              <w:rPr>
                <w:rFonts w:hint="default" w:ascii="Times New Roman" w:hAnsi="Times New Roman" w:cs="Times New Roman"/>
                <w:color w:val="auto"/>
                <w:kern w:val="2"/>
                <w:sz w:val="21"/>
                <w:szCs w:val="21"/>
                <w:highlight w:val="none"/>
              </w:rPr>
            </w:pPr>
          </w:p>
        </w:tc>
        <w:tc>
          <w:tcPr>
            <w:tcW w:w="514" w:type="dxa"/>
            <w:tcMar>
              <w:left w:w="57" w:type="dxa"/>
              <w:right w:w="57" w:type="dxa"/>
            </w:tcMar>
            <w:vAlign w:val="center"/>
          </w:tcPr>
          <w:p w14:paraId="2A1EEC35">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40m</w:t>
            </w:r>
          </w:p>
        </w:tc>
        <w:tc>
          <w:tcPr>
            <w:tcW w:w="514" w:type="dxa"/>
            <w:tcMar>
              <w:left w:w="57" w:type="dxa"/>
              <w:right w:w="57" w:type="dxa"/>
            </w:tcMar>
            <w:vAlign w:val="center"/>
          </w:tcPr>
          <w:p w14:paraId="4B38212C">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60m</w:t>
            </w:r>
          </w:p>
        </w:tc>
        <w:tc>
          <w:tcPr>
            <w:tcW w:w="625" w:type="dxa"/>
            <w:tcMar>
              <w:left w:w="57" w:type="dxa"/>
              <w:right w:w="57" w:type="dxa"/>
            </w:tcMar>
            <w:vAlign w:val="center"/>
          </w:tcPr>
          <w:p w14:paraId="5B4C3E44">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100m</w:t>
            </w:r>
          </w:p>
        </w:tc>
        <w:tc>
          <w:tcPr>
            <w:tcW w:w="625" w:type="dxa"/>
            <w:tcMar>
              <w:left w:w="57" w:type="dxa"/>
              <w:right w:w="57" w:type="dxa"/>
            </w:tcMar>
            <w:vAlign w:val="center"/>
          </w:tcPr>
          <w:p w14:paraId="6AA4659B">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200m</w:t>
            </w:r>
          </w:p>
        </w:tc>
        <w:tc>
          <w:tcPr>
            <w:tcW w:w="625" w:type="dxa"/>
            <w:tcMar>
              <w:left w:w="57" w:type="dxa"/>
              <w:right w:w="57" w:type="dxa"/>
            </w:tcMar>
            <w:vAlign w:val="center"/>
          </w:tcPr>
          <w:p w14:paraId="432779C7">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300m</w:t>
            </w:r>
          </w:p>
        </w:tc>
        <w:tc>
          <w:tcPr>
            <w:tcW w:w="625" w:type="dxa"/>
            <w:tcMar>
              <w:left w:w="57" w:type="dxa"/>
              <w:right w:w="57" w:type="dxa"/>
            </w:tcMar>
            <w:vAlign w:val="center"/>
          </w:tcPr>
          <w:p w14:paraId="0591CD7B">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400m</w:t>
            </w:r>
          </w:p>
        </w:tc>
        <w:tc>
          <w:tcPr>
            <w:tcW w:w="564" w:type="dxa"/>
            <w:vAlign w:val="center"/>
          </w:tcPr>
          <w:p w14:paraId="40CEE89A">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500m</w:t>
            </w:r>
          </w:p>
        </w:tc>
        <w:tc>
          <w:tcPr>
            <w:tcW w:w="564" w:type="dxa"/>
            <w:vAlign w:val="center"/>
          </w:tcPr>
          <w:p w14:paraId="2CD23A51">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700m</w:t>
            </w:r>
          </w:p>
        </w:tc>
        <w:tc>
          <w:tcPr>
            <w:tcW w:w="564" w:type="dxa"/>
            <w:vAlign w:val="center"/>
          </w:tcPr>
          <w:p w14:paraId="312B86C3">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900m</w:t>
            </w:r>
          </w:p>
        </w:tc>
        <w:tc>
          <w:tcPr>
            <w:tcW w:w="678" w:type="dxa"/>
            <w:vAlign w:val="center"/>
          </w:tcPr>
          <w:p w14:paraId="68642BD8">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1200m</w:t>
            </w:r>
          </w:p>
        </w:tc>
        <w:tc>
          <w:tcPr>
            <w:tcW w:w="945" w:type="dxa"/>
            <w:vMerge w:val="continue"/>
            <w:vAlign w:val="center"/>
          </w:tcPr>
          <w:p w14:paraId="78175A3E">
            <w:pPr>
              <w:widowControl w:val="0"/>
              <w:spacing w:line="0" w:lineRule="atLeast"/>
              <w:jc w:val="both"/>
              <w:rPr>
                <w:rFonts w:hint="default" w:ascii="Times New Roman" w:hAnsi="Times New Roman" w:cs="Times New Roman"/>
                <w:color w:val="auto"/>
                <w:kern w:val="2"/>
                <w:sz w:val="21"/>
                <w:szCs w:val="21"/>
                <w:highlight w:val="none"/>
              </w:rPr>
            </w:pPr>
          </w:p>
        </w:tc>
      </w:tr>
      <w:tr w14:paraId="27103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Align w:val="center"/>
          </w:tcPr>
          <w:p w14:paraId="3B61A8FA">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1</w:t>
            </w:r>
          </w:p>
        </w:tc>
        <w:tc>
          <w:tcPr>
            <w:tcW w:w="946" w:type="dxa"/>
            <w:vAlign w:val="center"/>
          </w:tcPr>
          <w:p w14:paraId="57582DA3">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挖掘机</w:t>
            </w:r>
          </w:p>
        </w:tc>
        <w:tc>
          <w:tcPr>
            <w:tcW w:w="514" w:type="dxa"/>
            <w:tcMar>
              <w:left w:w="57" w:type="dxa"/>
              <w:right w:w="57" w:type="dxa"/>
            </w:tcMar>
            <w:vAlign w:val="center"/>
          </w:tcPr>
          <w:p w14:paraId="64BA9284">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72.0</w:t>
            </w:r>
          </w:p>
        </w:tc>
        <w:tc>
          <w:tcPr>
            <w:tcW w:w="514" w:type="dxa"/>
            <w:tcMar>
              <w:left w:w="57" w:type="dxa"/>
              <w:right w:w="57" w:type="dxa"/>
            </w:tcMar>
            <w:vAlign w:val="center"/>
          </w:tcPr>
          <w:p w14:paraId="310E5CB5">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68.4</w:t>
            </w:r>
          </w:p>
        </w:tc>
        <w:tc>
          <w:tcPr>
            <w:tcW w:w="625" w:type="dxa"/>
            <w:tcMar>
              <w:left w:w="57" w:type="dxa"/>
              <w:right w:w="57" w:type="dxa"/>
            </w:tcMar>
            <w:vAlign w:val="center"/>
          </w:tcPr>
          <w:p w14:paraId="38D3404B">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64.0</w:t>
            </w:r>
          </w:p>
        </w:tc>
        <w:tc>
          <w:tcPr>
            <w:tcW w:w="625" w:type="dxa"/>
            <w:tcMar>
              <w:left w:w="57" w:type="dxa"/>
              <w:right w:w="57" w:type="dxa"/>
            </w:tcMar>
            <w:vAlign w:val="center"/>
          </w:tcPr>
          <w:p w14:paraId="10F097A4">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58.0</w:t>
            </w:r>
          </w:p>
        </w:tc>
        <w:tc>
          <w:tcPr>
            <w:tcW w:w="625" w:type="dxa"/>
            <w:tcMar>
              <w:left w:w="57" w:type="dxa"/>
              <w:right w:w="57" w:type="dxa"/>
            </w:tcMar>
            <w:vAlign w:val="center"/>
          </w:tcPr>
          <w:p w14:paraId="0CA239BC">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54.5</w:t>
            </w:r>
          </w:p>
        </w:tc>
        <w:tc>
          <w:tcPr>
            <w:tcW w:w="625" w:type="dxa"/>
            <w:tcMar>
              <w:left w:w="57" w:type="dxa"/>
              <w:right w:w="57" w:type="dxa"/>
            </w:tcMar>
            <w:vAlign w:val="center"/>
          </w:tcPr>
          <w:p w14:paraId="16271753">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52.0</w:t>
            </w:r>
          </w:p>
        </w:tc>
        <w:tc>
          <w:tcPr>
            <w:tcW w:w="564" w:type="dxa"/>
            <w:vAlign w:val="center"/>
          </w:tcPr>
          <w:p w14:paraId="112FC1A1">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50.0</w:t>
            </w:r>
          </w:p>
        </w:tc>
        <w:tc>
          <w:tcPr>
            <w:tcW w:w="564" w:type="dxa"/>
            <w:vAlign w:val="center"/>
          </w:tcPr>
          <w:p w14:paraId="564B0C8E">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4" w:type="dxa"/>
            <w:vAlign w:val="center"/>
          </w:tcPr>
          <w:p w14:paraId="61AFDF07">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678" w:type="dxa"/>
            <w:vAlign w:val="center"/>
          </w:tcPr>
          <w:p w14:paraId="12E88B6B">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945" w:type="dxa"/>
            <w:vMerge w:val="restart"/>
            <w:vAlign w:val="center"/>
          </w:tcPr>
          <w:p w14:paraId="656F9410">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土石方</w:t>
            </w:r>
          </w:p>
          <w:p w14:paraId="1CBCF461">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道路施工</w:t>
            </w:r>
          </w:p>
          <w:p w14:paraId="6FE3B9BC">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管线施工</w:t>
            </w:r>
          </w:p>
        </w:tc>
      </w:tr>
      <w:tr w14:paraId="208A5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Align w:val="center"/>
          </w:tcPr>
          <w:p w14:paraId="3A2AE824">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2</w:t>
            </w:r>
          </w:p>
        </w:tc>
        <w:tc>
          <w:tcPr>
            <w:tcW w:w="946" w:type="dxa"/>
            <w:vAlign w:val="center"/>
          </w:tcPr>
          <w:p w14:paraId="59E58804">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装载机</w:t>
            </w:r>
          </w:p>
        </w:tc>
        <w:tc>
          <w:tcPr>
            <w:tcW w:w="514" w:type="dxa"/>
            <w:tcMar>
              <w:left w:w="57" w:type="dxa"/>
              <w:right w:w="57" w:type="dxa"/>
            </w:tcMar>
            <w:vAlign w:val="center"/>
          </w:tcPr>
          <w:p w14:paraId="73F22A71">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70.0</w:t>
            </w:r>
          </w:p>
        </w:tc>
        <w:tc>
          <w:tcPr>
            <w:tcW w:w="514" w:type="dxa"/>
            <w:tcMar>
              <w:left w:w="57" w:type="dxa"/>
              <w:right w:w="57" w:type="dxa"/>
            </w:tcMar>
            <w:vAlign w:val="center"/>
          </w:tcPr>
          <w:p w14:paraId="2BDAE78A">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66.4</w:t>
            </w:r>
          </w:p>
        </w:tc>
        <w:tc>
          <w:tcPr>
            <w:tcW w:w="625" w:type="dxa"/>
            <w:tcMar>
              <w:left w:w="57" w:type="dxa"/>
              <w:right w:w="57" w:type="dxa"/>
            </w:tcMar>
            <w:vAlign w:val="center"/>
          </w:tcPr>
          <w:p w14:paraId="643BCB9F">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62.0</w:t>
            </w:r>
          </w:p>
        </w:tc>
        <w:tc>
          <w:tcPr>
            <w:tcW w:w="625" w:type="dxa"/>
            <w:tcMar>
              <w:left w:w="57" w:type="dxa"/>
              <w:right w:w="57" w:type="dxa"/>
            </w:tcMar>
            <w:vAlign w:val="center"/>
          </w:tcPr>
          <w:p w14:paraId="4CADD183">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56.0</w:t>
            </w:r>
          </w:p>
        </w:tc>
        <w:tc>
          <w:tcPr>
            <w:tcW w:w="625" w:type="dxa"/>
            <w:tcMar>
              <w:left w:w="57" w:type="dxa"/>
              <w:right w:w="57" w:type="dxa"/>
            </w:tcMar>
            <w:vAlign w:val="center"/>
          </w:tcPr>
          <w:p w14:paraId="6C741ABE">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52.5</w:t>
            </w:r>
          </w:p>
        </w:tc>
        <w:tc>
          <w:tcPr>
            <w:tcW w:w="625" w:type="dxa"/>
            <w:tcMar>
              <w:left w:w="57" w:type="dxa"/>
              <w:right w:w="57" w:type="dxa"/>
            </w:tcMar>
            <w:vAlign w:val="center"/>
          </w:tcPr>
          <w:p w14:paraId="384CB3CB">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50.0</w:t>
            </w:r>
          </w:p>
        </w:tc>
        <w:tc>
          <w:tcPr>
            <w:tcW w:w="564" w:type="dxa"/>
            <w:vAlign w:val="center"/>
          </w:tcPr>
          <w:p w14:paraId="21B00884">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48.0</w:t>
            </w:r>
          </w:p>
        </w:tc>
        <w:tc>
          <w:tcPr>
            <w:tcW w:w="564" w:type="dxa"/>
            <w:vAlign w:val="center"/>
          </w:tcPr>
          <w:p w14:paraId="5C2F357E">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4" w:type="dxa"/>
            <w:vAlign w:val="center"/>
          </w:tcPr>
          <w:p w14:paraId="697D215D">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678" w:type="dxa"/>
            <w:vAlign w:val="center"/>
          </w:tcPr>
          <w:p w14:paraId="6BE62585">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945" w:type="dxa"/>
            <w:vMerge w:val="continue"/>
            <w:vAlign w:val="center"/>
          </w:tcPr>
          <w:p w14:paraId="70EBAB4D">
            <w:pPr>
              <w:widowControl w:val="0"/>
              <w:spacing w:line="0" w:lineRule="atLeast"/>
              <w:jc w:val="both"/>
              <w:rPr>
                <w:rFonts w:hint="default" w:ascii="Times New Roman" w:hAnsi="Times New Roman" w:cs="Times New Roman"/>
                <w:color w:val="auto"/>
                <w:kern w:val="2"/>
                <w:sz w:val="21"/>
                <w:szCs w:val="21"/>
                <w:highlight w:val="none"/>
              </w:rPr>
            </w:pPr>
          </w:p>
        </w:tc>
      </w:tr>
      <w:tr w14:paraId="4A686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Align w:val="center"/>
          </w:tcPr>
          <w:p w14:paraId="383A2F78">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3</w:t>
            </w:r>
          </w:p>
        </w:tc>
        <w:tc>
          <w:tcPr>
            <w:tcW w:w="946" w:type="dxa"/>
            <w:vAlign w:val="center"/>
          </w:tcPr>
          <w:p w14:paraId="1C22120C">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压路机</w:t>
            </w:r>
          </w:p>
        </w:tc>
        <w:tc>
          <w:tcPr>
            <w:tcW w:w="514" w:type="dxa"/>
            <w:tcMar>
              <w:left w:w="57" w:type="dxa"/>
              <w:right w:w="57" w:type="dxa"/>
            </w:tcMar>
            <w:vAlign w:val="center"/>
          </w:tcPr>
          <w:p w14:paraId="16A5EB3C">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72.0</w:t>
            </w:r>
          </w:p>
        </w:tc>
        <w:tc>
          <w:tcPr>
            <w:tcW w:w="514" w:type="dxa"/>
            <w:tcMar>
              <w:left w:w="57" w:type="dxa"/>
              <w:right w:w="57" w:type="dxa"/>
            </w:tcMar>
            <w:vAlign w:val="center"/>
          </w:tcPr>
          <w:p w14:paraId="041F6607">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68.4</w:t>
            </w:r>
          </w:p>
        </w:tc>
        <w:tc>
          <w:tcPr>
            <w:tcW w:w="625" w:type="dxa"/>
            <w:tcMar>
              <w:left w:w="57" w:type="dxa"/>
              <w:right w:w="57" w:type="dxa"/>
            </w:tcMar>
            <w:vAlign w:val="center"/>
          </w:tcPr>
          <w:p w14:paraId="47599F18">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64.0</w:t>
            </w:r>
          </w:p>
        </w:tc>
        <w:tc>
          <w:tcPr>
            <w:tcW w:w="625" w:type="dxa"/>
            <w:tcMar>
              <w:left w:w="57" w:type="dxa"/>
              <w:right w:w="57" w:type="dxa"/>
            </w:tcMar>
            <w:vAlign w:val="center"/>
          </w:tcPr>
          <w:p w14:paraId="48A974B5">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58.0</w:t>
            </w:r>
          </w:p>
        </w:tc>
        <w:tc>
          <w:tcPr>
            <w:tcW w:w="625" w:type="dxa"/>
            <w:tcMar>
              <w:left w:w="57" w:type="dxa"/>
              <w:right w:w="57" w:type="dxa"/>
            </w:tcMar>
            <w:vAlign w:val="center"/>
          </w:tcPr>
          <w:p w14:paraId="43515EEE">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54.5</w:t>
            </w:r>
          </w:p>
        </w:tc>
        <w:tc>
          <w:tcPr>
            <w:tcW w:w="625" w:type="dxa"/>
            <w:tcMar>
              <w:left w:w="57" w:type="dxa"/>
              <w:right w:w="57" w:type="dxa"/>
            </w:tcMar>
            <w:vAlign w:val="center"/>
          </w:tcPr>
          <w:p w14:paraId="7BAD154E">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52.0</w:t>
            </w:r>
          </w:p>
        </w:tc>
        <w:tc>
          <w:tcPr>
            <w:tcW w:w="564" w:type="dxa"/>
            <w:vAlign w:val="center"/>
          </w:tcPr>
          <w:p w14:paraId="7E6A5AE5">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50.0</w:t>
            </w:r>
          </w:p>
        </w:tc>
        <w:tc>
          <w:tcPr>
            <w:tcW w:w="564" w:type="dxa"/>
            <w:vAlign w:val="center"/>
          </w:tcPr>
          <w:p w14:paraId="59AADE38">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4" w:type="dxa"/>
            <w:vAlign w:val="center"/>
          </w:tcPr>
          <w:p w14:paraId="16B913D5">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678" w:type="dxa"/>
            <w:vAlign w:val="center"/>
          </w:tcPr>
          <w:p w14:paraId="1FA3BBCA">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945" w:type="dxa"/>
            <w:vMerge w:val="continue"/>
            <w:vAlign w:val="center"/>
          </w:tcPr>
          <w:p w14:paraId="78439F57">
            <w:pPr>
              <w:widowControl w:val="0"/>
              <w:spacing w:line="0" w:lineRule="atLeast"/>
              <w:jc w:val="both"/>
              <w:rPr>
                <w:rFonts w:hint="default" w:ascii="Times New Roman" w:hAnsi="Times New Roman" w:cs="Times New Roman"/>
                <w:color w:val="auto"/>
                <w:kern w:val="2"/>
                <w:sz w:val="21"/>
                <w:szCs w:val="21"/>
                <w:highlight w:val="none"/>
              </w:rPr>
            </w:pPr>
          </w:p>
        </w:tc>
      </w:tr>
      <w:tr w14:paraId="71951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Align w:val="center"/>
          </w:tcPr>
          <w:p w14:paraId="5958341E">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4</w:t>
            </w:r>
          </w:p>
        </w:tc>
        <w:tc>
          <w:tcPr>
            <w:tcW w:w="946" w:type="dxa"/>
            <w:vAlign w:val="center"/>
          </w:tcPr>
          <w:p w14:paraId="4E385648">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运输车辆</w:t>
            </w:r>
          </w:p>
        </w:tc>
        <w:tc>
          <w:tcPr>
            <w:tcW w:w="514" w:type="dxa"/>
            <w:tcMar>
              <w:left w:w="57" w:type="dxa"/>
              <w:right w:w="57" w:type="dxa"/>
            </w:tcMar>
            <w:vAlign w:val="center"/>
          </w:tcPr>
          <w:p w14:paraId="1B6A9CBB">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72.0</w:t>
            </w:r>
          </w:p>
        </w:tc>
        <w:tc>
          <w:tcPr>
            <w:tcW w:w="514" w:type="dxa"/>
            <w:tcMar>
              <w:left w:w="57" w:type="dxa"/>
              <w:right w:w="57" w:type="dxa"/>
            </w:tcMar>
            <w:vAlign w:val="center"/>
          </w:tcPr>
          <w:p w14:paraId="62574083">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68.4</w:t>
            </w:r>
          </w:p>
        </w:tc>
        <w:tc>
          <w:tcPr>
            <w:tcW w:w="625" w:type="dxa"/>
            <w:tcMar>
              <w:left w:w="57" w:type="dxa"/>
              <w:right w:w="57" w:type="dxa"/>
            </w:tcMar>
            <w:vAlign w:val="center"/>
          </w:tcPr>
          <w:p w14:paraId="6C693139">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64.0</w:t>
            </w:r>
          </w:p>
        </w:tc>
        <w:tc>
          <w:tcPr>
            <w:tcW w:w="625" w:type="dxa"/>
            <w:tcMar>
              <w:left w:w="57" w:type="dxa"/>
              <w:right w:w="57" w:type="dxa"/>
            </w:tcMar>
            <w:vAlign w:val="center"/>
          </w:tcPr>
          <w:p w14:paraId="624A6D94">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58.0</w:t>
            </w:r>
          </w:p>
        </w:tc>
        <w:tc>
          <w:tcPr>
            <w:tcW w:w="625" w:type="dxa"/>
            <w:tcMar>
              <w:left w:w="57" w:type="dxa"/>
              <w:right w:w="57" w:type="dxa"/>
            </w:tcMar>
            <w:vAlign w:val="center"/>
          </w:tcPr>
          <w:p w14:paraId="68E7B087">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54.5</w:t>
            </w:r>
          </w:p>
        </w:tc>
        <w:tc>
          <w:tcPr>
            <w:tcW w:w="625" w:type="dxa"/>
            <w:tcMar>
              <w:left w:w="57" w:type="dxa"/>
              <w:right w:w="57" w:type="dxa"/>
            </w:tcMar>
            <w:vAlign w:val="center"/>
          </w:tcPr>
          <w:p w14:paraId="09C0E133">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52.0</w:t>
            </w:r>
          </w:p>
        </w:tc>
        <w:tc>
          <w:tcPr>
            <w:tcW w:w="564" w:type="dxa"/>
            <w:vAlign w:val="center"/>
          </w:tcPr>
          <w:p w14:paraId="45CD4775">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50.0</w:t>
            </w:r>
          </w:p>
        </w:tc>
        <w:tc>
          <w:tcPr>
            <w:tcW w:w="564" w:type="dxa"/>
            <w:vAlign w:val="center"/>
          </w:tcPr>
          <w:p w14:paraId="18CFAEFD">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4" w:type="dxa"/>
            <w:vAlign w:val="center"/>
          </w:tcPr>
          <w:p w14:paraId="79F86C61">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678" w:type="dxa"/>
            <w:vAlign w:val="center"/>
          </w:tcPr>
          <w:p w14:paraId="5D5C3AA5">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945" w:type="dxa"/>
            <w:vAlign w:val="center"/>
          </w:tcPr>
          <w:p w14:paraId="2F63D82F">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物料运输</w:t>
            </w:r>
          </w:p>
        </w:tc>
      </w:tr>
      <w:tr w14:paraId="54267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Align w:val="center"/>
          </w:tcPr>
          <w:p w14:paraId="4299B70B">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5</w:t>
            </w:r>
          </w:p>
        </w:tc>
        <w:tc>
          <w:tcPr>
            <w:tcW w:w="946" w:type="dxa"/>
            <w:vAlign w:val="center"/>
          </w:tcPr>
          <w:p w14:paraId="4A8E9903">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吊装机</w:t>
            </w:r>
          </w:p>
        </w:tc>
        <w:tc>
          <w:tcPr>
            <w:tcW w:w="514" w:type="dxa"/>
            <w:tcMar>
              <w:left w:w="57" w:type="dxa"/>
              <w:right w:w="57" w:type="dxa"/>
            </w:tcMar>
            <w:vAlign w:val="center"/>
          </w:tcPr>
          <w:p w14:paraId="410CAA20">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66.0</w:t>
            </w:r>
          </w:p>
        </w:tc>
        <w:tc>
          <w:tcPr>
            <w:tcW w:w="514" w:type="dxa"/>
            <w:tcMar>
              <w:left w:w="57" w:type="dxa"/>
              <w:right w:w="57" w:type="dxa"/>
            </w:tcMar>
            <w:vAlign w:val="center"/>
          </w:tcPr>
          <w:p w14:paraId="7348A42A">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62.4</w:t>
            </w:r>
          </w:p>
        </w:tc>
        <w:tc>
          <w:tcPr>
            <w:tcW w:w="625" w:type="dxa"/>
            <w:tcMar>
              <w:left w:w="57" w:type="dxa"/>
              <w:right w:w="57" w:type="dxa"/>
            </w:tcMar>
            <w:vAlign w:val="center"/>
          </w:tcPr>
          <w:p w14:paraId="285B972F">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58.0</w:t>
            </w:r>
          </w:p>
        </w:tc>
        <w:tc>
          <w:tcPr>
            <w:tcW w:w="625" w:type="dxa"/>
            <w:tcMar>
              <w:left w:w="57" w:type="dxa"/>
              <w:right w:w="57" w:type="dxa"/>
            </w:tcMar>
            <w:vAlign w:val="center"/>
          </w:tcPr>
          <w:p w14:paraId="7F36152F">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52.0</w:t>
            </w:r>
          </w:p>
        </w:tc>
        <w:tc>
          <w:tcPr>
            <w:tcW w:w="625" w:type="dxa"/>
            <w:tcMar>
              <w:left w:w="57" w:type="dxa"/>
              <w:right w:w="57" w:type="dxa"/>
            </w:tcMar>
            <w:vAlign w:val="center"/>
          </w:tcPr>
          <w:p w14:paraId="2BAA034C">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48.5</w:t>
            </w:r>
          </w:p>
        </w:tc>
        <w:tc>
          <w:tcPr>
            <w:tcW w:w="625" w:type="dxa"/>
            <w:tcMar>
              <w:left w:w="57" w:type="dxa"/>
              <w:right w:w="57" w:type="dxa"/>
            </w:tcMar>
            <w:vAlign w:val="center"/>
          </w:tcPr>
          <w:p w14:paraId="37171A32">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46.0</w:t>
            </w:r>
          </w:p>
        </w:tc>
        <w:tc>
          <w:tcPr>
            <w:tcW w:w="564" w:type="dxa"/>
            <w:vAlign w:val="center"/>
          </w:tcPr>
          <w:p w14:paraId="79048596">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44.0</w:t>
            </w:r>
          </w:p>
        </w:tc>
        <w:tc>
          <w:tcPr>
            <w:tcW w:w="564" w:type="dxa"/>
            <w:vAlign w:val="center"/>
          </w:tcPr>
          <w:p w14:paraId="41C4AA90">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4" w:type="dxa"/>
            <w:vAlign w:val="center"/>
          </w:tcPr>
          <w:p w14:paraId="3877FE49">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678" w:type="dxa"/>
            <w:vAlign w:val="center"/>
          </w:tcPr>
          <w:p w14:paraId="2842DD93">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945" w:type="dxa"/>
            <w:vAlign w:val="center"/>
          </w:tcPr>
          <w:p w14:paraId="2A10963D">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设备安装</w:t>
            </w:r>
          </w:p>
        </w:tc>
      </w:tr>
      <w:tr w14:paraId="5E0E1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03" w:type="dxa"/>
            <w:vAlign w:val="center"/>
          </w:tcPr>
          <w:p w14:paraId="2CF08357">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6</w:t>
            </w:r>
          </w:p>
        </w:tc>
        <w:tc>
          <w:tcPr>
            <w:tcW w:w="946" w:type="dxa"/>
            <w:vAlign w:val="center"/>
          </w:tcPr>
          <w:p w14:paraId="3C0D06D9">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钻机</w:t>
            </w:r>
          </w:p>
        </w:tc>
        <w:tc>
          <w:tcPr>
            <w:tcW w:w="514" w:type="dxa"/>
            <w:tcMar>
              <w:left w:w="57" w:type="dxa"/>
              <w:right w:w="57" w:type="dxa"/>
            </w:tcMar>
            <w:vAlign w:val="center"/>
          </w:tcPr>
          <w:p w14:paraId="03226968">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77.0</w:t>
            </w:r>
          </w:p>
        </w:tc>
        <w:tc>
          <w:tcPr>
            <w:tcW w:w="514" w:type="dxa"/>
            <w:tcMar>
              <w:left w:w="57" w:type="dxa"/>
              <w:right w:w="57" w:type="dxa"/>
            </w:tcMar>
            <w:vAlign w:val="center"/>
          </w:tcPr>
          <w:p w14:paraId="52ACB4EA">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73.4</w:t>
            </w:r>
          </w:p>
        </w:tc>
        <w:tc>
          <w:tcPr>
            <w:tcW w:w="625" w:type="dxa"/>
            <w:tcMar>
              <w:left w:w="57" w:type="dxa"/>
              <w:right w:w="57" w:type="dxa"/>
            </w:tcMar>
            <w:vAlign w:val="center"/>
          </w:tcPr>
          <w:p w14:paraId="5A7FD60F">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69.0</w:t>
            </w:r>
          </w:p>
        </w:tc>
        <w:tc>
          <w:tcPr>
            <w:tcW w:w="625" w:type="dxa"/>
            <w:tcMar>
              <w:left w:w="57" w:type="dxa"/>
              <w:right w:w="57" w:type="dxa"/>
            </w:tcMar>
            <w:vAlign w:val="center"/>
          </w:tcPr>
          <w:p w14:paraId="6D46454F">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63.0</w:t>
            </w:r>
          </w:p>
        </w:tc>
        <w:tc>
          <w:tcPr>
            <w:tcW w:w="625" w:type="dxa"/>
            <w:tcMar>
              <w:left w:w="57" w:type="dxa"/>
              <w:right w:w="57" w:type="dxa"/>
            </w:tcMar>
            <w:vAlign w:val="center"/>
          </w:tcPr>
          <w:p w14:paraId="20334F3E">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59.5</w:t>
            </w:r>
          </w:p>
        </w:tc>
        <w:tc>
          <w:tcPr>
            <w:tcW w:w="625" w:type="dxa"/>
            <w:tcMar>
              <w:left w:w="57" w:type="dxa"/>
              <w:right w:w="57" w:type="dxa"/>
            </w:tcMar>
            <w:vAlign w:val="center"/>
          </w:tcPr>
          <w:p w14:paraId="2407F487">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56.0</w:t>
            </w:r>
          </w:p>
        </w:tc>
        <w:tc>
          <w:tcPr>
            <w:tcW w:w="564" w:type="dxa"/>
            <w:vAlign w:val="center"/>
          </w:tcPr>
          <w:p w14:paraId="127DEA9D">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55.0</w:t>
            </w:r>
          </w:p>
        </w:tc>
        <w:tc>
          <w:tcPr>
            <w:tcW w:w="564" w:type="dxa"/>
            <w:vAlign w:val="center"/>
          </w:tcPr>
          <w:p w14:paraId="00010474">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52.1</w:t>
            </w:r>
          </w:p>
        </w:tc>
        <w:tc>
          <w:tcPr>
            <w:tcW w:w="564" w:type="dxa"/>
            <w:vAlign w:val="center"/>
          </w:tcPr>
          <w:p w14:paraId="3924945E">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49.9</w:t>
            </w:r>
          </w:p>
        </w:tc>
        <w:tc>
          <w:tcPr>
            <w:tcW w:w="678" w:type="dxa"/>
            <w:vAlign w:val="center"/>
          </w:tcPr>
          <w:p w14:paraId="551A1075">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47.4</w:t>
            </w:r>
          </w:p>
        </w:tc>
        <w:tc>
          <w:tcPr>
            <w:tcW w:w="945" w:type="dxa"/>
            <w:vMerge w:val="restart"/>
            <w:vAlign w:val="center"/>
          </w:tcPr>
          <w:p w14:paraId="156C2C61">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钻井</w:t>
            </w:r>
          </w:p>
        </w:tc>
      </w:tr>
      <w:tr w14:paraId="6A60C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03" w:type="dxa"/>
            <w:vAlign w:val="center"/>
          </w:tcPr>
          <w:p w14:paraId="36B1313B">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7</w:t>
            </w:r>
          </w:p>
        </w:tc>
        <w:tc>
          <w:tcPr>
            <w:tcW w:w="946" w:type="dxa"/>
            <w:vAlign w:val="center"/>
          </w:tcPr>
          <w:p w14:paraId="31CC56F8">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振动筛</w:t>
            </w:r>
          </w:p>
        </w:tc>
        <w:tc>
          <w:tcPr>
            <w:tcW w:w="514" w:type="dxa"/>
            <w:tcMar>
              <w:left w:w="57" w:type="dxa"/>
              <w:right w:w="57" w:type="dxa"/>
            </w:tcMar>
            <w:vAlign w:val="center"/>
          </w:tcPr>
          <w:p w14:paraId="47DE11C5">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72.0</w:t>
            </w:r>
          </w:p>
        </w:tc>
        <w:tc>
          <w:tcPr>
            <w:tcW w:w="514" w:type="dxa"/>
            <w:tcMar>
              <w:left w:w="57" w:type="dxa"/>
              <w:right w:w="57" w:type="dxa"/>
            </w:tcMar>
            <w:vAlign w:val="center"/>
          </w:tcPr>
          <w:p w14:paraId="096AAB2F">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68.4</w:t>
            </w:r>
          </w:p>
        </w:tc>
        <w:tc>
          <w:tcPr>
            <w:tcW w:w="625" w:type="dxa"/>
            <w:tcMar>
              <w:left w:w="57" w:type="dxa"/>
              <w:right w:w="57" w:type="dxa"/>
            </w:tcMar>
            <w:vAlign w:val="center"/>
          </w:tcPr>
          <w:p w14:paraId="26050532">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64.0</w:t>
            </w:r>
          </w:p>
        </w:tc>
        <w:tc>
          <w:tcPr>
            <w:tcW w:w="625" w:type="dxa"/>
            <w:tcMar>
              <w:left w:w="57" w:type="dxa"/>
              <w:right w:w="57" w:type="dxa"/>
            </w:tcMar>
            <w:vAlign w:val="center"/>
          </w:tcPr>
          <w:p w14:paraId="1B237C7C">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58.0</w:t>
            </w:r>
          </w:p>
        </w:tc>
        <w:tc>
          <w:tcPr>
            <w:tcW w:w="625" w:type="dxa"/>
            <w:tcMar>
              <w:left w:w="57" w:type="dxa"/>
              <w:right w:w="57" w:type="dxa"/>
            </w:tcMar>
            <w:vAlign w:val="center"/>
          </w:tcPr>
          <w:p w14:paraId="4E6B2595">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54.5</w:t>
            </w:r>
          </w:p>
        </w:tc>
        <w:tc>
          <w:tcPr>
            <w:tcW w:w="625" w:type="dxa"/>
            <w:tcMar>
              <w:left w:w="57" w:type="dxa"/>
              <w:right w:w="57" w:type="dxa"/>
            </w:tcMar>
            <w:vAlign w:val="center"/>
          </w:tcPr>
          <w:p w14:paraId="0AB09032">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52.0</w:t>
            </w:r>
          </w:p>
        </w:tc>
        <w:tc>
          <w:tcPr>
            <w:tcW w:w="564" w:type="dxa"/>
            <w:vAlign w:val="center"/>
          </w:tcPr>
          <w:p w14:paraId="6D15155D">
            <w:pPr>
              <w:widowControl w:val="0"/>
              <w:spacing w:line="0" w:lineRule="atLeast"/>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50.0</w:t>
            </w:r>
          </w:p>
        </w:tc>
        <w:tc>
          <w:tcPr>
            <w:tcW w:w="564" w:type="dxa"/>
            <w:vAlign w:val="center"/>
          </w:tcPr>
          <w:p w14:paraId="0E7FFB1F">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47.1</w:t>
            </w:r>
          </w:p>
        </w:tc>
        <w:tc>
          <w:tcPr>
            <w:tcW w:w="564" w:type="dxa"/>
            <w:vAlign w:val="center"/>
          </w:tcPr>
          <w:p w14:paraId="082AD431">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44.9</w:t>
            </w:r>
          </w:p>
        </w:tc>
        <w:tc>
          <w:tcPr>
            <w:tcW w:w="678" w:type="dxa"/>
            <w:vAlign w:val="center"/>
          </w:tcPr>
          <w:p w14:paraId="5DB77771">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42.4</w:t>
            </w:r>
          </w:p>
        </w:tc>
        <w:tc>
          <w:tcPr>
            <w:tcW w:w="945" w:type="dxa"/>
            <w:vMerge w:val="continue"/>
            <w:vAlign w:val="center"/>
          </w:tcPr>
          <w:p w14:paraId="6AC18CC2">
            <w:pPr>
              <w:widowControl w:val="0"/>
              <w:spacing w:line="0" w:lineRule="atLeast"/>
              <w:jc w:val="center"/>
              <w:rPr>
                <w:rFonts w:hint="default" w:ascii="Times New Roman" w:hAnsi="Times New Roman" w:cs="Times New Roman"/>
                <w:color w:val="auto"/>
                <w:kern w:val="2"/>
                <w:sz w:val="21"/>
                <w:szCs w:val="21"/>
                <w:highlight w:val="none"/>
                <w:lang w:bidi="ar"/>
              </w:rPr>
            </w:pPr>
          </w:p>
        </w:tc>
      </w:tr>
      <w:tr w14:paraId="662A21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03" w:type="dxa"/>
            <w:vAlign w:val="center"/>
          </w:tcPr>
          <w:p w14:paraId="2E691E00">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8</w:t>
            </w:r>
          </w:p>
        </w:tc>
        <w:tc>
          <w:tcPr>
            <w:tcW w:w="946" w:type="dxa"/>
            <w:vAlign w:val="center"/>
          </w:tcPr>
          <w:p w14:paraId="2A853584">
            <w:pPr>
              <w:widowControl w:val="0"/>
              <w:spacing w:line="0" w:lineRule="atLeast"/>
              <w:jc w:val="center"/>
              <w:rPr>
                <w:rFonts w:hint="default" w:ascii="Times New Roman" w:hAnsi="Times New Roman" w:cs="Times New Roman"/>
                <w:color w:val="auto"/>
                <w:kern w:val="2"/>
                <w:sz w:val="21"/>
                <w:szCs w:val="21"/>
                <w:highlight w:val="none"/>
                <w:lang w:bidi="ar"/>
              </w:rPr>
            </w:pPr>
            <w:r>
              <w:rPr>
                <w:rFonts w:hint="default" w:ascii="Times New Roman" w:hAnsi="Times New Roman" w:cs="Times New Roman"/>
                <w:color w:val="auto"/>
                <w:kern w:val="2"/>
                <w:sz w:val="21"/>
                <w:szCs w:val="21"/>
                <w:highlight w:val="none"/>
                <w:lang w:bidi="ar"/>
              </w:rPr>
              <w:t>泥浆泵</w:t>
            </w:r>
          </w:p>
        </w:tc>
        <w:tc>
          <w:tcPr>
            <w:tcW w:w="514" w:type="dxa"/>
            <w:tcMar>
              <w:left w:w="57" w:type="dxa"/>
              <w:right w:w="57" w:type="dxa"/>
            </w:tcMar>
            <w:vAlign w:val="center"/>
          </w:tcPr>
          <w:p w14:paraId="4763457E">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77.0</w:t>
            </w:r>
          </w:p>
        </w:tc>
        <w:tc>
          <w:tcPr>
            <w:tcW w:w="514" w:type="dxa"/>
            <w:tcMar>
              <w:left w:w="57" w:type="dxa"/>
              <w:right w:w="57" w:type="dxa"/>
            </w:tcMar>
            <w:vAlign w:val="center"/>
          </w:tcPr>
          <w:p w14:paraId="3FF87404">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73.4</w:t>
            </w:r>
          </w:p>
        </w:tc>
        <w:tc>
          <w:tcPr>
            <w:tcW w:w="625" w:type="dxa"/>
            <w:tcMar>
              <w:left w:w="57" w:type="dxa"/>
              <w:right w:w="57" w:type="dxa"/>
            </w:tcMar>
            <w:vAlign w:val="center"/>
          </w:tcPr>
          <w:p w14:paraId="32CD7780">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69.0</w:t>
            </w:r>
          </w:p>
        </w:tc>
        <w:tc>
          <w:tcPr>
            <w:tcW w:w="625" w:type="dxa"/>
            <w:tcMar>
              <w:left w:w="57" w:type="dxa"/>
              <w:right w:w="57" w:type="dxa"/>
            </w:tcMar>
            <w:vAlign w:val="center"/>
          </w:tcPr>
          <w:p w14:paraId="4B0C7D16">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63.0</w:t>
            </w:r>
          </w:p>
        </w:tc>
        <w:tc>
          <w:tcPr>
            <w:tcW w:w="625" w:type="dxa"/>
            <w:tcMar>
              <w:left w:w="57" w:type="dxa"/>
              <w:right w:w="57" w:type="dxa"/>
            </w:tcMar>
            <w:vAlign w:val="center"/>
          </w:tcPr>
          <w:p w14:paraId="4F63EF89">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59.5</w:t>
            </w:r>
          </w:p>
        </w:tc>
        <w:tc>
          <w:tcPr>
            <w:tcW w:w="625" w:type="dxa"/>
            <w:tcMar>
              <w:left w:w="57" w:type="dxa"/>
              <w:right w:w="57" w:type="dxa"/>
            </w:tcMar>
            <w:vAlign w:val="center"/>
          </w:tcPr>
          <w:p w14:paraId="1F75E6E8">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56.0</w:t>
            </w:r>
          </w:p>
        </w:tc>
        <w:tc>
          <w:tcPr>
            <w:tcW w:w="564" w:type="dxa"/>
            <w:vAlign w:val="center"/>
          </w:tcPr>
          <w:p w14:paraId="35644BEB">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55.0</w:t>
            </w:r>
          </w:p>
        </w:tc>
        <w:tc>
          <w:tcPr>
            <w:tcW w:w="564" w:type="dxa"/>
            <w:vAlign w:val="center"/>
          </w:tcPr>
          <w:p w14:paraId="01F75DFA">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52.1</w:t>
            </w:r>
          </w:p>
        </w:tc>
        <w:tc>
          <w:tcPr>
            <w:tcW w:w="564" w:type="dxa"/>
            <w:vAlign w:val="center"/>
          </w:tcPr>
          <w:p w14:paraId="3B1398E7">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49.9</w:t>
            </w:r>
          </w:p>
        </w:tc>
        <w:tc>
          <w:tcPr>
            <w:tcW w:w="678" w:type="dxa"/>
            <w:vAlign w:val="center"/>
          </w:tcPr>
          <w:p w14:paraId="3ED0E638">
            <w:pPr>
              <w:widowControl w:val="0"/>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47.4</w:t>
            </w:r>
          </w:p>
        </w:tc>
        <w:tc>
          <w:tcPr>
            <w:tcW w:w="945" w:type="dxa"/>
            <w:vMerge w:val="continue"/>
            <w:vAlign w:val="center"/>
          </w:tcPr>
          <w:p w14:paraId="3992137A">
            <w:pPr>
              <w:widowControl w:val="0"/>
              <w:spacing w:line="0" w:lineRule="atLeast"/>
              <w:jc w:val="center"/>
              <w:rPr>
                <w:rFonts w:hint="default" w:ascii="Times New Roman" w:hAnsi="Times New Roman" w:cs="Times New Roman"/>
                <w:color w:val="auto"/>
                <w:kern w:val="2"/>
                <w:sz w:val="21"/>
                <w:szCs w:val="21"/>
                <w:highlight w:val="none"/>
                <w:lang w:bidi="ar"/>
              </w:rPr>
            </w:pPr>
          </w:p>
        </w:tc>
      </w:tr>
    </w:tbl>
    <w:p w14:paraId="516F8A29">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类比分析可知，各种施工机械噪声预测结果可以看出，各种施工机械噪声预测结果可以看出，在不采取减振降噪措施的情况下，土石方施工、道路工程和管线施工期间昼间距施工设备60m、夜间300m即可满足《建筑施工场界环境噪声排放标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GB12523-2011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场界噪声限值要求；设备安装施工期间昼间距施工机械40m、夜间200m即可满足《建筑施工场界环境噪声排放标准》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GB12523-2011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场界噪声限值要求；钻井期间昼间距施工机械100m、夜间500m即可满足《建筑施工场界环境噪声排放标准》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GB12523-2011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场界噪声限值要求。</w:t>
      </w:r>
    </w:p>
    <w:p w14:paraId="0836641A">
      <w:pPr>
        <w:pStyle w:val="7"/>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5.3.1.3井下作业噪声环境影响分析</w:t>
      </w:r>
    </w:p>
    <w:p w14:paraId="6C7FF1F8">
      <w:pPr>
        <w:pStyle w:val="46"/>
        <w:adjustRightInd w:val="0"/>
        <w:snapToGrid w:val="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Cs w:val="24"/>
          <w:highlight w:val="none"/>
        </w:rPr>
        <w:t>井下作业过程中最强的噪声源为压裂车噪声，最高可达120dB</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A</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，导致作业现场周围噪声超出</w:t>
      </w:r>
      <w:r>
        <w:rPr>
          <w:rFonts w:hint="default" w:ascii="Times New Roman" w:hAnsi="Times New Roman" w:cs="Times New Roman"/>
          <w:color w:val="auto"/>
          <w:spacing w:val="6"/>
          <w:szCs w:val="24"/>
          <w:highlight w:val="none"/>
          <w:lang w:eastAsia="zh-CN"/>
        </w:rPr>
        <w:t>《</w:t>
      </w:r>
      <w:r>
        <w:rPr>
          <w:rFonts w:hint="default" w:ascii="Times New Roman" w:hAnsi="Times New Roman" w:cs="Times New Roman"/>
          <w:color w:val="auto"/>
          <w:spacing w:val="6"/>
          <w:szCs w:val="24"/>
          <w:highlight w:val="none"/>
        </w:rPr>
        <w:t>建筑施工场界环境噪声排放标准</w:t>
      </w:r>
      <w:r>
        <w:rPr>
          <w:rFonts w:hint="default" w:ascii="Times New Roman" w:hAnsi="Times New Roman" w:cs="Times New Roman"/>
          <w:color w:val="auto"/>
          <w:spacing w:val="6"/>
          <w:szCs w:val="24"/>
          <w:highlight w:val="none"/>
          <w:lang w:eastAsia="zh-CN"/>
        </w:rPr>
        <w:t>》（</w:t>
      </w:r>
      <w:r>
        <w:rPr>
          <w:rFonts w:hint="default" w:ascii="Times New Roman" w:hAnsi="Times New Roman" w:cs="Times New Roman"/>
          <w:color w:val="auto"/>
          <w:spacing w:val="6"/>
          <w:szCs w:val="24"/>
          <w:highlight w:val="none"/>
        </w:rPr>
        <w:t>GB12523-2011</w:t>
      </w:r>
      <w:r>
        <w:rPr>
          <w:rFonts w:hint="default" w:ascii="Times New Roman" w:hAnsi="Times New Roman" w:cs="Times New Roman"/>
          <w:color w:val="auto"/>
          <w:spacing w:val="6"/>
          <w:szCs w:val="24"/>
          <w:highlight w:val="none"/>
          <w:lang w:eastAsia="zh-CN"/>
        </w:rPr>
        <w:t>）</w:t>
      </w:r>
      <w:r>
        <w:rPr>
          <w:rFonts w:hint="default" w:ascii="Times New Roman" w:hAnsi="Times New Roman" w:cs="Times New Roman"/>
          <w:color w:val="auto"/>
          <w:szCs w:val="24"/>
          <w:highlight w:val="none"/>
        </w:rPr>
        <w:t>标准要求，但是由于油井分布在空旷地带，加上井下作业周期较短，声源具有不固定性和不稳定性，在施工时，对高噪声设备设置临时屏蔽设施，则其对周围环境的影响是可以接受的。</w:t>
      </w:r>
    </w:p>
    <w:p w14:paraId="5CC5F06F">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497" w:name="_Toc19396"/>
      <w:bookmarkStart w:id="498" w:name="_Toc29335"/>
      <w:bookmarkStart w:id="499" w:name="_Toc7660"/>
      <w:bookmarkStart w:id="500" w:name="_Hlk48604532"/>
      <w:r>
        <w:rPr>
          <w:rFonts w:hint="default" w:ascii="Times New Roman" w:hAnsi="Times New Roman" w:cs="Times New Roman"/>
          <w:color w:val="auto"/>
          <w:highlight w:val="none"/>
        </w:rPr>
        <w:t>5.3.2运营期声环境影响分析</w:t>
      </w:r>
      <w:bookmarkEnd w:id="497"/>
      <w:bookmarkEnd w:id="498"/>
      <w:bookmarkEnd w:id="499"/>
    </w:p>
    <w:p w14:paraId="531EDCA8">
      <w:pPr>
        <w:pStyle w:val="46"/>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管线均埋设在地下，埋深1.5m，油气集输不会对周围声环境产生影响</w:t>
      </w:r>
      <w:r>
        <w:rPr>
          <w:rFonts w:hint="default" w:ascii="Times New Roman" w:hAnsi="Times New Roman" w:cs="Times New Roman"/>
          <w:color w:val="auto"/>
          <w:highlight w:val="none"/>
          <w:lang w:eastAsia="zh-CN"/>
        </w:rPr>
        <w:t>。本项目井场产噪设备主要为</w:t>
      </w:r>
      <w:r>
        <w:rPr>
          <w:rFonts w:hint="default" w:ascii="Times New Roman" w:hAnsi="Times New Roman" w:cs="Times New Roman"/>
          <w:color w:val="auto"/>
          <w:highlight w:val="none"/>
        </w:rPr>
        <w:t>采油树、加热炉设备。</w:t>
      </w:r>
    </w:p>
    <w:p w14:paraId="16B483A7">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5.3.2.1预测模式</w:t>
      </w:r>
    </w:p>
    <w:p w14:paraId="047CD2A6">
      <w:pPr>
        <w:pStyle w:val="46"/>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eastAsiaTheme="minorEastAsia"/>
          <w:color w:val="auto"/>
          <w:kern w:val="2"/>
          <w:szCs w:val="24"/>
          <w:highlight w:val="none"/>
        </w:rPr>
        <w:t>根据声源声功率级或参考位置处的声压级、户外声传播衰减，计算预测点的声级</w:t>
      </w:r>
      <w:r>
        <w:rPr>
          <w:rFonts w:hint="default" w:ascii="Times New Roman" w:hAnsi="Times New Roman" w:eastAsia="宋体" w:cs="Times New Roman"/>
          <w:color w:val="auto"/>
          <w:sz w:val="24"/>
          <w:szCs w:val="24"/>
          <w:highlight w:val="none"/>
        </w:rPr>
        <w:t>：</w:t>
      </w:r>
    </w:p>
    <w:p w14:paraId="5C7C1D11">
      <w:pPr>
        <w:widowControl w:val="0"/>
        <w:spacing w:before="120" w:line="360" w:lineRule="auto"/>
        <w:ind w:firstLine="200"/>
        <w:jc w:val="center"/>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4"/>
          <w:szCs w:val="24"/>
          <w:highlight w:val="none"/>
          <w:lang w:val="pt-BR"/>
        </w:rPr>
        <w:object>
          <v:shape id="_x0000_i1028" o:spt="75" type="#_x0000_t75" style="height:18.5pt;width:236pt;" o:ole="t" filled="f" o:preferrelative="t" stroked="f" coordsize="21600,21600">
            <v:path/>
            <v:fill on="f" focussize="0,0"/>
            <v:stroke on="f" joinstyle="miter"/>
            <v:imagedata r:id="rId47" o:title=""/>
            <o:lock v:ext="edit" aspectratio="t"/>
            <w10:wrap type="none"/>
            <w10:anchorlock/>
          </v:shape>
          <o:OLEObject Type="Embed" ProgID="Equation.3" ShapeID="_x0000_i1028" DrawAspect="Content" ObjectID="_1468075728" r:id="rId46">
            <o:LockedField>false</o:LockedField>
          </o:OLEObject>
        </w:object>
      </w:r>
    </w:p>
    <w:p w14:paraId="4BB84677">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szCs w:val="24"/>
          <w:highlight w:val="none"/>
        </w:rPr>
        <w:t>式中</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position w:val="-14"/>
          <w:szCs w:val="24"/>
          <w:highlight w:val="none"/>
          <w:lang w:val="pt-BR"/>
        </w:rPr>
        <w:object>
          <v:shape id="_x0000_i1029" o:spt="75" type="#_x0000_t75" style="height:18.5pt;width:32pt;" o:ole="t" filled="f" o:preferrelative="t" stroked="f" coordsize="21600,21600">
            <v:path/>
            <v:fill on="f" focussize="0,0"/>
            <v:stroke on="f" joinstyle="miter"/>
            <v:imagedata r:id="rId49" o:title=""/>
            <o:lock v:ext="edit" aspectratio="t"/>
            <w10:wrap type="none"/>
            <w10:anchorlock/>
          </v:shape>
          <o:OLEObject Type="Embed" ProgID="Equation.3" ShapeID="_x0000_i1029" DrawAspect="Content" ObjectID="_1468075729" r:id="rId48">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预测点处声压级</w:t>
      </w:r>
      <w:r>
        <w:rPr>
          <w:rFonts w:hint="default" w:ascii="Times New Roman" w:hAnsi="Times New Roman" w:cs="Times New Roman" w:eastAsiaTheme="minorEastAsia"/>
          <w:color w:val="auto"/>
          <w:kern w:val="2"/>
          <w:szCs w:val="24"/>
          <w:highlight w:val="none"/>
          <w:lang w:val="pt-BR"/>
        </w:rPr>
        <w:t>，dB；</w:t>
      </w:r>
    </w:p>
    <w:p w14:paraId="54D3CB21">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30" o:spt="75" type="#_x0000_t75" style="height:18.5pt;width:16pt;" o:ole="t" filled="f" o:preferrelative="t" stroked="f" coordsize="21600,21600">
            <v:path/>
            <v:fill on="f" focussize="0,0"/>
            <v:stroke on="f" joinstyle="miter"/>
            <v:imagedata r:id="rId51" o:title=""/>
            <o:lock v:ext="edit" aspectratio="t"/>
            <w10:wrap type="none"/>
            <w10:anchorlock/>
          </v:shape>
          <o:OLEObject Type="Embed" ProgID="Equation.3" ShapeID="_x0000_i1030" DrawAspect="Content" ObjectID="_1468075730" r:id="rId50">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由点声源产生的声功率级</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A计权或倍频带</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pt-BR"/>
        </w:rPr>
        <w:t>，dB；</w:t>
      </w:r>
    </w:p>
    <w:p w14:paraId="5B2125C4">
      <w:pPr>
        <w:widowControl w:val="0"/>
        <w:spacing w:line="360" w:lineRule="auto"/>
        <w:ind w:firstLine="1320" w:firstLineChars="55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31" o:spt="75" type="#_x0000_t75" style="height:18.5pt;width:16pt;" o:ole="t" filled="f" o:preferrelative="t" stroked="f" coordsize="21600,21600">
            <v:path/>
            <v:fill on="f" focussize="0,0"/>
            <v:stroke on="f" joinstyle="miter"/>
            <v:imagedata r:id="rId53" o:title=""/>
            <o:lock v:ext="edit" aspectratio="t"/>
            <w10:wrap type="none"/>
            <w10:anchorlock/>
          </v:shape>
          <o:OLEObject Type="Embed" ProgID="Equation.3" ShapeID="_x0000_i1031" DrawAspect="Content" ObjectID="_1468075731" r:id="rId52">
            <o:LockedField>false</o:LockedField>
          </o:OLEObject>
        </w:object>
      </w:r>
      <w:r>
        <w:rPr>
          <w:rFonts w:hint="default" w:ascii="Times New Roman" w:hAnsi="Times New Roman" w:cs="Times New Roman" w:eastAsiaTheme="minorEastAsia"/>
          <w:color w:val="auto"/>
          <w:kern w:val="2"/>
          <w:szCs w:val="24"/>
          <w:highlight w:val="none"/>
          <w:lang w:val="pt-BR"/>
        </w:rPr>
        <w:t>—指向性校正，它描述点声源的等效连续声压级与产生声功率级L</w:t>
      </w:r>
      <w:r>
        <w:rPr>
          <w:rFonts w:hint="default" w:ascii="Times New Roman" w:hAnsi="Times New Roman" w:cs="Times New Roman" w:eastAsiaTheme="minorEastAsia"/>
          <w:color w:val="auto"/>
          <w:kern w:val="2"/>
          <w:szCs w:val="24"/>
          <w:highlight w:val="none"/>
          <w:vertAlign w:val="subscript"/>
        </w:rPr>
        <w:t>w</w:t>
      </w:r>
      <w:r>
        <w:rPr>
          <w:rFonts w:hint="default" w:ascii="Times New Roman" w:hAnsi="Times New Roman" w:cs="Times New Roman" w:eastAsiaTheme="minorEastAsia"/>
          <w:color w:val="auto"/>
          <w:kern w:val="2"/>
          <w:szCs w:val="24"/>
          <w:highlight w:val="none"/>
          <w:lang w:val="pt-BR"/>
        </w:rPr>
        <w:t>的全向点声源在规定方向的声级的偏差程度，dB；</w:t>
      </w:r>
    </w:p>
    <w:p w14:paraId="020DF049">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2"/>
          <w:szCs w:val="24"/>
          <w:highlight w:val="none"/>
          <w:lang w:val="pt-BR"/>
        </w:rPr>
        <w:object>
          <v:shape id="_x0000_i1032" o:spt="75" type="#_x0000_t75" style="height:18.5pt;width:22pt;" o:ole="t" filled="f" o:preferrelative="t" stroked="f" coordsize="21600,21600">
            <v:path/>
            <v:fill on="f" focussize="0,0"/>
            <v:stroke on="f" joinstyle="miter"/>
            <v:imagedata r:id="rId55" o:title=""/>
            <o:lock v:ext="edit" aspectratio="t"/>
            <w10:wrap type="none"/>
            <w10:anchorlock/>
          </v:shape>
          <o:OLEObject Type="Embed" ProgID="Equation.3" ShapeID="_x0000_i1032" DrawAspect="Content" ObjectID="_1468075732" r:id="rId54">
            <o:LockedField>false</o:LockedField>
          </o:OLEObject>
        </w:object>
      </w:r>
      <w:r>
        <w:rPr>
          <w:rFonts w:hint="default" w:ascii="Times New Roman" w:hAnsi="Times New Roman" w:cs="Times New Roman" w:eastAsiaTheme="minorEastAsia"/>
          <w:color w:val="auto"/>
          <w:kern w:val="2"/>
          <w:szCs w:val="24"/>
          <w:highlight w:val="none"/>
        </w:rPr>
        <w:t>—几何发散引起的衰减，</w:t>
      </w:r>
      <w:r>
        <w:rPr>
          <w:rFonts w:hint="default" w:ascii="Times New Roman" w:hAnsi="Times New Roman" w:cs="Times New Roman" w:eastAsiaTheme="minorEastAsia"/>
          <w:color w:val="auto"/>
          <w:kern w:val="2"/>
          <w:szCs w:val="24"/>
          <w:highlight w:val="none"/>
          <w:lang w:val="pt-BR"/>
        </w:rPr>
        <w:t>dB；</w:t>
      </w:r>
    </w:p>
    <w:p w14:paraId="0CB55CFE">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33" o:spt="75" type="#_x0000_t75" style="height:18.5pt;width:22pt;" o:ole="t" filled="f" o:preferrelative="t" stroked="f" coordsize="21600,21600">
            <v:path/>
            <v:fill on="f" focussize="0,0"/>
            <v:stroke on="f" joinstyle="miter"/>
            <v:imagedata r:id="rId57" o:title=""/>
            <o:lock v:ext="edit" aspectratio="t"/>
            <w10:wrap type="none"/>
            <w10:anchorlock/>
          </v:shape>
          <o:OLEObject Type="Embed" ProgID="Equation.3" ShapeID="_x0000_i1033" DrawAspect="Content" ObjectID="_1468075733" r:id="rId56">
            <o:LockedField>false</o:LockedField>
          </o:OLEObject>
        </w:object>
      </w:r>
      <w:r>
        <w:rPr>
          <w:rFonts w:hint="default" w:ascii="Times New Roman" w:hAnsi="Times New Roman" w:cs="Times New Roman" w:eastAsiaTheme="minorEastAsia"/>
          <w:color w:val="auto"/>
          <w:kern w:val="2"/>
          <w:szCs w:val="24"/>
          <w:highlight w:val="none"/>
        </w:rPr>
        <w:t>—大气吸收引起的衰减，</w:t>
      </w:r>
      <w:r>
        <w:rPr>
          <w:rFonts w:hint="default" w:ascii="Times New Roman" w:hAnsi="Times New Roman" w:cs="Times New Roman" w:eastAsiaTheme="minorEastAsia"/>
          <w:color w:val="auto"/>
          <w:kern w:val="2"/>
          <w:szCs w:val="24"/>
          <w:highlight w:val="none"/>
          <w:lang w:val="pt-BR"/>
        </w:rPr>
        <w:t>dB；</w:t>
      </w:r>
    </w:p>
    <w:p w14:paraId="51FB7193">
      <w:pPr>
        <w:widowControl w:val="0"/>
        <w:spacing w:line="360" w:lineRule="auto"/>
        <w:ind w:firstLine="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4"/>
          <w:szCs w:val="24"/>
          <w:highlight w:val="none"/>
          <w:lang w:val="pt-BR"/>
        </w:rPr>
        <w:object>
          <v:shape id="_x0000_i1034" o:spt="75" type="#_x0000_t75" style="height:20pt;width:18.5pt;" o:ole="t" filled="f" o:preferrelative="t" stroked="f" coordsize="21600,21600">
            <v:path/>
            <v:fill on="f" focussize="0,0"/>
            <v:stroke on="f" joinstyle="miter"/>
            <v:imagedata r:id="rId59" o:title=""/>
            <o:lock v:ext="edit" aspectratio="t"/>
            <w10:wrap type="none"/>
            <w10:anchorlock/>
          </v:shape>
          <o:OLEObject Type="Embed" ProgID="Equation.3" ShapeID="_x0000_i1034" DrawAspect="Content" ObjectID="_1468075734" r:id="rId58">
            <o:LockedField>false</o:LockedField>
          </o:OLEObject>
        </w:object>
      </w:r>
      <w:r>
        <w:rPr>
          <w:rFonts w:hint="default" w:ascii="Times New Roman" w:hAnsi="Times New Roman" w:cs="Times New Roman" w:eastAsiaTheme="minorEastAsia"/>
          <w:color w:val="auto"/>
          <w:kern w:val="2"/>
          <w:szCs w:val="24"/>
          <w:highlight w:val="none"/>
        </w:rPr>
        <w:t>—地面效应引起的衰减，</w:t>
      </w:r>
      <w:r>
        <w:rPr>
          <w:rFonts w:hint="default" w:ascii="Times New Roman" w:hAnsi="Times New Roman" w:cs="Times New Roman" w:eastAsiaTheme="minorEastAsia"/>
          <w:color w:val="auto"/>
          <w:kern w:val="2"/>
          <w:szCs w:val="24"/>
          <w:highlight w:val="none"/>
          <w:lang w:val="pt-BR"/>
        </w:rPr>
        <w:t>dB；</w:t>
      </w:r>
    </w:p>
    <w:p w14:paraId="38E6D2DD">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35" o:spt="75" type="#_x0000_t75" style="height:18.5pt;width:22pt;" o:ole="t" filled="f" o:preferrelative="t" stroked="f" coordsize="21600,21600">
            <v:path/>
            <v:fill on="f" focussize="0,0"/>
            <v:stroke on="f" joinstyle="miter"/>
            <v:imagedata r:id="rId61" o:title=""/>
            <o:lock v:ext="edit" aspectratio="t"/>
            <w10:wrap type="none"/>
            <w10:anchorlock/>
          </v:shape>
          <o:OLEObject Type="Embed" ProgID="Equation.3" ShapeID="_x0000_i1035" DrawAspect="Content" ObjectID="_1468075735" r:id="rId60">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障碍物屏蔽引起的衰减，</w:t>
      </w:r>
      <w:r>
        <w:rPr>
          <w:rFonts w:hint="default" w:ascii="Times New Roman" w:hAnsi="Times New Roman" w:cs="Times New Roman" w:eastAsiaTheme="minorEastAsia"/>
          <w:color w:val="auto"/>
          <w:kern w:val="2"/>
          <w:szCs w:val="24"/>
          <w:highlight w:val="none"/>
          <w:lang w:val="pt-BR"/>
        </w:rPr>
        <w:t>dB；</w:t>
      </w:r>
    </w:p>
    <w:p w14:paraId="2C87B2C4">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2"/>
          <w:szCs w:val="24"/>
          <w:highlight w:val="none"/>
          <w:lang w:val="pt-BR"/>
        </w:rPr>
        <w:object>
          <v:shape id="_x0000_i1036" o:spt="75" type="#_x0000_t75" style="height:17.5pt;width:25pt;" o:ole="t" filled="f" o:preferrelative="t" stroked="f" coordsize="21600,21600">
            <v:path/>
            <v:fill on="f" focussize="0,0"/>
            <v:stroke on="f" joinstyle="miter"/>
            <v:imagedata r:id="rId63" o:title=""/>
            <o:lock v:ext="edit" aspectratio="t"/>
            <w10:wrap type="none"/>
            <w10:anchorlock/>
          </v:shape>
          <o:OLEObject Type="Embed" ProgID="Equation.3" ShapeID="_x0000_i1036" DrawAspect="Content" ObjectID="_1468075736" r:id="rId62">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其他多方面效应引起的衰减，</w:t>
      </w:r>
      <w:r>
        <w:rPr>
          <w:rFonts w:hint="default" w:ascii="Times New Roman" w:hAnsi="Times New Roman" w:cs="Times New Roman" w:eastAsiaTheme="minorEastAsia"/>
          <w:color w:val="auto"/>
          <w:kern w:val="2"/>
          <w:szCs w:val="24"/>
          <w:highlight w:val="none"/>
          <w:lang w:val="pt-BR"/>
        </w:rPr>
        <w:t>dB</w:t>
      </w:r>
      <w:r>
        <w:rPr>
          <w:rFonts w:hint="default" w:ascii="Times New Roman" w:hAnsi="Times New Roman" w:cs="Times New Roman" w:eastAsiaTheme="minorEastAsia"/>
          <w:color w:val="auto"/>
          <w:kern w:val="2"/>
          <w:szCs w:val="24"/>
          <w:highlight w:val="none"/>
        </w:rPr>
        <w:t>。</w:t>
      </w:r>
    </w:p>
    <w:p w14:paraId="2EFDCF5F">
      <w:pPr>
        <w:widowControl w:val="0"/>
        <w:spacing w:line="360" w:lineRule="auto"/>
        <w:ind w:firstLine="200"/>
        <w:jc w:val="center"/>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4"/>
          <w:szCs w:val="24"/>
          <w:highlight w:val="none"/>
          <w:lang w:val="pt-BR"/>
        </w:rPr>
        <w:object>
          <v:shape id="_x0000_i1037" o:spt="75" type="#_x0000_t75" style="height:18.5pt;width:248pt;" o:ole="t" filled="f" o:preferrelative="t" stroked="f" coordsize="21600,21600">
            <v:path/>
            <v:fill on="f" focussize="0,0"/>
            <v:stroke on="f" joinstyle="miter"/>
            <v:imagedata r:id="rId65" o:title=""/>
            <o:lock v:ext="edit" aspectratio="t"/>
            <w10:wrap type="none"/>
            <w10:anchorlock/>
          </v:shape>
          <o:OLEObject Type="Embed" ProgID="Equation.3" ShapeID="_x0000_i1037" DrawAspect="Content" ObjectID="_1468075737" r:id="rId64">
            <o:LockedField>false</o:LockedField>
          </o:OLEObject>
        </w:object>
      </w:r>
    </w:p>
    <w:p w14:paraId="5DC8A09F">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szCs w:val="24"/>
          <w:highlight w:val="none"/>
        </w:rPr>
        <w:t>式中</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position w:val="-14"/>
          <w:szCs w:val="24"/>
          <w:highlight w:val="none"/>
          <w:lang w:val="pt-BR"/>
        </w:rPr>
        <w:object>
          <v:shape id="_x0000_i1038" o:spt="75" type="#_x0000_t75" style="height:18.5pt;width:32pt;" o:ole="t" filled="f" o:preferrelative="t" stroked="f" coordsize="21600,21600">
            <v:path/>
            <v:fill on="f" focussize="0,0"/>
            <v:stroke on="f" joinstyle="miter"/>
            <v:imagedata r:id="rId49" o:title=""/>
            <o:lock v:ext="edit" aspectratio="t"/>
            <w10:wrap type="none"/>
            <w10:anchorlock/>
          </v:shape>
          <o:OLEObject Type="Embed" ProgID="Equation.3" ShapeID="_x0000_i1038" DrawAspect="Content" ObjectID="_1468075738" r:id="rId66">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预测点处声压级</w:t>
      </w:r>
      <w:r>
        <w:rPr>
          <w:rFonts w:hint="default" w:ascii="Times New Roman" w:hAnsi="Times New Roman" w:cs="Times New Roman" w:eastAsiaTheme="minorEastAsia"/>
          <w:color w:val="auto"/>
          <w:kern w:val="2"/>
          <w:szCs w:val="24"/>
          <w:highlight w:val="none"/>
          <w:lang w:val="pt-BR"/>
        </w:rPr>
        <w:t>，dB；</w:t>
      </w:r>
    </w:p>
    <w:p w14:paraId="74FD63F1">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4"/>
          <w:szCs w:val="24"/>
          <w:highlight w:val="none"/>
          <w:lang w:val="pt-BR"/>
        </w:rPr>
        <w:object>
          <v:shape id="_x0000_i1039" o:spt="75" type="#_x0000_t75" style="height:18.5pt;width:32pt;" o:ole="t" filled="f" o:preferrelative="t" stroked="f" coordsize="21600,21600">
            <v:path/>
            <v:fill on="f" focussize="0,0"/>
            <v:stroke on="f" joinstyle="miter"/>
            <v:imagedata r:id="rId68" o:title=""/>
            <o:lock v:ext="edit" aspectratio="t"/>
            <w10:wrap type="none"/>
            <w10:anchorlock/>
          </v:shape>
          <o:OLEObject Type="Embed" ProgID="Equation.3" ShapeID="_x0000_i1039" DrawAspect="Content" ObjectID="_1468075739" r:id="rId67">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参考位置r</w:t>
      </w:r>
      <w:r>
        <w:rPr>
          <w:rFonts w:hint="default" w:ascii="Times New Roman" w:hAnsi="Times New Roman" w:cs="Times New Roman" w:eastAsiaTheme="minorEastAsia"/>
          <w:color w:val="auto"/>
          <w:kern w:val="2"/>
          <w:szCs w:val="24"/>
          <w:highlight w:val="none"/>
          <w:vertAlign w:val="subscript"/>
        </w:rPr>
        <w:t>0</w:t>
      </w:r>
      <w:r>
        <w:rPr>
          <w:rFonts w:hint="default" w:ascii="Times New Roman" w:hAnsi="Times New Roman" w:cs="Times New Roman" w:eastAsiaTheme="minorEastAsia"/>
          <w:color w:val="auto"/>
          <w:kern w:val="2"/>
          <w:szCs w:val="24"/>
          <w:highlight w:val="none"/>
        </w:rPr>
        <w:t>处的声压级，</w:t>
      </w:r>
      <w:r>
        <w:rPr>
          <w:rFonts w:hint="default" w:ascii="Times New Roman" w:hAnsi="Times New Roman" w:cs="Times New Roman" w:eastAsiaTheme="minorEastAsia"/>
          <w:color w:val="auto"/>
          <w:kern w:val="2"/>
          <w:szCs w:val="24"/>
          <w:highlight w:val="none"/>
          <w:lang w:val="pt-BR"/>
        </w:rPr>
        <w:t>dB；</w:t>
      </w:r>
    </w:p>
    <w:p w14:paraId="4BB81BC6">
      <w:pPr>
        <w:widowControl w:val="0"/>
        <w:spacing w:line="360" w:lineRule="auto"/>
        <w:ind w:firstLine="1320" w:firstLineChars="55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40" o:spt="75" type="#_x0000_t75" style="height:18.5pt;width:16pt;" o:ole="t" filled="f" o:preferrelative="t" stroked="f" coordsize="21600,21600">
            <v:path/>
            <v:fill on="f" focussize="0,0"/>
            <v:stroke on="f" joinstyle="miter"/>
            <v:imagedata r:id="rId53" o:title=""/>
            <o:lock v:ext="edit" aspectratio="t"/>
            <w10:wrap type="none"/>
            <w10:anchorlock/>
          </v:shape>
          <o:OLEObject Type="Embed" ProgID="Equation.3" ShapeID="_x0000_i1040" DrawAspect="Content" ObjectID="_1468075740" r:id="rId69">
            <o:LockedField>false</o:LockedField>
          </o:OLEObject>
        </w:object>
      </w:r>
      <w:r>
        <w:rPr>
          <w:rFonts w:hint="default" w:ascii="Times New Roman" w:hAnsi="Times New Roman" w:cs="Times New Roman" w:eastAsiaTheme="minorEastAsia"/>
          <w:color w:val="auto"/>
          <w:kern w:val="2"/>
          <w:szCs w:val="24"/>
          <w:highlight w:val="none"/>
          <w:lang w:val="pt-BR"/>
        </w:rPr>
        <w:t>—指向性校正，它描述点声源的等效连续声压级与产生声功率级L</w:t>
      </w:r>
      <w:r>
        <w:rPr>
          <w:rFonts w:hint="default" w:ascii="Times New Roman" w:hAnsi="Times New Roman" w:cs="Times New Roman" w:eastAsiaTheme="minorEastAsia"/>
          <w:color w:val="auto"/>
          <w:kern w:val="2"/>
          <w:szCs w:val="24"/>
          <w:highlight w:val="none"/>
          <w:vertAlign w:val="subscript"/>
        </w:rPr>
        <w:t>w</w:t>
      </w:r>
      <w:r>
        <w:rPr>
          <w:rFonts w:hint="default" w:ascii="Times New Roman" w:hAnsi="Times New Roman" w:cs="Times New Roman" w:eastAsiaTheme="minorEastAsia"/>
          <w:color w:val="auto"/>
          <w:kern w:val="2"/>
          <w:szCs w:val="24"/>
          <w:highlight w:val="none"/>
          <w:lang w:val="pt-BR"/>
        </w:rPr>
        <w:t>的全向点声源在规定方向的声级的偏差程度，dB；</w:t>
      </w:r>
    </w:p>
    <w:p w14:paraId="14F767F2">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2"/>
          <w:szCs w:val="24"/>
          <w:highlight w:val="none"/>
          <w:lang w:val="pt-BR"/>
        </w:rPr>
        <w:object>
          <v:shape id="_x0000_i1041" o:spt="75" type="#_x0000_t75" style="height:18.5pt;width:22pt;" o:ole="t" filled="f" o:preferrelative="t" stroked="f" coordsize="21600,21600">
            <v:path/>
            <v:fill on="f" focussize="0,0"/>
            <v:stroke on="f" joinstyle="miter"/>
            <v:imagedata r:id="rId55" o:title=""/>
            <o:lock v:ext="edit" aspectratio="t"/>
            <w10:wrap type="none"/>
            <w10:anchorlock/>
          </v:shape>
          <o:OLEObject Type="Embed" ProgID="Equation.3" ShapeID="_x0000_i1041" DrawAspect="Content" ObjectID="_1468075741" r:id="rId70">
            <o:LockedField>false</o:LockedField>
          </o:OLEObject>
        </w:object>
      </w:r>
      <w:r>
        <w:rPr>
          <w:rFonts w:hint="default" w:ascii="Times New Roman" w:hAnsi="Times New Roman" w:cs="Times New Roman" w:eastAsiaTheme="minorEastAsia"/>
          <w:color w:val="auto"/>
          <w:kern w:val="2"/>
          <w:szCs w:val="24"/>
          <w:highlight w:val="none"/>
        </w:rPr>
        <w:t>—几何发散引起的衰减，</w:t>
      </w:r>
      <w:r>
        <w:rPr>
          <w:rFonts w:hint="default" w:ascii="Times New Roman" w:hAnsi="Times New Roman" w:cs="Times New Roman" w:eastAsiaTheme="minorEastAsia"/>
          <w:color w:val="auto"/>
          <w:kern w:val="2"/>
          <w:szCs w:val="24"/>
          <w:highlight w:val="none"/>
          <w:lang w:val="pt-BR"/>
        </w:rPr>
        <w:t>dB；</w:t>
      </w:r>
    </w:p>
    <w:p w14:paraId="5983A3BB">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42" o:spt="75" type="#_x0000_t75" style="height:18.5pt;width:22pt;" o:ole="t" filled="f" o:preferrelative="t" stroked="f" coordsize="21600,21600">
            <v:path/>
            <v:fill on="f" focussize="0,0"/>
            <v:stroke on="f" joinstyle="miter"/>
            <v:imagedata r:id="rId57" o:title=""/>
            <o:lock v:ext="edit" aspectratio="t"/>
            <w10:wrap type="none"/>
            <w10:anchorlock/>
          </v:shape>
          <o:OLEObject Type="Embed" ProgID="Equation.3" ShapeID="_x0000_i1042" DrawAspect="Content" ObjectID="_1468075742" r:id="rId71">
            <o:LockedField>false</o:LockedField>
          </o:OLEObject>
        </w:object>
      </w:r>
      <w:r>
        <w:rPr>
          <w:rFonts w:hint="default" w:ascii="Times New Roman" w:hAnsi="Times New Roman" w:cs="Times New Roman" w:eastAsiaTheme="minorEastAsia"/>
          <w:color w:val="auto"/>
          <w:kern w:val="2"/>
          <w:szCs w:val="24"/>
          <w:highlight w:val="none"/>
        </w:rPr>
        <w:t>—大气吸收引起的衰减，</w:t>
      </w:r>
      <w:r>
        <w:rPr>
          <w:rFonts w:hint="default" w:ascii="Times New Roman" w:hAnsi="Times New Roman" w:cs="Times New Roman" w:eastAsiaTheme="minorEastAsia"/>
          <w:color w:val="auto"/>
          <w:kern w:val="2"/>
          <w:szCs w:val="24"/>
          <w:highlight w:val="none"/>
          <w:lang w:val="pt-BR"/>
        </w:rPr>
        <w:t>dB；</w:t>
      </w:r>
    </w:p>
    <w:p w14:paraId="489E64C6">
      <w:pPr>
        <w:widowControl w:val="0"/>
        <w:spacing w:line="360" w:lineRule="auto"/>
        <w:ind w:firstLine="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4"/>
          <w:szCs w:val="24"/>
          <w:highlight w:val="none"/>
          <w:lang w:val="pt-BR"/>
        </w:rPr>
        <w:object>
          <v:shape id="_x0000_i1043" o:spt="75" type="#_x0000_t75" style="height:20pt;width:18.5pt;" o:ole="t" filled="f" o:preferrelative="t" stroked="f" coordsize="21600,21600">
            <v:path/>
            <v:fill on="f" focussize="0,0"/>
            <v:stroke on="f" joinstyle="miter"/>
            <v:imagedata r:id="rId59" o:title=""/>
            <o:lock v:ext="edit" aspectratio="t"/>
            <w10:wrap type="none"/>
            <w10:anchorlock/>
          </v:shape>
          <o:OLEObject Type="Embed" ProgID="Equation.3" ShapeID="_x0000_i1043" DrawAspect="Content" ObjectID="_1468075743" r:id="rId72">
            <o:LockedField>false</o:LockedField>
          </o:OLEObject>
        </w:object>
      </w:r>
      <w:r>
        <w:rPr>
          <w:rFonts w:hint="default" w:ascii="Times New Roman" w:hAnsi="Times New Roman" w:cs="Times New Roman" w:eastAsiaTheme="minorEastAsia"/>
          <w:color w:val="auto"/>
          <w:kern w:val="2"/>
          <w:szCs w:val="24"/>
          <w:highlight w:val="none"/>
        </w:rPr>
        <w:t>—地面效应引起的衰减，</w:t>
      </w:r>
      <w:r>
        <w:rPr>
          <w:rFonts w:hint="default" w:ascii="Times New Roman" w:hAnsi="Times New Roman" w:cs="Times New Roman" w:eastAsiaTheme="minorEastAsia"/>
          <w:color w:val="auto"/>
          <w:kern w:val="2"/>
          <w:szCs w:val="24"/>
          <w:highlight w:val="none"/>
          <w:lang w:val="pt-BR"/>
        </w:rPr>
        <w:t>dB；</w:t>
      </w:r>
    </w:p>
    <w:p w14:paraId="6D88C806">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44" o:spt="75" type="#_x0000_t75" style="height:18.5pt;width:22pt;" o:ole="t" filled="f" o:preferrelative="t" stroked="f" coordsize="21600,21600">
            <v:path/>
            <v:fill on="f" focussize="0,0"/>
            <v:stroke on="f" joinstyle="miter"/>
            <v:imagedata r:id="rId61" o:title=""/>
            <o:lock v:ext="edit" aspectratio="t"/>
            <w10:wrap type="none"/>
            <w10:anchorlock/>
          </v:shape>
          <o:OLEObject Type="Embed" ProgID="Equation.3" ShapeID="_x0000_i1044" DrawAspect="Content" ObjectID="_1468075744" r:id="rId73">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障碍物屏蔽引起的衰减，</w:t>
      </w:r>
      <w:r>
        <w:rPr>
          <w:rFonts w:hint="default" w:ascii="Times New Roman" w:hAnsi="Times New Roman" w:cs="Times New Roman" w:eastAsiaTheme="minorEastAsia"/>
          <w:color w:val="auto"/>
          <w:kern w:val="2"/>
          <w:szCs w:val="24"/>
          <w:highlight w:val="none"/>
          <w:lang w:val="pt-BR"/>
        </w:rPr>
        <w:t>dB；</w:t>
      </w:r>
    </w:p>
    <w:p w14:paraId="2A527054">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2"/>
          <w:szCs w:val="24"/>
          <w:highlight w:val="none"/>
          <w:lang w:val="pt-BR"/>
        </w:rPr>
        <w:object>
          <v:shape id="_x0000_i1045" o:spt="75" type="#_x0000_t75" style="height:17.5pt;width:25pt;" o:ole="t" filled="f" o:preferrelative="t" stroked="f" coordsize="21600,21600">
            <v:path/>
            <v:fill on="f" focussize="0,0"/>
            <v:stroke on="f" joinstyle="miter"/>
            <v:imagedata r:id="rId63" o:title=""/>
            <o:lock v:ext="edit" aspectratio="t"/>
            <w10:wrap type="none"/>
            <w10:anchorlock/>
          </v:shape>
          <o:OLEObject Type="Embed" ProgID="Equation.3" ShapeID="_x0000_i1045" DrawAspect="Content" ObjectID="_1468075745" r:id="rId74">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其他多方面效应引起的衰减，</w:t>
      </w:r>
      <w:r>
        <w:rPr>
          <w:rFonts w:hint="default" w:ascii="Times New Roman" w:hAnsi="Times New Roman" w:cs="Times New Roman" w:eastAsiaTheme="minorEastAsia"/>
          <w:color w:val="auto"/>
          <w:kern w:val="2"/>
          <w:szCs w:val="24"/>
          <w:highlight w:val="none"/>
          <w:lang w:val="pt-BR"/>
        </w:rPr>
        <w:t>dB</w:t>
      </w:r>
      <w:r>
        <w:rPr>
          <w:rFonts w:hint="default" w:ascii="Times New Roman" w:hAnsi="Times New Roman" w:cs="Times New Roman" w:eastAsiaTheme="minorEastAsia"/>
          <w:color w:val="auto"/>
          <w:kern w:val="2"/>
          <w:szCs w:val="24"/>
          <w:highlight w:val="none"/>
        </w:rPr>
        <w:t>。</w:t>
      </w:r>
    </w:p>
    <w:p w14:paraId="683020D2">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en-US" w:eastAsia="zh-CN"/>
        </w:rPr>
        <w:t>2</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预测点的A声级</w:t>
      </w: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A</w:t>
      </w:r>
      <w:r>
        <w:rPr>
          <w:rFonts w:hint="default" w:ascii="Times New Roman" w:hAnsi="Times New Roman" w:cs="Times New Roman" w:eastAsiaTheme="minorEastAsia"/>
          <w:i/>
          <w:iCs/>
          <w:color w:val="auto"/>
          <w:kern w:val="2"/>
          <w:szCs w:val="24"/>
          <w:highlight w:val="none"/>
          <w:lang w:eastAsia="zh-CN"/>
        </w:rPr>
        <w:t>（</w:t>
      </w:r>
      <w:r>
        <w:rPr>
          <w:rFonts w:hint="default" w:ascii="Times New Roman" w:hAnsi="Times New Roman" w:cs="Times New Roman" w:eastAsiaTheme="minorEastAsia"/>
          <w:i/>
          <w:iCs/>
          <w:color w:val="auto"/>
          <w:kern w:val="2"/>
          <w:szCs w:val="24"/>
          <w:highlight w:val="none"/>
        </w:rPr>
        <w:t>r</w:t>
      </w:r>
      <w:r>
        <w:rPr>
          <w:rFonts w:hint="default" w:ascii="Times New Roman" w:hAnsi="Times New Roman" w:cs="Times New Roman" w:eastAsiaTheme="minorEastAsia"/>
          <w:i/>
          <w:iCs/>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可按下式计算：</w:t>
      </w:r>
    </w:p>
    <w:p w14:paraId="1762A0FB">
      <w:pPr>
        <w:widowControl w:val="0"/>
        <w:spacing w:line="360" w:lineRule="auto"/>
        <w:ind w:firstLine="480" w:firstLineChars="200"/>
        <w:jc w:val="center"/>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30"/>
          <w:szCs w:val="24"/>
          <w:highlight w:val="none"/>
        </w:rPr>
        <w:object>
          <v:shape id="_x0000_i1046" o:spt="75" type="#_x0000_t75" style="height:37pt;width:150.5pt;" o:ole="t" filled="f" o:preferrelative="t" stroked="f" coordsize="21600,21600">
            <v:path/>
            <v:fill on="f" focussize="0,0"/>
            <v:stroke on="f" joinstyle="miter"/>
            <v:imagedata r:id="rId76" o:title=""/>
            <o:lock v:ext="edit" aspectratio="t"/>
            <w10:wrap type="none"/>
            <w10:anchorlock/>
          </v:shape>
          <o:OLEObject Type="Embed" ProgID="Equation.3" ShapeID="_x0000_i1046" DrawAspect="Content" ObjectID="_1468075746" r:id="rId75">
            <o:LockedField>false</o:LockedField>
          </o:OLEObject>
        </w:object>
      </w:r>
    </w:p>
    <w:p w14:paraId="3FE5D77F">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szCs w:val="24"/>
          <w:highlight w:val="none"/>
        </w:rPr>
        <w:t>式中</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position w:val="-10"/>
          <w:szCs w:val="24"/>
          <w:highlight w:val="none"/>
          <w:lang w:val="pt-BR"/>
        </w:rPr>
        <w:object>
          <v:shape id="_x0000_i1047" o:spt="75" type="#_x0000_t75" style="height:17.5pt;width:32pt;" o:ole="t" filled="f" o:preferrelative="t" stroked="f" coordsize="21600,21600">
            <v:path/>
            <v:fill on="f" focussize="0,0"/>
            <v:stroke on="f" joinstyle="miter"/>
            <v:imagedata r:id="rId78" o:title=""/>
            <o:lock v:ext="edit" aspectratio="t"/>
            <w10:wrap type="none"/>
            <w10:anchorlock/>
          </v:shape>
          <o:OLEObject Type="Embed" ProgID="Equation.3" ShapeID="_x0000_i1047" DrawAspect="Content" ObjectID="_1468075747" r:id="rId77">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距声源</w:t>
      </w:r>
      <w:r>
        <w:rPr>
          <w:rFonts w:hint="default" w:ascii="Times New Roman" w:hAnsi="Times New Roman" w:cs="Times New Roman" w:eastAsiaTheme="minorEastAsia"/>
          <w:i/>
          <w:iCs/>
          <w:color w:val="auto"/>
          <w:kern w:val="2"/>
          <w:szCs w:val="24"/>
          <w:highlight w:val="none"/>
        </w:rPr>
        <w:t>r</w:t>
      </w:r>
      <w:r>
        <w:rPr>
          <w:rFonts w:hint="default" w:ascii="Times New Roman" w:hAnsi="Times New Roman" w:cs="Times New Roman" w:eastAsiaTheme="minorEastAsia"/>
          <w:color w:val="auto"/>
          <w:kern w:val="2"/>
          <w:szCs w:val="24"/>
          <w:highlight w:val="none"/>
        </w:rPr>
        <w:t>处的A声级</w:t>
      </w:r>
      <w:r>
        <w:rPr>
          <w:rFonts w:hint="default" w:ascii="Times New Roman" w:hAnsi="Times New Roman" w:cs="Times New Roman" w:eastAsiaTheme="minorEastAsia"/>
          <w:color w:val="auto"/>
          <w:kern w:val="2"/>
          <w:szCs w:val="24"/>
          <w:highlight w:val="none"/>
          <w:lang w:val="pt-BR"/>
        </w:rPr>
        <w:t>，dB</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A</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pt-BR"/>
        </w:rPr>
        <w:t>；</w:t>
      </w:r>
    </w:p>
    <w:p w14:paraId="01DDE8CE">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4"/>
          <w:szCs w:val="24"/>
          <w:highlight w:val="none"/>
          <w:lang w:val="pt-BR"/>
        </w:rPr>
        <w:object>
          <v:shape id="_x0000_i1048" o:spt="75" type="#_x0000_t75" style="height:18.5pt;width:29.5pt;" o:ole="t" filled="f" o:preferrelative="t" stroked="f" coordsize="21600,21600">
            <v:path/>
            <v:fill on="f" focussize="0,0"/>
            <v:stroke on="f" joinstyle="miter"/>
            <v:imagedata r:id="rId80" o:title=""/>
            <o:lock v:ext="edit" aspectratio="t"/>
            <w10:wrap type="none"/>
            <w10:anchorlock/>
          </v:shape>
          <o:OLEObject Type="Embed" ProgID="Equation.3" ShapeID="_x0000_i1048" DrawAspect="Content" ObjectID="_1468075748" r:id="rId79">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预测点</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i/>
          <w:iCs/>
          <w:color w:val="auto"/>
          <w:kern w:val="2"/>
          <w:szCs w:val="24"/>
          <w:highlight w:val="none"/>
        </w:rPr>
        <w:t>r</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处，第</w:t>
      </w:r>
      <w:r>
        <w:rPr>
          <w:rFonts w:hint="default" w:ascii="Times New Roman" w:hAnsi="Times New Roman" w:cs="Times New Roman" w:eastAsiaTheme="minorEastAsia"/>
          <w:i/>
          <w:iCs/>
          <w:color w:val="auto"/>
          <w:kern w:val="2"/>
          <w:szCs w:val="24"/>
          <w:highlight w:val="none"/>
        </w:rPr>
        <w:t>i</w:t>
      </w:r>
      <w:r>
        <w:rPr>
          <w:rFonts w:hint="default" w:ascii="Times New Roman" w:hAnsi="Times New Roman" w:cs="Times New Roman" w:eastAsiaTheme="minorEastAsia"/>
          <w:color w:val="auto"/>
          <w:kern w:val="2"/>
          <w:szCs w:val="24"/>
          <w:highlight w:val="none"/>
        </w:rPr>
        <w:t>倍频带声压级，</w:t>
      </w:r>
      <w:r>
        <w:rPr>
          <w:rFonts w:hint="default" w:ascii="Times New Roman" w:hAnsi="Times New Roman" w:cs="Times New Roman" w:eastAsiaTheme="minorEastAsia"/>
          <w:color w:val="auto"/>
          <w:kern w:val="2"/>
          <w:szCs w:val="24"/>
          <w:highlight w:val="none"/>
          <w:lang w:val="pt-BR"/>
        </w:rPr>
        <w:t>dB；</w:t>
      </w:r>
    </w:p>
    <w:p w14:paraId="4B14AA1F">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rPr>
        <w:t>△</w:t>
      </w: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i</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第</w:t>
      </w:r>
      <w:r>
        <w:rPr>
          <w:rFonts w:hint="default" w:ascii="Times New Roman" w:hAnsi="Times New Roman" w:cs="Times New Roman" w:eastAsiaTheme="minorEastAsia"/>
          <w:i/>
          <w:iCs/>
          <w:color w:val="auto"/>
          <w:kern w:val="2"/>
          <w:szCs w:val="24"/>
          <w:highlight w:val="none"/>
        </w:rPr>
        <w:t>i</w:t>
      </w:r>
      <w:r>
        <w:rPr>
          <w:rFonts w:hint="default" w:ascii="Times New Roman" w:hAnsi="Times New Roman" w:cs="Times New Roman" w:eastAsiaTheme="minorEastAsia"/>
          <w:color w:val="auto"/>
          <w:kern w:val="2"/>
          <w:szCs w:val="24"/>
          <w:highlight w:val="none"/>
        </w:rPr>
        <w:t>倍频带的A计权网络修正值，dB</w:t>
      </w:r>
      <w:r>
        <w:rPr>
          <w:rFonts w:hint="default" w:ascii="Times New Roman" w:hAnsi="Times New Roman" w:cs="Times New Roman" w:eastAsiaTheme="minorEastAsia"/>
          <w:color w:val="auto"/>
          <w:kern w:val="2"/>
          <w:szCs w:val="24"/>
          <w:highlight w:val="none"/>
          <w:lang w:val="pt-BR"/>
        </w:rPr>
        <w:t>；</w:t>
      </w:r>
    </w:p>
    <w:p w14:paraId="587FF62F">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en-US" w:eastAsia="zh-CN"/>
        </w:rPr>
        <w:t>3</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在只考虑几何发散衰减时按下式计算：</w:t>
      </w:r>
    </w:p>
    <w:p w14:paraId="0EE829A4">
      <w:pPr>
        <w:widowControl w:val="0"/>
        <w:spacing w:line="360" w:lineRule="auto"/>
        <w:ind w:firstLine="480" w:firstLineChars="200"/>
        <w:jc w:val="center"/>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2"/>
          <w:szCs w:val="24"/>
          <w:highlight w:val="none"/>
        </w:rPr>
        <w:object>
          <v:shape id="_x0000_i1049" o:spt="75" type="#_x0000_t75" style="height:18.5pt;width:94pt;" o:ole="t" filled="f" o:preferrelative="t" stroked="f" coordsize="21600,21600">
            <v:path/>
            <v:fill on="f" focussize="0,0"/>
            <v:stroke on="f" joinstyle="miter"/>
            <v:imagedata r:id="rId82" o:title=""/>
            <o:lock v:ext="edit" aspectratio="t"/>
            <w10:wrap type="none"/>
            <w10:anchorlock/>
          </v:shape>
          <o:OLEObject Type="Embed" ProgID="Equation.3" ShapeID="_x0000_i1049" DrawAspect="Content" ObjectID="_1468075749" r:id="rId81">
            <o:LockedField>false</o:LockedField>
          </o:OLEObject>
        </w:object>
      </w:r>
    </w:p>
    <w:p w14:paraId="4F21FACF">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szCs w:val="24"/>
          <w:highlight w:val="none"/>
        </w:rPr>
        <w:t>式中</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position w:val="-10"/>
          <w:szCs w:val="24"/>
          <w:highlight w:val="none"/>
          <w:lang w:val="pt-BR"/>
        </w:rPr>
        <w:object>
          <v:shape id="_x0000_i1050" o:spt="75" type="#_x0000_t75" style="height:17.5pt;width:32pt;" o:ole="t" filled="f" o:preferrelative="t" stroked="f" coordsize="21600,21600">
            <v:path/>
            <v:fill on="f" focussize="0,0"/>
            <v:stroke on="f" joinstyle="miter"/>
            <v:imagedata r:id="rId78" o:title=""/>
            <o:lock v:ext="edit" aspectratio="t"/>
            <w10:wrap type="none"/>
            <w10:anchorlock/>
          </v:shape>
          <o:OLEObject Type="Embed" ProgID="Equation.3" ShapeID="_x0000_i1050" DrawAspect="Content" ObjectID="_1468075750" r:id="rId83">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距声源</w:t>
      </w:r>
      <w:r>
        <w:rPr>
          <w:rFonts w:hint="default" w:ascii="Times New Roman" w:hAnsi="Times New Roman" w:cs="Times New Roman" w:eastAsiaTheme="minorEastAsia"/>
          <w:i/>
          <w:iCs/>
          <w:color w:val="auto"/>
          <w:kern w:val="2"/>
          <w:szCs w:val="24"/>
          <w:highlight w:val="none"/>
        </w:rPr>
        <w:t>r</w:t>
      </w:r>
      <w:r>
        <w:rPr>
          <w:rFonts w:hint="default" w:ascii="Times New Roman" w:hAnsi="Times New Roman" w:cs="Times New Roman" w:eastAsiaTheme="minorEastAsia"/>
          <w:color w:val="auto"/>
          <w:kern w:val="2"/>
          <w:szCs w:val="24"/>
          <w:highlight w:val="none"/>
        </w:rPr>
        <w:t>处的A声级</w:t>
      </w:r>
      <w:r>
        <w:rPr>
          <w:rFonts w:hint="default" w:ascii="Times New Roman" w:hAnsi="Times New Roman" w:cs="Times New Roman" w:eastAsiaTheme="minorEastAsia"/>
          <w:color w:val="auto"/>
          <w:kern w:val="2"/>
          <w:szCs w:val="24"/>
          <w:highlight w:val="none"/>
          <w:lang w:val="pt-BR"/>
        </w:rPr>
        <w:t>，dB</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A</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pt-BR"/>
        </w:rPr>
        <w:t>；</w:t>
      </w:r>
    </w:p>
    <w:p w14:paraId="45BB392A">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color w:val="auto"/>
          <w:kern w:val="2"/>
          <w:position w:val="-12"/>
          <w:szCs w:val="24"/>
          <w:highlight w:val="none"/>
          <w:lang w:val="pt-BR"/>
        </w:rPr>
        <w:object>
          <v:shape id="_x0000_i1051" o:spt="75" type="#_x0000_t75" style="height:18.5pt;width:32pt;" o:ole="t" filled="f" o:preferrelative="t" stroked="f" coordsize="21600,21600">
            <v:path/>
            <v:fill on="f" focussize="0,0"/>
            <v:stroke on="f" joinstyle="miter"/>
            <v:imagedata r:id="rId85" o:title=""/>
            <o:lock v:ext="edit" aspectratio="t"/>
            <w10:wrap type="none"/>
            <w10:anchorlock/>
          </v:shape>
          <o:OLEObject Type="Embed" ProgID="Equation.3" ShapeID="_x0000_i1051" DrawAspect="Content" ObjectID="_1468075751" r:id="rId84">
            <o:LockedField>false</o:LockedField>
          </o:OLEObject>
        </w:objec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参考位置</w:t>
      </w:r>
      <w:r>
        <w:rPr>
          <w:rFonts w:hint="default" w:ascii="Times New Roman" w:hAnsi="Times New Roman" w:cs="Times New Roman" w:eastAsiaTheme="minorEastAsia"/>
          <w:i/>
          <w:iCs/>
          <w:color w:val="auto"/>
          <w:kern w:val="2"/>
          <w:szCs w:val="24"/>
          <w:highlight w:val="none"/>
        </w:rPr>
        <w:t>r</w:t>
      </w:r>
      <w:r>
        <w:rPr>
          <w:rFonts w:hint="default" w:ascii="Times New Roman" w:hAnsi="Times New Roman" w:cs="Times New Roman" w:eastAsiaTheme="minorEastAsia"/>
          <w:i/>
          <w:iCs/>
          <w:color w:val="auto"/>
          <w:kern w:val="2"/>
          <w:szCs w:val="24"/>
          <w:highlight w:val="none"/>
          <w:vertAlign w:val="subscript"/>
        </w:rPr>
        <w:t>0</w:t>
      </w:r>
      <w:r>
        <w:rPr>
          <w:rFonts w:hint="default" w:ascii="Times New Roman" w:hAnsi="Times New Roman" w:cs="Times New Roman" w:eastAsiaTheme="minorEastAsia"/>
          <w:color w:val="auto"/>
          <w:kern w:val="2"/>
          <w:szCs w:val="24"/>
          <w:highlight w:val="none"/>
        </w:rPr>
        <w:t>处的A声级，</w:t>
      </w:r>
      <w:r>
        <w:rPr>
          <w:rFonts w:hint="default" w:ascii="Times New Roman" w:hAnsi="Times New Roman" w:cs="Times New Roman" w:eastAsiaTheme="minorEastAsia"/>
          <w:color w:val="auto"/>
          <w:kern w:val="2"/>
          <w:szCs w:val="24"/>
          <w:highlight w:val="none"/>
          <w:lang w:val="pt-BR"/>
        </w:rPr>
        <w:t>dB</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A</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pt-BR"/>
        </w:rPr>
        <w:t>；</w:t>
      </w:r>
    </w:p>
    <w:p w14:paraId="62260AD3">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i/>
          <w:iCs/>
          <w:color w:val="auto"/>
          <w:kern w:val="2"/>
          <w:szCs w:val="24"/>
          <w:highlight w:val="none"/>
        </w:rPr>
        <w:t>A</w:t>
      </w:r>
      <w:r>
        <w:rPr>
          <w:rFonts w:hint="default" w:ascii="Times New Roman" w:hAnsi="Times New Roman" w:cs="Times New Roman" w:eastAsiaTheme="minorEastAsia"/>
          <w:i/>
          <w:iCs/>
          <w:color w:val="auto"/>
          <w:kern w:val="2"/>
          <w:szCs w:val="24"/>
          <w:highlight w:val="none"/>
          <w:vertAlign w:val="subscript"/>
        </w:rPr>
        <w:t>div</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几何发散引起的衰减，dB</w:t>
      </w:r>
      <w:r>
        <w:rPr>
          <w:rFonts w:hint="default" w:ascii="Times New Roman" w:hAnsi="Times New Roman" w:cs="Times New Roman" w:eastAsiaTheme="minorEastAsia"/>
          <w:color w:val="auto"/>
          <w:kern w:val="2"/>
          <w:szCs w:val="24"/>
          <w:highlight w:val="none"/>
          <w:lang w:val="pt-BR"/>
        </w:rPr>
        <w:t>；</w:t>
      </w:r>
    </w:p>
    <w:p w14:paraId="1014135E">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en-US" w:eastAsia="zh-CN"/>
        </w:rPr>
        <w:t>4</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工业企业噪声计算</w:t>
      </w:r>
    </w:p>
    <w:p w14:paraId="224F794B">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rPr>
        <w:t>设第</w:t>
      </w:r>
      <w:r>
        <w:rPr>
          <w:rFonts w:hint="default" w:ascii="Times New Roman" w:hAnsi="Times New Roman" w:cs="Times New Roman" w:eastAsiaTheme="minorEastAsia"/>
          <w:i/>
          <w:iCs/>
          <w:color w:val="auto"/>
          <w:kern w:val="2"/>
          <w:szCs w:val="24"/>
          <w:highlight w:val="none"/>
        </w:rPr>
        <w:t>i</w:t>
      </w:r>
      <w:r>
        <w:rPr>
          <w:rFonts w:hint="default" w:ascii="Times New Roman" w:hAnsi="Times New Roman" w:cs="Times New Roman" w:eastAsiaTheme="minorEastAsia"/>
          <w:color w:val="auto"/>
          <w:kern w:val="2"/>
          <w:szCs w:val="24"/>
          <w:highlight w:val="none"/>
        </w:rPr>
        <w:t>个室外声源在预测点产生的A声级为</w:t>
      </w: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Ai</w:t>
      </w:r>
      <w:r>
        <w:rPr>
          <w:rFonts w:hint="default" w:ascii="Times New Roman" w:hAnsi="Times New Roman" w:cs="Times New Roman" w:eastAsiaTheme="minorEastAsia"/>
          <w:i/>
          <w:iCs/>
          <w:color w:val="auto"/>
          <w:kern w:val="2"/>
          <w:szCs w:val="24"/>
          <w:highlight w:val="none"/>
        </w:rPr>
        <w:t>，</w:t>
      </w:r>
      <w:r>
        <w:rPr>
          <w:rFonts w:hint="default" w:ascii="Times New Roman" w:hAnsi="Times New Roman" w:cs="Times New Roman" w:eastAsiaTheme="minorEastAsia"/>
          <w:color w:val="auto"/>
          <w:kern w:val="2"/>
          <w:szCs w:val="24"/>
          <w:highlight w:val="none"/>
        </w:rPr>
        <w:t>在</w:t>
      </w:r>
      <w:r>
        <w:rPr>
          <w:rFonts w:hint="default" w:ascii="Times New Roman" w:hAnsi="Times New Roman" w:cs="Times New Roman" w:eastAsiaTheme="minorEastAsia"/>
          <w:i/>
          <w:iCs/>
          <w:color w:val="auto"/>
          <w:kern w:val="2"/>
          <w:szCs w:val="24"/>
          <w:highlight w:val="none"/>
        </w:rPr>
        <w:t>T</w:t>
      </w:r>
      <w:r>
        <w:rPr>
          <w:rFonts w:hint="default" w:ascii="Times New Roman" w:hAnsi="Times New Roman" w:cs="Times New Roman" w:eastAsiaTheme="minorEastAsia"/>
          <w:color w:val="auto"/>
          <w:kern w:val="2"/>
          <w:szCs w:val="24"/>
          <w:highlight w:val="none"/>
        </w:rPr>
        <w:t>时间内该声源工作时间为</w:t>
      </w:r>
      <w:r>
        <w:rPr>
          <w:rFonts w:hint="default" w:ascii="Times New Roman" w:hAnsi="Times New Roman" w:cs="Times New Roman" w:eastAsiaTheme="minorEastAsia"/>
          <w:i/>
          <w:iCs/>
          <w:color w:val="auto"/>
          <w:kern w:val="2"/>
          <w:szCs w:val="24"/>
          <w:highlight w:val="none"/>
        </w:rPr>
        <w:t>t</w:t>
      </w:r>
      <w:r>
        <w:rPr>
          <w:rFonts w:hint="default" w:ascii="Times New Roman" w:hAnsi="Times New Roman" w:cs="Times New Roman" w:eastAsiaTheme="minorEastAsia"/>
          <w:i/>
          <w:iCs/>
          <w:color w:val="auto"/>
          <w:kern w:val="2"/>
          <w:szCs w:val="24"/>
          <w:highlight w:val="none"/>
          <w:vertAlign w:val="subscript"/>
        </w:rPr>
        <w:t>i</w:t>
      </w:r>
      <w:r>
        <w:rPr>
          <w:rFonts w:hint="default" w:ascii="Times New Roman" w:hAnsi="Times New Roman" w:cs="Times New Roman" w:eastAsiaTheme="minorEastAsia"/>
          <w:color w:val="auto"/>
          <w:kern w:val="2"/>
          <w:szCs w:val="24"/>
          <w:highlight w:val="none"/>
        </w:rPr>
        <w:t>；第</w:t>
      </w:r>
      <w:r>
        <w:rPr>
          <w:rFonts w:hint="default" w:ascii="Times New Roman" w:hAnsi="Times New Roman" w:cs="Times New Roman" w:eastAsiaTheme="minorEastAsia"/>
          <w:i/>
          <w:iCs/>
          <w:color w:val="auto"/>
          <w:kern w:val="2"/>
          <w:szCs w:val="24"/>
          <w:highlight w:val="none"/>
        </w:rPr>
        <w:t>j</w:t>
      </w:r>
      <w:r>
        <w:rPr>
          <w:rFonts w:hint="default" w:ascii="Times New Roman" w:hAnsi="Times New Roman" w:cs="Times New Roman" w:eastAsiaTheme="minorEastAsia"/>
          <w:color w:val="auto"/>
          <w:kern w:val="2"/>
          <w:szCs w:val="24"/>
          <w:highlight w:val="none"/>
        </w:rPr>
        <w:t>个等效室外声源在预测点产生的A声级为</w:t>
      </w: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Aj</w:t>
      </w:r>
      <w:r>
        <w:rPr>
          <w:rFonts w:hint="default" w:ascii="Times New Roman" w:hAnsi="Times New Roman" w:cs="Times New Roman" w:eastAsiaTheme="minorEastAsia"/>
          <w:color w:val="auto"/>
          <w:kern w:val="2"/>
          <w:szCs w:val="24"/>
          <w:highlight w:val="none"/>
        </w:rPr>
        <w:t>，在T时间内该声源工作时间为</w:t>
      </w:r>
      <w:r>
        <w:rPr>
          <w:rFonts w:hint="default" w:ascii="Times New Roman" w:hAnsi="Times New Roman" w:cs="Times New Roman" w:eastAsiaTheme="minorEastAsia"/>
          <w:i/>
          <w:iCs/>
          <w:color w:val="auto"/>
          <w:kern w:val="2"/>
          <w:szCs w:val="24"/>
          <w:highlight w:val="none"/>
        </w:rPr>
        <w:t>t</w:t>
      </w:r>
      <w:r>
        <w:rPr>
          <w:rFonts w:hint="default" w:ascii="Times New Roman" w:hAnsi="Times New Roman" w:cs="Times New Roman" w:eastAsiaTheme="minorEastAsia"/>
          <w:i/>
          <w:iCs/>
          <w:color w:val="auto"/>
          <w:kern w:val="2"/>
          <w:szCs w:val="24"/>
          <w:highlight w:val="none"/>
          <w:vertAlign w:val="subscript"/>
        </w:rPr>
        <w:t>j</w:t>
      </w:r>
      <w:r>
        <w:rPr>
          <w:rFonts w:hint="default" w:ascii="Times New Roman" w:hAnsi="Times New Roman" w:cs="Times New Roman" w:eastAsiaTheme="minorEastAsia"/>
          <w:color w:val="auto"/>
          <w:kern w:val="2"/>
          <w:szCs w:val="24"/>
          <w:highlight w:val="none"/>
        </w:rPr>
        <w:t>，则</w:t>
      </w:r>
      <w:r>
        <w:rPr>
          <w:rFonts w:hint="default" w:ascii="Times New Roman" w:hAnsi="Times New Roman" w:cs="Times New Roman" w:eastAsiaTheme="minorEastAsia"/>
          <w:color w:val="auto"/>
          <w:kern w:val="2"/>
          <w:szCs w:val="24"/>
          <w:highlight w:val="none"/>
          <w:lang w:eastAsia="zh-CN"/>
        </w:rPr>
        <w:t>本项目</w:t>
      </w:r>
      <w:r>
        <w:rPr>
          <w:rFonts w:hint="default" w:ascii="Times New Roman" w:hAnsi="Times New Roman" w:cs="Times New Roman" w:eastAsiaTheme="minorEastAsia"/>
          <w:color w:val="auto"/>
          <w:kern w:val="2"/>
          <w:szCs w:val="24"/>
          <w:highlight w:val="none"/>
        </w:rPr>
        <w:t>声源对预测点产生的贡献值</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eqg</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为：</w:t>
      </w:r>
    </w:p>
    <w:p w14:paraId="755681B6">
      <w:pPr>
        <w:widowControl w:val="0"/>
        <w:snapToGrid w:val="0"/>
        <w:spacing w:line="360" w:lineRule="auto"/>
        <w:ind w:firstLine="200"/>
        <w:jc w:val="center"/>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30"/>
          <w:szCs w:val="24"/>
          <w:highlight w:val="none"/>
        </w:rPr>
        <w:object>
          <v:shape id="_x0000_i1052" o:spt="75" type="#_x0000_t75" style="height:35pt;width:198.5pt;" o:ole="t" filled="f" o:preferrelative="t" stroked="f" coordsize="21600,21600">
            <v:path/>
            <v:fill on="f" focussize="0,0"/>
            <v:stroke on="f" joinstyle="miter"/>
            <v:imagedata r:id="rId87" o:title=""/>
            <o:lock v:ext="edit" aspectratio="t"/>
            <w10:wrap type="none"/>
            <w10:anchorlock/>
          </v:shape>
          <o:OLEObject Type="Embed" ProgID="Equation.3" ShapeID="_x0000_i1052" DrawAspect="Content" ObjectID="_1468075752" r:id="rId86">
            <o:LockedField>false</o:LockedField>
          </o:OLEObject>
        </w:object>
      </w:r>
    </w:p>
    <w:p w14:paraId="1C71043E">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rPr>
        <w:t>式中：</w:t>
      </w: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eqg</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建设项目声源在预测点产生的噪声贡献值，dB；</w:t>
      </w:r>
    </w:p>
    <w:p w14:paraId="79F5BBD8">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i/>
          <w:iCs/>
          <w:color w:val="auto"/>
          <w:kern w:val="2"/>
          <w:szCs w:val="24"/>
          <w:highlight w:val="none"/>
        </w:rPr>
        <w:t>T</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用于计算等效声级的时间，s；</w:t>
      </w:r>
    </w:p>
    <w:p w14:paraId="0A847256">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i/>
          <w:iCs/>
          <w:color w:val="auto"/>
          <w:kern w:val="2"/>
          <w:szCs w:val="24"/>
          <w:highlight w:val="none"/>
        </w:rPr>
        <w:t>N</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室外声源个数；</w:t>
      </w:r>
    </w:p>
    <w:p w14:paraId="2B167A65">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i/>
          <w:iCs/>
          <w:color w:val="auto"/>
          <w:kern w:val="2"/>
          <w:szCs w:val="24"/>
          <w:highlight w:val="none"/>
        </w:rPr>
        <w:t>t</w:t>
      </w:r>
      <w:r>
        <w:rPr>
          <w:rFonts w:hint="default" w:ascii="Times New Roman" w:hAnsi="Times New Roman" w:cs="Times New Roman" w:eastAsiaTheme="minorEastAsia"/>
          <w:i/>
          <w:iCs/>
          <w:color w:val="auto"/>
          <w:kern w:val="2"/>
          <w:szCs w:val="24"/>
          <w:highlight w:val="none"/>
          <w:vertAlign w:val="subscript"/>
        </w:rPr>
        <w:t>i</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在T时间内</w:t>
      </w:r>
      <w:r>
        <w:rPr>
          <w:rFonts w:hint="default" w:ascii="Times New Roman" w:hAnsi="Times New Roman" w:cs="Times New Roman" w:eastAsiaTheme="minorEastAsia"/>
          <w:i/>
          <w:iCs/>
          <w:color w:val="auto"/>
          <w:kern w:val="2"/>
          <w:szCs w:val="24"/>
          <w:highlight w:val="none"/>
        </w:rPr>
        <w:t>i</w:t>
      </w:r>
      <w:r>
        <w:rPr>
          <w:rFonts w:hint="default" w:ascii="Times New Roman" w:hAnsi="Times New Roman" w:cs="Times New Roman" w:eastAsiaTheme="minorEastAsia"/>
          <w:color w:val="auto"/>
          <w:kern w:val="2"/>
          <w:szCs w:val="24"/>
          <w:highlight w:val="none"/>
        </w:rPr>
        <w:t>声源工作时间，s；</w:t>
      </w:r>
    </w:p>
    <w:p w14:paraId="47E31BC4">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i/>
          <w:iCs/>
          <w:color w:val="auto"/>
          <w:kern w:val="2"/>
          <w:szCs w:val="24"/>
          <w:highlight w:val="none"/>
        </w:rPr>
        <w:t>M</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等效室外声源个数；</w:t>
      </w:r>
    </w:p>
    <w:p w14:paraId="5A529C54">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i/>
          <w:iCs/>
          <w:color w:val="auto"/>
          <w:kern w:val="2"/>
          <w:szCs w:val="24"/>
          <w:highlight w:val="none"/>
        </w:rPr>
        <w:t>t</w:t>
      </w:r>
      <w:r>
        <w:rPr>
          <w:rFonts w:hint="default" w:ascii="Times New Roman" w:hAnsi="Times New Roman" w:cs="Times New Roman" w:eastAsiaTheme="minorEastAsia"/>
          <w:i/>
          <w:iCs/>
          <w:color w:val="auto"/>
          <w:kern w:val="2"/>
          <w:szCs w:val="24"/>
          <w:highlight w:val="none"/>
          <w:vertAlign w:val="subscript"/>
        </w:rPr>
        <w:t>j</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在T时间内</w:t>
      </w:r>
      <w:r>
        <w:rPr>
          <w:rFonts w:hint="default" w:ascii="Times New Roman" w:hAnsi="Times New Roman" w:cs="Times New Roman" w:eastAsiaTheme="minorEastAsia"/>
          <w:i/>
          <w:iCs/>
          <w:color w:val="auto"/>
          <w:kern w:val="2"/>
          <w:szCs w:val="24"/>
          <w:highlight w:val="none"/>
        </w:rPr>
        <w:t>j</w:t>
      </w:r>
      <w:r>
        <w:rPr>
          <w:rFonts w:hint="default" w:ascii="Times New Roman" w:hAnsi="Times New Roman" w:cs="Times New Roman" w:eastAsiaTheme="minorEastAsia"/>
          <w:color w:val="auto"/>
          <w:kern w:val="2"/>
          <w:szCs w:val="24"/>
          <w:highlight w:val="none"/>
        </w:rPr>
        <w:t>声源工作时间，s。</w:t>
      </w:r>
    </w:p>
    <w:p w14:paraId="6170F256">
      <w:pPr>
        <w:widowControl w:val="0"/>
        <w:spacing w:line="360" w:lineRule="auto"/>
        <w:ind w:firstLine="480" w:firstLineChars="200"/>
        <w:jc w:val="both"/>
        <w:rPr>
          <w:rFonts w:hint="default" w:ascii="Times New Roman" w:hAnsi="Times New Roman" w:cs="Times New Roman" w:eastAsiaTheme="minorEastAsia"/>
          <w:color w:val="auto"/>
          <w:kern w:val="2"/>
          <w:position w:val="-14"/>
          <w:szCs w:val="24"/>
          <w:highlight w:val="none"/>
        </w:rPr>
      </w:pPr>
      <w:r>
        <w:rPr>
          <w:rFonts w:hint="default" w:ascii="Times New Roman" w:hAnsi="Times New Roman" w:cs="Times New Roman" w:eastAsiaTheme="minorEastAsia"/>
          <w:color w:val="auto"/>
          <w:kern w:val="2"/>
          <w:position w:val="-14"/>
          <w:szCs w:val="24"/>
          <w:highlight w:val="none"/>
          <w:lang w:eastAsia="zh-CN"/>
        </w:rPr>
        <w:t>（</w:t>
      </w:r>
      <w:r>
        <w:rPr>
          <w:rFonts w:hint="default" w:ascii="Times New Roman" w:hAnsi="Times New Roman" w:cs="Times New Roman" w:eastAsiaTheme="minorEastAsia"/>
          <w:color w:val="auto"/>
          <w:kern w:val="2"/>
          <w:position w:val="-14"/>
          <w:szCs w:val="24"/>
          <w:highlight w:val="none"/>
          <w:lang w:val="en-US" w:eastAsia="zh-CN"/>
        </w:rPr>
        <w:t>5</w:t>
      </w:r>
      <w:r>
        <w:rPr>
          <w:rFonts w:hint="default" w:ascii="Times New Roman" w:hAnsi="Times New Roman" w:cs="Times New Roman" w:eastAsiaTheme="minorEastAsia"/>
          <w:color w:val="auto"/>
          <w:kern w:val="2"/>
          <w:position w:val="-14"/>
          <w:szCs w:val="24"/>
          <w:highlight w:val="none"/>
          <w:lang w:eastAsia="zh-CN"/>
        </w:rPr>
        <w:t>）</w:t>
      </w:r>
      <w:r>
        <w:rPr>
          <w:rFonts w:hint="default" w:ascii="Times New Roman" w:hAnsi="Times New Roman" w:cs="Times New Roman" w:eastAsiaTheme="minorEastAsia"/>
          <w:color w:val="auto"/>
          <w:kern w:val="2"/>
          <w:position w:val="-14"/>
          <w:szCs w:val="24"/>
          <w:highlight w:val="none"/>
        </w:rPr>
        <w:t>噪声预测值计算</w:t>
      </w:r>
    </w:p>
    <w:p w14:paraId="5F6410F0">
      <w:pPr>
        <w:widowControl w:val="0"/>
        <w:spacing w:line="360" w:lineRule="auto"/>
        <w:ind w:firstLine="200"/>
        <w:jc w:val="center"/>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position w:val="-14"/>
          <w:szCs w:val="24"/>
          <w:highlight w:val="none"/>
        </w:rPr>
        <w:object>
          <v:shape id="_x0000_i1053" o:spt="75" type="#_x0000_t75" style="height:22pt;width:140.5pt;" o:ole="t" filled="f" o:preferrelative="t" stroked="f" coordsize="21600,21600">
            <v:path/>
            <v:fill on="f" focussize="0,0"/>
            <v:stroke on="f" joinstyle="miter"/>
            <v:imagedata r:id="rId89" o:title=""/>
            <o:lock v:ext="edit" aspectratio="t"/>
            <w10:wrap type="none"/>
            <w10:anchorlock/>
          </v:shape>
          <o:OLEObject Type="Embed" ProgID="Equation.3" ShapeID="_x0000_i1053" DrawAspect="Content" ObjectID="_1468075753" r:id="rId88">
            <o:LockedField>false</o:LockedField>
          </o:OLEObject>
        </w:object>
      </w:r>
    </w:p>
    <w:p w14:paraId="52AF004A">
      <w:pPr>
        <w:widowControl w:val="0"/>
        <w:spacing w:before="240"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rPr>
        <w:t>式中：</w:t>
      </w: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eq</w:t>
      </w:r>
      <w:r>
        <w:rPr>
          <w:rFonts w:hint="default" w:ascii="Times New Roman" w:hAnsi="Times New Roman" w:cs="Times New Roman" w:eastAsiaTheme="minorEastAsia"/>
          <w:color w:val="auto"/>
          <w:kern w:val="2"/>
          <w:szCs w:val="24"/>
          <w:highlight w:val="none"/>
          <w:lang w:val="pt-BR"/>
        </w:rPr>
        <w:t>—</w:t>
      </w:r>
      <w:r>
        <w:rPr>
          <w:rFonts w:hint="default" w:ascii="Times New Roman" w:hAnsi="Times New Roman" w:cs="Times New Roman" w:eastAsiaTheme="minorEastAsia"/>
          <w:color w:val="auto"/>
          <w:kern w:val="2"/>
          <w:szCs w:val="24"/>
          <w:highlight w:val="none"/>
        </w:rPr>
        <w:t>预测点的噪声预测值，dB；</w:t>
      </w:r>
    </w:p>
    <w:p w14:paraId="014EB15E">
      <w:pPr>
        <w:widowControl w:val="0"/>
        <w:spacing w:line="360" w:lineRule="auto"/>
        <w:ind w:firstLine="1200" w:firstLineChars="500"/>
        <w:jc w:val="both"/>
        <w:rPr>
          <w:rFonts w:hint="default" w:ascii="Times New Roman" w:hAnsi="Times New Roman" w:cs="Times New Roman" w:eastAsiaTheme="minorEastAsia"/>
          <w:color w:val="auto"/>
          <w:kern w:val="2"/>
          <w:szCs w:val="24"/>
          <w:highlight w:val="none"/>
          <w:lang w:val="pt-BR"/>
        </w:rPr>
      </w:pP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eqg</w:t>
      </w:r>
      <w:r>
        <w:rPr>
          <w:rFonts w:hint="default" w:ascii="Times New Roman" w:hAnsi="Times New Roman" w:cs="Times New Roman" w:eastAsiaTheme="minorEastAsia"/>
          <w:color w:val="auto"/>
          <w:kern w:val="2"/>
          <w:szCs w:val="24"/>
          <w:highlight w:val="none"/>
          <w:lang w:val="pt-BR"/>
        </w:rPr>
        <w:t>—建设项目声源在预测点</w:t>
      </w:r>
      <w:r>
        <w:rPr>
          <w:rFonts w:hint="default" w:ascii="Times New Roman" w:hAnsi="Times New Roman" w:cs="Times New Roman" w:eastAsiaTheme="minorEastAsia"/>
          <w:color w:val="auto"/>
          <w:kern w:val="2"/>
          <w:szCs w:val="24"/>
          <w:highlight w:val="none"/>
        </w:rPr>
        <w:t>产生的噪声贡献值</w:t>
      </w:r>
      <w:r>
        <w:rPr>
          <w:rFonts w:hint="default" w:ascii="Times New Roman" w:hAnsi="Times New Roman" w:cs="Times New Roman" w:eastAsiaTheme="minorEastAsia"/>
          <w:color w:val="auto"/>
          <w:kern w:val="2"/>
          <w:szCs w:val="24"/>
          <w:highlight w:val="none"/>
          <w:lang w:val="pt-BR"/>
        </w:rPr>
        <w:t>；</w:t>
      </w:r>
    </w:p>
    <w:p w14:paraId="02CB9ABC">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i/>
          <w:iCs/>
          <w:color w:val="auto"/>
          <w:kern w:val="2"/>
          <w:szCs w:val="24"/>
          <w:highlight w:val="none"/>
        </w:rPr>
        <w:t>L</w:t>
      </w:r>
      <w:r>
        <w:rPr>
          <w:rFonts w:hint="default" w:ascii="Times New Roman" w:hAnsi="Times New Roman" w:cs="Times New Roman" w:eastAsiaTheme="minorEastAsia"/>
          <w:i/>
          <w:iCs/>
          <w:color w:val="auto"/>
          <w:kern w:val="2"/>
          <w:szCs w:val="24"/>
          <w:highlight w:val="none"/>
          <w:vertAlign w:val="subscript"/>
        </w:rPr>
        <w:t>eqb</w:t>
      </w:r>
      <w:r>
        <w:rPr>
          <w:rFonts w:hint="default" w:ascii="Times New Roman" w:hAnsi="Times New Roman" w:cs="Times New Roman" w:eastAsiaTheme="minorEastAsia"/>
          <w:color w:val="auto"/>
          <w:kern w:val="2"/>
          <w:szCs w:val="24"/>
          <w:highlight w:val="none"/>
          <w:lang w:val="pt-BR"/>
        </w:rPr>
        <w:t>—预测点的背景</w:t>
      </w:r>
      <w:r>
        <w:rPr>
          <w:rFonts w:hint="default" w:ascii="Times New Roman" w:hAnsi="Times New Roman" w:cs="Times New Roman" w:eastAsiaTheme="minorEastAsia"/>
          <w:color w:val="auto"/>
          <w:kern w:val="2"/>
          <w:szCs w:val="24"/>
          <w:highlight w:val="none"/>
        </w:rPr>
        <w:t>噪声</w:t>
      </w:r>
      <w:r>
        <w:rPr>
          <w:rFonts w:hint="default" w:ascii="Times New Roman" w:hAnsi="Times New Roman" w:cs="Times New Roman" w:eastAsiaTheme="minorEastAsia"/>
          <w:color w:val="auto"/>
          <w:kern w:val="2"/>
          <w:szCs w:val="24"/>
          <w:highlight w:val="none"/>
          <w:lang w:val="pt-BR"/>
        </w:rPr>
        <w:t>值，dB。</w:t>
      </w:r>
    </w:p>
    <w:p w14:paraId="3C365806">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rPr>
      </w:pP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lang w:val="en-US" w:eastAsia="zh-CN"/>
        </w:rPr>
        <w:t>6</w:t>
      </w:r>
      <w:r>
        <w:rPr>
          <w:rFonts w:hint="default" w:ascii="Times New Roman" w:hAnsi="Times New Roman" w:cs="Times New Roman" w:eastAsiaTheme="minorEastAsia"/>
          <w:color w:val="auto"/>
          <w:kern w:val="2"/>
          <w:szCs w:val="24"/>
          <w:highlight w:val="none"/>
          <w:lang w:eastAsia="zh-CN"/>
        </w:rPr>
        <w:t>）</w:t>
      </w:r>
      <w:r>
        <w:rPr>
          <w:rFonts w:hint="default" w:ascii="Times New Roman" w:hAnsi="Times New Roman" w:cs="Times New Roman" w:eastAsiaTheme="minorEastAsia"/>
          <w:color w:val="auto"/>
          <w:kern w:val="2"/>
          <w:szCs w:val="24"/>
          <w:highlight w:val="none"/>
        </w:rPr>
        <w:t>噪声预测点位</w:t>
      </w:r>
    </w:p>
    <w:p w14:paraId="2E151490">
      <w:pPr>
        <w:widowControl w:val="0"/>
        <w:spacing w:line="360" w:lineRule="auto"/>
        <w:ind w:firstLine="480" w:firstLineChars="200"/>
        <w:jc w:val="both"/>
        <w:rPr>
          <w:rFonts w:hint="default" w:ascii="Times New Roman" w:hAnsi="Times New Roman" w:cs="Times New Roman" w:eastAsiaTheme="minorEastAsia"/>
          <w:color w:val="auto"/>
          <w:kern w:val="2"/>
          <w:szCs w:val="24"/>
          <w:highlight w:val="none"/>
          <w:lang w:val="en-US" w:eastAsia="zh-CN"/>
        </w:rPr>
      </w:pPr>
      <w:r>
        <w:rPr>
          <w:rFonts w:hint="default" w:ascii="Times New Roman" w:hAnsi="Times New Roman" w:cs="Times New Roman" w:eastAsiaTheme="minorEastAsia"/>
          <w:color w:val="auto"/>
          <w:kern w:val="2"/>
          <w:szCs w:val="24"/>
          <w:highlight w:val="none"/>
        </w:rPr>
        <w:t>本评价预测噪声源对场界四周噪声贡献值</w:t>
      </w:r>
      <w:r>
        <w:rPr>
          <w:rFonts w:hint="default" w:ascii="Times New Roman" w:hAnsi="Times New Roman" w:cs="Times New Roman" w:eastAsiaTheme="minorEastAsia"/>
          <w:color w:val="auto"/>
          <w:kern w:val="2"/>
          <w:szCs w:val="24"/>
          <w:highlight w:val="none"/>
          <w:lang w:eastAsia="zh-CN"/>
        </w:rPr>
        <w:t>。</w:t>
      </w:r>
    </w:p>
    <w:p w14:paraId="46E3033C">
      <w:pPr>
        <w:pStyle w:val="7"/>
        <w:pageBreakBefore w:val="0"/>
        <w:widowControl w:val="0"/>
        <w:wordWrap/>
        <w:overflowPunct/>
        <w:topLinePunct w:val="0"/>
        <w:bidi w:val="0"/>
        <w:adjustRightInd w:val="0"/>
        <w:snapToGrid w:val="0"/>
        <w:spacing w:beforeLines="0" w:afterLines="0"/>
        <w:rPr>
          <w:rFonts w:hint="default" w:ascii="Times New Roman" w:hAnsi="Times New Roman" w:cs="Times New Roman"/>
          <w:color w:val="auto"/>
          <w:highlight w:val="none"/>
        </w:rPr>
      </w:pPr>
      <w:r>
        <w:rPr>
          <w:rFonts w:hint="default" w:ascii="Times New Roman" w:hAnsi="Times New Roman" w:cs="Times New Roman"/>
          <w:color w:val="auto"/>
          <w:highlight w:val="none"/>
        </w:rPr>
        <w:t>5.3.2.2噪声源参数的确定</w:t>
      </w:r>
    </w:p>
    <w:p w14:paraId="3E284529">
      <w:pPr>
        <w:pStyle w:val="46"/>
        <w:pageBreakBefore w:val="0"/>
        <w:widowControl w:val="0"/>
        <w:wordWrap/>
        <w:overflowPunct/>
        <w:topLinePunct w:val="0"/>
        <w:bidi w:val="0"/>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各井场噪声源类似，井场面积及平面布置基本相同，噪声源噪声参数见表5.3-2。</w:t>
      </w:r>
    </w:p>
    <w:p w14:paraId="7A4F64FE">
      <w:pPr>
        <w:pStyle w:val="45"/>
        <w:keepNext w:val="0"/>
        <w:keepLines w:val="0"/>
        <w:pageBreakBefore w:val="0"/>
        <w:widowControl w:val="0"/>
        <w:kinsoku/>
        <w:wordWrap/>
        <w:overflowPunct/>
        <w:topLinePunct w:val="0"/>
        <w:autoSpaceDE/>
        <w:autoSpaceDN/>
        <w:bidi w:val="0"/>
        <w:adjustRightInd w:val="0"/>
        <w:spacing w:line="240" w:lineRule="auto"/>
        <w:textAlignment w:val="baseline"/>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表5.3-2井场噪声源参数一览表</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73"/>
        <w:gridCol w:w="1288"/>
        <w:gridCol w:w="542"/>
        <w:gridCol w:w="596"/>
        <w:gridCol w:w="596"/>
        <w:gridCol w:w="597"/>
        <w:gridCol w:w="2006"/>
        <w:gridCol w:w="1225"/>
        <w:gridCol w:w="963"/>
      </w:tblGrid>
      <w:tr w14:paraId="204CF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Merge w:val="restart"/>
            <w:vAlign w:val="center"/>
          </w:tcPr>
          <w:p w14:paraId="0EB2BFAD">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序号</w:t>
            </w:r>
          </w:p>
        </w:tc>
        <w:tc>
          <w:tcPr>
            <w:tcW w:w="1288" w:type="dxa"/>
            <w:vMerge w:val="restart"/>
            <w:vAlign w:val="center"/>
          </w:tcPr>
          <w:p w14:paraId="506EA1C9">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声源名称</w:t>
            </w:r>
          </w:p>
        </w:tc>
        <w:tc>
          <w:tcPr>
            <w:tcW w:w="542" w:type="dxa"/>
            <w:vMerge w:val="restart"/>
            <w:vAlign w:val="center"/>
          </w:tcPr>
          <w:p w14:paraId="3171F823">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型号</w:t>
            </w:r>
          </w:p>
        </w:tc>
        <w:tc>
          <w:tcPr>
            <w:tcW w:w="1789" w:type="dxa"/>
            <w:gridSpan w:val="3"/>
            <w:vAlign w:val="center"/>
          </w:tcPr>
          <w:p w14:paraId="47ECF2F4">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空间相对位置/m</w:t>
            </w:r>
          </w:p>
        </w:tc>
        <w:tc>
          <w:tcPr>
            <w:tcW w:w="2006" w:type="dxa"/>
            <w:vMerge w:val="restart"/>
            <w:vAlign w:val="center"/>
          </w:tcPr>
          <w:p w14:paraId="359B034A">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rPr>
              <w:t>声源源强</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sz w:val="21"/>
                <w:szCs w:val="21"/>
                <w:highlight w:val="none"/>
              </w:rPr>
              <w:t>声功率级</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dB</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A</w:t>
            </w:r>
            <w:r>
              <w:rPr>
                <w:rFonts w:hint="default" w:ascii="Times New Roman" w:hAnsi="Times New Roman" w:cs="Times New Roman" w:eastAsiaTheme="minorEastAsia"/>
                <w:color w:val="auto"/>
                <w:kern w:val="2"/>
                <w:sz w:val="21"/>
                <w:szCs w:val="21"/>
                <w:highlight w:val="none"/>
                <w:lang w:eastAsia="zh-CN"/>
              </w:rPr>
              <w:t>））</w:t>
            </w:r>
          </w:p>
        </w:tc>
        <w:tc>
          <w:tcPr>
            <w:tcW w:w="1225" w:type="dxa"/>
            <w:vMerge w:val="restart"/>
            <w:vAlign w:val="center"/>
          </w:tcPr>
          <w:p w14:paraId="5A1A1CA1">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声源控制</w:t>
            </w:r>
          </w:p>
          <w:p w14:paraId="4516AF1D">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措施</w:t>
            </w:r>
          </w:p>
        </w:tc>
        <w:tc>
          <w:tcPr>
            <w:tcW w:w="963" w:type="dxa"/>
            <w:vMerge w:val="restart"/>
            <w:vAlign w:val="center"/>
          </w:tcPr>
          <w:p w14:paraId="3C3F06B5">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运行时段</w:t>
            </w:r>
          </w:p>
        </w:tc>
      </w:tr>
      <w:tr w14:paraId="6408A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Merge w:val="continue"/>
            <w:vAlign w:val="center"/>
          </w:tcPr>
          <w:p w14:paraId="3945B952">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p>
        </w:tc>
        <w:tc>
          <w:tcPr>
            <w:tcW w:w="1288" w:type="dxa"/>
            <w:vMerge w:val="continue"/>
            <w:vAlign w:val="center"/>
          </w:tcPr>
          <w:p w14:paraId="1C27A5E2">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p>
        </w:tc>
        <w:tc>
          <w:tcPr>
            <w:tcW w:w="542" w:type="dxa"/>
            <w:vMerge w:val="continue"/>
            <w:vAlign w:val="center"/>
          </w:tcPr>
          <w:p w14:paraId="723FD8FB">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p>
        </w:tc>
        <w:tc>
          <w:tcPr>
            <w:tcW w:w="596" w:type="dxa"/>
            <w:vAlign w:val="center"/>
          </w:tcPr>
          <w:p w14:paraId="5C96D28C">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X</w:t>
            </w:r>
          </w:p>
        </w:tc>
        <w:tc>
          <w:tcPr>
            <w:tcW w:w="596" w:type="dxa"/>
            <w:vAlign w:val="center"/>
          </w:tcPr>
          <w:p w14:paraId="279AA36A">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Y</w:t>
            </w:r>
          </w:p>
        </w:tc>
        <w:tc>
          <w:tcPr>
            <w:tcW w:w="597" w:type="dxa"/>
            <w:vAlign w:val="center"/>
          </w:tcPr>
          <w:p w14:paraId="7FF1DFDF">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Z</w:t>
            </w:r>
          </w:p>
        </w:tc>
        <w:tc>
          <w:tcPr>
            <w:tcW w:w="2006" w:type="dxa"/>
            <w:vMerge w:val="continue"/>
            <w:vAlign w:val="center"/>
          </w:tcPr>
          <w:p w14:paraId="5809382E">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p>
        </w:tc>
        <w:tc>
          <w:tcPr>
            <w:tcW w:w="1225" w:type="dxa"/>
            <w:vMerge w:val="continue"/>
            <w:vAlign w:val="center"/>
          </w:tcPr>
          <w:p w14:paraId="41847E88">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p>
        </w:tc>
        <w:tc>
          <w:tcPr>
            <w:tcW w:w="963" w:type="dxa"/>
            <w:vMerge w:val="continue"/>
            <w:vAlign w:val="center"/>
          </w:tcPr>
          <w:p w14:paraId="685AEA49">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p>
        </w:tc>
      </w:tr>
      <w:tr w14:paraId="6FF93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Align w:val="center"/>
          </w:tcPr>
          <w:p w14:paraId="3D93F5F4">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p>
        </w:tc>
        <w:tc>
          <w:tcPr>
            <w:tcW w:w="1288" w:type="dxa"/>
            <w:vAlign w:val="center"/>
          </w:tcPr>
          <w:p w14:paraId="1F576EE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采油树</w:t>
            </w:r>
          </w:p>
        </w:tc>
        <w:tc>
          <w:tcPr>
            <w:tcW w:w="542" w:type="dxa"/>
            <w:vAlign w:val="center"/>
          </w:tcPr>
          <w:p w14:paraId="22407373">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w:t>
            </w:r>
          </w:p>
        </w:tc>
        <w:tc>
          <w:tcPr>
            <w:tcW w:w="596" w:type="dxa"/>
            <w:vAlign w:val="center"/>
          </w:tcPr>
          <w:p w14:paraId="0788DDBE">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20</w:t>
            </w:r>
          </w:p>
        </w:tc>
        <w:tc>
          <w:tcPr>
            <w:tcW w:w="596" w:type="dxa"/>
            <w:vAlign w:val="center"/>
          </w:tcPr>
          <w:p w14:paraId="0F64341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30</w:t>
            </w:r>
          </w:p>
        </w:tc>
        <w:tc>
          <w:tcPr>
            <w:tcW w:w="597" w:type="dxa"/>
            <w:vAlign w:val="center"/>
          </w:tcPr>
          <w:p w14:paraId="4B64D842">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p>
        </w:tc>
        <w:tc>
          <w:tcPr>
            <w:tcW w:w="2006" w:type="dxa"/>
            <w:vAlign w:val="center"/>
          </w:tcPr>
          <w:p w14:paraId="0F15B6CF">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85</w:t>
            </w:r>
          </w:p>
        </w:tc>
        <w:tc>
          <w:tcPr>
            <w:tcW w:w="1225" w:type="dxa"/>
            <w:vAlign w:val="center"/>
          </w:tcPr>
          <w:p w14:paraId="7CABEDFB">
            <w:pPr>
              <w:widowControl w:val="0"/>
              <w:spacing w:line="0" w:lineRule="atLeast"/>
              <w:jc w:val="center"/>
              <w:rPr>
                <w:rFonts w:hint="default" w:ascii="Times New Roman" w:hAnsi="Times New Roman" w:cs="Times New Roman" w:eastAsiaTheme="minorEastAsia"/>
                <w:color w:val="auto"/>
                <w:kern w:val="2"/>
                <w:sz w:val="21"/>
                <w:szCs w:val="21"/>
                <w:highlight w:val="none"/>
                <w:lang w:val="zh-CN"/>
              </w:rPr>
            </w:pPr>
            <w:r>
              <w:rPr>
                <w:rFonts w:hint="default" w:ascii="Times New Roman" w:hAnsi="Times New Roman" w:cs="Times New Roman" w:eastAsiaTheme="minorEastAsia"/>
                <w:color w:val="auto"/>
                <w:kern w:val="2"/>
                <w:sz w:val="21"/>
                <w:szCs w:val="21"/>
                <w:highlight w:val="none"/>
                <w:lang w:val="zh-CN"/>
              </w:rPr>
              <w:t>基础减振</w:t>
            </w:r>
          </w:p>
        </w:tc>
        <w:tc>
          <w:tcPr>
            <w:tcW w:w="963" w:type="dxa"/>
            <w:vAlign w:val="center"/>
          </w:tcPr>
          <w:p w14:paraId="4236E1D4">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昼夜</w:t>
            </w:r>
          </w:p>
        </w:tc>
      </w:tr>
      <w:tr w14:paraId="226BF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Align w:val="center"/>
          </w:tcPr>
          <w:p w14:paraId="4C16F94A">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2</w:t>
            </w:r>
          </w:p>
        </w:tc>
        <w:tc>
          <w:tcPr>
            <w:tcW w:w="1288" w:type="dxa"/>
            <w:vAlign w:val="center"/>
          </w:tcPr>
          <w:p w14:paraId="4EE5F4D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真空加热炉</w:t>
            </w:r>
          </w:p>
        </w:tc>
        <w:tc>
          <w:tcPr>
            <w:tcW w:w="542" w:type="dxa"/>
            <w:vAlign w:val="center"/>
          </w:tcPr>
          <w:p w14:paraId="11C2C97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w:t>
            </w:r>
          </w:p>
        </w:tc>
        <w:tc>
          <w:tcPr>
            <w:tcW w:w="596" w:type="dxa"/>
            <w:vAlign w:val="center"/>
          </w:tcPr>
          <w:p w14:paraId="16981821">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20</w:t>
            </w:r>
          </w:p>
        </w:tc>
        <w:tc>
          <w:tcPr>
            <w:tcW w:w="596" w:type="dxa"/>
            <w:vAlign w:val="center"/>
          </w:tcPr>
          <w:p w14:paraId="627447A1">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25</w:t>
            </w:r>
          </w:p>
        </w:tc>
        <w:tc>
          <w:tcPr>
            <w:tcW w:w="597" w:type="dxa"/>
            <w:vAlign w:val="center"/>
          </w:tcPr>
          <w:p w14:paraId="5E012FC4">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p>
        </w:tc>
        <w:tc>
          <w:tcPr>
            <w:tcW w:w="2006" w:type="dxa"/>
            <w:vAlign w:val="center"/>
          </w:tcPr>
          <w:p w14:paraId="55C56ACD">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95</w:t>
            </w:r>
          </w:p>
        </w:tc>
        <w:tc>
          <w:tcPr>
            <w:tcW w:w="1225" w:type="dxa"/>
            <w:vAlign w:val="center"/>
          </w:tcPr>
          <w:p w14:paraId="1077A538">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基础减振</w:t>
            </w:r>
          </w:p>
        </w:tc>
        <w:tc>
          <w:tcPr>
            <w:tcW w:w="963" w:type="dxa"/>
            <w:vAlign w:val="center"/>
          </w:tcPr>
          <w:p w14:paraId="2BB95891">
            <w:pPr>
              <w:widowControl w:val="0"/>
              <w:adjustRightInd w:val="0"/>
              <w:snapToGrid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昼夜</w:t>
            </w:r>
          </w:p>
        </w:tc>
      </w:tr>
    </w:tbl>
    <w:p w14:paraId="2953D106">
      <w:pPr>
        <w:pStyle w:val="7"/>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5.3.2.3预测结果及评价</w:t>
      </w:r>
    </w:p>
    <w:p w14:paraId="22DE68E4">
      <w:pPr>
        <w:pStyle w:val="46"/>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按照噪声预测模式，结合噪声源到各预测点距离，通过计算，</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各噪声源对井场四周场界的贡献声级值见表5.3-3。</w:t>
      </w:r>
    </w:p>
    <w:p w14:paraId="2324AC30">
      <w:pPr>
        <w:pStyle w:val="45"/>
        <w:keepNext w:val="0"/>
        <w:keepLines w:val="0"/>
        <w:pageBreakBefore w:val="0"/>
        <w:widowControl w:val="0"/>
        <w:kinsoku/>
        <w:wordWrap/>
        <w:overflowPunct/>
        <w:topLinePunct w:val="0"/>
        <w:autoSpaceDE/>
        <w:autoSpaceDN/>
        <w:bidi w:val="0"/>
        <w:adjustRightInd w:val="0"/>
        <w:spacing w:line="240" w:lineRule="auto"/>
        <w:textAlignment w:val="baseline"/>
        <w:rPr>
          <w:rFonts w:hint="default" w:ascii="Times New Roman" w:hAnsi="Times New Roman" w:eastAsia="黑体" w:cs="Times New Roman"/>
          <w:color w:val="auto"/>
          <w:sz w:val="21"/>
          <w:szCs w:val="21"/>
          <w:highlight w:val="none"/>
          <w:lang w:eastAsia="zh-CN"/>
        </w:rPr>
      </w:pPr>
      <w:r>
        <w:rPr>
          <w:rFonts w:hint="default" w:ascii="Times New Roman" w:hAnsi="Times New Roman" w:eastAsia="黑体" w:cs="Times New Roman"/>
          <w:color w:val="auto"/>
          <w:sz w:val="21"/>
          <w:szCs w:val="21"/>
          <w:highlight w:val="none"/>
        </w:rPr>
        <w:t>表5.3-3井场噪声预测结果一览表单位：dB</w:t>
      </w:r>
      <w:r>
        <w:rPr>
          <w:rFonts w:hint="default" w:ascii="Times New Roman" w:hAnsi="Times New Roman" w:cs="Times New Roman"/>
          <w:color w:val="auto"/>
          <w:sz w:val="21"/>
          <w:szCs w:val="21"/>
          <w:highlight w:val="none"/>
          <w:lang w:eastAsia="zh-CN"/>
        </w:rPr>
        <w:t>（</w:t>
      </w:r>
      <w:r>
        <w:rPr>
          <w:rFonts w:hint="default" w:ascii="Times New Roman" w:hAnsi="Times New Roman" w:eastAsia="黑体"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p>
    <w:tbl>
      <w:tblPr>
        <w:tblStyle w:val="1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579"/>
        <w:gridCol w:w="1578"/>
        <w:gridCol w:w="1186"/>
        <w:gridCol w:w="795"/>
        <w:gridCol w:w="1186"/>
      </w:tblGrid>
      <w:tr w14:paraId="2504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Align w:val="center"/>
          </w:tcPr>
          <w:p w14:paraId="67C3B282">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场地</w:t>
            </w:r>
          </w:p>
        </w:tc>
        <w:tc>
          <w:tcPr>
            <w:tcW w:w="1579" w:type="dxa"/>
            <w:vAlign w:val="center"/>
          </w:tcPr>
          <w:p w14:paraId="1AA6A4A8">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场界</w:t>
            </w:r>
          </w:p>
        </w:tc>
        <w:tc>
          <w:tcPr>
            <w:tcW w:w="1578" w:type="dxa"/>
            <w:vAlign w:val="center"/>
          </w:tcPr>
          <w:p w14:paraId="6277C659">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贡献值</w:t>
            </w:r>
          </w:p>
        </w:tc>
        <w:tc>
          <w:tcPr>
            <w:tcW w:w="1981" w:type="dxa"/>
            <w:gridSpan w:val="2"/>
            <w:vAlign w:val="center"/>
          </w:tcPr>
          <w:p w14:paraId="00250968">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标准值</w:t>
            </w:r>
          </w:p>
        </w:tc>
        <w:tc>
          <w:tcPr>
            <w:tcW w:w="1186" w:type="dxa"/>
            <w:vAlign w:val="center"/>
          </w:tcPr>
          <w:p w14:paraId="33C5E249">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结论</w:t>
            </w:r>
          </w:p>
        </w:tc>
      </w:tr>
      <w:tr w14:paraId="05CA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restart"/>
            <w:vAlign w:val="center"/>
          </w:tcPr>
          <w:p w14:paraId="6B083EAE">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井场噪声</w:t>
            </w:r>
          </w:p>
        </w:tc>
        <w:tc>
          <w:tcPr>
            <w:tcW w:w="1579" w:type="dxa"/>
            <w:vMerge w:val="restart"/>
            <w:vAlign w:val="center"/>
          </w:tcPr>
          <w:p w14:paraId="7F8F794E">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东场界</w:t>
            </w:r>
          </w:p>
        </w:tc>
        <w:tc>
          <w:tcPr>
            <w:tcW w:w="1578" w:type="dxa"/>
            <w:vMerge w:val="restart"/>
            <w:vAlign w:val="center"/>
          </w:tcPr>
          <w:p w14:paraId="55DB0C93">
            <w:pPr>
              <w:widowControl w:val="0"/>
              <w:jc w:val="center"/>
              <w:rPr>
                <w:rFonts w:hint="default" w:ascii="Times New Roman" w:hAnsi="Times New Roman" w:cs="Times New Roman" w:eastAsiaTheme="minorEastAsia"/>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50</w:t>
            </w:r>
          </w:p>
        </w:tc>
        <w:tc>
          <w:tcPr>
            <w:tcW w:w="1186" w:type="dxa"/>
            <w:vAlign w:val="center"/>
          </w:tcPr>
          <w:p w14:paraId="3D0C00DF">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昼间</w:t>
            </w:r>
          </w:p>
        </w:tc>
        <w:tc>
          <w:tcPr>
            <w:tcW w:w="795" w:type="dxa"/>
            <w:vAlign w:val="center"/>
          </w:tcPr>
          <w:p w14:paraId="127410D7">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60</w:t>
            </w:r>
          </w:p>
        </w:tc>
        <w:tc>
          <w:tcPr>
            <w:tcW w:w="1186" w:type="dxa"/>
            <w:vAlign w:val="center"/>
          </w:tcPr>
          <w:p w14:paraId="42375D02">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r w14:paraId="0EA0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continue"/>
            <w:vAlign w:val="center"/>
          </w:tcPr>
          <w:p w14:paraId="4A6436B5">
            <w:pPr>
              <w:widowControl w:val="0"/>
              <w:jc w:val="center"/>
              <w:rPr>
                <w:rFonts w:hint="default" w:ascii="Times New Roman" w:hAnsi="Times New Roman" w:cs="Times New Roman" w:eastAsiaTheme="minorEastAsia"/>
                <w:color w:val="auto"/>
                <w:kern w:val="2"/>
                <w:sz w:val="21"/>
                <w:szCs w:val="21"/>
                <w:highlight w:val="none"/>
              </w:rPr>
            </w:pPr>
          </w:p>
        </w:tc>
        <w:tc>
          <w:tcPr>
            <w:tcW w:w="1579" w:type="dxa"/>
            <w:vMerge w:val="continue"/>
            <w:vAlign w:val="center"/>
          </w:tcPr>
          <w:p w14:paraId="7BB68E24">
            <w:pPr>
              <w:widowControl w:val="0"/>
              <w:jc w:val="center"/>
              <w:rPr>
                <w:rFonts w:hint="default" w:ascii="Times New Roman" w:hAnsi="Times New Roman" w:cs="Times New Roman" w:eastAsiaTheme="minorEastAsia"/>
                <w:color w:val="auto"/>
                <w:kern w:val="2"/>
                <w:sz w:val="21"/>
                <w:szCs w:val="21"/>
                <w:highlight w:val="none"/>
              </w:rPr>
            </w:pPr>
          </w:p>
        </w:tc>
        <w:tc>
          <w:tcPr>
            <w:tcW w:w="1578" w:type="dxa"/>
            <w:vMerge w:val="continue"/>
            <w:vAlign w:val="center"/>
          </w:tcPr>
          <w:p w14:paraId="226E46F0">
            <w:pPr>
              <w:widowControl w:val="0"/>
              <w:jc w:val="center"/>
              <w:rPr>
                <w:rFonts w:hint="default" w:ascii="Times New Roman" w:hAnsi="Times New Roman" w:cs="Times New Roman" w:eastAsiaTheme="minorEastAsia"/>
                <w:color w:val="auto"/>
                <w:kern w:val="2"/>
                <w:sz w:val="21"/>
                <w:szCs w:val="21"/>
                <w:highlight w:val="none"/>
              </w:rPr>
            </w:pPr>
          </w:p>
        </w:tc>
        <w:tc>
          <w:tcPr>
            <w:tcW w:w="1186" w:type="dxa"/>
            <w:vAlign w:val="center"/>
          </w:tcPr>
          <w:p w14:paraId="5B9F3B5C">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夜间</w:t>
            </w:r>
          </w:p>
        </w:tc>
        <w:tc>
          <w:tcPr>
            <w:tcW w:w="795" w:type="dxa"/>
            <w:vAlign w:val="center"/>
          </w:tcPr>
          <w:p w14:paraId="7900A91D">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50</w:t>
            </w:r>
          </w:p>
        </w:tc>
        <w:tc>
          <w:tcPr>
            <w:tcW w:w="1186" w:type="dxa"/>
            <w:vAlign w:val="center"/>
          </w:tcPr>
          <w:p w14:paraId="1BFE15F6">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r w14:paraId="6488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continue"/>
            <w:vAlign w:val="center"/>
          </w:tcPr>
          <w:p w14:paraId="7E60C50E">
            <w:pPr>
              <w:widowControl w:val="0"/>
              <w:jc w:val="center"/>
              <w:rPr>
                <w:rFonts w:hint="default" w:ascii="Times New Roman" w:hAnsi="Times New Roman" w:cs="Times New Roman" w:eastAsiaTheme="minorEastAsia"/>
                <w:color w:val="auto"/>
                <w:kern w:val="2"/>
                <w:sz w:val="21"/>
                <w:szCs w:val="21"/>
                <w:highlight w:val="none"/>
              </w:rPr>
            </w:pPr>
          </w:p>
        </w:tc>
        <w:tc>
          <w:tcPr>
            <w:tcW w:w="1579" w:type="dxa"/>
            <w:vMerge w:val="restart"/>
            <w:vAlign w:val="center"/>
          </w:tcPr>
          <w:p w14:paraId="4C7165D2">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南场界</w:t>
            </w:r>
          </w:p>
        </w:tc>
        <w:tc>
          <w:tcPr>
            <w:tcW w:w="1578" w:type="dxa"/>
            <w:vMerge w:val="restart"/>
            <w:vAlign w:val="center"/>
          </w:tcPr>
          <w:p w14:paraId="3DEE4C7F">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44</w:t>
            </w:r>
          </w:p>
        </w:tc>
        <w:tc>
          <w:tcPr>
            <w:tcW w:w="1186" w:type="dxa"/>
            <w:vAlign w:val="center"/>
          </w:tcPr>
          <w:p w14:paraId="068716A7">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昼间</w:t>
            </w:r>
          </w:p>
        </w:tc>
        <w:tc>
          <w:tcPr>
            <w:tcW w:w="795" w:type="dxa"/>
            <w:vAlign w:val="center"/>
          </w:tcPr>
          <w:p w14:paraId="6E19FCDD">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60</w:t>
            </w:r>
          </w:p>
        </w:tc>
        <w:tc>
          <w:tcPr>
            <w:tcW w:w="1186" w:type="dxa"/>
            <w:vAlign w:val="center"/>
          </w:tcPr>
          <w:p w14:paraId="0CC696A2">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r w14:paraId="09D6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continue"/>
            <w:vAlign w:val="center"/>
          </w:tcPr>
          <w:p w14:paraId="07C4A9C7">
            <w:pPr>
              <w:widowControl w:val="0"/>
              <w:jc w:val="center"/>
              <w:rPr>
                <w:rFonts w:hint="default" w:ascii="Times New Roman" w:hAnsi="Times New Roman" w:cs="Times New Roman" w:eastAsiaTheme="minorEastAsia"/>
                <w:color w:val="auto"/>
                <w:kern w:val="2"/>
                <w:sz w:val="21"/>
                <w:szCs w:val="21"/>
                <w:highlight w:val="none"/>
              </w:rPr>
            </w:pPr>
          </w:p>
        </w:tc>
        <w:tc>
          <w:tcPr>
            <w:tcW w:w="1579" w:type="dxa"/>
            <w:vMerge w:val="continue"/>
            <w:vAlign w:val="center"/>
          </w:tcPr>
          <w:p w14:paraId="2C103843">
            <w:pPr>
              <w:widowControl w:val="0"/>
              <w:jc w:val="center"/>
              <w:rPr>
                <w:rFonts w:hint="default" w:ascii="Times New Roman" w:hAnsi="Times New Roman" w:cs="Times New Roman" w:eastAsiaTheme="minorEastAsia"/>
                <w:color w:val="auto"/>
                <w:kern w:val="2"/>
                <w:sz w:val="21"/>
                <w:szCs w:val="21"/>
                <w:highlight w:val="none"/>
              </w:rPr>
            </w:pPr>
          </w:p>
        </w:tc>
        <w:tc>
          <w:tcPr>
            <w:tcW w:w="1578" w:type="dxa"/>
            <w:vMerge w:val="continue"/>
            <w:vAlign w:val="center"/>
          </w:tcPr>
          <w:p w14:paraId="534B310F">
            <w:pPr>
              <w:widowControl w:val="0"/>
              <w:jc w:val="center"/>
              <w:rPr>
                <w:rFonts w:hint="default" w:ascii="Times New Roman" w:hAnsi="Times New Roman" w:cs="Times New Roman" w:eastAsiaTheme="minorEastAsia"/>
                <w:color w:val="auto"/>
                <w:kern w:val="2"/>
                <w:sz w:val="21"/>
                <w:szCs w:val="21"/>
                <w:highlight w:val="none"/>
              </w:rPr>
            </w:pPr>
          </w:p>
        </w:tc>
        <w:tc>
          <w:tcPr>
            <w:tcW w:w="1186" w:type="dxa"/>
            <w:vAlign w:val="center"/>
          </w:tcPr>
          <w:p w14:paraId="64FD04D4">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夜间</w:t>
            </w:r>
          </w:p>
        </w:tc>
        <w:tc>
          <w:tcPr>
            <w:tcW w:w="795" w:type="dxa"/>
            <w:vAlign w:val="center"/>
          </w:tcPr>
          <w:p w14:paraId="74A18287">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50</w:t>
            </w:r>
          </w:p>
        </w:tc>
        <w:tc>
          <w:tcPr>
            <w:tcW w:w="1186" w:type="dxa"/>
            <w:vAlign w:val="center"/>
          </w:tcPr>
          <w:p w14:paraId="4A8E82D7">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r w14:paraId="4974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continue"/>
            <w:vAlign w:val="center"/>
          </w:tcPr>
          <w:p w14:paraId="34FEC52F">
            <w:pPr>
              <w:widowControl w:val="0"/>
              <w:jc w:val="center"/>
              <w:rPr>
                <w:rFonts w:hint="default" w:ascii="Times New Roman" w:hAnsi="Times New Roman" w:cs="Times New Roman" w:eastAsiaTheme="minorEastAsia"/>
                <w:color w:val="auto"/>
                <w:kern w:val="2"/>
                <w:sz w:val="21"/>
                <w:szCs w:val="21"/>
                <w:highlight w:val="none"/>
              </w:rPr>
            </w:pPr>
          </w:p>
        </w:tc>
        <w:tc>
          <w:tcPr>
            <w:tcW w:w="1579" w:type="dxa"/>
            <w:vMerge w:val="restart"/>
            <w:vAlign w:val="center"/>
          </w:tcPr>
          <w:p w14:paraId="272118E6">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西场界</w:t>
            </w:r>
          </w:p>
        </w:tc>
        <w:tc>
          <w:tcPr>
            <w:tcW w:w="1578" w:type="dxa"/>
            <w:vMerge w:val="restart"/>
            <w:vAlign w:val="center"/>
          </w:tcPr>
          <w:p w14:paraId="408D0CEF">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43</w:t>
            </w:r>
          </w:p>
        </w:tc>
        <w:tc>
          <w:tcPr>
            <w:tcW w:w="1186" w:type="dxa"/>
            <w:vAlign w:val="center"/>
          </w:tcPr>
          <w:p w14:paraId="556EC266">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昼间</w:t>
            </w:r>
          </w:p>
        </w:tc>
        <w:tc>
          <w:tcPr>
            <w:tcW w:w="795" w:type="dxa"/>
            <w:vAlign w:val="center"/>
          </w:tcPr>
          <w:p w14:paraId="7D8C95AD">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60</w:t>
            </w:r>
          </w:p>
        </w:tc>
        <w:tc>
          <w:tcPr>
            <w:tcW w:w="1186" w:type="dxa"/>
            <w:vAlign w:val="center"/>
          </w:tcPr>
          <w:p w14:paraId="556FFF6E">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r w14:paraId="0479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continue"/>
            <w:vAlign w:val="center"/>
          </w:tcPr>
          <w:p w14:paraId="7F0245E1">
            <w:pPr>
              <w:widowControl w:val="0"/>
              <w:jc w:val="center"/>
              <w:rPr>
                <w:rFonts w:hint="default" w:ascii="Times New Roman" w:hAnsi="Times New Roman" w:cs="Times New Roman" w:eastAsiaTheme="minorEastAsia"/>
                <w:color w:val="auto"/>
                <w:kern w:val="2"/>
                <w:sz w:val="21"/>
                <w:szCs w:val="21"/>
                <w:highlight w:val="none"/>
              </w:rPr>
            </w:pPr>
          </w:p>
        </w:tc>
        <w:tc>
          <w:tcPr>
            <w:tcW w:w="1579" w:type="dxa"/>
            <w:vMerge w:val="continue"/>
            <w:vAlign w:val="center"/>
          </w:tcPr>
          <w:p w14:paraId="3E88792D">
            <w:pPr>
              <w:widowControl w:val="0"/>
              <w:jc w:val="center"/>
              <w:rPr>
                <w:rFonts w:hint="default" w:ascii="Times New Roman" w:hAnsi="Times New Roman" w:cs="Times New Roman" w:eastAsiaTheme="minorEastAsia"/>
                <w:color w:val="auto"/>
                <w:kern w:val="2"/>
                <w:sz w:val="21"/>
                <w:szCs w:val="21"/>
                <w:highlight w:val="none"/>
              </w:rPr>
            </w:pPr>
          </w:p>
        </w:tc>
        <w:tc>
          <w:tcPr>
            <w:tcW w:w="1578" w:type="dxa"/>
            <w:vMerge w:val="continue"/>
            <w:vAlign w:val="center"/>
          </w:tcPr>
          <w:p w14:paraId="371361CA">
            <w:pPr>
              <w:widowControl w:val="0"/>
              <w:jc w:val="center"/>
              <w:rPr>
                <w:rFonts w:hint="default" w:ascii="Times New Roman" w:hAnsi="Times New Roman" w:cs="Times New Roman" w:eastAsiaTheme="minorEastAsia"/>
                <w:color w:val="auto"/>
                <w:kern w:val="2"/>
                <w:sz w:val="21"/>
                <w:szCs w:val="21"/>
                <w:highlight w:val="none"/>
              </w:rPr>
            </w:pPr>
          </w:p>
        </w:tc>
        <w:tc>
          <w:tcPr>
            <w:tcW w:w="1186" w:type="dxa"/>
            <w:vAlign w:val="center"/>
          </w:tcPr>
          <w:p w14:paraId="621AB214">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夜间</w:t>
            </w:r>
          </w:p>
        </w:tc>
        <w:tc>
          <w:tcPr>
            <w:tcW w:w="795" w:type="dxa"/>
            <w:vAlign w:val="center"/>
          </w:tcPr>
          <w:p w14:paraId="53EB8C64">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50</w:t>
            </w:r>
          </w:p>
        </w:tc>
        <w:tc>
          <w:tcPr>
            <w:tcW w:w="1186" w:type="dxa"/>
            <w:vAlign w:val="center"/>
          </w:tcPr>
          <w:p w14:paraId="3332388A">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r w14:paraId="53BE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continue"/>
            <w:vAlign w:val="center"/>
          </w:tcPr>
          <w:p w14:paraId="4C91D3E5">
            <w:pPr>
              <w:widowControl w:val="0"/>
              <w:jc w:val="center"/>
              <w:rPr>
                <w:rFonts w:hint="default" w:ascii="Times New Roman" w:hAnsi="Times New Roman" w:cs="Times New Roman" w:eastAsiaTheme="minorEastAsia"/>
                <w:color w:val="auto"/>
                <w:kern w:val="2"/>
                <w:sz w:val="21"/>
                <w:szCs w:val="21"/>
                <w:highlight w:val="none"/>
              </w:rPr>
            </w:pPr>
          </w:p>
        </w:tc>
        <w:tc>
          <w:tcPr>
            <w:tcW w:w="1579" w:type="dxa"/>
            <w:vMerge w:val="restart"/>
            <w:vAlign w:val="center"/>
          </w:tcPr>
          <w:p w14:paraId="46F8CDA2">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北场界</w:t>
            </w:r>
          </w:p>
        </w:tc>
        <w:tc>
          <w:tcPr>
            <w:tcW w:w="1578" w:type="dxa"/>
            <w:vMerge w:val="restart"/>
            <w:vAlign w:val="center"/>
          </w:tcPr>
          <w:p w14:paraId="68040D19">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50</w:t>
            </w:r>
          </w:p>
        </w:tc>
        <w:tc>
          <w:tcPr>
            <w:tcW w:w="1186" w:type="dxa"/>
            <w:vAlign w:val="center"/>
          </w:tcPr>
          <w:p w14:paraId="631D2312">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昼间</w:t>
            </w:r>
          </w:p>
        </w:tc>
        <w:tc>
          <w:tcPr>
            <w:tcW w:w="795" w:type="dxa"/>
            <w:vAlign w:val="center"/>
          </w:tcPr>
          <w:p w14:paraId="3851A291">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60</w:t>
            </w:r>
          </w:p>
        </w:tc>
        <w:tc>
          <w:tcPr>
            <w:tcW w:w="1186" w:type="dxa"/>
            <w:vAlign w:val="center"/>
          </w:tcPr>
          <w:p w14:paraId="7DFE642D">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r w14:paraId="33B9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72" w:type="dxa"/>
            <w:vMerge w:val="continue"/>
            <w:vAlign w:val="center"/>
          </w:tcPr>
          <w:p w14:paraId="4DB7AB5B">
            <w:pPr>
              <w:widowControl w:val="0"/>
              <w:jc w:val="center"/>
              <w:rPr>
                <w:rFonts w:hint="default" w:ascii="Times New Roman" w:hAnsi="Times New Roman" w:cs="Times New Roman" w:eastAsiaTheme="minorEastAsia"/>
                <w:color w:val="auto"/>
                <w:kern w:val="2"/>
                <w:sz w:val="21"/>
                <w:szCs w:val="21"/>
                <w:highlight w:val="none"/>
              </w:rPr>
            </w:pPr>
          </w:p>
        </w:tc>
        <w:tc>
          <w:tcPr>
            <w:tcW w:w="1579" w:type="dxa"/>
            <w:vMerge w:val="continue"/>
            <w:vAlign w:val="center"/>
          </w:tcPr>
          <w:p w14:paraId="4F4D317C">
            <w:pPr>
              <w:widowControl w:val="0"/>
              <w:jc w:val="center"/>
              <w:rPr>
                <w:rFonts w:hint="default" w:ascii="Times New Roman" w:hAnsi="Times New Roman" w:cs="Times New Roman" w:eastAsiaTheme="minorEastAsia"/>
                <w:color w:val="auto"/>
                <w:kern w:val="2"/>
                <w:sz w:val="21"/>
                <w:szCs w:val="21"/>
                <w:highlight w:val="none"/>
              </w:rPr>
            </w:pPr>
          </w:p>
        </w:tc>
        <w:tc>
          <w:tcPr>
            <w:tcW w:w="1578" w:type="dxa"/>
            <w:vMerge w:val="continue"/>
            <w:vAlign w:val="center"/>
          </w:tcPr>
          <w:p w14:paraId="5A716834">
            <w:pPr>
              <w:widowControl w:val="0"/>
              <w:jc w:val="center"/>
              <w:rPr>
                <w:rFonts w:hint="default" w:ascii="Times New Roman" w:hAnsi="Times New Roman" w:cs="Times New Roman" w:eastAsiaTheme="minorEastAsia"/>
                <w:color w:val="auto"/>
                <w:kern w:val="2"/>
                <w:sz w:val="21"/>
                <w:szCs w:val="21"/>
                <w:highlight w:val="none"/>
              </w:rPr>
            </w:pPr>
          </w:p>
        </w:tc>
        <w:tc>
          <w:tcPr>
            <w:tcW w:w="1186" w:type="dxa"/>
            <w:vAlign w:val="center"/>
          </w:tcPr>
          <w:p w14:paraId="777D37A3">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夜间</w:t>
            </w:r>
          </w:p>
        </w:tc>
        <w:tc>
          <w:tcPr>
            <w:tcW w:w="795" w:type="dxa"/>
            <w:vAlign w:val="center"/>
          </w:tcPr>
          <w:p w14:paraId="658452C4">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50</w:t>
            </w:r>
          </w:p>
        </w:tc>
        <w:tc>
          <w:tcPr>
            <w:tcW w:w="1186" w:type="dxa"/>
            <w:vAlign w:val="center"/>
          </w:tcPr>
          <w:p w14:paraId="27192FB5">
            <w:pPr>
              <w:widowControl w:val="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w:t>
            </w:r>
          </w:p>
        </w:tc>
      </w:tr>
    </w:tbl>
    <w:p w14:paraId="03A393F1">
      <w:pPr>
        <w:pStyle w:val="46"/>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由表5.3-</w:t>
      </w: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可知，井场噪声源对场界的噪声预测值为43～50dB</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，满足《工业企业厂界环境噪声排放标准》</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GB12348-2008</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中2类区昼间、夜间标准要求。</w:t>
      </w:r>
    </w:p>
    <w:p w14:paraId="3F4622A7">
      <w:pPr>
        <w:pStyle w:val="46"/>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实施后不会对周边声环境产生明显影响。</w:t>
      </w:r>
    </w:p>
    <w:bookmarkEnd w:id="500"/>
    <w:p w14:paraId="16449A75">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501" w:name="_Toc30088"/>
      <w:bookmarkStart w:id="502" w:name="_Toc6147"/>
      <w:bookmarkStart w:id="503" w:name="_Toc4540"/>
      <w:r>
        <w:rPr>
          <w:rFonts w:hint="default" w:ascii="Times New Roman" w:hAnsi="Times New Roman" w:cs="Times New Roman"/>
          <w:color w:val="auto"/>
          <w:highlight w:val="none"/>
        </w:rPr>
        <w:t>5.3.3退役期声环境影响分析</w:t>
      </w:r>
      <w:bookmarkEnd w:id="501"/>
      <w:bookmarkEnd w:id="502"/>
      <w:bookmarkEnd w:id="503"/>
    </w:p>
    <w:p w14:paraId="12154EE5">
      <w:pPr>
        <w:pStyle w:val="46"/>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油气井进入退役期时，噪声源主要源自井场设备拆卸，由于区内声环境影响评价范围内没有居民点，因此，不会产生噪声扰民问题。</w:t>
      </w:r>
    </w:p>
    <w:p w14:paraId="02FA48B6">
      <w:pPr>
        <w:pStyle w:val="6"/>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504" w:name="_Toc8204"/>
      <w:bookmarkStart w:id="505" w:name="_Toc12962"/>
      <w:bookmarkStart w:id="506" w:name="_Toc7189"/>
      <w:r>
        <w:rPr>
          <w:rFonts w:hint="default" w:ascii="Times New Roman" w:hAnsi="Times New Roman" w:cs="Times New Roman"/>
          <w:color w:val="auto"/>
          <w:highlight w:val="none"/>
        </w:rPr>
        <w:t>5.3.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声环境影响评价自查表</w:t>
      </w:r>
      <w:bookmarkEnd w:id="504"/>
      <w:bookmarkEnd w:id="505"/>
      <w:bookmarkEnd w:id="506"/>
    </w:p>
    <w:p w14:paraId="76A0660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2"/>
          <w:highlight w:val="none"/>
          <w:lang w:eastAsia="zh-CN"/>
        </w:rPr>
        <w:t>本项目</w:t>
      </w:r>
      <w:r>
        <w:rPr>
          <w:rFonts w:hint="default" w:ascii="Times New Roman" w:hAnsi="Times New Roman" w:cs="Times New Roman"/>
          <w:color w:val="auto"/>
          <w:sz w:val="24"/>
          <w:szCs w:val="22"/>
          <w:highlight w:val="none"/>
        </w:rPr>
        <w:t>声环境影响评价自查表见表5.3-</w:t>
      </w:r>
      <w:r>
        <w:rPr>
          <w:rFonts w:hint="default" w:ascii="Times New Roman" w:hAnsi="Times New Roman" w:cs="Times New Roman"/>
          <w:color w:val="auto"/>
          <w:sz w:val="24"/>
          <w:szCs w:val="22"/>
          <w:highlight w:val="none"/>
          <w:lang w:val="en-US" w:eastAsia="zh-CN"/>
        </w:rPr>
        <w:t>4</w:t>
      </w:r>
      <w:r>
        <w:rPr>
          <w:rFonts w:hint="default" w:ascii="Times New Roman" w:hAnsi="Times New Roman" w:cs="Times New Roman"/>
          <w:color w:val="auto"/>
          <w:sz w:val="24"/>
          <w:szCs w:val="22"/>
          <w:highlight w:val="none"/>
        </w:rPr>
        <w:t>。</w:t>
      </w:r>
    </w:p>
    <w:p w14:paraId="2986B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1"/>
          <w:szCs w:val="21"/>
          <w:highlight w:val="none"/>
        </w:rPr>
      </w:pPr>
      <w:bookmarkStart w:id="507" w:name="_Toc20755"/>
      <w:bookmarkStart w:id="508" w:name="_Toc31055"/>
      <w:bookmarkStart w:id="509" w:name="_Toc31637"/>
      <w:r>
        <w:rPr>
          <w:rFonts w:hint="default" w:ascii="Times New Roman" w:hAnsi="Times New Roman" w:eastAsia="黑体" w:cs="Times New Roman"/>
          <w:b w:val="0"/>
          <w:bCs w:val="0"/>
          <w:color w:val="auto"/>
          <w:sz w:val="21"/>
          <w:szCs w:val="21"/>
          <w:highlight w:val="none"/>
        </w:rPr>
        <w:t>表5.3-</w:t>
      </w:r>
      <w:r>
        <w:rPr>
          <w:rFonts w:hint="default" w:ascii="Times New Roman" w:hAnsi="Times New Roman" w:eastAsia="黑体" w:cs="Times New Roman"/>
          <w:b w:val="0"/>
          <w:bCs w:val="0"/>
          <w:color w:val="auto"/>
          <w:sz w:val="21"/>
          <w:szCs w:val="21"/>
          <w:highlight w:val="none"/>
          <w:lang w:val="en-US" w:eastAsia="zh-CN"/>
        </w:rPr>
        <w:t>4</w:t>
      </w:r>
      <w:r>
        <w:rPr>
          <w:rFonts w:hint="default" w:ascii="Times New Roman" w:hAnsi="Times New Roman" w:eastAsia="黑体" w:cs="Times New Roman"/>
          <w:b w:val="0"/>
          <w:bCs w:val="0"/>
          <w:color w:val="auto"/>
          <w:sz w:val="21"/>
          <w:szCs w:val="21"/>
          <w:highlight w:val="none"/>
        </w:rPr>
        <w:t>声环境影响评价自查表</w:t>
      </w:r>
    </w:p>
    <w:tbl>
      <w:tblPr>
        <w:tblStyle w:val="35"/>
        <w:tblW w:w="49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
        <w:gridCol w:w="915"/>
        <w:gridCol w:w="1109"/>
        <w:gridCol w:w="1216"/>
        <w:gridCol w:w="510"/>
        <w:gridCol w:w="298"/>
        <w:gridCol w:w="202"/>
        <w:gridCol w:w="1016"/>
        <w:gridCol w:w="20"/>
        <w:gridCol w:w="1018"/>
        <w:gridCol w:w="520"/>
        <w:gridCol w:w="461"/>
        <w:gridCol w:w="34"/>
        <w:gridCol w:w="1082"/>
      </w:tblGrid>
      <w:tr w14:paraId="507A0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1203" w:type="pct"/>
            <w:gridSpan w:val="2"/>
            <w:vAlign w:val="center"/>
          </w:tcPr>
          <w:p w14:paraId="352C2D8A">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工作内容</w:t>
            </w:r>
          </w:p>
        </w:tc>
        <w:tc>
          <w:tcPr>
            <w:tcW w:w="3789" w:type="pct"/>
            <w:gridSpan w:val="11"/>
            <w:vAlign w:val="center"/>
          </w:tcPr>
          <w:p w14:paraId="6EBB5B25">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自查项目</w:t>
            </w:r>
          </w:p>
        </w:tc>
      </w:tr>
      <w:tr w14:paraId="650E0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Merge w:val="restart"/>
            <w:vAlign w:val="center"/>
          </w:tcPr>
          <w:p w14:paraId="14269FA3">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评价等级与范围</w:t>
            </w:r>
          </w:p>
        </w:tc>
        <w:tc>
          <w:tcPr>
            <w:tcW w:w="658" w:type="pct"/>
            <w:vAlign w:val="center"/>
          </w:tcPr>
          <w:p w14:paraId="3995B0C3">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评价等级</w:t>
            </w:r>
          </w:p>
        </w:tc>
        <w:tc>
          <w:tcPr>
            <w:tcW w:w="3789" w:type="pct"/>
            <w:gridSpan w:val="11"/>
            <w:vAlign w:val="center"/>
          </w:tcPr>
          <w:p w14:paraId="7C4DA476">
            <w:pPr>
              <w:widowControl w:val="0"/>
              <w:tabs>
                <w:tab w:val="left" w:pos="2103"/>
                <w:tab w:val="left" w:pos="3635"/>
              </w:tabs>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一级□二级☑三级□</w:t>
            </w:r>
          </w:p>
        </w:tc>
      </w:tr>
      <w:tr w14:paraId="704BA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Merge w:val="continue"/>
            <w:vAlign w:val="center"/>
          </w:tcPr>
          <w:p w14:paraId="64719B22">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5919E1BC">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评价范围</w:t>
            </w:r>
          </w:p>
        </w:tc>
        <w:tc>
          <w:tcPr>
            <w:tcW w:w="3789" w:type="pct"/>
            <w:gridSpan w:val="11"/>
            <w:vAlign w:val="center"/>
          </w:tcPr>
          <w:p w14:paraId="719F8542">
            <w:pPr>
              <w:widowControl w:val="0"/>
              <w:tabs>
                <w:tab w:val="left" w:pos="2384"/>
                <w:tab w:val="left" w:pos="5315"/>
              </w:tabs>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200m☑大于200m□小于200m□</w:t>
            </w:r>
          </w:p>
        </w:tc>
      </w:tr>
      <w:tr w14:paraId="1A902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Align w:val="center"/>
          </w:tcPr>
          <w:p w14:paraId="2A31B4CF">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评价因子</w:t>
            </w:r>
          </w:p>
        </w:tc>
        <w:tc>
          <w:tcPr>
            <w:tcW w:w="658" w:type="pct"/>
            <w:vAlign w:val="center"/>
          </w:tcPr>
          <w:p w14:paraId="3045A59D">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评价因子</w:t>
            </w:r>
          </w:p>
        </w:tc>
        <w:tc>
          <w:tcPr>
            <w:tcW w:w="3789" w:type="pct"/>
            <w:gridSpan w:val="11"/>
            <w:vAlign w:val="center"/>
          </w:tcPr>
          <w:p w14:paraId="7145AF7D">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等效连续A声级☑最大A声级□计权等效连续感觉噪声级□</w:t>
            </w:r>
          </w:p>
        </w:tc>
      </w:tr>
      <w:tr w14:paraId="127FB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Align w:val="center"/>
          </w:tcPr>
          <w:p w14:paraId="1B1962CD">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评价标准</w:t>
            </w:r>
          </w:p>
        </w:tc>
        <w:tc>
          <w:tcPr>
            <w:tcW w:w="658" w:type="pct"/>
            <w:vAlign w:val="center"/>
          </w:tcPr>
          <w:p w14:paraId="1952B71C">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评价标准</w:t>
            </w:r>
          </w:p>
        </w:tc>
        <w:tc>
          <w:tcPr>
            <w:tcW w:w="3789" w:type="pct"/>
            <w:gridSpan w:val="11"/>
            <w:vAlign w:val="center"/>
          </w:tcPr>
          <w:p w14:paraId="67A5181E">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国家标准☑地方标准□国外标准□</w:t>
            </w:r>
          </w:p>
        </w:tc>
      </w:tr>
      <w:tr w14:paraId="41F80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Merge w:val="restart"/>
            <w:vAlign w:val="center"/>
          </w:tcPr>
          <w:p w14:paraId="1DE85946">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现状评价</w:t>
            </w:r>
          </w:p>
        </w:tc>
        <w:tc>
          <w:tcPr>
            <w:tcW w:w="658" w:type="pct"/>
            <w:vAlign w:val="center"/>
          </w:tcPr>
          <w:p w14:paraId="687D6E4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环境功能区</w:t>
            </w:r>
          </w:p>
        </w:tc>
        <w:tc>
          <w:tcPr>
            <w:tcW w:w="723" w:type="pct"/>
            <w:vAlign w:val="center"/>
          </w:tcPr>
          <w:p w14:paraId="4F385454">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0类区□</w:t>
            </w:r>
          </w:p>
        </w:tc>
        <w:tc>
          <w:tcPr>
            <w:tcW w:w="600" w:type="pct"/>
            <w:gridSpan w:val="3"/>
            <w:vAlign w:val="center"/>
          </w:tcPr>
          <w:p w14:paraId="4225B3D6">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1类区□</w:t>
            </w:r>
          </w:p>
        </w:tc>
        <w:tc>
          <w:tcPr>
            <w:tcW w:w="603" w:type="pct"/>
            <w:vAlign w:val="center"/>
          </w:tcPr>
          <w:p w14:paraId="6E6D5164">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2类区☑</w:t>
            </w:r>
          </w:p>
        </w:tc>
        <w:tc>
          <w:tcPr>
            <w:tcW w:w="617" w:type="pct"/>
            <w:gridSpan w:val="2"/>
            <w:vAlign w:val="center"/>
          </w:tcPr>
          <w:p w14:paraId="6740FC47">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3类区□</w:t>
            </w:r>
          </w:p>
        </w:tc>
        <w:tc>
          <w:tcPr>
            <w:tcW w:w="583" w:type="pct"/>
            <w:gridSpan w:val="2"/>
            <w:vAlign w:val="center"/>
          </w:tcPr>
          <w:p w14:paraId="446D6F97">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4a类区□</w:t>
            </w:r>
          </w:p>
        </w:tc>
        <w:tc>
          <w:tcPr>
            <w:tcW w:w="660" w:type="pct"/>
            <w:gridSpan w:val="2"/>
            <w:vAlign w:val="center"/>
          </w:tcPr>
          <w:p w14:paraId="2F937973">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4b类区□</w:t>
            </w:r>
          </w:p>
        </w:tc>
      </w:tr>
      <w:tr w14:paraId="6FE634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Merge w:val="continue"/>
            <w:vAlign w:val="center"/>
          </w:tcPr>
          <w:p w14:paraId="3AE94F99">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358D41C5">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评价年度</w:t>
            </w:r>
          </w:p>
        </w:tc>
        <w:tc>
          <w:tcPr>
            <w:tcW w:w="1026" w:type="pct"/>
            <w:gridSpan w:val="2"/>
            <w:vAlign w:val="center"/>
          </w:tcPr>
          <w:p w14:paraId="480774B0">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初期□</w:t>
            </w:r>
          </w:p>
        </w:tc>
        <w:tc>
          <w:tcPr>
            <w:tcW w:w="901" w:type="pct"/>
            <w:gridSpan w:val="3"/>
            <w:vAlign w:val="center"/>
          </w:tcPr>
          <w:p w14:paraId="22609A9B">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近期☑</w:t>
            </w:r>
          </w:p>
        </w:tc>
        <w:tc>
          <w:tcPr>
            <w:tcW w:w="926" w:type="pct"/>
            <w:gridSpan w:val="3"/>
            <w:vAlign w:val="center"/>
          </w:tcPr>
          <w:p w14:paraId="312ED65E">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中期□</w:t>
            </w:r>
          </w:p>
        </w:tc>
        <w:tc>
          <w:tcPr>
            <w:tcW w:w="935" w:type="pct"/>
            <w:gridSpan w:val="3"/>
            <w:vAlign w:val="center"/>
          </w:tcPr>
          <w:p w14:paraId="14D4AF0C">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远期□</w:t>
            </w:r>
          </w:p>
        </w:tc>
      </w:tr>
      <w:tr w14:paraId="3C9A2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Merge w:val="continue"/>
            <w:vAlign w:val="center"/>
          </w:tcPr>
          <w:p w14:paraId="27986A41">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5AF2C493">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现状调查方法</w:t>
            </w:r>
          </w:p>
        </w:tc>
        <w:tc>
          <w:tcPr>
            <w:tcW w:w="3789" w:type="pct"/>
            <w:gridSpan w:val="11"/>
            <w:vAlign w:val="center"/>
          </w:tcPr>
          <w:p w14:paraId="36F6F90E">
            <w:pPr>
              <w:widowControl w:val="0"/>
              <w:spacing w:line="0" w:lineRule="atLeast"/>
              <w:jc w:val="center"/>
              <w:rPr>
                <w:rFonts w:hint="eastAsia"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rPr>
              <w:t>现场实测法☑现场实测加模型计算法□收集资料</w:t>
            </w:r>
            <w:r>
              <w:rPr>
                <w:rFonts w:hint="eastAsia" w:cs="Times New Roman" w:eastAsiaTheme="minorEastAsia"/>
                <w:color w:val="auto"/>
                <w:kern w:val="2"/>
                <w:sz w:val="21"/>
                <w:szCs w:val="21"/>
                <w:highlight w:val="none"/>
                <w:lang w:eastAsia="zh-CN"/>
              </w:rPr>
              <w:t>□</w:t>
            </w:r>
          </w:p>
        </w:tc>
      </w:tr>
      <w:tr w14:paraId="05056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4" w:type="pct"/>
            <w:vMerge w:val="continue"/>
            <w:vAlign w:val="center"/>
          </w:tcPr>
          <w:p w14:paraId="2FBFB9DB">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69E728C7">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现状评价</w:t>
            </w:r>
          </w:p>
        </w:tc>
        <w:tc>
          <w:tcPr>
            <w:tcW w:w="1203" w:type="pct"/>
            <w:gridSpan w:val="3"/>
            <w:vAlign w:val="center"/>
          </w:tcPr>
          <w:p w14:paraId="52E2B8ED">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达标百分比</w:t>
            </w:r>
          </w:p>
        </w:tc>
        <w:tc>
          <w:tcPr>
            <w:tcW w:w="2586" w:type="pct"/>
            <w:gridSpan w:val="8"/>
            <w:vAlign w:val="center"/>
          </w:tcPr>
          <w:p w14:paraId="47BA0E56">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100</w:t>
            </w:r>
          </w:p>
        </w:tc>
      </w:tr>
      <w:tr w14:paraId="53364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Align w:val="center"/>
          </w:tcPr>
          <w:p w14:paraId="4BE09EFB">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噪声源调查</w:t>
            </w:r>
          </w:p>
        </w:tc>
        <w:tc>
          <w:tcPr>
            <w:tcW w:w="658" w:type="pct"/>
            <w:vAlign w:val="center"/>
          </w:tcPr>
          <w:p w14:paraId="4126FC82">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噪声源调查方法</w:t>
            </w:r>
          </w:p>
        </w:tc>
        <w:tc>
          <w:tcPr>
            <w:tcW w:w="3789" w:type="pct"/>
            <w:gridSpan w:val="11"/>
            <w:vAlign w:val="center"/>
          </w:tcPr>
          <w:p w14:paraId="527ACC05">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现场实测</w:t>
            </w:r>
            <w:r>
              <w:rPr>
                <w:rFonts w:hint="eastAsia"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已有资料☑研究成果□</w:t>
            </w:r>
          </w:p>
        </w:tc>
      </w:tr>
      <w:tr w14:paraId="5DDF4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Merge w:val="restart"/>
            <w:vAlign w:val="center"/>
          </w:tcPr>
          <w:p w14:paraId="3AE2AFC0">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声环境影响预测与评价</w:t>
            </w:r>
          </w:p>
        </w:tc>
        <w:tc>
          <w:tcPr>
            <w:tcW w:w="658" w:type="pct"/>
            <w:vAlign w:val="center"/>
          </w:tcPr>
          <w:p w14:paraId="24A189A8">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预测模型</w:t>
            </w:r>
          </w:p>
        </w:tc>
        <w:tc>
          <w:tcPr>
            <w:tcW w:w="3789" w:type="pct"/>
            <w:gridSpan w:val="11"/>
            <w:vAlign w:val="center"/>
          </w:tcPr>
          <w:p w14:paraId="038DD2B2">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导则推荐模型☑其他□</w:t>
            </w:r>
          </w:p>
        </w:tc>
      </w:tr>
      <w:tr w14:paraId="2AFAF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Merge w:val="continue"/>
            <w:vAlign w:val="center"/>
          </w:tcPr>
          <w:p w14:paraId="3DCBF615">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1E95BB90">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预测范围</w:t>
            </w:r>
          </w:p>
        </w:tc>
        <w:tc>
          <w:tcPr>
            <w:tcW w:w="3789" w:type="pct"/>
            <w:gridSpan w:val="11"/>
            <w:vAlign w:val="center"/>
          </w:tcPr>
          <w:p w14:paraId="09071810">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200m☑大于200m□小于200m□</w:t>
            </w:r>
          </w:p>
        </w:tc>
      </w:tr>
      <w:tr w14:paraId="117D1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Merge w:val="continue"/>
            <w:vAlign w:val="center"/>
          </w:tcPr>
          <w:p w14:paraId="46E0286E">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181FBCFF">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预测因子</w:t>
            </w:r>
          </w:p>
        </w:tc>
        <w:tc>
          <w:tcPr>
            <w:tcW w:w="3789" w:type="pct"/>
            <w:gridSpan w:val="11"/>
            <w:vAlign w:val="center"/>
          </w:tcPr>
          <w:p w14:paraId="34EED32F">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等效连续A声级☑最大A声级□计权等效连续感觉噪声级□</w:t>
            </w:r>
          </w:p>
        </w:tc>
      </w:tr>
      <w:tr w14:paraId="3FAED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Merge w:val="continue"/>
            <w:vAlign w:val="center"/>
          </w:tcPr>
          <w:p w14:paraId="7D0F6AE1">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1932786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厂界噪声贡献值</w:t>
            </w:r>
          </w:p>
        </w:tc>
        <w:tc>
          <w:tcPr>
            <w:tcW w:w="3789" w:type="pct"/>
            <w:gridSpan w:val="11"/>
            <w:vAlign w:val="center"/>
          </w:tcPr>
          <w:p w14:paraId="69443761">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达标☑不达标□</w:t>
            </w:r>
          </w:p>
        </w:tc>
      </w:tr>
      <w:tr w14:paraId="42E87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Merge w:val="continue"/>
            <w:vAlign w:val="center"/>
          </w:tcPr>
          <w:p w14:paraId="32D33736">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2180C002">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声环境保护目标处噪声值</w:t>
            </w:r>
          </w:p>
        </w:tc>
        <w:tc>
          <w:tcPr>
            <w:tcW w:w="3789" w:type="pct"/>
            <w:gridSpan w:val="11"/>
            <w:vAlign w:val="center"/>
          </w:tcPr>
          <w:p w14:paraId="5C44AE3F">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达标□不达标□</w:t>
            </w:r>
          </w:p>
        </w:tc>
      </w:tr>
      <w:tr w14:paraId="6FB73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Merge w:val="restart"/>
            <w:vAlign w:val="center"/>
          </w:tcPr>
          <w:p w14:paraId="0BFACD19">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环境监测计划</w:t>
            </w:r>
          </w:p>
        </w:tc>
        <w:tc>
          <w:tcPr>
            <w:tcW w:w="658" w:type="pct"/>
            <w:vAlign w:val="center"/>
          </w:tcPr>
          <w:p w14:paraId="4D734DD8">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排放监测</w:t>
            </w:r>
          </w:p>
        </w:tc>
        <w:tc>
          <w:tcPr>
            <w:tcW w:w="3789" w:type="pct"/>
            <w:gridSpan w:val="11"/>
            <w:vAlign w:val="center"/>
          </w:tcPr>
          <w:p w14:paraId="03EC7131">
            <w:pPr>
              <w:widowControl w:val="0"/>
              <w:tabs>
                <w:tab w:val="left" w:pos="1621"/>
              </w:tabs>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厂界监测☑固定位置监测□自动监测□手动监测□无监测□</w:t>
            </w:r>
          </w:p>
        </w:tc>
      </w:tr>
      <w:tr w14:paraId="056A2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Merge w:val="continue"/>
            <w:vAlign w:val="center"/>
          </w:tcPr>
          <w:p w14:paraId="1D966522">
            <w:pPr>
              <w:widowControl w:val="0"/>
              <w:spacing w:line="0" w:lineRule="atLeast"/>
              <w:jc w:val="center"/>
              <w:rPr>
                <w:rFonts w:hint="default" w:ascii="Times New Roman" w:hAnsi="Times New Roman" w:cs="Times New Roman" w:eastAsiaTheme="minorEastAsia"/>
                <w:color w:val="auto"/>
                <w:kern w:val="2"/>
                <w:sz w:val="21"/>
                <w:szCs w:val="21"/>
                <w:highlight w:val="none"/>
              </w:rPr>
            </w:pPr>
          </w:p>
        </w:tc>
        <w:tc>
          <w:tcPr>
            <w:tcW w:w="658" w:type="pct"/>
            <w:vAlign w:val="center"/>
          </w:tcPr>
          <w:p w14:paraId="71624B0E">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声环境保护目标处噪声监测</w:t>
            </w:r>
          </w:p>
        </w:tc>
        <w:tc>
          <w:tcPr>
            <w:tcW w:w="1939" w:type="pct"/>
            <w:gridSpan w:val="6"/>
            <w:vAlign w:val="center"/>
          </w:tcPr>
          <w:p w14:paraId="77F3984A">
            <w:pPr>
              <w:widowControl w:val="0"/>
              <w:tabs>
                <w:tab w:val="left" w:pos="2252"/>
              </w:tabs>
              <w:spacing w:line="0" w:lineRule="atLeast"/>
              <w:jc w:val="center"/>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rPr>
              <w:t>监测因子：</w:t>
            </w:r>
            <w:r>
              <w:rPr>
                <w:rFonts w:hint="default" w:ascii="Times New Roman" w:hAnsi="Times New Roman" w:cs="Times New Roman" w:eastAsiaTheme="minorEastAsia"/>
                <w:color w:val="auto"/>
                <w:kern w:val="2"/>
                <w:sz w:val="21"/>
                <w:szCs w:val="21"/>
                <w:highlight w:val="none"/>
                <w:lang w:eastAsia="zh-CN"/>
              </w:rPr>
              <w:t>（）</w:t>
            </w:r>
          </w:p>
        </w:tc>
        <w:tc>
          <w:tcPr>
            <w:tcW w:w="1208" w:type="pct"/>
            <w:gridSpan w:val="4"/>
            <w:vAlign w:val="center"/>
          </w:tcPr>
          <w:p w14:paraId="5443DA49">
            <w:pPr>
              <w:widowControl w:val="0"/>
              <w:tabs>
                <w:tab w:val="left" w:pos="1735"/>
              </w:tabs>
              <w:spacing w:line="0" w:lineRule="atLeast"/>
              <w:jc w:val="center"/>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rPr>
              <w:t>监测点位数</w:t>
            </w:r>
            <w:r>
              <w:rPr>
                <w:rFonts w:hint="default" w:ascii="Times New Roman" w:hAnsi="Times New Roman" w:cs="Times New Roman" w:eastAsiaTheme="minorEastAsia"/>
                <w:color w:val="auto"/>
                <w:kern w:val="2"/>
                <w:sz w:val="21"/>
                <w:szCs w:val="21"/>
                <w:highlight w:val="none"/>
                <w:lang w:eastAsia="zh-CN"/>
              </w:rPr>
              <w:t>（）</w:t>
            </w:r>
          </w:p>
        </w:tc>
        <w:tc>
          <w:tcPr>
            <w:tcW w:w="641" w:type="pct"/>
            <w:vAlign w:val="center"/>
          </w:tcPr>
          <w:p w14:paraId="3941D34A">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无监测☑</w:t>
            </w:r>
          </w:p>
        </w:tc>
      </w:tr>
      <w:tr w14:paraId="3AF29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gridSpan w:val="2"/>
            <w:vAlign w:val="center"/>
          </w:tcPr>
          <w:p w14:paraId="734746AF">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评价结论</w:t>
            </w:r>
          </w:p>
        </w:tc>
        <w:tc>
          <w:tcPr>
            <w:tcW w:w="658" w:type="pct"/>
            <w:vAlign w:val="center"/>
          </w:tcPr>
          <w:p w14:paraId="7303F3F4">
            <w:pPr>
              <w:widowControl w:val="0"/>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环境影响</w:t>
            </w:r>
          </w:p>
        </w:tc>
        <w:tc>
          <w:tcPr>
            <w:tcW w:w="3789" w:type="pct"/>
            <w:gridSpan w:val="11"/>
            <w:vAlign w:val="center"/>
          </w:tcPr>
          <w:p w14:paraId="411294E3">
            <w:pPr>
              <w:widowControl w:val="0"/>
              <w:tabs>
                <w:tab w:val="left" w:pos="1202"/>
              </w:tabs>
              <w:spacing w:line="0" w:lineRule="atLeast"/>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可行☑不可行□</w:t>
            </w:r>
          </w:p>
        </w:tc>
      </w:tr>
      <w:tr w14:paraId="0DBEE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14"/>
            <w:vAlign w:val="center"/>
          </w:tcPr>
          <w:p w14:paraId="4F890B8A">
            <w:pPr>
              <w:widowControl w:val="0"/>
              <w:tabs>
                <w:tab w:val="left" w:pos="3079"/>
              </w:tabs>
              <w:spacing w:line="0" w:lineRule="atLeast"/>
              <w:jc w:val="both"/>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注：“□”为勾选项，可√；“</w:t>
            </w:r>
            <w:r>
              <w:rPr>
                <w:rFonts w:hint="default" w:ascii="Times New Roman" w:hAnsi="Times New Roman" w:cs="Times New Roman" w:eastAsiaTheme="minorEastAsia"/>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”为内容填写项。</w:t>
            </w:r>
          </w:p>
        </w:tc>
      </w:tr>
    </w:tbl>
    <w:p w14:paraId="74411DC2">
      <w:pPr>
        <w:pStyle w:val="6"/>
        <w:pageBreakBefore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声环境影响评价小结</w:t>
      </w:r>
      <w:bookmarkEnd w:id="507"/>
      <w:bookmarkEnd w:id="508"/>
      <w:bookmarkEnd w:id="509"/>
    </w:p>
    <w:p w14:paraId="1EC612EE">
      <w:pPr>
        <w:pStyle w:val="12"/>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综上所述，本项目开发建设区域声环境质量现状较好。</w:t>
      </w:r>
      <w:r>
        <w:rPr>
          <w:rFonts w:hint="default" w:ascii="Times New Roman" w:hAnsi="Times New Roman" w:cs="Times New Roman" w:eastAsiaTheme="minorEastAsia"/>
          <w:color w:val="auto"/>
          <w:szCs w:val="24"/>
          <w:highlight w:val="none"/>
        </w:rPr>
        <w:t>施工期噪声源均为暂时性的，待施工结束后噪声影响也随之消失，并且项目评价范围内无声环境敏感目标，不会产生噪声扰民问题。运营期，采油井场噪声贡献值可满足《工业企业厂界环境噪声排放标准》（GB12348-2008）2类区标准要求</w:t>
      </w:r>
      <w:r>
        <w:rPr>
          <w:rFonts w:hint="default" w:ascii="Times New Roman" w:hAnsi="Times New Roman" w:cs="Times New Roman"/>
          <w:color w:val="auto"/>
          <w:highlight w:val="none"/>
        </w:rPr>
        <w:t>。</w:t>
      </w:r>
    </w:p>
    <w:p w14:paraId="27E4BA2F">
      <w:pPr>
        <w:pStyle w:val="123"/>
        <w:bidi w:val="0"/>
        <w:rPr>
          <w:rFonts w:hint="default" w:ascii="Times New Roman" w:hAnsi="Times New Roman" w:cs="Times New Roman"/>
          <w:color w:val="auto"/>
          <w:highlight w:val="none"/>
        </w:rPr>
      </w:pPr>
      <w:bookmarkStart w:id="510" w:name="_Toc9274"/>
      <w:bookmarkStart w:id="511" w:name="_Toc235"/>
      <w:bookmarkStart w:id="512" w:name="_Toc7097"/>
      <w:bookmarkStart w:id="513" w:name="_Toc1585"/>
      <w:bookmarkStart w:id="514" w:name="_Toc31683"/>
      <w:bookmarkStart w:id="515" w:name="_Toc42981118"/>
      <w:bookmarkStart w:id="516" w:name="_Toc508291897"/>
      <w:bookmarkStart w:id="517" w:name="_Toc75438903"/>
      <w:r>
        <w:rPr>
          <w:rFonts w:hint="default" w:ascii="Times New Roman" w:hAnsi="Times New Roman" w:cs="Times New Roman"/>
          <w:color w:val="auto"/>
          <w:highlight w:val="none"/>
        </w:rPr>
        <w:t>5.4水环境影响分析</w:t>
      </w:r>
      <w:bookmarkEnd w:id="510"/>
      <w:bookmarkEnd w:id="511"/>
    </w:p>
    <w:p w14:paraId="1E3E9A48">
      <w:pPr>
        <w:pStyle w:val="12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5.4.1地表水环境影响分析</w:t>
      </w:r>
    </w:p>
    <w:p w14:paraId="2365C7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根据前文，判定</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地表水环境评价等级为三级B，重点论证项目废水综合利用不外排的可行性和可靠性。</w:t>
      </w:r>
    </w:p>
    <w:p w14:paraId="58D2AF32">
      <w:pPr>
        <w:pStyle w:val="7"/>
        <w:bidi w:val="0"/>
        <w:rPr>
          <w:rFonts w:hint="default" w:ascii="Times New Roman" w:hAnsi="Times New Roman" w:eastAsia="宋体" w:cs="Times New Roman"/>
          <w:color w:val="auto"/>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"5.4.1.1"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5.4.1.1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施工期地表水影响分析</w:t>
      </w:r>
    </w:p>
    <w:p w14:paraId="3576D6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施工期产生的废水主要为钻井废水、酸化压裂返排液、生活污水和管线试压废水。</w:t>
      </w:r>
    </w:p>
    <w:p w14:paraId="0DA6E7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（1）钻井废水</w:t>
      </w:r>
    </w:p>
    <w:p w14:paraId="702A34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钻井废水是钻井液等物质被水高倍稀释的产物，其组成、性质及危害与钻井液类型、处理剂的组成有关，主要污染物有悬浮物、石油类、COD等。</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钻井废水产生量为</w:t>
      </w:r>
      <w:r>
        <w:rPr>
          <w:rFonts w:hint="eastAsia" w:cs="Times New Roman"/>
          <w:color w:val="auto"/>
          <w:highlight w:val="none"/>
          <w:lang w:val="en-US" w:eastAsia="zh-CN"/>
        </w:rPr>
        <w:t>12.3.7</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。钻井废水与钻井泥浆、岩屑一同进入不落地系统进行分离处理，分离后的液相拉运至其他钻井回用于钻井液配制，不外排。</w:t>
      </w:r>
    </w:p>
    <w:p w14:paraId="2CE639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（2）酸化压裂返排液</w:t>
      </w:r>
    </w:p>
    <w:p w14:paraId="29803A6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钻井固定完毕后，需进行压裂完井，在储层改造过程中排出的压裂返排液中，项目酸化压裂返排液产生量为</w:t>
      </w:r>
      <w:r>
        <w:rPr>
          <w:rFonts w:hint="eastAsia" w:cs="Times New Roman"/>
          <w:color w:val="auto"/>
          <w:highlight w:val="none"/>
          <w:lang w:val="en-US" w:eastAsia="zh-CN"/>
        </w:rPr>
        <w:t>1428</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，储层改造过程中产生的压裂返排含有黄原胶、石油类及其他各种添加剂。</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部署侧钻</w:t>
      </w:r>
      <w:r>
        <w:rPr>
          <w:rFonts w:hint="eastAsia" w:cs="Times New Roman"/>
          <w:color w:val="auto"/>
          <w:highlight w:val="none"/>
          <w:lang w:val="en-US" w:eastAsia="zh-CN"/>
        </w:rPr>
        <w:t>4口，压裂返排</w:t>
      </w:r>
      <w:r>
        <w:rPr>
          <w:rFonts w:hint="default" w:ascii="Times New Roman" w:hAnsi="Times New Roman" w:eastAsia="宋体" w:cs="Times New Roman"/>
          <w:color w:val="auto"/>
          <w:highlight w:val="none"/>
          <w:lang w:val="en-US" w:eastAsia="zh-CN"/>
        </w:rPr>
        <w:t>液排入回收罐中，运至塔河油田绿色环保站处理，处理达标后回注。</w:t>
      </w:r>
    </w:p>
    <w:p w14:paraId="74FA94E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（3）生活污水</w:t>
      </w:r>
    </w:p>
    <w:p w14:paraId="475860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施工期内生活污水总产生量总计为</w:t>
      </w:r>
      <w:r>
        <w:rPr>
          <w:rFonts w:hint="eastAsia" w:cs="Times New Roman"/>
          <w:color w:val="auto"/>
          <w:highlight w:val="none"/>
          <w:lang w:val="en-US" w:eastAsia="zh-CN"/>
        </w:rPr>
        <w:t>384</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，生活污水主要污染物为COD、NH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-N、SS等。施工期生活污水经井场撬装式污水处理站处理后，</w:t>
      </w:r>
      <w:r>
        <w:rPr>
          <w:rFonts w:hint="default" w:ascii="Times New Roman" w:hAnsi="Times New Roman" w:cs="Times New Roman"/>
          <w:color w:val="auto"/>
          <w:sz w:val="24"/>
          <w:szCs w:val="24"/>
          <w:highlight w:val="none"/>
        </w:rPr>
        <w:t>满足《农村生活污水处理排放标准》(DB654275-2019)表2的B级标准</w:t>
      </w:r>
      <w:r>
        <w:rPr>
          <w:rFonts w:hint="eastAsia" w:cs="Times New Roman"/>
          <w:color w:val="auto"/>
          <w:sz w:val="24"/>
          <w:szCs w:val="24"/>
          <w:highlight w:val="none"/>
          <w:lang w:eastAsia="zh-CN"/>
        </w:rPr>
        <w:t>，</w:t>
      </w:r>
      <w:r>
        <w:rPr>
          <w:rFonts w:hint="default" w:ascii="Times New Roman" w:hAnsi="Times New Roman" w:eastAsia="宋体" w:cs="Times New Roman"/>
          <w:color w:val="auto"/>
          <w:highlight w:val="none"/>
          <w:lang w:val="en-US" w:eastAsia="zh-CN"/>
        </w:rPr>
        <w:t>用于</w:t>
      </w:r>
      <w:r>
        <w:rPr>
          <w:rFonts w:hint="eastAsia" w:cs="Times New Roman"/>
          <w:color w:val="auto"/>
          <w:highlight w:val="none"/>
          <w:lang w:val="en-US" w:eastAsia="zh-CN"/>
        </w:rPr>
        <w:t>荒漠灌溉，</w:t>
      </w:r>
      <w:r>
        <w:rPr>
          <w:rFonts w:hint="default" w:ascii="Times New Roman" w:hAnsi="Times New Roman" w:eastAsia="宋体" w:cs="Times New Roman"/>
          <w:color w:val="auto"/>
          <w:highlight w:val="none"/>
          <w:lang w:val="en-US" w:eastAsia="zh-CN"/>
        </w:rPr>
        <w:t>生活区、井场及通井路降尘，不外排地表水环境。</w:t>
      </w:r>
    </w:p>
    <w:p w14:paraId="18F9C9F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（4）试压废水</w:t>
      </w:r>
    </w:p>
    <w:p w14:paraId="7BBE197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试压废水约为</w:t>
      </w:r>
      <w:r>
        <w:rPr>
          <w:rFonts w:hint="eastAsia" w:cs="Times New Roman"/>
          <w:color w:val="auto"/>
          <w:highlight w:val="none"/>
          <w:lang w:val="en-US" w:eastAsia="zh-CN"/>
        </w:rPr>
        <w:t>4.5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管道工程分段试压以测试管道的强度和严密性，</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管道采用无腐蚀性洁净水作为试压介质，管道试压废水中主要污染物为SS。管道试压分段进行，试压水排出后进入下一段管线循环使用。试压废水可用作场地降尘用水。</w:t>
      </w:r>
    </w:p>
    <w:p w14:paraId="55900CAD">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"5.4.1.2"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5.4.1.2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运营期地表水影响分析</w:t>
      </w:r>
    </w:p>
    <w:p w14:paraId="095A03E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运营期井场无人值守，通过远程监控、人员定期巡检进行管理。运营期工作人员由内部调剂解决，故不新增生活污水。产生的废水主要有油田采出水和井下作业废水。</w:t>
      </w:r>
    </w:p>
    <w:bookmarkEnd w:id="512"/>
    <w:bookmarkEnd w:id="513"/>
    <w:bookmarkEnd w:id="514"/>
    <w:p w14:paraId="72874C1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（1）采出水</w:t>
      </w:r>
    </w:p>
    <w:p w14:paraId="4262F7D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lang w:val="en-US" w:eastAsia="zh-CN"/>
        </w:rPr>
        <w:t>运营</w:t>
      </w:r>
      <w:r>
        <w:rPr>
          <w:rFonts w:hint="default" w:ascii="Times New Roman" w:hAnsi="Times New Roman" w:cs="Times New Roman"/>
          <w:color w:val="auto"/>
          <w:szCs w:val="24"/>
          <w:highlight w:val="none"/>
        </w:rPr>
        <w:t>期采出水最大为</w:t>
      </w:r>
      <w:r>
        <w:rPr>
          <w:rFonts w:hint="eastAsia" w:cs="Times New Roman"/>
          <w:color w:val="auto"/>
          <w:spacing w:val="4"/>
          <w:kern w:val="24"/>
          <w:szCs w:val="22"/>
          <w:highlight w:val="none"/>
          <w:lang w:val="en-US" w:eastAsia="zh-CN"/>
        </w:rPr>
        <w:t>112</w:t>
      </w:r>
      <w:r>
        <w:rPr>
          <w:rFonts w:hint="default" w:ascii="Times New Roman" w:hAnsi="Times New Roman" w:cs="Times New Roman"/>
          <w:color w:val="auto"/>
          <w:spacing w:val="4"/>
          <w:kern w:val="24"/>
          <w:szCs w:val="22"/>
          <w:highlight w:val="none"/>
        </w:rPr>
        <w:t>m³/d（</w:t>
      </w:r>
      <w:r>
        <w:rPr>
          <w:rFonts w:hint="eastAsia" w:cs="Times New Roman"/>
          <w:color w:val="auto"/>
          <w:spacing w:val="4"/>
          <w:kern w:val="24"/>
          <w:szCs w:val="22"/>
          <w:highlight w:val="none"/>
          <w:lang w:val="en-US" w:eastAsia="zh-CN"/>
        </w:rPr>
        <w:t>3.7</w:t>
      </w:r>
      <w:r>
        <w:rPr>
          <w:rFonts w:hint="default" w:ascii="Times New Roman" w:hAnsi="Times New Roman" w:cs="Times New Roman"/>
          <w:color w:val="auto"/>
          <w:spacing w:val="4"/>
          <w:kern w:val="24"/>
          <w:szCs w:val="22"/>
          <w:highlight w:val="none"/>
        </w:rPr>
        <w:t>×10</w:t>
      </w:r>
      <w:r>
        <w:rPr>
          <w:rFonts w:hint="default" w:ascii="Times New Roman" w:hAnsi="Times New Roman" w:cs="Times New Roman"/>
          <w:color w:val="auto"/>
          <w:spacing w:val="4"/>
          <w:kern w:val="24"/>
          <w:szCs w:val="22"/>
          <w:highlight w:val="none"/>
          <w:vertAlign w:val="superscript"/>
        </w:rPr>
        <w:t>4</w:t>
      </w:r>
      <w:r>
        <w:rPr>
          <w:rFonts w:hint="default" w:ascii="Times New Roman" w:hAnsi="Times New Roman" w:cs="Times New Roman"/>
          <w:color w:val="auto"/>
          <w:spacing w:val="4"/>
          <w:kern w:val="24"/>
          <w:szCs w:val="22"/>
          <w:highlight w:val="none"/>
        </w:rPr>
        <w:t>m</w:t>
      </w:r>
      <w:r>
        <w:rPr>
          <w:rFonts w:hint="default" w:ascii="Times New Roman" w:hAnsi="Times New Roman" w:cs="Times New Roman"/>
          <w:color w:val="auto"/>
          <w:spacing w:val="4"/>
          <w:kern w:val="24"/>
          <w:szCs w:val="22"/>
          <w:highlight w:val="none"/>
          <w:vertAlign w:val="superscript"/>
        </w:rPr>
        <w:t>3</w:t>
      </w:r>
      <w:r>
        <w:rPr>
          <w:rFonts w:hint="default" w:ascii="Times New Roman" w:hAnsi="Times New Roman" w:cs="Times New Roman"/>
          <w:color w:val="auto"/>
          <w:spacing w:val="4"/>
          <w:kern w:val="24"/>
          <w:szCs w:val="22"/>
          <w:highlight w:val="none"/>
        </w:rPr>
        <w:t>/a）</w:t>
      </w:r>
      <w:r>
        <w:rPr>
          <w:rFonts w:hint="eastAsia" w:cs="Times New Roman"/>
          <w:color w:val="auto"/>
          <w:spacing w:val="4"/>
          <w:kern w:val="24"/>
          <w:szCs w:val="22"/>
          <w:highlight w:val="none"/>
          <w:lang w:eastAsia="zh-CN"/>
        </w:rPr>
        <w:t>，</w:t>
      </w:r>
      <w:r>
        <w:rPr>
          <w:rFonts w:hint="eastAsia" w:cs="Times New Roman"/>
          <w:color w:val="auto"/>
          <w:spacing w:val="4"/>
          <w:kern w:val="24"/>
          <w:szCs w:val="22"/>
          <w:highlight w:val="none"/>
          <w:lang w:val="en-US" w:eastAsia="zh-CN"/>
        </w:rPr>
        <w:t>采出水依托</w:t>
      </w:r>
      <w:r>
        <w:rPr>
          <w:rFonts w:hint="default" w:ascii="Times New Roman" w:hAnsi="Times New Roman" w:eastAsia="宋体" w:cs="Times New Roman"/>
          <w:color w:val="auto"/>
          <w:highlight w:val="none"/>
          <w:lang w:val="en-US" w:eastAsia="zh-CN"/>
        </w:rPr>
        <w:t>塔河油田三号联合站</w:t>
      </w:r>
      <w:r>
        <w:rPr>
          <w:rFonts w:hint="eastAsia" w:cs="Times New Roman"/>
          <w:color w:val="auto"/>
          <w:highlight w:val="none"/>
          <w:lang w:val="en-US" w:eastAsia="zh-CN"/>
        </w:rPr>
        <w:t>采出水处理系统</w:t>
      </w:r>
      <w:r>
        <w:rPr>
          <w:rFonts w:hint="default" w:ascii="Times New Roman" w:hAnsi="Times New Roman" w:eastAsia="宋体" w:cs="Times New Roman"/>
          <w:color w:val="auto"/>
          <w:highlight w:val="none"/>
          <w:lang w:val="en-US" w:eastAsia="zh-CN"/>
        </w:rPr>
        <w:t>，处理达到《碎屑岩油藏注水水质指标技术要求及分析方法》（SY/T5329-2022）标准中有关指标后回注油层，不外排。</w:t>
      </w:r>
    </w:p>
    <w:p w14:paraId="1597E81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（2）井下作业废水</w:t>
      </w:r>
    </w:p>
    <w:p w14:paraId="331D7C5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szCs w:val="24"/>
          <w:highlight w:val="none"/>
          <w:lang w:val="en-US" w:eastAsia="zh-CN"/>
        </w:rPr>
        <w:t>运营</w:t>
      </w:r>
      <w:r>
        <w:rPr>
          <w:rFonts w:hint="default" w:ascii="Times New Roman" w:hAnsi="Times New Roman" w:cs="Times New Roman"/>
          <w:color w:val="auto"/>
          <w:szCs w:val="24"/>
          <w:highlight w:val="none"/>
        </w:rPr>
        <w:t>期</w:t>
      </w:r>
      <w:r>
        <w:rPr>
          <w:rFonts w:hint="default" w:ascii="Times New Roman" w:hAnsi="Times New Roman" w:cs="Times New Roman"/>
          <w:color w:val="auto"/>
          <w:highlight w:val="none"/>
        </w:rPr>
        <w:t>井下作业废水产生量为</w:t>
      </w:r>
      <w:r>
        <w:rPr>
          <w:rFonts w:hint="eastAsia" w:cs="Times New Roman"/>
          <w:color w:val="auto"/>
          <w:szCs w:val="21"/>
          <w:highlight w:val="none"/>
          <w:lang w:val="en-US" w:eastAsia="zh-CN"/>
        </w:rPr>
        <w:t>152.08</w:t>
      </w:r>
      <w:r>
        <w:rPr>
          <w:rFonts w:hint="default" w:ascii="Times New Roman" w:hAnsi="Times New Roman" w:cs="Times New Roman"/>
          <w:color w:val="auto"/>
          <w:szCs w:val="21"/>
          <w:highlight w:val="none"/>
        </w:rPr>
        <w:t>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井下作业主要包括油井维修、大修、酸化、压裂等，井下作业废水的主要来源为修井过程产生的压井水和压井液、修井时的循环水及洗井时产生的洗井废水。井下作业废水采用专用废水回收罐收集，运至塔河油田绿色环保站处理。</w:t>
      </w:r>
    </w:p>
    <w:p w14:paraId="642D0B9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采取上述水污染控制措施后，</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采出水及井下作业废水不会对周边水环境产生影响。水污染控制和水环境影响减缓措施有效，对水环境的影响较小。</w:t>
      </w:r>
    </w:p>
    <w:p w14:paraId="6F26E9CA">
      <w:pPr>
        <w:pStyle w:val="124"/>
        <w:bidi w:val="0"/>
        <w:rPr>
          <w:rFonts w:hint="default" w:ascii="Times New Roman" w:hAnsi="Times New Roman" w:cs="Times New Roman" w:eastAsiaTheme="minorEastAsia"/>
          <w:b/>
          <w:bCs w:val="0"/>
          <w:color w:val="auto"/>
          <w:highlight w:val="none"/>
        </w:rPr>
      </w:pPr>
      <w:r>
        <w:rPr>
          <w:rFonts w:hint="default" w:ascii="Times New Roman" w:hAnsi="Times New Roman" w:cs="Times New Roman" w:eastAsiaTheme="minorEastAsia"/>
          <w:b/>
          <w:bCs w:val="0"/>
          <w:color w:val="auto"/>
          <w:highlight w:val="none"/>
        </w:rPr>
        <w:t>5.4.2地下水环境影响分析</w:t>
      </w:r>
    </w:p>
    <w:p w14:paraId="74F41566">
      <w:pPr>
        <w:keepNext w:val="0"/>
        <w:keepLines w:val="0"/>
        <w:pageBreakBefore w:val="0"/>
        <w:widowControl/>
        <w:kinsoku/>
        <w:wordWrap/>
        <w:overflowPunct/>
        <w:topLinePunct w:val="0"/>
        <w:autoSpaceDE/>
        <w:autoSpaceDN/>
        <w:bidi w:val="0"/>
        <w:adjustRightInd/>
        <w:snapToGrid/>
        <w:spacing w:line="360" w:lineRule="auto"/>
        <w:ind w:left="28"/>
        <w:textAlignment w:val="auto"/>
        <w:outlineLvl w:val="3"/>
        <w:rPr>
          <w:rFonts w:hint="default" w:ascii="Times New Roman" w:hAnsi="Times New Roman" w:cs="Times New Roman" w:eastAsiaTheme="minorEastAsia"/>
          <w:b w:val="0"/>
          <w:bCs/>
          <w:color w:val="auto"/>
          <w:spacing w:val="-2"/>
          <w:sz w:val="24"/>
          <w:szCs w:val="24"/>
          <w:highlight w:val="none"/>
          <w14:textOutline w14:w="4358" w14:cap="flat" w14:cmpd="sng">
            <w14:solidFill>
              <w14:srgbClr w14:val="000000"/>
            </w14:solidFill>
            <w14:prstDash w14:val="solid"/>
            <w14:miter w14:val="0"/>
          </w14:textOutline>
        </w:rPr>
      </w:pPr>
      <w:r>
        <w:rPr>
          <w:rFonts w:hint="default" w:ascii="Times New Roman" w:hAnsi="Times New Roman" w:cs="Times New Roman" w:eastAsiaTheme="minorEastAsia"/>
          <w:b w:val="0"/>
          <w:bCs/>
          <w:color w:val="auto"/>
          <w:spacing w:val="-2"/>
          <w:sz w:val="24"/>
          <w:szCs w:val="24"/>
          <w:highlight w:val="none"/>
          <w14:textOutline w14:w="4358" w14:cap="flat" w14:cmpd="sng">
            <w14:solidFill>
              <w14:srgbClr w14:val="000000"/>
            </w14:solidFill>
            <w14:prstDash w14:val="solid"/>
            <w14:miter w14:val="0"/>
          </w14:textOutline>
        </w:rPr>
        <w:t>5.</w:t>
      </w:r>
      <w:r>
        <w:rPr>
          <w:rFonts w:hint="default" w:ascii="Times New Roman" w:hAnsi="Times New Roman" w:cs="Times New Roman" w:eastAsiaTheme="minorEastAsia"/>
          <w:b w:val="0"/>
          <w:bCs/>
          <w:color w:val="auto"/>
          <w:spacing w:val="-2"/>
          <w:sz w:val="24"/>
          <w:szCs w:val="24"/>
          <w:highlight w:val="none"/>
          <w:lang w:val="en-US" w:eastAsia="zh-CN"/>
          <w14:textOutline w14:w="4358" w14:cap="flat" w14:cmpd="sng">
            <w14:solidFill>
              <w14:srgbClr w14:val="000000"/>
            </w14:solidFill>
            <w14:prstDash w14:val="solid"/>
            <w14:miter w14:val="0"/>
          </w14:textOutline>
        </w:rPr>
        <w:t>4</w:t>
      </w:r>
      <w:r>
        <w:rPr>
          <w:rFonts w:hint="default" w:ascii="Times New Roman" w:hAnsi="Times New Roman" w:cs="Times New Roman" w:eastAsiaTheme="minorEastAsia"/>
          <w:b w:val="0"/>
          <w:bCs/>
          <w:color w:val="auto"/>
          <w:spacing w:val="-2"/>
          <w:sz w:val="24"/>
          <w:szCs w:val="24"/>
          <w:highlight w:val="none"/>
          <w14:textOutline w14:w="4358" w14:cap="flat" w14:cmpd="sng">
            <w14:solidFill>
              <w14:srgbClr w14:val="000000"/>
            </w14:solidFill>
            <w14:prstDash w14:val="solid"/>
            <w14:miter w14:val="0"/>
          </w14:textOutline>
        </w:rPr>
        <w:t>.</w:t>
      </w:r>
      <w:r>
        <w:rPr>
          <w:rFonts w:hint="default" w:ascii="Times New Roman" w:hAnsi="Times New Roman" w:cs="Times New Roman" w:eastAsiaTheme="minorEastAsia"/>
          <w:b w:val="0"/>
          <w:bCs/>
          <w:color w:val="auto"/>
          <w:spacing w:val="-2"/>
          <w:sz w:val="24"/>
          <w:szCs w:val="24"/>
          <w:highlight w:val="none"/>
          <w:lang w:val="en-US" w:eastAsia="zh-CN"/>
          <w14:textOutline w14:w="4358" w14:cap="flat" w14:cmpd="sng">
            <w14:solidFill>
              <w14:srgbClr w14:val="000000"/>
            </w14:solidFill>
            <w14:prstDash w14:val="solid"/>
            <w14:miter w14:val="0"/>
          </w14:textOutline>
        </w:rPr>
        <w:t>2.</w:t>
      </w:r>
      <w:r>
        <w:rPr>
          <w:rFonts w:hint="default" w:ascii="Times New Roman" w:hAnsi="Times New Roman" w:cs="Times New Roman" w:eastAsiaTheme="minorEastAsia"/>
          <w:b w:val="0"/>
          <w:bCs/>
          <w:color w:val="auto"/>
          <w:spacing w:val="-2"/>
          <w:sz w:val="24"/>
          <w:szCs w:val="24"/>
          <w:highlight w:val="none"/>
          <w14:textOutline w14:w="4358" w14:cap="flat" w14:cmpd="sng">
            <w14:solidFill>
              <w14:srgbClr w14:val="000000"/>
            </w14:solidFill>
            <w14:prstDash w14:val="solid"/>
            <w14:miter w14:val="0"/>
          </w14:textOutline>
        </w:rPr>
        <w:t>1区域水文地质条件</w:t>
      </w:r>
    </w:p>
    <w:p w14:paraId="70128F78">
      <w:pPr>
        <w:keepNext w:val="0"/>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3"/>
          <w:sz w:val="24"/>
          <w:szCs w:val="24"/>
          <w:highlight w:val="none"/>
          <w:lang w:val="en-US" w:eastAsia="zh-CN"/>
        </w:rPr>
        <w:t>1）</w:t>
      </w:r>
      <w:r>
        <w:rPr>
          <w:rFonts w:hint="default" w:ascii="Times New Roman" w:hAnsi="Times New Roman" w:eastAsia="宋体" w:cs="Times New Roman"/>
          <w:b/>
          <w:bCs/>
          <w:color w:val="auto"/>
          <w:spacing w:val="-3"/>
          <w:sz w:val="24"/>
          <w:szCs w:val="24"/>
          <w:highlight w:val="none"/>
        </w:rPr>
        <w:t>区域地下水的形成条件</w:t>
      </w:r>
    </w:p>
    <w:p w14:paraId="0E19977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地形地貌是水资源的重要控制因素之一，它不仅控制区域水文网的形成和分布，地表水，地下水的径流条件和储存环境而且对水资源的质量，土壤盐碱化</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沙漠化等起重要的控制作用。</w:t>
      </w:r>
    </w:p>
    <w:p w14:paraId="42604A5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库车市位于天山南麓库车坳陷中部的屈勒塔格山山前地带，属于库车河地下水系统。库车河流域地势从北向南，从西向东逐渐降低，地貌分带较为明显。河川径流的补给随流域高程、自然条件和降水形式的不同而不同。</w:t>
      </w:r>
    </w:p>
    <w:p w14:paraId="2769CB7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库车市北部的天山山脉，东西走向，海拔1400～4550m，后山呈高山地貌，海拔4000m以上为积雪带，以高山冰川融水、永久积雪融水、季节积雪融水、雨水和地下水补给,是径流的形成区，为本区水系的总发源地，对全区水资源的形成起控制作用；前山区海拔在1400～2500m之间，为风化作用强烈的低山带；低山带前局部有剥蚀残丘，海拔高程在1300m左右；低山带以南为山前洪积扇带和平原带。平原带海拔小于1200m</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平均坡降0.8%，自西北向东南倾斜。平原北半部自西向东是渭干河冲洪积平原、库车河洪积平原和东部的洪积扇群带，南部是塔里木河冲积平原。本项目所在区域位于库车河冲洪积扇扇间地带。</w:t>
      </w:r>
    </w:p>
    <w:p w14:paraId="3A7F1D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另外，新构造运动使山前倾斜平原被破坏变形，中更新世隆起的亚肯背斜横卧于倾斜平原中部，将统一的倾斜平原结构分割为两部分，本项目厂址即位于亚肯背斜形成的台地上。</w:t>
      </w:r>
    </w:p>
    <w:p w14:paraId="4CD2DB5E">
      <w:pPr>
        <w:keepNext w:val="0"/>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ascii="宋体" w:hAnsi="宋体" w:eastAsia="宋体" w:cs="宋体"/>
          <w:color w:val="auto"/>
          <w:sz w:val="24"/>
          <w:szCs w:val="24"/>
          <w:highlight w:val="none"/>
        </w:rPr>
      </w:pPr>
      <w:r>
        <w:rPr>
          <w:rFonts w:hint="eastAsia" w:ascii="Times New Roman" w:hAnsi="Times New Roman" w:eastAsia="宋体" w:cs="Times New Roman"/>
          <w:b/>
          <w:bCs/>
          <w:color w:val="auto"/>
          <w:spacing w:val="-3"/>
          <w:sz w:val="24"/>
          <w:szCs w:val="24"/>
          <w:highlight w:val="none"/>
          <w:lang w:eastAsia="zh-CN"/>
        </w:rPr>
        <w:t>（</w:t>
      </w:r>
      <w:r>
        <w:rPr>
          <w:rFonts w:hint="eastAsia" w:ascii="Times New Roman" w:hAnsi="Times New Roman" w:eastAsia="宋体" w:cs="Times New Roman"/>
          <w:b/>
          <w:bCs/>
          <w:color w:val="auto"/>
          <w:spacing w:val="-3"/>
          <w:sz w:val="24"/>
          <w:szCs w:val="24"/>
          <w:highlight w:val="none"/>
          <w:lang w:val="en-US" w:eastAsia="zh-CN"/>
        </w:rPr>
        <w:t>2）</w:t>
      </w:r>
      <w:r>
        <w:rPr>
          <w:rFonts w:hint="default" w:ascii="Times New Roman" w:hAnsi="Times New Roman" w:eastAsia="宋体" w:cs="Times New Roman"/>
          <w:b/>
          <w:bCs/>
          <w:color w:val="auto"/>
          <w:spacing w:val="-3"/>
          <w:sz w:val="24"/>
          <w:szCs w:val="24"/>
          <w:highlight w:val="none"/>
        </w:rPr>
        <w:t>含水层特征及富水性</w:t>
      </w:r>
    </w:p>
    <w:p w14:paraId="23F98F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新构造运动使山前倾斜平原被破坏变形，中更新世隆起的亚肯背斜横卧于倾斜平原中部，将统一的倾斜平原结构分割为两部分，形成两次重复发育的不典型山前倾斜平原水文地质结构，构成三个水文地质单元（北部山前凹陷储水构造、中部亚肯背斜过水台地、南部库车沉降带储水构造），具体见图5.5-1，致使地下水的补给、径流、排泄也相应二次重复，但由于亚肯背斜过水台地的联结，三者仍还存在着密切的水利联系，而成为一个大的比较完整的水文地质单位。</w:t>
      </w:r>
    </w:p>
    <w:p w14:paraId="38382A03">
      <w:pPr>
        <w:pStyle w:val="12"/>
        <w:spacing w:line="246" w:lineRule="auto"/>
        <w:rPr>
          <w:color w:val="auto"/>
          <w:highlight w:val="none"/>
        </w:rPr>
      </w:pPr>
    </w:p>
    <w:p w14:paraId="11AC6F05">
      <w:pPr>
        <w:pStyle w:val="12"/>
        <w:spacing w:line="246" w:lineRule="auto"/>
        <w:rPr>
          <w:color w:val="auto"/>
          <w:highlight w:val="none"/>
        </w:rPr>
      </w:pPr>
    </w:p>
    <w:p w14:paraId="616488B3">
      <w:pPr>
        <w:pStyle w:val="12"/>
        <w:spacing w:line="247" w:lineRule="auto"/>
        <w:rPr>
          <w:color w:val="auto"/>
          <w:highlight w:val="none"/>
        </w:rPr>
      </w:pPr>
    </w:p>
    <w:p w14:paraId="13F19873">
      <w:pPr>
        <w:pStyle w:val="12"/>
        <w:spacing w:line="247" w:lineRule="auto"/>
        <w:rPr>
          <w:color w:val="auto"/>
          <w:highlight w:val="none"/>
        </w:rPr>
      </w:pPr>
    </w:p>
    <w:p w14:paraId="454CE9C6">
      <w:pPr>
        <w:pStyle w:val="12"/>
        <w:spacing w:line="247" w:lineRule="auto"/>
        <w:rPr>
          <w:color w:val="auto"/>
          <w:highlight w:val="none"/>
        </w:rPr>
      </w:pPr>
    </w:p>
    <w:p w14:paraId="75A02DF3">
      <w:pPr>
        <w:spacing w:before="23"/>
        <w:rPr>
          <w:color w:val="auto"/>
          <w:highlight w:val="none"/>
        </w:rPr>
      </w:pPr>
    </w:p>
    <w:p w14:paraId="3BAFF5D6">
      <w:pPr>
        <w:spacing w:before="23"/>
        <w:rPr>
          <w:color w:val="auto"/>
          <w:highlight w:val="none"/>
        </w:rPr>
      </w:pPr>
    </w:p>
    <w:p w14:paraId="1B116604">
      <w:pPr>
        <w:spacing w:before="23"/>
        <w:rPr>
          <w:color w:val="auto"/>
          <w:highlight w:val="none"/>
        </w:rPr>
      </w:pPr>
    </w:p>
    <w:p w14:paraId="0638A848">
      <w:pPr>
        <w:spacing w:before="23"/>
        <w:rPr>
          <w:color w:val="auto"/>
          <w:highlight w:val="none"/>
        </w:rPr>
      </w:pPr>
    </w:p>
    <w:p w14:paraId="52C5F4C6">
      <w:pPr>
        <w:spacing w:before="23"/>
        <w:rPr>
          <w:color w:val="auto"/>
          <w:highlight w:val="none"/>
        </w:rPr>
      </w:pPr>
    </w:p>
    <w:p w14:paraId="1AC53248">
      <w:pPr>
        <w:spacing w:before="23"/>
        <w:rPr>
          <w:color w:val="auto"/>
          <w:highlight w:val="none"/>
        </w:rPr>
      </w:pPr>
    </w:p>
    <w:p w14:paraId="62B45A5F">
      <w:pPr>
        <w:rPr>
          <w:color w:val="auto"/>
          <w:highlight w:val="none"/>
        </w:rPr>
        <w:sectPr>
          <w:headerReference r:id="rId20" w:type="default"/>
          <w:footerReference r:id="rId21" w:type="default"/>
          <w:pgSz w:w="11906" w:h="16839"/>
          <w:pgMar w:top="1440" w:right="1689" w:bottom="1440" w:left="1689" w:header="850" w:footer="986" w:gutter="0"/>
          <w:pgBorders>
            <w:top w:val="none" w:sz="0" w:space="0"/>
            <w:left w:val="none" w:sz="0" w:space="0"/>
            <w:bottom w:val="none" w:sz="0" w:space="0"/>
            <w:right w:val="none" w:sz="0" w:space="0"/>
          </w:pgBorders>
          <w:pgNumType w:fmt="decimal"/>
          <w:cols w:equalWidth="0" w:num="1">
            <w:col w:w="8375"/>
          </w:cols>
        </w:sectPr>
      </w:pPr>
    </w:p>
    <w:p w14:paraId="3CD8B918">
      <w:pPr>
        <w:spacing w:before="41" w:line="229" w:lineRule="auto"/>
        <w:ind w:left="2949"/>
        <w:rPr>
          <w:rFonts w:ascii="宋体" w:hAnsi="宋体" w:eastAsia="宋体" w:cs="宋体"/>
          <w:color w:val="auto"/>
          <w:spacing w:val="-1"/>
          <w:sz w:val="20"/>
          <w:szCs w:val="20"/>
          <w:highlight w:val="none"/>
          <w14:textOutline w14:w="3795" w14:cap="flat" w14:cmpd="sng">
            <w14:solidFill>
              <w14:srgbClr w14:val="000000"/>
            </w14:solidFill>
            <w14:prstDash w14:val="solid"/>
            <w14:miter w14:val="0"/>
          </w14:textOutline>
        </w:rPr>
      </w:pPr>
    </w:p>
    <w:p w14:paraId="2FB4BE32">
      <w:pPr>
        <w:spacing w:before="41" w:line="229" w:lineRule="auto"/>
        <w:ind w:left="2949"/>
        <w:rPr>
          <w:rFonts w:ascii="宋体" w:hAnsi="宋体" w:eastAsia="宋体" w:cs="宋体"/>
          <w:color w:val="auto"/>
          <w:spacing w:val="-1"/>
          <w:sz w:val="20"/>
          <w:szCs w:val="20"/>
          <w:highlight w:val="none"/>
          <w14:textOutline w14:w="3795" w14:cap="flat" w14:cmpd="sng">
            <w14:solidFill>
              <w14:srgbClr w14:val="000000"/>
            </w14:solidFill>
            <w14:prstDash w14:val="solid"/>
            <w14:miter w14:val="0"/>
          </w14:textOutline>
        </w:rPr>
      </w:pPr>
    </w:p>
    <w:p w14:paraId="5DD37CF3">
      <w:pPr>
        <w:spacing w:before="41" w:line="229" w:lineRule="auto"/>
        <w:ind w:left="2949"/>
        <w:rPr>
          <w:rFonts w:ascii="宋体" w:hAnsi="宋体" w:eastAsia="宋体" w:cs="宋体"/>
          <w:color w:val="auto"/>
          <w:spacing w:val="-1"/>
          <w:sz w:val="20"/>
          <w:szCs w:val="20"/>
          <w:highlight w:val="none"/>
          <w14:textOutline w14:w="3795" w14:cap="flat" w14:cmpd="sng">
            <w14:solidFill>
              <w14:srgbClr w14:val="000000"/>
            </w14:solidFill>
            <w14:prstDash w14:val="solid"/>
            <w14:miter w14:val="0"/>
          </w14:textOutline>
        </w:rPr>
      </w:pPr>
    </w:p>
    <w:p w14:paraId="7C2CE9E6">
      <w:pPr>
        <w:spacing w:before="41" w:line="229" w:lineRule="auto"/>
        <w:ind w:left="2949"/>
        <w:rPr>
          <w:rFonts w:ascii="宋体" w:hAnsi="宋体" w:eastAsia="宋体" w:cs="宋体"/>
          <w:color w:val="auto"/>
          <w:spacing w:val="-1"/>
          <w:sz w:val="20"/>
          <w:szCs w:val="20"/>
          <w:highlight w:val="none"/>
          <w14:textOutline w14:w="3795" w14:cap="flat" w14:cmpd="sng">
            <w14:solidFill>
              <w14:srgbClr w14:val="000000"/>
            </w14:solidFill>
            <w14:prstDash w14:val="solid"/>
            <w14:miter w14:val="0"/>
          </w14:textOutline>
        </w:rPr>
      </w:pPr>
    </w:p>
    <w:p w14:paraId="0E841DDC">
      <w:pPr>
        <w:spacing w:before="41" w:line="229" w:lineRule="auto"/>
        <w:ind w:left="2949"/>
        <w:rPr>
          <w:rFonts w:ascii="Times New Roman" w:hAnsi="Times New Roman" w:eastAsia="Times New Roman" w:cs="Times New Roman"/>
          <w:color w:val="auto"/>
          <w:sz w:val="20"/>
          <w:szCs w:val="20"/>
          <w:highlight w:val="none"/>
        </w:rPr>
      </w:pPr>
      <w:r>
        <w:rPr>
          <w:rFonts w:ascii="宋体" w:hAnsi="宋体" w:eastAsia="宋体" w:cs="宋体"/>
          <w:color w:val="auto"/>
          <w:spacing w:val="-1"/>
          <w:sz w:val="20"/>
          <w:szCs w:val="20"/>
          <w:highlight w:val="none"/>
          <w14:textOutline w14:w="3795" w14:cap="flat" w14:cmpd="sng">
            <w14:solidFill>
              <w14:srgbClr w14:val="000000"/>
            </w14:solidFill>
            <w14:prstDash w14:val="solid"/>
            <w14:miter w14:val="0"/>
          </w14:textOutline>
        </w:rPr>
        <w:t>图</w:t>
      </w:r>
      <w:r>
        <w:rPr>
          <w:rFonts w:ascii="Times New Roman" w:hAnsi="Times New Roman" w:eastAsia="Times New Roman" w:cs="Times New Roman"/>
          <w:b/>
          <w:bCs/>
          <w:color w:val="auto"/>
          <w:spacing w:val="-1"/>
          <w:sz w:val="20"/>
          <w:szCs w:val="20"/>
          <w:highlight w:val="none"/>
        </w:rPr>
        <w:t>5.</w:t>
      </w:r>
      <w:r>
        <w:rPr>
          <w:rFonts w:hint="eastAsia" w:ascii="Times New Roman" w:hAnsi="Times New Roman" w:eastAsia="宋体" w:cs="Times New Roman"/>
          <w:b/>
          <w:bCs/>
          <w:color w:val="auto"/>
          <w:spacing w:val="-1"/>
          <w:sz w:val="20"/>
          <w:szCs w:val="20"/>
          <w:highlight w:val="none"/>
          <w:lang w:val="en-US" w:eastAsia="zh-CN"/>
        </w:rPr>
        <w:t>4</w:t>
      </w:r>
      <w:r>
        <w:rPr>
          <w:rFonts w:ascii="Times New Roman" w:hAnsi="Times New Roman" w:eastAsia="Times New Roman" w:cs="Times New Roman"/>
          <w:b/>
          <w:bCs/>
          <w:color w:val="auto"/>
          <w:spacing w:val="-1"/>
          <w:sz w:val="20"/>
          <w:szCs w:val="20"/>
          <w:highlight w:val="none"/>
        </w:rPr>
        <w:t>-1</w:t>
      </w:r>
    </w:p>
    <w:p w14:paraId="724633CB">
      <w:pPr>
        <w:spacing w:before="165" w:line="184" w:lineRule="auto"/>
        <w:ind w:left="514"/>
        <w:rPr>
          <w:rFonts w:ascii="宋体" w:hAnsi="宋体" w:eastAsia="宋体" w:cs="宋体"/>
          <w:color w:val="auto"/>
          <w:sz w:val="24"/>
          <w:szCs w:val="24"/>
          <w:highlight w:val="none"/>
        </w:rPr>
      </w:pPr>
    </w:p>
    <w:p w14:paraId="38431373">
      <w:pPr>
        <w:pStyle w:val="12"/>
        <w:spacing w:line="14" w:lineRule="auto"/>
        <w:rPr>
          <w:color w:val="auto"/>
          <w:sz w:val="2"/>
          <w:highlight w:val="none"/>
        </w:rPr>
      </w:pPr>
      <w:r>
        <w:rPr>
          <w:color w:val="auto"/>
          <w:sz w:val="2"/>
          <w:szCs w:val="2"/>
          <w:highlight w:val="none"/>
        </w:rPr>
        <w:br w:type="column"/>
      </w:r>
    </w:p>
    <w:p w14:paraId="3E1763DF">
      <w:pPr>
        <w:spacing w:before="39" w:line="228" w:lineRule="auto"/>
        <w:rPr>
          <w:rFonts w:ascii="宋体" w:hAnsi="宋体" w:eastAsia="宋体" w:cs="宋体"/>
          <w:color w:val="auto"/>
          <w:spacing w:val="9"/>
          <w:sz w:val="20"/>
          <w:szCs w:val="20"/>
          <w:highlight w:val="none"/>
          <w14:textOutline w14:w="3795" w14:cap="flat" w14:cmpd="sng">
            <w14:solidFill>
              <w14:srgbClr w14:val="000000"/>
            </w14:solidFill>
            <w14:prstDash w14:val="solid"/>
            <w14:miter w14:val="0"/>
          </w14:textOutline>
        </w:rPr>
      </w:pPr>
    </w:p>
    <w:p w14:paraId="3941D536">
      <w:pPr>
        <w:spacing w:before="39" w:line="228" w:lineRule="auto"/>
        <w:rPr>
          <w:rFonts w:ascii="宋体" w:hAnsi="宋体" w:eastAsia="宋体" w:cs="宋体"/>
          <w:color w:val="auto"/>
          <w:spacing w:val="9"/>
          <w:sz w:val="20"/>
          <w:szCs w:val="20"/>
          <w:highlight w:val="none"/>
          <w14:textOutline w14:w="3795" w14:cap="flat" w14:cmpd="sng">
            <w14:solidFill>
              <w14:srgbClr w14:val="000000"/>
            </w14:solidFill>
            <w14:prstDash w14:val="solid"/>
            <w14:miter w14:val="0"/>
          </w14:textOutline>
        </w:rPr>
      </w:pPr>
    </w:p>
    <w:p w14:paraId="42403656">
      <w:pPr>
        <w:spacing w:before="39" w:line="228" w:lineRule="auto"/>
        <w:rPr>
          <w:rFonts w:ascii="宋体" w:hAnsi="宋体" w:eastAsia="宋体" w:cs="宋体"/>
          <w:color w:val="auto"/>
          <w:spacing w:val="9"/>
          <w:sz w:val="20"/>
          <w:szCs w:val="20"/>
          <w:highlight w:val="none"/>
          <w14:textOutline w14:w="3795" w14:cap="flat" w14:cmpd="sng">
            <w14:solidFill>
              <w14:srgbClr w14:val="000000"/>
            </w14:solidFill>
            <w14:prstDash w14:val="solid"/>
            <w14:miter w14:val="0"/>
          </w14:textOutline>
        </w:rPr>
      </w:pPr>
    </w:p>
    <w:p w14:paraId="1FDC47AD">
      <w:pPr>
        <w:spacing w:before="39" w:line="228" w:lineRule="auto"/>
        <w:rPr>
          <w:rFonts w:ascii="宋体" w:hAnsi="宋体" w:eastAsia="宋体" w:cs="宋体"/>
          <w:color w:val="auto"/>
          <w:spacing w:val="9"/>
          <w:sz w:val="20"/>
          <w:szCs w:val="20"/>
          <w:highlight w:val="none"/>
          <w14:textOutline w14:w="3795" w14:cap="flat" w14:cmpd="sng">
            <w14:solidFill>
              <w14:srgbClr w14:val="000000"/>
            </w14:solidFill>
            <w14:prstDash w14:val="solid"/>
            <w14:miter w14:val="0"/>
          </w14:textOutline>
        </w:rPr>
      </w:pPr>
    </w:p>
    <w:p w14:paraId="5A432E2A">
      <w:pPr>
        <w:spacing w:before="39" w:line="228" w:lineRule="auto"/>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14:textOutline w14:w="3795" w14:cap="flat" w14:cmpd="sng">
            <w14:solidFill>
              <w14:srgbClr w14:val="000000"/>
            </w14:solidFill>
            <w14:prstDash w14:val="solid"/>
            <w14:miter w14:val="0"/>
          </w14:textOutline>
        </w:rPr>
        <w:t>地下水储水构造略图</w:t>
      </w:r>
    </w:p>
    <w:p w14:paraId="08B665C7">
      <w:pPr>
        <w:spacing w:line="228" w:lineRule="auto"/>
        <w:rPr>
          <w:rFonts w:ascii="宋体" w:hAnsi="宋体" w:eastAsia="宋体" w:cs="宋体"/>
          <w:color w:val="auto"/>
          <w:sz w:val="20"/>
          <w:szCs w:val="20"/>
          <w:highlight w:val="none"/>
        </w:rPr>
        <w:sectPr>
          <w:type w:val="continuous"/>
          <w:pgSz w:w="11906" w:h="16839"/>
          <w:pgMar w:top="1058" w:right="1745" w:bottom="1218" w:left="1785" w:header="878" w:footer="1056" w:gutter="0"/>
          <w:pgBorders>
            <w:top w:val="none" w:sz="0" w:space="0"/>
            <w:left w:val="none" w:sz="0" w:space="0"/>
            <w:bottom w:val="none" w:sz="0" w:space="0"/>
            <w:right w:val="none" w:sz="0" w:space="0"/>
          </w:pgBorders>
          <w:pgNumType w:fmt="decimal"/>
          <w:cols w:equalWidth="0" w:num="2">
            <w:col w:w="3844" w:space="100"/>
            <w:col w:w="4431"/>
          </w:cols>
        </w:sectPr>
      </w:pPr>
    </w:p>
    <w:p w14:paraId="174A7701">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jc w:val="both"/>
        <w:textAlignment w:val="auto"/>
        <w:rPr>
          <w:rFonts w:ascii="宋体" w:hAnsi="宋体" w:eastAsia="宋体" w:cs="宋体"/>
          <w:color w:val="auto"/>
          <w:spacing w:val="-2"/>
          <w:sz w:val="24"/>
          <w:szCs w:val="24"/>
          <w:highlight w:val="none"/>
        </w:rPr>
      </w:pPr>
      <w:r>
        <w:rPr>
          <w:rFonts w:hint="default" w:ascii="Times New Roman" w:hAnsi="Times New Roman" w:eastAsia="宋体" w:cs="Times New Roman"/>
          <w:color w:val="auto"/>
          <w:spacing w:val="-2"/>
          <w:sz w:val="24"/>
          <w:szCs w:val="24"/>
          <w:highlight w:val="none"/>
        </w:rPr>
        <w:t>①北部</w:t>
      </w:r>
      <w:r>
        <w:rPr>
          <w:rFonts w:ascii="宋体" w:hAnsi="宋体" w:eastAsia="宋体" w:cs="宋体"/>
          <w:color w:val="auto"/>
          <w:spacing w:val="-2"/>
          <w:sz w:val="24"/>
          <w:szCs w:val="24"/>
          <w:highlight w:val="none"/>
        </w:rPr>
        <w:t>山前凹陷储水构造</w:t>
      </w:r>
    </w:p>
    <w:p w14:paraId="11CE4EF1">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该储水构造，为一南北两侧边界均受高角度逆掩断层</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压性</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所控制的向斜地</w:t>
      </w:r>
      <w:r>
        <w:rPr>
          <w:rFonts w:hint="default" w:ascii="Times New Roman" w:hAnsi="Times New Roman" w:eastAsia="宋体" w:cs="Times New Roman"/>
          <w:color w:val="auto"/>
          <w:spacing w:val="-3"/>
          <w:sz w:val="24"/>
          <w:szCs w:val="24"/>
          <w:highlight w:val="none"/>
        </w:rPr>
        <w:t>堑式的断陷洼地；断层断距达</w:t>
      </w:r>
      <w:r>
        <w:rPr>
          <w:rFonts w:hint="default" w:ascii="Times New Roman" w:hAnsi="Times New Roman" w:eastAsia="Times New Roman" w:cs="Times New Roman"/>
          <w:color w:val="auto"/>
          <w:spacing w:val="-3"/>
          <w:sz w:val="24"/>
          <w:szCs w:val="24"/>
          <w:highlight w:val="none"/>
        </w:rPr>
        <w:t>200</w:t>
      </w: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400m</w:t>
      </w:r>
      <w:r>
        <w:rPr>
          <w:rFonts w:hint="default" w:ascii="Times New Roman" w:hAnsi="Times New Roman" w:eastAsia="宋体" w:cs="Times New Roman"/>
          <w:color w:val="auto"/>
          <w:spacing w:val="-3"/>
          <w:sz w:val="24"/>
          <w:szCs w:val="24"/>
          <w:highlight w:val="none"/>
        </w:rPr>
        <w:t>，基底为阻水的第三系。洼</w:t>
      </w:r>
      <w:r>
        <w:rPr>
          <w:rFonts w:hint="default" w:ascii="Times New Roman" w:hAnsi="Times New Roman" w:eastAsia="宋体" w:cs="Times New Roman"/>
          <w:color w:val="auto"/>
          <w:spacing w:val="-4"/>
          <w:sz w:val="24"/>
          <w:szCs w:val="24"/>
          <w:highlight w:val="none"/>
        </w:rPr>
        <w:t>地虽东西向</w:t>
      </w:r>
      <w:r>
        <w:rPr>
          <w:rFonts w:hint="default" w:ascii="Times New Roman" w:hAnsi="Times New Roman" w:eastAsia="宋体" w:cs="Times New Roman"/>
          <w:color w:val="auto"/>
          <w:spacing w:val="-5"/>
          <w:sz w:val="24"/>
          <w:szCs w:val="24"/>
          <w:highlight w:val="none"/>
        </w:rPr>
        <w:t>分布，北起却勒塔格山前、南至亚肯背斜北缘，宽</w:t>
      </w:r>
      <w:r>
        <w:rPr>
          <w:rFonts w:hint="default" w:ascii="Times New Roman" w:hAnsi="Times New Roman" w:eastAsia="Times New Roman" w:cs="Times New Roman"/>
          <w:color w:val="auto"/>
          <w:spacing w:val="-5"/>
          <w:sz w:val="24"/>
          <w:szCs w:val="24"/>
          <w:highlight w:val="none"/>
        </w:rPr>
        <w:t>5</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Times New Roman" w:cs="Times New Roman"/>
          <w:color w:val="auto"/>
          <w:spacing w:val="-5"/>
          <w:sz w:val="24"/>
          <w:szCs w:val="24"/>
          <w:highlight w:val="none"/>
        </w:rPr>
        <w:t>8km</w:t>
      </w:r>
      <w:r>
        <w:rPr>
          <w:rFonts w:hint="default" w:ascii="Times New Roman" w:hAnsi="Times New Roman" w:eastAsia="宋体" w:cs="Times New Roman"/>
          <w:color w:val="auto"/>
          <w:spacing w:val="-5"/>
          <w:sz w:val="24"/>
          <w:szCs w:val="24"/>
          <w:highlight w:val="none"/>
        </w:rPr>
        <w:t>；西起库车老城西侧，</w:t>
      </w:r>
      <w:r>
        <w:rPr>
          <w:rFonts w:hint="default" w:ascii="Times New Roman" w:hAnsi="Times New Roman" w:eastAsia="宋体" w:cs="Times New Roman"/>
          <w:color w:val="auto"/>
          <w:spacing w:val="-3"/>
          <w:sz w:val="24"/>
          <w:szCs w:val="24"/>
          <w:highlight w:val="none"/>
        </w:rPr>
        <w:t>东到二八台河以东，长达</w:t>
      </w:r>
      <w:r>
        <w:rPr>
          <w:rFonts w:hint="default" w:ascii="Times New Roman" w:hAnsi="Times New Roman" w:eastAsia="Times New Roman" w:cs="Times New Roman"/>
          <w:color w:val="auto"/>
          <w:spacing w:val="-3"/>
          <w:sz w:val="24"/>
          <w:szCs w:val="24"/>
          <w:highlight w:val="none"/>
        </w:rPr>
        <w:t>85km</w:t>
      </w:r>
      <w:r>
        <w:rPr>
          <w:rFonts w:hint="default" w:ascii="Times New Roman" w:hAnsi="Times New Roman" w:eastAsia="宋体" w:cs="Times New Roman"/>
          <w:color w:val="auto"/>
          <w:spacing w:val="-3"/>
          <w:sz w:val="24"/>
          <w:szCs w:val="24"/>
          <w:highlight w:val="none"/>
        </w:rPr>
        <w:t>。断陷内堆积了巨厚的第四系松散物，厚达</w:t>
      </w:r>
      <w:r>
        <w:rPr>
          <w:rFonts w:hint="default" w:ascii="Times New Roman" w:hAnsi="Times New Roman" w:eastAsia="Times New Roman" w:cs="Times New Roman"/>
          <w:color w:val="auto"/>
          <w:spacing w:val="-3"/>
          <w:sz w:val="24"/>
          <w:szCs w:val="24"/>
          <w:highlight w:val="none"/>
        </w:rPr>
        <w:t>400</w:t>
      </w:r>
      <w:r>
        <w:rPr>
          <w:rFonts w:hint="default" w:ascii="Times New Roman" w:hAnsi="Times New Roman" w:eastAsia="宋体" w:cs="Times New Roman"/>
          <w:color w:val="auto"/>
          <w:spacing w:val="-3"/>
          <w:sz w:val="24"/>
          <w:szCs w:val="24"/>
          <w:highlight w:val="none"/>
          <w:lang w:val="en-US" w:eastAsia="zh-CN"/>
        </w:rPr>
        <w:t>~</w:t>
      </w:r>
      <w:r>
        <w:rPr>
          <w:rFonts w:hint="default" w:ascii="Times New Roman" w:hAnsi="Times New Roman" w:eastAsia="Times New Roman" w:cs="Times New Roman"/>
          <w:color w:val="auto"/>
          <w:spacing w:val="-2"/>
          <w:sz w:val="24"/>
          <w:szCs w:val="24"/>
          <w:highlight w:val="none"/>
        </w:rPr>
        <w:t>1200m</w:t>
      </w:r>
      <w:r>
        <w:rPr>
          <w:rFonts w:hint="default" w:ascii="Times New Roman" w:hAnsi="Times New Roman" w:eastAsia="宋体" w:cs="Times New Roman"/>
          <w:color w:val="auto"/>
          <w:spacing w:val="-2"/>
          <w:sz w:val="24"/>
          <w:szCs w:val="24"/>
          <w:highlight w:val="none"/>
        </w:rPr>
        <w:t>，沉降中心在北山龙库一带；其中：中下更新统厚</w:t>
      </w:r>
      <w:r>
        <w:rPr>
          <w:rFonts w:hint="default" w:ascii="Times New Roman" w:hAnsi="Times New Roman" w:eastAsia="Times New Roman" w:cs="Times New Roman"/>
          <w:color w:val="auto"/>
          <w:spacing w:val="-2"/>
          <w:sz w:val="24"/>
          <w:szCs w:val="24"/>
          <w:highlight w:val="none"/>
        </w:rPr>
        <w:t>400</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1000m</w:t>
      </w:r>
      <w:r>
        <w:rPr>
          <w:rFonts w:hint="default" w:ascii="Times New Roman" w:hAnsi="Times New Roman" w:eastAsia="宋体" w:cs="Times New Roman"/>
          <w:color w:val="auto"/>
          <w:spacing w:val="-2"/>
          <w:sz w:val="24"/>
          <w:szCs w:val="24"/>
          <w:highlight w:val="none"/>
        </w:rPr>
        <w:t>，上更新</w:t>
      </w:r>
      <w:r>
        <w:rPr>
          <w:rFonts w:hint="default" w:ascii="Times New Roman" w:hAnsi="Times New Roman" w:eastAsia="宋体" w:cs="Times New Roman"/>
          <w:color w:val="auto"/>
          <w:spacing w:val="-6"/>
          <w:sz w:val="24"/>
          <w:szCs w:val="24"/>
          <w:highlight w:val="none"/>
        </w:rPr>
        <w:t>统及全新统厚在</w:t>
      </w:r>
      <w:r>
        <w:rPr>
          <w:rFonts w:hint="default" w:ascii="Times New Roman" w:hAnsi="Times New Roman" w:eastAsia="Times New Roman" w:cs="Times New Roman"/>
          <w:color w:val="auto"/>
          <w:spacing w:val="-6"/>
          <w:sz w:val="24"/>
          <w:szCs w:val="24"/>
          <w:highlight w:val="none"/>
        </w:rPr>
        <w:t>150m</w:t>
      </w:r>
      <w:r>
        <w:rPr>
          <w:rFonts w:hint="default" w:ascii="Times New Roman" w:hAnsi="Times New Roman" w:eastAsia="宋体" w:cs="Times New Roman"/>
          <w:color w:val="auto"/>
          <w:spacing w:val="-6"/>
          <w:sz w:val="24"/>
          <w:szCs w:val="24"/>
          <w:highlight w:val="none"/>
        </w:rPr>
        <w:t>以内。</w:t>
      </w:r>
    </w:p>
    <w:p w14:paraId="04B2A080">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②南部库车沉降带储水构造</w:t>
      </w:r>
    </w:p>
    <w:p w14:paraId="699580D5">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基本分布于314国道以南地区。由于受亚肯背斜等第四排构造的隆升影响，第三系基底由314国道向南倾伏，基底埋深50～1000m向南过渡到500~1000m，第四系沉积物岩性主要为砂砾石、粗砂、细砂与亚砂土、亚粘土。从亚肯背斜南缘往南，第四系岩性由粗变细，地下水由单一潜水向潜水——承压水多元结构过渡。</w:t>
      </w:r>
    </w:p>
    <w:p w14:paraId="7576F398">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③中部亚肯背斜过水台地</w:t>
      </w:r>
    </w:p>
    <w:p w14:paraId="60FBAF12">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位于南北两大储水构造之间，因背斜隆起使基底抬升。其间分布的南北向侵蚀冲沟，堆积了厚80m左右的全新世—晚更新世冲洪积物，构成南北两储水构造间的通道，为一相对阻水构造。</w:t>
      </w:r>
    </w:p>
    <w:p w14:paraId="7052C2E2">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亚肯背斜无连续分布的</w:t>
      </w:r>
      <w:r>
        <w:rPr>
          <w:rFonts w:hint="eastAsia" w:cs="Times New Roman"/>
          <w:color w:val="auto"/>
          <w:spacing w:val="-1"/>
          <w:sz w:val="24"/>
          <w:szCs w:val="24"/>
          <w:highlight w:val="none"/>
          <w:lang w:eastAsia="zh-CN"/>
        </w:rPr>
        <w:t>潜水含水层</w:t>
      </w:r>
      <w:r>
        <w:rPr>
          <w:rFonts w:hint="default" w:ascii="Times New Roman" w:hAnsi="Times New Roman" w:eastAsia="宋体" w:cs="Times New Roman"/>
          <w:color w:val="auto"/>
          <w:spacing w:val="-1"/>
          <w:sz w:val="24"/>
          <w:szCs w:val="24"/>
          <w:highlight w:val="none"/>
        </w:rPr>
        <w:t>。在北部储水构造内地下水的补给之下，形成第三系碎屑岩类裂隙孔隙承压水，单泉流量＜1L/s，含水层岩性主要为上新统砂岩、细砂岩、粉砂岩及砂质泥岩互层。由亚肯背斜轴部向南承压水顶板埋深逐渐加大（50~170m），由承压水过渡为承压自流水。</w:t>
      </w:r>
    </w:p>
    <w:p w14:paraId="4E6E6510">
      <w:pPr>
        <w:keepNext w:val="0"/>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3"/>
          <w:sz w:val="24"/>
          <w:szCs w:val="24"/>
          <w:highlight w:val="none"/>
          <w:lang w:val="en-US" w:eastAsia="zh-CN"/>
        </w:rPr>
        <w:t>3）</w:t>
      </w:r>
      <w:r>
        <w:rPr>
          <w:rFonts w:hint="default" w:ascii="Times New Roman" w:hAnsi="Times New Roman" w:eastAsia="宋体" w:cs="Times New Roman"/>
          <w:b/>
          <w:bCs/>
          <w:color w:val="auto"/>
          <w:spacing w:val="-3"/>
          <w:sz w:val="24"/>
          <w:szCs w:val="24"/>
          <w:highlight w:val="none"/>
        </w:rPr>
        <w:t>区域补径排条件</w:t>
      </w:r>
    </w:p>
    <w:p w14:paraId="1EA651AC">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纵观区内地下水的补径排条件，北部山前凹陷储水构造</w:t>
      </w:r>
      <w:r>
        <w:rPr>
          <w:rFonts w:ascii="宋体" w:hAnsi="宋体" w:eastAsia="宋体" w:cs="宋体"/>
          <w:color w:val="auto"/>
          <w:spacing w:val="-4"/>
          <w:sz w:val="24"/>
          <w:szCs w:val="24"/>
          <w:highlight w:val="none"/>
        </w:rPr>
        <w:t>洼地是一个地下水资</w:t>
      </w:r>
      <w:r>
        <w:rPr>
          <w:rFonts w:ascii="宋体" w:hAnsi="宋体" w:eastAsia="宋体" w:cs="宋体"/>
          <w:color w:val="auto"/>
          <w:spacing w:val="-3"/>
          <w:sz w:val="24"/>
          <w:szCs w:val="24"/>
          <w:highlight w:val="none"/>
        </w:rPr>
        <w:t>源量丰富的高位集水盆地；其内储地下水资源又是下游南部储水构造地下水的重</w:t>
      </w:r>
      <w:r>
        <w:rPr>
          <w:rFonts w:ascii="宋体" w:hAnsi="宋体" w:eastAsia="宋体" w:cs="宋体"/>
          <w:color w:val="auto"/>
          <w:spacing w:val="-2"/>
          <w:sz w:val="24"/>
          <w:szCs w:val="24"/>
          <w:highlight w:val="none"/>
        </w:rPr>
        <w:t>要补给来源。</w:t>
      </w:r>
    </w:p>
    <w:p w14:paraId="03470B27">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亚肯背斜北侧山前坳陷地下水主要为库车河散流于戈壁平原</w:t>
      </w:r>
      <w:r>
        <w:rPr>
          <w:rFonts w:ascii="宋体" w:hAnsi="宋体" w:eastAsia="宋体" w:cs="宋体"/>
          <w:color w:val="auto"/>
          <w:spacing w:val="-4"/>
          <w:sz w:val="24"/>
          <w:szCs w:val="24"/>
          <w:highlight w:val="none"/>
        </w:rPr>
        <w:t>渗漏补给。洪枯</w:t>
      </w:r>
      <w:r>
        <w:rPr>
          <w:rFonts w:ascii="宋体" w:hAnsi="宋体" w:eastAsia="宋体" w:cs="宋体"/>
          <w:color w:val="auto"/>
          <w:spacing w:val="-1"/>
          <w:sz w:val="24"/>
          <w:szCs w:val="24"/>
          <w:highlight w:val="none"/>
        </w:rPr>
        <w:t>两季测流结果，从山口到背斜北侧地表水渗漏量为</w:t>
      </w:r>
      <w:r>
        <w:rPr>
          <w:rFonts w:ascii="Times New Roman" w:hAnsi="Times New Roman" w:eastAsia="Times New Roman" w:cs="Times New Roman"/>
          <w:color w:val="auto"/>
          <w:spacing w:val="-1"/>
          <w:sz w:val="24"/>
          <w:szCs w:val="24"/>
          <w:highlight w:val="none"/>
        </w:rPr>
        <w:t>0.</w:t>
      </w:r>
      <w:r>
        <w:rPr>
          <w:rFonts w:ascii="Times New Roman" w:hAnsi="Times New Roman" w:eastAsia="Times New Roman" w:cs="Times New Roman"/>
          <w:color w:val="auto"/>
          <w:spacing w:val="-2"/>
          <w:sz w:val="24"/>
          <w:szCs w:val="24"/>
          <w:highlight w:val="none"/>
        </w:rPr>
        <w:t>8712</w:t>
      </w:r>
      <w:r>
        <w:rPr>
          <w:rFonts w:ascii="宋体" w:hAnsi="宋体" w:eastAsia="宋体" w:cs="宋体"/>
          <w:color w:val="auto"/>
          <w:spacing w:val="-2"/>
          <w:sz w:val="24"/>
          <w:szCs w:val="24"/>
          <w:highlight w:val="none"/>
        </w:rPr>
        <w:t>亿</w:t>
      </w:r>
      <w:r>
        <w:rPr>
          <w:rFonts w:ascii="Times New Roman" w:hAnsi="Times New Roman" w:eastAsia="Times New Roman" w:cs="Times New Roman"/>
          <w:color w:val="auto"/>
          <w:spacing w:val="-2"/>
          <w:sz w:val="24"/>
          <w:szCs w:val="24"/>
          <w:highlight w:val="none"/>
        </w:rPr>
        <w:t>m³/a</w:t>
      </w:r>
      <w:r>
        <w:rPr>
          <w:rFonts w:ascii="宋体" w:hAnsi="宋体" w:eastAsia="宋体" w:cs="宋体"/>
          <w:color w:val="auto"/>
          <w:spacing w:val="-2"/>
          <w:sz w:val="24"/>
          <w:szCs w:val="24"/>
          <w:highlight w:val="none"/>
        </w:rPr>
        <w:t>。其次沟谷潜</w:t>
      </w:r>
      <w:r>
        <w:rPr>
          <w:rFonts w:ascii="宋体" w:hAnsi="宋体" w:eastAsia="宋体" w:cs="宋体"/>
          <w:color w:val="auto"/>
          <w:spacing w:val="-3"/>
          <w:sz w:val="24"/>
          <w:szCs w:val="24"/>
          <w:highlight w:val="none"/>
        </w:rPr>
        <w:t>流、泉溪等侧向径流和雨季洪流、片流渗入也是该地段的补给来源，只不过其补给量要小得多。山区基岩裂隙水侧向补给，由于属于碎屑岩裂隙孔隙层间水，水量微弱，节理裂隙不发育，据目前掌握资料分析，补给量微不足道，可以忽略不</w:t>
      </w:r>
      <w:r>
        <w:rPr>
          <w:rFonts w:ascii="宋体" w:hAnsi="宋体" w:eastAsia="宋体" w:cs="宋体"/>
          <w:color w:val="auto"/>
          <w:spacing w:val="-2"/>
          <w:sz w:val="24"/>
          <w:szCs w:val="24"/>
          <w:highlight w:val="none"/>
        </w:rPr>
        <w:t>计。山前坳陷地下水自却勒塔格山前深藏带经短暂的强烈径流受到背斜的阻挡，</w:t>
      </w:r>
    </w:p>
    <w:p w14:paraId="46AE1AB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eastAsia="宋体" w:cs="宋体"/>
          <w:color w:val="auto"/>
          <w:sz w:val="24"/>
          <w:szCs w:val="24"/>
          <w:highlight w:val="none"/>
        </w:rPr>
        <w:sectPr>
          <w:headerReference r:id="rId22" w:type="default"/>
          <w:footerReference r:id="rId23" w:type="default"/>
          <w:pgSz w:w="11906" w:h="16839"/>
          <w:pgMar w:top="1440" w:right="1684" w:bottom="1440" w:left="1689" w:header="794" w:footer="1056" w:gutter="0"/>
          <w:pgBorders>
            <w:top w:val="none" w:sz="0" w:space="0"/>
            <w:left w:val="none" w:sz="0" w:space="0"/>
            <w:bottom w:val="none" w:sz="0" w:space="0"/>
            <w:right w:val="none" w:sz="0" w:space="0"/>
          </w:pgBorders>
          <w:pgNumType w:fmt="decimal"/>
          <w:cols w:space="720" w:num="1"/>
        </w:sectPr>
      </w:pPr>
    </w:p>
    <w:p w14:paraId="7EF096B4">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埋藏深度急剧变小，运移速度减慢，大部分转化为第三系碎屑岩层间孔隙水。背斜倾没端，如库车市城区一带。地下水雍水高度不大，继续向南径流，只是浅层为第四系松散层孔隙潜水或承压水，深部为第三系碎屑岩层间承压水。切割较深的沟谷，如库车河，两侧地下水溢出形成泉溪</w:t>
      </w:r>
      <w:r>
        <w:rPr>
          <w:rFonts w:ascii="Times New Roman" w:hAnsi="Times New Roman" w:eastAsia="Times New Roman" w:cs="Times New Roman"/>
          <w:color w:val="auto"/>
          <w:spacing w:val="-3"/>
          <w:sz w:val="24"/>
          <w:szCs w:val="24"/>
          <w:highlight w:val="none"/>
        </w:rPr>
        <w:t>——</w:t>
      </w:r>
      <w:r>
        <w:rPr>
          <w:rFonts w:ascii="宋体" w:hAnsi="宋体" w:eastAsia="宋体" w:cs="宋体"/>
          <w:color w:val="auto"/>
          <w:spacing w:val="-3"/>
          <w:sz w:val="24"/>
          <w:szCs w:val="24"/>
          <w:highlight w:val="none"/>
        </w:rPr>
        <w:t>第一次溢出排泄带。类似的背斜主隆起带，于背斜北侧局部地段，如依斯塔那、二八台北沟、群巴克以西山诸泉水沟，形成小型漏斗状地下水浅埋第一次溢出排泄带，同时具有双层或多层水文地质结构。背斜南侧地下水补给、径流、排泄又自成系统，只是补给除剩余地表水继续渗漏补给外，地下潜流，包括沟谷潜流、断面径流及田间灌溉渗水的补给占的比例大大增多。径流速度不断减慢。排泄溢出（大部呈深埋隐蔽方式）和缓慢径流，垂直蒸发消耗同时进行。潜水及承压水带都有分布，补给、径流、排泄规律明显。</w:t>
      </w:r>
    </w:p>
    <w:p w14:paraId="3D5D80CB">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pacing w:val="-3"/>
          <w:sz w:val="24"/>
          <w:szCs w:val="24"/>
          <w:highlight w:val="none"/>
        </w:rPr>
      </w:pPr>
      <w:r>
        <w:rPr>
          <w:rFonts w:hint="default" w:ascii="Times New Roman" w:hAnsi="Times New Roman" w:eastAsia="宋体" w:cs="Times New Roman"/>
          <w:color w:val="auto"/>
          <w:spacing w:val="-3"/>
          <w:sz w:val="24"/>
          <w:szCs w:val="24"/>
          <w:highlight w:val="none"/>
        </w:rPr>
        <w:t>库车河水系山前洪积平原的地下水自北而南径流。北部山前凹陷储水构造洼地的潜水埋深由＞100m至40m，水力坡度多在3‰左右；待越过亚肯背斜使水力坡度增至8～15‰，南部库车沉降带储水构造内的潜水埋深由北侧的30～50m，向南过渡到5～10m、＜5m，随至潜水水力坡度降至1‰甚至小于1‰。地下水的排泄，主要以向南的侧向流出、泉水溢出、潜水蒸发、植被蒸腾、</w:t>
      </w:r>
      <w:r>
        <w:rPr>
          <w:rFonts w:ascii="宋体" w:hAnsi="宋体" w:eastAsia="宋体" w:cs="宋体"/>
          <w:color w:val="auto"/>
          <w:spacing w:val="-3"/>
          <w:sz w:val="24"/>
          <w:szCs w:val="24"/>
          <w:highlight w:val="none"/>
        </w:rPr>
        <w:t>人工开采等方式进行。</w:t>
      </w:r>
    </w:p>
    <w:p w14:paraId="79B532B0">
      <w:pPr>
        <w:keepNext w:val="0"/>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ascii="宋体" w:hAnsi="宋体" w:eastAsia="宋体" w:cs="宋体"/>
          <w:color w:val="auto"/>
          <w:sz w:val="24"/>
          <w:szCs w:val="24"/>
          <w:highlight w:val="none"/>
        </w:rPr>
      </w:pPr>
      <w:r>
        <w:rPr>
          <w:rFonts w:hint="eastAsia" w:ascii="Times New Roman" w:hAnsi="Times New Roman" w:eastAsia="宋体" w:cs="Times New Roman"/>
          <w:b/>
          <w:bCs/>
          <w:color w:val="auto"/>
          <w:spacing w:val="-3"/>
          <w:sz w:val="24"/>
          <w:szCs w:val="24"/>
          <w:highlight w:val="none"/>
          <w:lang w:eastAsia="zh-CN"/>
        </w:rPr>
        <w:t>（</w:t>
      </w:r>
      <w:r>
        <w:rPr>
          <w:rFonts w:hint="eastAsia" w:ascii="Times New Roman" w:hAnsi="Times New Roman" w:eastAsia="宋体" w:cs="Times New Roman"/>
          <w:b/>
          <w:bCs/>
          <w:color w:val="auto"/>
          <w:spacing w:val="-3"/>
          <w:sz w:val="24"/>
          <w:szCs w:val="24"/>
          <w:highlight w:val="none"/>
          <w:lang w:val="en-US" w:eastAsia="zh-CN"/>
        </w:rPr>
        <w:t>4）</w:t>
      </w:r>
      <w:r>
        <w:rPr>
          <w:rFonts w:hint="default" w:ascii="Times New Roman" w:hAnsi="Times New Roman" w:eastAsia="宋体" w:cs="Times New Roman"/>
          <w:b/>
          <w:bCs/>
          <w:color w:val="auto"/>
          <w:spacing w:val="-3"/>
          <w:sz w:val="24"/>
          <w:szCs w:val="24"/>
          <w:highlight w:val="none"/>
          <w:lang w:eastAsia="zh-CN"/>
        </w:rPr>
        <w:t>地下水动态</w:t>
      </w:r>
    </w:p>
    <w:p w14:paraId="6C2923B2">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地下水动态主要受气象、水文地质条件及人类活动等因素影响，</w:t>
      </w:r>
      <w:r>
        <w:rPr>
          <w:rFonts w:hint="default" w:ascii="Times New Roman" w:hAnsi="Times New Roman" w:eastAsia="宋体" w:cs="Times New Roman"/>
          <w:color w:val="auto"/>
          <w:spacing w:val="-4"/>
          <w:sz w:val="24"/>
          <w:szCs w:val="24"/>
          <w:highlight w:val="none"/>
        </w:rPr>
        <w:t>由于所处的</w:t>
      </w:r>
      <w:r>
        <w:rPr>
          <w:rFonts w:hint="default" w:ascii="Times New Roman" w:hAnsi="Times New Roman" w:eastAsia="宋体" w:cs="Times New Roman"/>
          <w:color w:val="auto"/>
          <w:spacing w:val="-3"/>
          <w:sz w:val="24"/>
          <w:szCs w:val="24"/>
          <w:highlight w:val="none"/>
        </w:rPr>
        <w:t>地段不同，其动态变化有明显差异。根据地下水动态的影响因素将库车河流域的</w:t>
      </w:r>
      <w:r>
        <w:rPr>
          <w:rFonts w:hint="default" w:ascii="Times New Roman" w:hAnsi="Times New Roman" w:eastAsia="宋体" w:cs="Times New Roman"/>
          <w:color w:val="auto"/>
          <w:spacing w:val="-1"/>
          <w:sz w:val="24"/>
          <w:szCs w:val="24"/>
          <w:highlight w:val="none"/>
        </w:rPr>
        <w:t>地下水动态划分为水文型、水文</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径流型。</w:t>
      </w:r>
    </w:p>
    <w:p w14:paraId="447AC49F">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①水文型动态</w:t>
      </w:r>
    </w:p>
    <w:p w14:paraId="0CCB06A5">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分布于库车河冲洪积平原上部潜水区，地下水的动态特征</w:t>
      </w:r>
      <w:r>
        <w:rPr>
          <w:rFonts w:hint="default" w:ascii="Times New Roman" w:hAnsi="Times New Roman" w:eastAsia="宋体" w:cs="Times New Roman"/>
          <w:color w:val="auto"/>
          <w:spacing w:val="-4"/>
          <w:sz w:val="24"/>
          <w:szCs w:val="24"/>
          <w:highlight w:val="none"/>
        </w:rPr>
        <w:t>与地表径流关系密</w:t>
      </w:r>
      <w:r>
        <w:rPr>
          <w:rFonts w:hint="default" w:ascii="Times New Roman" w:hAnsi="Times New Roman" w:eastAsia="宋体" w:cs="Times New Roman"/>
          <w:color w:val="auto"/>
          <w:spacing w:val="-3"/>
          <w:sz w:val="24"/>
          <w:szCs w:val="24"/>
          <w:highlight w:val="none"/>
        </w:rPr>
        <w:t>切，地下水高水位期略滞后于地表水丰水期，滞后期的长短与距离河道的远近有</w:t>
      </w:r>
      <w:r>
        <w:rPr>
          <w:rFonts w:hint="default" w:ascii="Times New Roman" w:hAnsi="Times New Roman" w:eastAsia="宋体" w:cs="Times New Roman"/>
          <w:color w:val="auto"/>
          <w:spacing w:val="-2"/>
          <w:sz w:val="24"/>
          <w:szCs w:val="24"/>
          <w:highlight w:val="none"/>
        </w:rPr>
        <w:t>关。一般</w:t>
      </w:r>
      <w:r>
        <w:rPr>
          <w:rFonts w:hint="default" w:ascii="Times New Roman" w:hAnsi="Times New Roman" w:eastAsia="Times New Roman" w:cs="Times New Roman"/>
          <w:color w:val="auto"/>
          <w:spacing w:val="-2"/>
          <w:sz w:val="24"/>
          <w:szCs w:val="24"/>
          <w:highlight w:val="none"/>
        </w:rPr>
        <w:t>12</w:t>
      </w:r>
      <w:r>
        <w:rPr>
          <w:rFonts w:hint="default" w:ascii="Times New Roman" w:hAnsi="Times New Roman" w:eastAsia="宋体" w:cs="Times New Roman"/>
          <w:color w:val="auto"/>
          <w:spacing w:val="-2"/>
          <w:sz w:val="24"/>
          <w:szCs w:val="24"/>
          <w:highlight w:val="none"/>
        </w:rPr>
        <w:t>月</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次年</w:t>
      </w:r>
      <w:r>
        <w:rPr>
          <w:rFonts w:hint="default" w:ascii="Times New Roman" w:hAnsi="Times New Roman" w:eastAsia="Times New Roman" w:cs="Times New Roman"/>
          <w:color w:val="auto"/>
          <w:spacing w:val="-2"/>
          <w:sz w:val="24"/>
          <w:szCs w:val="24"/>
          <w:highlight w:val="none"/>
        </w:rPr>
        <w:t>6</w:t>
      </w:r>
      <w:r>
        <w:rPr>
          <w:rFonts w:hint="default" w:ascii="Times New Roman" w:hAnsi="Times New Roman" w:eastAsia="宋体" w:cs="Times New Roman"/>
          <w:color w:val="auto"/>
          <w:spacing w:val="-2"/>
          <w:sz w:val="24"/>
          <w:szCs w:val="24"/>
          <w:highlight w:val="none"/>
        </w:rPr>
        <w:t>月份为地下水低水位期，在这期间</w:t>
      </w:r>
      <w:r>
        <w:rPr>
          <w:rFonts w:hint="default" w:ascii="Times New Roman" w:hAnsi="Times New Roman" w:eastAsia="宋体" w:cs="Times New Roman"/>
          <w:color w:val="auto"/>
          <w:spacing w:val="-3"/>
          <w:sz w:val="24"/>
          <w:szCs w:val="24"/>
          <w:highlight w:val="none"/>
        </w:rPr>
        <w:t>，受地下水径流运移</w:t>
      </w:r>
      <w:r>
        <w:rPr>
          <w:rFonts w:hint="default" w:ascii="Times New Roman" w:hAnsi="Times New Roman" w:eastAsia="宋体" w:cs="Times New Roman"/>
          <w:color w:val="auto"/>
          <w:spacing w:val="-2"/>
          <w:sz w:val="24"/>
          <w:szCs w:val="24"/>
          <w:highlight w:val="none"/>
        </w:rPr>
        <w:t>的影响，潜水水位略有起伏变化；</w:t>
      </w:r>
      <w:r>
        <w:rPr>
          <w:rFonts w:hint="default" w:ascii="Times New Roman" w:hAnsi="Times New Roman" w:eastAsia="Times New Roman" w:cs="Times New Roman"/>
          <w:color w:val="auto"/>
          <w:spacing w:val="-2"/>
          <w:sz w:val="24"/>
          <w:szCs w:val="24"/>
          <w:highlight w:val="none"/>
        </w:rPr>
        <w:t>8—10</w:t>
      </w:r>
      <w:r>
        <w:rPr>
          <w:rFonts w:hint="default" w:ascii="Times New Roman" w:hAnsi="Times New Roman" w:eastAsia="宋体" w:cs="Times New Roman"/>
          <w:color w:val="auto"/>
          <w:spacing w:val="-2"/>
          <w:sz w:val="24"/>
          <w:szCs w:val="24"/>
          <w:highlight w:val="none"/>
        </w:rPr>
        <w:t>月为地下</w:t>
      </w:r>
      <w:r>
        <w:rPr>
          <w:rFonts w:hint="default" w:ascii="Times New Roman" w:hAnsi="Times New Roman" w:eastAsia="宋体" w:cs="Times New Roman"/>
          <w:color w:val="auto"/>
          <w:spacing w:val="-3"/>
          <w:sz w:val="24"/>
          <w:szCs w:val="24"/>
          <w:highlight w:val="none"/>
        </w:rPr>
        <w:t>水高水位期，受地表来水量大小影响，潜水水位具不规则起伏变化；在高水位期与低水位期之间，水位升降较</w:t>
      </w:r>
      <w:r>
        <w:rPr>
          <w:rFonts w:hint="default" w:ascii="Times New Roman" w:hAnsi="Times New Roman" w:eastAsia="宋体" w:cs="Times New Roman"/>
          <w:color w:val="auto"/>
          <w:sz w:val="24"/>
          <w:szCs w:val="24"/>
          <w:highlight w:val="none"/>
        </w:rPr>
        <w:t>为剧烈。这与地表水径流量年内分布特征有关，年内高</w:t>
      </w:r>
      <w:r>
        <w:rPr>
          <w:rFonts w:hint="default" w:ascii="Times New Roman" w:hAnsi="Times New Roman" w:eastAsia="宋体" w:cs="Times New Roman"/>
          <w:color w:val="auto"/>
          <w:spacing w:val="-1"/>
          <w:sz w:val="24"/>
          <w:szCs w:val="24"/>
          <w:highlight w:val="none"/>
        </w:rPr>
        <w:t>低水位差较大，一般在</w:t>
      </w:r>
      <w:r>
        <w:rPr>
          <w:rFonts w:hint="default" w:ascii="Times New Roman" w:hAnsi="Times New Roman" w:eastAsia="Times New Roman" w:cs="Times New Roman"/>
          <w:color w:val="auto"/>
          <w:spacing w:val="-1"/>
          <w:sz w:val="24"/>
          <w:szCs w:val="24"/>
          <w:highlight w:val="none"/>
        </w:rPr>
        <w:t>2</w:t>
      </w:r>
      <w:r>
        <w:rPr>
          <w:rFonts w:hint="default" w:ascii="Times New Roman" w:hAnsi="Times New Roman" w:eastAsia="宋体" w:cs="Times New Roman"/>
          <w:color w:val="auto"/>
          <w:spacing w:val="-1"/>
          <w:sz w:val="24"/>
          <w:szCs w:val="24"/>
          <w:highlight w:val="none"/>
          <w:lang w:val="en-US" w:eastAsia="zh-CN"/>
        </w:rPr>
        <w:t>-</w:t>
      </w:r>
      <w:r>
        <w:rPr>
          <w:rFonts w:hint="default" w:ascii="Times New Roman" w:hAnsi="Times New Roman" w:eastAsia="Times New Roman" w:cs="Times New Roman"/>
          <w:color w:val="auto"/>
          <w:spacing w:val="-1"/>
          <w:sz w:val="24"/>
          <w:szCs w:val="24"/>
          <w:highlight w:val="none"/>
        </w:rPr>
        <w:t>5m</w:t>
      </w:r>
      <w:r>
        <w:rPr>
          <w:rFonts w:hint="default" w:ascii="Times New Roman" w:hAnsi="Times New Roman" w:eastAsia="宋体" w:cs="Times New Roman"/>
          <w:color w:val="auto"/>
          <w:spacing w:val="-1"/>
          <w:sz w:val="24"/>
          <w:szCs w:val="24"/>
          <w:highlight w:val="none"/>
        </w:rPr>
        <w:t>之间。</w:t>
      </w:r>
    </w:p>
    <w:p w14:paraId="21F48ABA">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②水文</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径流型动态</w:t>
      </w:r>
    </w:p>
    <w:p w14:paraId="619C4BA3">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北部山前凹陷储水构造区内的地下水动态受库车河的影</w:t>
      </w:r>
      <w:r>
        <w:rPr>
          <w:rFonts w:hint="default" w:ascii="Times New Roman" w:hAnsi="Times New Roman" w:eastAsia="宋体" w:cs="Times New Roman"/>
          <w:color w:val="auto"/>
          <w:spacing w:val="-4"/>
          <w:sz w:val="24"/>
          <w:szCs w:val="24"/>
          <w:highlight w:val="none"/>
        </w:rPr>
        <w:t>响，</w:t>
      </w:r>
      <w:r>
        <w:rPr>
          <w:rFonts w:hint="eastAsia" w:cs="Times New Roman"/>
          <w:color w:val="auto"/>
          <w:spacing w:val="-4"/>
          <w:sz w:val="24"/>
          <w:szCs w:val="24"/>
          <w:highlight w:val="none"/>
          <w:lang w:eastAsia="zh-CN"/>
        </w:rPr>
        <w:t>基本</w:t>
      </w:r>
      <w:r>
        <w:rPr>
          <w:rFonts w:hint="default" w:ascii="Times New Roman" w:hAnsi="Times New Roman" w:eastAsia="宋体" w:cs="Times New Roman"/>
          <w:color w:val="auto"/>
          <w:spacing w:val="-4"/>
          <w:sz w:val="24"/>
          <w:szCs w:val="24"/>
          <w:highlight w:val="none"/>
        </w:rPr>
        <w:t>呈现出水</w:t>
      </w:r>
      <w:r>
        <w:rPr>
          <w:rFonts w:hint="default" w:ascii="Times New Roman" w:hAnsi="Times New Roman" w:eastAsia="宋体" w:cs="Times New Roman"/>
          <w:color w:val="auto"/>
          <w:spacing w:val="-3"/>
          <w:sz w:val="24"/>
          <w:szCs w:val="24"/>
          <w:highlight w:val="none"/>
        </w:rPr>
        <w:t>文</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eastAsia="宋体" w:cs="Times New Roman"/>
          <w:color w:val="auto"/>
          <w:spacing w:val="-3"/>
          <w:sz w:val="24"/>
          <w:szCs w:val="24"/>
          <w:highlight w:val="none"/>
        </w:rPr>
        <w:t>径流型的动态特征。每年</w:t>
      </w:r>
      <w:r>
        <w:rPr>
          <w:rFonts w:hint="default" w:ascii="Times New Roman" w:hAnsi="Times New Roman" w:eastAsia="Times New Roman" w:cs="Times New Roman"/>
          <w:color w:val="auto"/>
          <w:spacing w:val="-3"/>
          <w:sz w:val="24"/>
          <w:szCs w:val="24"/>
          <w:highlight w:val="none"/>
        </w:rPr>
        <w:t>12</w:t>
      </w:r>
      <w:r>
        <w:rPr>
          <w:rFonts w:hint="default" w:ascii="Times New Roman" w:hAnsi="Times New Roman" w:eastAsia="宋体" w:cs="Times New Roman"/>
          <w:color w:val="auto"/>
          <w:spacing w:val="-3"/>
          <w:sz w:val="24"/>
          <w:szCs w:val="24"/>
          <w:highlight w:val="none"/>
        </w:rPr>
        <w:t>月至翌年</w:t>
      </w:r>
      <w:r>
        <w:rPr>
          <w:rFonts w:hint="default" w:ascii="Times New Roman" w:hAnsi="Times New Roman" w:eastAsia="Times New Roman" w:cs="Times New Roman"/>
          <w:color w:val="auto"/>
          <w:spacing w:val="-3"/>
          <w:sz w:val="24"/>
          <w:szCs w:val="24"/>
          <w:highlight w:val="none"/>
        </w:rPr>
        <w:t>6</w:t>
      </w:r>
      <w:r>
        <w:rPr>
          <w:rFonts w:hint="default" w:ascii="Times New Roman" w:hAnsi="Times New Roman" w:eastAsia="宋体" w:cs="Times New Roman"/>
          <w:color w:val="auto"/>
          <w:spacing w:val="-3"/>
          <w:sz w:val="24"/>
          <w:szCs w:val="24"/>
          <w:highlight w:val="none"/>
        </w:rPr>
        <w:t>月为枯水期，地下水动态基本只受</w:t>
      </w:r>
      <w:r>
        <w:rPr>
          <w:rFonts w:hint="default" w:ascii="Times New Roman" w:hAnsi="Times New Roman" w:eastAsia="宋体" w:cs="Times New Roman"/>
          <w:color w:val="auto"/>
          <w:spacing w:val="-2"/>
          <w:sz w:val="24"/>
          <w:szCs w:val="24"/>
          <w:highlight w:val="none"/>
        </w:rPr>
        <w:t>地下水径流运移的影响；</w:t>
      </w:r>
      <w:r>
        <w:rPr>
          <w:rFonts w:hint="default" w:ascii="Times New Roman" w:hAnsi="Times New Roman" w:eastAsia="Times New Roman" w:cs="Times New Roman"/>
          <w:color w:val="auto"/>
          <w:spacing w:val="-2"/>
          <w:sz w:val="24"/>
          <w:szCs w:val="24"/>
          <w:highlight w:val="none"/>
        </w:rPr>
        <w:t>8~11</w:t>
      </w:r>
      <w:r>
        <w:rPr>
          <w:rFonts w:hint="default" w:ascii="Times New Roman" w:hAnsi="Times New Roman" w:eastAsia="宋体" w:cs="Times New Roman"/>
          <w:color w:val="auto"/>
          <w:spacing w:val="-2"/>
          <w:sz w:val="24"/>
          <w:szCs w:val="24"/>
          <w:highlight w:val="none"/>
        </w:rPr>
        <w:t>月为洪水期、</w:t>
      </w:r>
      <w:r>
        <w:rPr>
          <w:rFonts w:hint="default" w:ascii="Times New Roman" w:hAnsi="Times New Roman" w:eastAsia="Times New Roman" w:cs="Times New Roman"/>
          <w:color w:val="auto"/>
          <w:spacing w:val="-2"/>
          <w:sz w:val="24"/>
          <w:szCs w:val="24"/>
          <w:highlight w:val="none"/>
        </w:rPr>
        <w:t>10</w:t>
      </w:r>
      <w:r>
        <w:rPr>
          <w:rFonts w:hint="default" w:ascii="Times New Roman" w:hAnsi="Times New Roman" w:eastAsia="宋体" w:cs="Times New Roman"/>
          <w:color w:val="auto"/>
          <w:spacing w:val="-2"/>
          <w:sz w:val="24"/>
          <w:szCs w:val="24"/>
          <w:highlight w:val="none"/>
        </w:rPr>
        <w:t>月水位达最高峰，由于地表水洪</w:t>
      </w:r>
      <w:r>
        <w:rPr>
          <w:rFonts w:hint="default" w:ascii="Times New Roman" w:hAnsi="Times New Roman" w:eastAsia="宋体" w:cs="Times New Roman"/>
          <w:color w:val="auto"/>
          <w:spacing w:val="-1"/>
          <w:sz w:val="24"/>
          <w:szCs w:val="24"/>
          <w:highlight w:val="none"/>
        </w:rPr>
        <w:t>流的入渗影响，地下水水位急剧上升，其变</w:t>
      </w:r>
      <w:r>
        <w:rPr>
          <w:rFonts w:hint="default" w:ascii="Times New Roman" w:hAnsi="Times New Roman" w:eastAsia="宋体" w:cs="Times New Roman"/>
          <w:color w:val="auto"/>
          <w:spacing w:val="-2"/>
          <w:sz w:val="24"/>
          <w:szCs w:val="24"/>
          <w:highlight w:val="none"/>
        </w:rPr>
        <w:t>化一般都滞后于地表水的相应变化。</w:t>
      </w:r>
      <w:r>
        <w:rPr>
          <w:rFonts w:hint="default" w:ascii="Times New Roman" w:hAnsi="Times New Roman" w:eastAsia="宋体" w:cs="Times New Roman"/>
          <w:color w:val="auto"/>
          <w:spacing w:val="-4"/>
          <w:sz w:val="24"/>
          <w:szCs w:val="24"/>
          <w:highlight w:val="none"/>
        </w:rPr>
        <w:t>水位年变幅多为</w:t>
      </w:r>
      <w:r>
        <w:rPr>
          <w:rFonts w:hint="default" w:ascii="Times New Roman" w:hAnsi="Times New Roman" w:eastAsia="Times New Roman" w:cs="Times New Roman"/>
          <w:color w:val="auto"/>
          <w:spacing w:val="-4"/>
          <w:sz w:val="24"/>
          <w:szCs w:val="24"/>
          <w:highlight w:val="none"/>
        </w:rPr>
        <w:t>2~5m</w:t>
      </w:r>
      <w:r>
        <w:rPr>
          <w:rFonts w:hint="default" w:ascii="Times New Roman" w:hAnsi="Times New Roman" w:eastAsia="宋体" w:cs="Times New Roman"/>
          <w:color w:val="auto"/>
          <w:spacing w:val="-4"/>
          <w:sz w:val="24"/>
          <w:szCs w:val="24"/>
          <w:highlight w:val="none"/>
        </w:rPr>
        <w:t>，多者达</w:t>
      </w:r>
      <w:r>
        <w:rPr>
          <w:rFonts w:hint="default" w:ascii="Times New Roman" w:hAnsi="Times New Roman" w:eastAsia="Times New Roman" w:cs="Times New Roman"/>
          <w:color w:val="auto"/>
          <w:spacing w:val="-4"/>
          <w:sz w:val="24"/>
          <w:szCs w:val="24"/>
          <w:highlight w:val="none"/>
        </w:rPr>
        <w:t>6m</w:t>
      </w:r>
      <w:r>
        <w:rPr>
          <w:rFonts w:hint="default" w:ascii="Times New Roman" w:hAnsi="Times New Roman" w:eastAsia="宋体" w:cs="Times New Roman"/>
          <w:color w:val="auto"/>
          <w:spacing w:val="-4"/>
          <w:sz w:val="24"/>
          <w:szCs w:val="24"/>
          <w:highlight w:val="none"/>
        </w:rPr>
        <w:t>。</w:t>
      </w:r>
    </w:p>
    <w:p w14:paraId="27C0B01F">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③混合型动态</w:t>
      </w:r>
    </w:p>
    <w:p w14:paraId="1B4FE248">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南部库车沉降储水构造的地下水动态资料缺乏，参考周边地下</w:t>
      </w:r>
      <w:r>
        <w:rPr>
          <w:rFonts w:ascii="宋体" w:hAnsi="宋体" w:eastAsia="宋体" w:cs="宋体"/>
          <w:color w:val="auto"/>
          <w:spacing w:val="-3"/>
          <w:sz w:val="24"/>
          <w:szCs w:val="24"/>
          <w:highlight w:val="none"/>
        </w:rPr>
        <w:t>水动态资料，该区的地下水动态除了受水文、气象因素的影响外，还受地表水丰枯期的制约及</w:t>
      </w:r>
      <w:r>
        <w:rPr>
          <w:rFonts w:ascii="宋体" w:hAnsi="宋体" w:eastAsia="宋体" w:cs="宋体"/>
          <w:color w:val="auto"/>
          <w:spacing w:val="-1"/>
          <w:sz w:val="24"/>
          <w:szCs w:val="24"/>
          <w:highlight w:val="none"/>
        </w:rPr>
        <w:t>灌溉季节的影响。水位动态曲线往往呈现双峰：潜水位在每年的</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月春</w:t>
      </w:r>
      <w:r>
        <w:rPr>
          <w:rFonts w:ascii="宋体" w:hAnsi="宋体" w:eastAsia="宋体" w:cs="宋体"/>
          <w:color w:val="auto"/>
          <w:spacing w:val="-2"/>
          <w:sz w:val="24"/>
          <w:szCs w:val="24"/>
          <w:highlight w:val="none"/>
        </w:rPr>
        <w:t>灌期</w:t>
      </w:r>
      <w:r>
        <w:rPr>
          <w:rFonts w:ascii="宋体" w:hAnsi="宋体" w:eastAsia="宋体" w:cs="宋体"/>
          <w:color w:val="auto"/>
          <w:spacing w:val="-1"/>
          <w:sz w:val="24"/>
          <w:szCs w:val="24"/>
          <w:highlight w:val="none"/>
        </w:rPr>
        <w:t>间上升达年内最高水位；然后呈下降趋势；</w:t>
      </w:r>
      <w:r>
        <w:rPr>
          <w:rFonts w:ascii="Times New Roman" w:hAnsi="Times New Roman" w:eastAsia="Times New Roman" w:cs="Times New Roman"/>
          <w:color w:val="auto"/>
          <w:spacing w:val="-1"/>
          <w:sz w:val="24"/>
          <w:szCs w:val="24"/>
          <w:highlight w:val="none"/>
        </w:rPr>
        <w:t>6</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9</w:t>
      </w:r>
      <w:r>
        <w:rPr>
          <w:rFonts w:ascii="宋体" w:hAnsi="宋体" w:eastAsia="宋体" w:cs="宋体"/>
          <w:color w:val="auto"/>
          <w:spacing w:val="-1"/>
          <w:sz w:val="24"/>
          <w:szCs w:val="24"/>
          <w:highlight w:val="none"/>
        </w:rPr>
        <w:t>月虽为丰水期，但由于夏季气</w:t>
      </w:r>
      <w:r>
        <w:rPr>
          <w:rFonts w:ascii="宋体" w:hAnsi="宋体" w:eastAsia="宋体" w:cs="宋体"/>
          <w:color w:val="auto"/>
          <w:spacing w:val="-2"/>
          <w:sz w:val="24"/>
          <w:szCs w:val="24"/>
          <w:highlight w:val="none"/>
        </w:rPr>
        <w:t>温高，蒸发及植物蒸腾强烈，地下水位起伏波动；</w:t>
      </w:r>
      <w:r>
        <w:rPr>
          <w:rFonts w:ascii="Times New Roman" w:hAnsi="Times New Roman" w:eastAsia="Times New Roman" w:cs="Times New Roman"/>
          <w:color w:val="auto"/>
          <w:spacing w:val="-2"/>
          <w:sz w:val="24"/>
          <w:szCs w:val="24"/>
          <w:highlight w:val="none"/>
        </w:rPr>
        <w:t>9</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11</w:t>
      </w:r>
      <w:r>
        <w:rPr>
          <w:rFonts w:ascii="宋体" w:hAnsi="宋体" w:eastAsia="宋体" w:cs="宋体"/>
          <w:color w:val="auto"/>
          <w:spacing w:val="-2"/>
          <w:sz w:val="24"/>
          <w:szCs w:val="24"/>
          <w:highlight w:val="none"/>
        </w:rPr>
        <w:t>月冬灌期间地下水位重新上升，至</w:t>
      </w:r>
      <w:r>
        <w:rPr>
          <w:rFonts w:ascii="Times New Roman" w:hAnsi="Times New Roman" w:eastAsia="Times New Roman" w:cs="Times New Roman"/>
          <w:color w:val="auto"/>
          <w:spacing w:val="-2"/>
          <w:sz w:val="24"/>
          <w:szCs w:val="24"/>
          <w:highlight w:val="none"/>
        </w:rPr>
        <w:t>11</w:t>
      </w:r>
      <w:r>
        <w:rPr>
          <w:rFonts w:ascii="宋体" w:hAnsi="宋体" w:eastAsia="宋体" w:cs="宋体"/>
          <w:color w:val="auto"/>
          <w:spacing w:val="-2"/>
          <w:sz w:val="24"/>
          <w:szCs w:val="24"/>
          <w:highlight w:val="none"/>
        </w:rPr>
        <w:t>月出现另一峰值；</w:t>
      </w:r>
      <w:r>
        <w:rPr>
          <w:rFonts w:ascii="Times New Roman" w:hAnsi="Times New Roman" w:eastAsia="Times New Roman" w:cs="Times New Roman"/>
          <w:color w:val="auto"/>
          <w:spacing w:val="-2"/>
          <w:sz w:val="24"/>
          <w:szCs w:val="24"/>
          <w:highlight w:val="none"/>
        </w:rPr>
        <w:t>11</w:t>
      </w:r>
      <w:r>
        <w:rPr>
          <w:rFonts w:ascii="宋体" w:hAnsi="宋体" w:eastAsia="宋体" w:cs="宋体"/>
          <w:color w:val="auto"/>
          <w:spacing w:val="-2"/>
          <w:sz w:val="24"/>
          <w:szCs w:val="24"/>
          <w:highlight w:val="none"/>
        </w:rPr>
        <w:t>月后土壤冻结期来临，地下水位逐渐下降，</w:t>
      </w:r>
      <w:r>
        <w:rPr>
          <w:rFonts w:ascii="宋体" w:hAnsi="宋体" w:eastAsia="宋体" w:cs="宋体"/>
          <w:color w:val="auto"/>
          <w:spacing w:val="-3"/>
          <w:sz w:val="24"/>
          <w:szCs w:val="24"/>
          <w:highlight w:val="none"/>
        </w:rPr>
        <w:t>一般至次年</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月达最低值。</w:t>
      </w:r>
    </w:p>
    <w:p w14:paraId="442E3D18">
      <w:pPr>
        <w:pStyle w:val="7"/>
        <w:bidi w:val="0"/>
        <w:rPr>
          <w:rFonts w:hint="default" w:ascii="Times New Roman" w:hAnsi="Times New Roman" w:eastAsia="宋体" w:cs="Times New Roman"/>
          <w:i w:val="0"/>
          <w:color w:val="auto"/>
          <w:sz w:val="24"/>
          <w:highlight w:val="none"/>
        </w:rPr>
      </w:pPr>
      <w:r>
        <w:rPr>
          <w:rFonts w:hint="default" w:ascii="Times New Roman" w:hAnsi="Times New Roman" w:eastAsia="宋体" w:cs="Times New Roman"/>
          <w:i w:val="0"/>
          <w:color w:val="auto"/>
          <w:sz w:val="24"/>
          <w:highlight w:val="none"/>
        </w:rPr>
        <w:fldChar w:fldCharType="begin"/>
      </w:r>
      <w:r>
        <w:rPr>
          <w:rFonts w:hint="default" w:ascii="Times New Roman" w:hAnsi="Times New Roman" w:eastAsia="宋体" w:cs="Times New Roman"/>
          <w:i w:val="0"/>
          <w:color w:val="auto"/>
          <w:sz w:val="24"/>
          <w:highlight w:val="none"/>
        </w:rPr>
        <w:instrText xml:space="preserve"> HYPERLINK "5.4.2.1" </w:instrText>
      </w:r>
      <w:r>
        <w:rPr>
          <w:rFonts w:hint="default" w:ascii="Times New Roman" w:hAnsi="Times New Roman" w:eastAsia="宋体" w:cs="Times New Roman"/>
          <w:i w:val="0"/>
          <w:color w:val="auto"/>
          <w:sz w:val="24"/>
          <w:highlight w:val="none"/>
        </w:rPr>
        <w:fldChar w:fldCharType="separate"/>
      </w:r>
      <w:r>
        <w:rPr>
          <w:rFonts w:hint="default" w:ascii="Times New Roman" w:hAnsi="Times New Roman" w:eastAsia="宋体" w:cs="Times New Roman"/>
          <w:i w:val="0"/>
          <w:color w:val="auto"/>
          <w:sz w:val="24"/>
          <w:highlight w:val="none"/>
        </w:rPr>
        <w:t>5.4.2.1</w:t>
      </w:r>
      <w:r>
        <w:rPr>
          <w:rFonts w:hint="default" w:ascii="Times New Roman" w:hAnsi="Times New Roman" w:eastAsia="宋体" w:cs="Times New Roman"/>
          <w:i w:val="0"/>
          <w:color w:val="auto"/>
          <w:sz w:val="24"/>
          <w:highlight w:val="none"/>
        </w:rPr>
        <w:fldChar w:fldCharType="end"/>
      </w:r>
      <w:r>
        <w:rPr>
          <w:rFonts w:hint="default" w:ascii="Times New Roman" w:hAnsi="Times New Roman" w:eastAsia="宋体" w:cs="Times New Roman"/>
          <w:i w:val="0"/>
          <w:color w:val="auto"/>
          <w:sz w:val="24"/>
          <w:highlight w:val="none"/>
        </w:rPr>
        <w:t>评价区水文地质条件</w:t>
      </w:r>
    </w:p>
    <w:p w14:paraId="5B312FEA">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水文地质条件</w:t>
      </w:r>
    </w:p>
    <w:p w14:paraId="645CEA3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lang w:val="en-US" w:eastAsia="zh-CN"/>
        </w:rPr>
        <w:t>分布在塔里木河北岸。</w:t>
      </w:r>
    </w:p>
    <w:p w14:paraId="296E4A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①包气带岩性、结构、厚度、分布及垂向渗透系数</w:t>
      </w:r>
    </w:p>
    <w:p w14:paraId="5666AB78">
      <w:pPr>
        <w:keepNext w:val="0"/>
        <w:keepLines w:val="0"/>
        <w:pageBreakBefore w:val="0"/>
        <w:widowControl/>
        <w:kinsoku/>
        <w:wordWrap/>
        <w:overflowPunct/>
        <w:topLinePunct w:val="0"/>
        <w:autoSpaceDE/>
        <w:autoSpaceDN/>
        <w:bidi w:val="0"/>
        <w:adjustRightInd w:val="0"/>
        <w:snapToGrid w:val="0"/>
        <w:spacing w:line="360" w:lineRule="auto"/>
        <w:ind w:firstLine="456" w:firstLineChars="200"/>
        <w:jc w:val="both"/>
        <w:textAlignment w:val="auto"/>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在塔里木河以北，从北部-中部的英达里亚、奥依库都克-南部的塔里木农场、塔里木一线，包气带普遍存在于地表以下，包气带岩性主要为粉土和细砂、粉砂，其结构总体来说比较松散，包气带厚度约5m左右，粉土的垂向渗透系数为0.22-0.79m/d，细砂、粉砂的垂向渗透系数为1.15-1.93m/d。包气带天然防污性能较弱。</w:t>
      </w:r>
    </w:p>
    <w:p w14:paraId="05BE8C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②地下水类型、赋存分布规律及含水层空间分布特征</w:t>
      </w:r>
    </w:p>
    <w:p w14:paraId="43CB007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塔里木河以北，地下水类型为双层-多层结构的第四系松散岩类孔隙潜水-承压水。区内广泛分布的第四系砂类地层，为第四系松散岩类孔隙水的赋存、分布提供了一定的储水空间。地下水的埋藏深度变化复杂多样，无规律性，表现为从北部的5m左右向中部变为3-5m，向南部又变为＞5m。</w:t>
      </w:r>
    </w:p>
    <w:p w14:paraId="1560EC3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③含水层的富水性</w:t>
      </w:r>
    </w:p>
    <w:p w14:paraId="6940A53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第四系松散岩类孔隙水广泛分布于区内。将钻孔的单井出水量，统一换算为降深5m、井径8吋时的涌水量（即换算涌水量），然后进行富水性级别的划分。第四系松散岩类孔隙水含水层的富水性级别划分标准见表5.4-1。</w:t>
      </w:r>
    </w:p>
    <w:p w14:paraId="0363B4F3">
      <w:pPr>
        <w:pStyle w:val="44"/>
        <w:bidi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表5.4-1含水层富水性级别划分单位：m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p>
    <w:tbl>
      <w:tblPr>
        <w:tblStyle w:val="60"/>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585"/>
        <w:gridCol w:w="1568"/>
        <w:gridCol w:w="1442"/>
        <w:gridCol w:w="1313"/>
        <w:gridCol w:w="1153"/>
        <w:gridCol w:w="1484"/>
      </w:tblGrid>
      <w:tr w14:paraId="58568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927" w:type="pct"/>
            <w:tcBorders>
              <w:tl2br w:val="nil"/>
              <w:tr2bl w:val="nil"/>
            </w:tcBorders>
            <w:vAlign w:val="top"/>
          </w:tcPr>
          <w:p w14:paraId="01CEC770">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富水性等级</w:t>
            </w:r>
          </w:p>
        </w:tc>
        <w:tc>
          <w:tcPr>
            <w:tcW w:w="917" w:type="pct"/>
            <w:tcBorders>
              <w:tl2br w:val="nil"/>
              <w:tr2bl w:val="nil"/>
            </w:tcBorders>
            <w:vAlign w:val="top"/>
          </w:tcPr>
          <w:p w14:paraId="13FE28BC">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水量极丰富</w:t>
            </w:r>
          </w:p>
        </w:tc>
        <w:tc>
          <w:tcPr>
            <w:tcW w:w="843" w:type="pct"/>
            <w:tcBorders>
              <w:tl2br w:val="nil"/>
              <w:tr2bl w:val="nil"/>
            </w:tcBorders>
            <w:vAlign w:val="top"/>
          </w:tcPr>
          <w:p w14:paraId="5F8B8AFF">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水量丰富</w:t>
            </w:r>
          </w:p>
        </w:tc>
        <w:tc>
          <w:tcPr>
            <w:tcW w:w="768" w:type="pct"/>
            <w:tcBorders>
              <w:tl2br w:val="nil"/>
              <w:tr2bl w:val="nil"/>
            </w:tcBorders>
            <w:vAlign w:val="top"/>
          </w:tcPr>
          <w:p w14:paraId="05E71468">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水量中等</w:t>
            </w:r>
          </w:p>
        </w:tc>
        <w:tc>
          <w:tcPr>
            <w:tcW w:w="674" w:type="pct"/>
            <w:tcBorders>
              <w:tl2br w:val="nil"/>
              <w:tr2bl w:val="nil"/>
            </w:tcBorders>
            <w:vAlign w:val="top"/>
          </w:tcPr>
          <w:p w14:paraId="25F1B147">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水量贫乏</w:t>
            </w:r>
          </w:p>
        </w:tc>
        <w:tc>
          <w:tcPr>
            <w:tcW w:w="868" w:type="pct"/>
            <w:tcBorders>
              <w:tl2br w:val="nil"/>
              <w:tr2bl w:val="nil"/>
            </w:tcBorders>
            <w:vAlign w:val="top"/>
          </w:tcPr>
          <w:p w14:paraId="582A533F">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水量极贫乏</w:t>
            </w:r>
          </w:p>
        </w:tc>
      </w:tr>
      <w:tr w14:paraId="18A1A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 w:hRule="atLeast"/>
        </w:trPr>
        <w:tc>
          <w:tcPr>
            <w:tcW w:w="927" w:type="pct"/>
            <w:tcBorders>
              <w:tl2br w:val="nil"/>
              <w:tr2bl w:val="nil"/>
            </w:tcBorders>
            <w:vAlign w:val="top"/>
          </w:tcPr>
          <w:p w14:paraId="13910036">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单井涌水量</w:t>
            </w:r>
          </w:p>
        </w:tc>
        <w:tc>
          <w:tcPr>
            <w:tcW w:w="917" w:type="pct"/>
            <w:tcBorders>
              <w:tl2br w:val="nil"/>
              <w:tr2bl w:val="nil"/>
            </w:tcBorders>
            <w:vAlign w:val="top"/>
          </w:tcPr>
          <w:p w14:paraId="60ABE560">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&gt;5000</w:t>
            </w:r>
          </w:p>
        </w:tc>
        <w:tc>
          <w:tcPr>
            <w:tcW w:w="843" w:type="pct"/>
            <w:tcBorders>
              <w:tl2br w:val="nil"/>
              <w:tr2bl w:val="nil"/>
            </w:tcBorders>
            <w:vAlign w:val="top"/>
          </w:tcPr>
          <w:p w14:paraId="3F2DA4F9">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1000-5000</w:t>
            </w:r>
          </w:p>
        </w:tc>
        <w:tc>
          <w:tcPr>
            <w:tcW w:w="768" w:type="pct"/>
            <w:tcBorders>
              <w:tl2br w:val="nil"/>
              <w:tr2bl w:val="nil"/>
            </w:tcBorders>
            <w:vAlign w:val="top"/>
          </w:tcPr>
          <w:p w14:paraId="28C7EC88">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100-1000</w:t>
            </w:r>
          </w:p>
        </w:tc>
        <w:tc>
          <w:tcPr>
            <w:tcW w:w="674" w:type="pct"/>
            <w:tcBorders>
              <w:tl2br w:val="nil"/>
              <w:tr2bl w:val="nil"/>
            </w:tcBorders>
            <w:vAlign w:val="top"/>
          </w:tcPr>
          <w:p w14:paraId="2A94D55F">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10-100</w:t>
            </w:r>
          </w:p>
        </w:tc>
        <w:tc>
          <w:tcPr>
            <w:tcW w:w="868" w:type="pct"/>
            <w:tcBorders>
              <w:tl2br w:val="nil"/>
              <w:tr2bl w:val="nil"/>
            </w:tcBorders>
            <w:vAlign w:val="top"/>
          </w:tcPr>
          <w:p w14:paraId="4FE63B3F">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bl>
    <w:p w14:paraId="09CA8D6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塔里木河以北区域的地下水类型为双层-多层结构的第四系松散岩类孔隙潜水-承压水，其富水性可划分为潜水水量中等、承压水水量中等。根据承压含水层的顶板埋藏深度，为承压含水层的顶板埋深50-100m区。</w:t>
      </w:r>
    </w:p>
    <w:p w14:paraId="0A920B8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分布于该区的潜水，潜水位埋深从3m~10m不等，钻孔揭露的潜水含水层厚度＜20m，含水层岩性为第四系细砂、粉砂；换算涌水量为107.3-1000.0m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水量中等；渗透系数为1.05-3.82m/d，影响半径为180.07-350.45m。承压含水层的顶板埋深为50-100m；钻孔揭露的承压含水层厚度＜150m，含水层岩性为第四系细砂、粉砂，隔水层岩性为粉质粘土、粉土；换算涌水量为197-991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/d，水量中等；渗透系数为0.98-4.19m/d，影响半径为182.27-315.97m。</w:t>
      </w:r>
    </w:p>
    <w:p w14:paraId="7FC35B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④地下水的补、径、排条件</w:t>
      </w:r>
    </w:p>
    <w:p w14:paraId="6AF65D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A.补给：</w:t>
      </w:r>
    </w:p>
    <w:p w14:paraId="78C2098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在塔里木河以北区域，地下水的补给来源主要是北部冲洪积平原区地下水的侧向流入补给和地表水的入渗补给。由于气候异常干燥，降水量少而蒸发强烈，因此降水补给量可忽略不计。</w:t>
      </w:r>
    </w:p>
    <w:p w14:paraId="3C869F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地下水的侧向流入补给：区块属于渭干河、库车河冲洪积扇扇缘的一部分，接受渭干河、库车河冲洪积扇中上游地区地下水的侧向流入补给，补给强度取决于潜水含水层的厚度、岩性、地下水的径流条件。</w:t>
      </w:r>
    </w:p>
    <w:p w14:paraId="48682A2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地表水的入渗补给：夏季洪水和冬季的冬闲水流入本区，积存在地表低洼处，通过包气带向下渗漏补给潜水，对于不同地段，包气带的岩性和地层结构不同，地表水对潜水的补给强度不同。</w:t>
      </w:r>
    </w:p>
    <w:p w14:paraId="3264B0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B.径流：区内的潜水含水层岩性主要为粉砂，透水性很差，地层岩性变化较大，地形坡度平缓，造成潜水径流缓慢。地下水的总体流向是从西北向东南方向径流；在塔河北岸沿河地段，地下水是从西向东径流。</w:t>
      </w:r>
    </w:p>
    <w:p w14:paraId="57A43A9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C.排泄：地下水一部分通过侧向流出、潜水蒸发、植物蒸腾排泄，一部分通过人工开采排泄，大部分则排泄至塔里木河中。</w:t>
      </w:r>
    </w:p>
    <w:p w14:paraId="488593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⑤地下水动态特征</w:t>
      </w:r>
    </w:p>
    <w:p w14:paraId="2EF08FB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根据《塔河油田水文地质普查报告》，区内水位随季节发生变化，低水位期在冬季12月，高水位期在夏季8月份，最大水位变幅可达到1m。</w:t>
      </w:r>
    </w:p>
    <w:p w14:paraId="19E4F7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⑥地下水的水化学特征</w:t>
      </w:r>
    </w:p>
    <w:p w14:paraId="632451B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地下水（潜水）主要接受上游地下水的侧向补给及暂时性洪流的入渗补给，水流滞缓，蒸发浓缩作用强烈，水化学类型复杂。在塔里木河以北区域，潜水的水化学类型主要分为三种：</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·Cl型、Cl·SO</w:t>
      </w:r>
      <w:r>
        <w:rPr>
          <w:rFonts w:hint="default" w:ascii="Times New Roman" w:hAnsi="Times New Roman" w:cs="Times New Roman"/>
          <w:color w:val="auto"/>
          <w:highlight w:val="none"/>
          <w:vertAlign w:val="subscript"/>
        </w:rPr>
        <w:t>4</w:t>
      </w:r>
      <w:r>
        <w:rPr>
          <w:rFonts w:hint="default" w:ascii="Times New Roman" w:hAnsi="Times New Roman" w:eastAsia="宋体" w:cs="Times New Roman"/>
          <w:color w:val="auto"/>
          <w:highlight w:val="none"/>
          <w:lang w:val="en-US" w:eastAsia="zh-CN"/>
        </w:rPr>
        <w:t>型和Cl型。区块内潜水矿化度的变化极其复杂，从＜1g/l、1~3g/l、＞10g/l不等，无明显的变化规律。</w:t>
      </w:r>
    </w:p>
    <w:p w14:paraId="1835F0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在塔里木河以北区域，承压水的水化学类型分为三种：</w:t>
      </w:r>
      <w:r>
        <w:rPr>
          <w:rFonts w:hint="default" w:ascii="Times New Roman" w:hAnsi="Times New Roman" w:cs="Times New Roman"/>
          <w:color w:val="auto"/>
          <w:highlight w:val="none"/>
        </w:rPr>
        <w:t>HCO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·Cl</w:t>
      </w:r>
      <w:r>
        <w:rPr>
          <w:rFonts w:hint="default" w:ascii="Times New Roman" w:hAnsi="Times New Roman" w:eastAsia="宋体" w:cs="Times New Roman"/>
          <w:color w:val="auto"/>
          <w:highlight w:val="none"/>
          <w:lang w:val="en-US" w:eastAsia="zh-CN"/>
        </w:rPr>
        <w:t>型、</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·Cl型和Cl·SO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型</w:t>
      </w:r>
      <w:r>
        <w:rPr>
          <w:rFonts w:hint="default" w:ascii="Times New Roman" w:hAnsi="Times New Roman" w:eastAsia="宋体" w:cs="Times New Roman"/>
          <w:color w:val="auto"/>
          <w:highlight w:val="none"/>
          <w:lang w:val="en-US" w:eastAsia="zh-CN"/>
        </w:rPr>
        <w:t>。塔里木河以北区域水文地质图见图</w:t>
      </w:r>
      <w:r>
        <w:rPr>
          <w:rFonts w:hint="default" w:ascii="Times New Roman" w:hAnsi="Times New Roman" w:cs="Times New Roman"/>
          <w:color w:val="auto"/>
          <w:highlight w:val="none"/>
          <w:lang w:val="en-US" w:eastAsia="zh-CN"/>
        </w:rPr>
        <w:t>5.4-</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14:paraId="28CFECA5">
      <w:pPr>
        <w:pStyle w:val="44"/>
        <w:bidi w:val="0"/>
        <w:outlineLvl w:val="9"/>
        <w:rPr>
          <w:rFonts w:hint="default" w:ascii="Times New Roman" w:hAnsi="Times New Roman" w:eastAsia="黑体" w:cs="Times New Roman"/>
          <w:color w:val="auto"/>
          <w:highlight w:val="none"/>
          <w:lang w:eastAsia="zh-CN"/>
        </w:rPr>
      </w:pPr>
    </w:p>
    <w:p w14:paraId="04409EF0">
      <w:pPr>
        <w:pStyle w:val="44"/>
        <w:bidi w:val="0"/>
        <w:outlineLvl w:val="9"/>
        <w:rPr>
          <w:rFonts w:hint="default" w:ascii="Times New Roman" w:hAnsi="Times New Roman" w:eastAsia="黑体" w:cs="Times New Roman"/>
          <w:color w:val="auto"/>
          <w:highlight w:val="none"/>
          <w:lang w:eastAsia="zh-CN"/>
        </w:rPr>
      </w:pPr>
    </w:p>
    <w:p w14:paraId="1FB5E39B">
      <w:pPr>
        <w:pStyle w:val="44"/>
        <w:bidi w:val="0"/>
        <w:outlineLvl w:val="9"/>
        <w:rPr>
          <w:rFonts w:hint="default" w:ascii="Times New Roman" w:hAnsi="Times New Roman" w:eastAsia="黑体" w:cs="Times New Roman"/>
          <w:color w:val="auto"/>
          <w:highlight w:val="none"/>
          <w:lang w:eastAsia="zh-CN"/>
        </w:rPr>
      </w:pPr>
    </w:p>
    <w:p w14:paraId="4C2F1979">
      <w:pPr>
        <w:pStyle w:val="44"/>
        <w:bidi w:val="0"/>
        <w:outlineLvl w:val="9"/>
        <w:rPr>
          <w:rFonts w:hint="default" w:ascii="Times New Roman" w:hAnsi="Times New Roman" w:eastAsia="黑体" w:cs="Times New Roman"/>
          <w:color w:val="auto"/>
          <w:highlight w:val="none"/>
          <w:lang w:eastAsia="zh-CN"/>
        </w:rPr>
      </w:pPr>
    </w:p>
    <w:p w14:paraId="15266068">
      <w:pPr>
        <w:pStyle w:val="44"/>
        <w:bidi w:val="0"/>
        <w:outlineLvl w:val="9"/>
        <w:rPr>
          <w:rFonts w:hint="default" w:ascii="Times New Roman" w:hAnsi="Times New Roman" w:eastAsia="黑体" w:cs="Times New Roman"/>
          <w:color w:val="auto"/>
          <w:highlight w:val="none"/>
          <w:lang w:eastAsia="zh-CN"/>
        </w:rPr>
      </w:pPr>
    </w:p>
    <w:p w14:paraId="3C1A0B70">
      <w:pPr>
        <w:pStyle w:val="44"/>
        <w:bidi w:val="0"/>
        <w:outlineLvl w:val="9"/>
        <w:rPr>
          <w:rFonts w:hint="default" w:ascii="Times New Roman" w:hAnsi="Times New Roman" w:eastAsia="黑体" w:cs="Times New Roman"/>
          <w:color w:val="auto"/>
          <w:highlight w:val="none"/>
          <w:lang w:eastAsia="zh-CN"/>
        </w:rPr>
      </w:pPr>
    </w:p>
    <w:p w14:paraId="67CC1328">
      <w:pPr>
        <w:pStyle w:val="44"/>
        <w:bidi w:val="0"/>
        <w:outlineLvl w:val="9"/>
        <w:rPr>
          <w:rFonts w:hint="default" w:ascii="Times New Roman" w:hAnsi="Times New Roman" w:eastAsia="黑体" w:cs="Times New Roman"/>
          <w:color w:val="auto"/>
          <w:highlight w:val="none"/>
          <w:lang w:eastAsia="zh-CN"/>
        </w:rPr>
      </w:pPr>
    </w:p>
    <w:p w14:paraId="71F5B507">
      <w:pPr>
        <w:pStyle w:val="44"/>
        <w:bidi w:val="0"/>
        <w:outlineLvl w:val="9"/>
        <w:rPr>
          <w:rFonts w:hint="default" w:ascii="Times New Roman" w:hAnsi="Times New Roman" w:eastAsia="黑体" w:cs="Times New Roman"/>
          <w:color w:val="auto"/>
          <w:highlight w:val="none"/>
          <w:lang w:eastAsia="zh-CN"/>
        </w:rPr>
      </w:pPr>
    </w:p>
    <w:p w14:paraId="1C8BBC63">
      <w:pPr>
        <w:pStyle w:val="44"/>
        <w:bidi w:val="0"/>
        <w:outlineLvl w:val="9"/>
        <w:rPr>
          <w:rFonts w:hint="default" w:ascii="Times New Roman" w:hAnsi="Times New Roman" w:eastAsia="黑体" w:cs="Times New Roman"/>
          <w:color w:val="auto"/>
          <w:highlight w:val="none"/>
          <w:lang w:eastAsia="zh-CN"/>
        </w:rPr>
      </w:pPr>
    </w:p>
    <w:p w14:paraId="67C0D8B4">
      <w:pPr>
        <w:pStyle w:val="44"/>
        <w:bidi w:val="0"/>
        <w:outlineLvl w:val="9"/>
        <w:rPr>
          <w:rFonts w:hint="default" w:ascii="Times New Roman" w:hAnsi="Times New Roman" w:eastAsia="黑体" w:cs="Times New Roman"/>
          <w:color w:val="auto"/>
          <w:highlight w:val="none"/>
          <w:lang w:eastAsia="zh-CN"/>
        </w:rPr>
      </w:pPr>
    </w:p>
    <w:p w14:paraId="39F91E06">
      <w:pPr>
        <w:pStyle w:val="44"/>
        <w:bidi w:val="0"/>
        <w:outlineLvl w:val="9"/>
        <w:rPr>
          <w:rFonts w:hint="default" w:ascii="Times New Roman" w:hAnsi="Times New Roman" w:eastAsia="黑体" w:cs="Times New Roman"/>
          <w:color w:val="auto"/>
          <w:highlight w:val="none"/>
          <w:lang w:eastAsia="zh-CN"/>
        </w:rPr>
      </w:pPr>
    </w:p>
    <w:p w14:paraId="131314F8">
      <w:pPr>
        <w:pStyle w:val="44"/>
        <w:bidi w:val="0"/>
        <w:outlineLvl w:val="9"/>
        <w:rPr>
          <w:rFonts w:hint="default" w:ascii="Times New Roman" w:hAnsi="Times New Roman" w:eastAsia="黑体" w:cs="Times New Roman"/>
          <w:color w:val="auto"/>
          <w:highlight w:val="none"/>
          <w:lang w:eastAsia="zh-CN"/>
        </w:rPr>
      </w:pPr>
    </w:p>
    <w:p w14:paraId="0788035D">
      <w:pPr>
        <w:pStyle w:val="44"/>
        <w:bidi w:val="0"/>
        <w:outlineLvl w:val="9"/>
        <w:rPr>
          <w:rFonts w:hint="default" w:ascii="Times New Roman" w:hAnsi="Times New Roman" w:eastAsia="黑体" w:cs="Times New Roman"/>
          <w:color w:val="auto"/>
          <w:highlight w:val="none"/>
          <w:lang w:eastAsia="zh-CN"/>
        </w:rPr>
      </w:pPr>
    </w:p>
    <w:p w14:paraId="12D11B35">
      <w:pPr>
        <w:pStyle w:val="44"/>
        <w:bidi w:val="0"/>
        <w:outlineLvl w:val="9"/>
        <w:rPr>
          <w:rFonts w:hint="default" w:ascii="Times New Roman" w:hAnsi="Times New Roman" w:eastAsia="黑体" w:cs="Times New Roman"/>
          <w:color w:val="auto"/>
          <w:highlight w:val="none"/>
          <w:lang w:eastAsia="zh-CN"/>
        </w:rPr>
      </w:pPr>
    </w:p>
    <w:p w14:paraId="7A5A4C28">
      <w:pPr>
        <w:pStyle w:val="44"/>
        <w:bidi w:val="0"/>
        <w:outlineLvl w:val="9"/>
        <w:rPr>
          <w:rFonts w:hint="default" w:ascii="Times New Roman" w:hAnsi="Times New Roman" w:eastAsia="黑体" w:cs="Times New Roman"/>
          <w:color w:val="auto"/>
          <w:highlight w:val="none"/>
          <w:lang w:eastAsia="zh-CN"/>
        </w:rPr>
      </w:pPr>
    </w:p>
    <w:p w14:paraId="2716AD98">
      <w:pPr>
        <w:pStyle w:val="44"/>
        <w:bidi w:val="0"/>
        <w:outlineLvl w:val="9"/>
        <w:rPr>
          <w:rFonts w:hint="default" w:ascii="Times New Roman" w:hAnsi="Times New Roman" w:eastAsia="黑体" w:cs="Times New Roman"/>
          <w:color w:val="auto"/>
          <w:highlight w:val="none"/>
          <w:lang w:eastAsia="zh-CN"/>
        </w:rPr>
      </w:pPr>
    </w:p>
    <w:p w14:paraId="7F6CB88E">
      <w:pPr>
        <w:pStyle w:val="44"/>
        <w:bidi w:val="0"/>
        <w:outlineLvl w:val="9"/>
        <w:rPr>
          <w:rFonts w:hint="default" w:ascii="Times New Roman" w:hAnsi="Times New Roman" w:eastAsia="黑体" w:cs="Times New Roman"/>
          <w:color w:val="auto"/>
          <w:highlight w:val="none"/>
          <w:lang w:eastAsia="zh-CN"/>
        </w:rPr>
      </w:pPr>
    </w:p>
    <w:p w14:paraId="040C7D2D">
      <w:pPr>
        <w:pStyle w:val="44"/>
        <w:bidi w:val="0"/>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5.4-</w:t>
      </w:r>
      <w:r>
        <w:rPr>
          <w:rFonts w:hint="eastAsia" w:cs="Times New Roman"/>
          <w:color w:val="auto"/>
          <w:highlight w:val="none"/>
          <w:lang w:val="en-US" w:eastAsia="zh-CN"/>
        </w:rPr>
        <w:t xml:space="preserve">2  </w:t>
      </w:r>
      <w:r>
        <w:rPr>
          <w:rFonts w:hint="default" w:ascii="Times New Roman" w:hAnsi="Times New Roman" w:cs="Times New Roman"/>
          <w:color w:val="auto"/>
          <w:highlight w:val="none"/>
          <w:lang w:val="en-US" w:eastAsia="zh-CN"/>
        </w:rPr>
        <w:t>塔里木河以北区域水文地质图</w:t>
      </w:r>
    </w:p>
    <w:p w14:paraId="261B996E">
      <w:pPr>
        <w:keepNext w:val="0"/>
        <w:keepLines w:val="0"/>
        <w:pageBreakBefore w:val="0"/>
        <w:widowControl/>
        <w:kinsoku/>
        <w:wordWrap/>
        <w:overflowPunct/>
        <w:topLinePunct w:val="0"/>
        <w:autoSpaceDE/>
        <w:autoSpaceDN/>
        <w:bidi w:val="0"/>
        <w:adjustRightInd w:val="0"/>
        <w:snapToGrid w:val="0"/>
        <w:spacing w:before="164" w:beforeLines="50" w:line="360" w:lineRule="auto"/>
        <w:ind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）地下水开发利用现状</w:t>
      </w:r>
    </w:p>
    <w:p w14:paraId="1A76A35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评价区内具有供水意义的地下水位第四系松散岩类孔隙水。区内潜水的矿化度一般大于5g/L，部分大于10g/L，矿化度较高，地下水水质极差，均为不宜饮用的地下水；承压水水质良好，适合于生活饮用。</w:t>
      </w:r>
    </w:p>
    <w:p w14:paraId="4F8FACC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评价区内地下水水质较差。咸水作为区内地下水资源的背景资源，不宜大量开采。微咸水作为咸水的淡化水，其分布特征与区内故河道的规模、展布方向密切相关，一般呈条带状，具有埋藏浅、分布厚度小、分布不稳定、易变、易受外界影响的特点，其开采开发不易形成规模，有布井距离大、成井深度小、维护困难等特点。根据调查，本项目区处在人烟稀少的荒漠地带，评价区内地下水没有开采利用及规划。</w:t>
      </w:r>
    </w:p>
    <w:p w14:paraId="66349857">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）包气带污染现状调查</w:t>
      </w:r>
    </w:p>
    <w:p w14:paraId="6BD349A8">
      <w:pPr>
        <w:keepNext w:val="0"/>
        <w:keepLines w:val="0"/>
        <w:pageBreakBefore w:val="0"/>
        <w:widowControl/>
        <w:kinsoku/>
        <w:wordWrap/>
        <w:overflowPunct/>
        <w:topLinePunct w:val="0"/>
        <w:autoSpaceDE/>
        <w:autoSpaceDN/>
        <w:bidi w:val="0"/>
        <w:spacing w:line="360" w:lineRule="auto"/>
        <w:ind w:left="0" w:right="0" w:firstLine="468" w:firstLineChars="200"/>
        <w:jc w:val="both"/>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根据搜集资料，塔河油田区块内包气带岩性主要有：第四系松散</w:t>
      </w:r>
      <w:r>
        <w:rPr>
          <w:rFonts w:ascii="宋体" w:hAnsi="宋体" w:eastAsia="宋体" w:cs="宋体"/>
          <w:color w:val="auto"/>
          <w:spacing w:val="-4"/>
          <w:sz w:val="24"/>
          <w:szCs w:val="24"/>
          <w:highlight w:val="none"/>
        </w:rPr>
        <w:t>岩类粉质粘</w:t>
      </w:r>
      <w:r>
        <w:rPr>
          <w:rFonts w:ascii="宋体" w:hAnsi="宋体" w:eastAsia="宋体" w:cs="宋体"/>
          <w:color w:val="auto"/>
          <w:spacing w:val="-3"/>
          <w:sz w:val="24"/>
          <w:szCs w:val="24"/>
          <w:highlight w:val="none"/>
        </w:rPr>
        <w:t>土、粉土和细砂，第四系包气带厚度</w:t>
      </w:r>
      <w:r>
        <w:rPr>
          <w:rFonts w:ascii="宋体" w:hAnsi="宋体" w:eastAsia="宋体" w:cs="宋体"/>
          <w:color w:val="auto"/>
          <w:spacing w:val="-49"/>
          <w:sz w:val="24"/>
          <w:szCs w:val="24"/>
          <w:highlight w:val="none"/>
        </w:rPr>
        <w:t xml:space="preserve"> </w:t>
      </w:r>
      <w:r>
        <w:rPr>
          <w:rFonts w:ascii="Times New Roman" w:hAnsi="Times New Roman" w:eastAsia="Times New Roman" w:cs="Times New Roman"/>
          <w:color w:val="auto"/>
          <w:spacing w:val="-3"/>
          <w:sz w:val="24"/>
          <w:szCs w:val="24"/>
          <w:highlight w:val="none"/>
        </w:rPr>
        <w:t>5.</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3"/>
          <w:sz w:val="24"/>
          <w:szCs w:val="24"/>
          <w:highlight w:val="none"/>
        </w:rPr>
        <w:t>1m</w:t>
      </w: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11.8m</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4"/>
          <w:sz w:val="24"/>
          <w:szCs w:val="24"/>
          <w:highlight w:val="none"/>
        </w:rPr>
        <w:t>。根据区内已进行过的渗水试</w:t>
      </w:r>
      <w:r>
        <w:rPr>
          <w:rFonts w:ascii="宋体" w:hAnsi="宋体" w:eastAsia="宋体" w:cs="宋体"/>
          <w:color w:val="auto"/>
          <w:spacing w:val="-3"/>
          <w:sz w:val="24"/>
          <w:szCs w:val="24"/>
          <w:highlight w:val="none"/>
        </w:rPr>
        <w:t>验成果，粉质粘土垂直渗透系数</w:t>
      </w:r>
      <w:r>
        <w:rPr>
          <w:rFonts w:ascii="Times New Roman" w:hAnsi="Times New Roman" w:eastAsia="Times New Roman" w:cs="Times New Roman"/>
          <w:color w:val="auto"/>
          <w:spacing w:val="-3"/>
          <w:sz w:val="24"/>
          <w:szCs w:val="24"/>
          <w:highlight w:val="none"/>
        </w:rPr>
        <w:t>5.56×</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3"/>
          <w:sz w:val="24"/>
          <w:szCs w:val="24"/>
          <w:highlight w:val="none"/>
        </w:rPr>
        <w:t>10</w:t>
      </w:r>
      <w:r>
        <w:rPr>
          <w:rFonts w:ascii="Times New Roman" w:hAnsi="Times New Roman" w:eastAsia="Times New Roman" w:cs="Times New Roman"/>
          <w:color w:val="auto"/>
          <w:spacing w:val="-3"/>
          <w:position w:val="8"/>
          <w:sz w:val="15"/>
          <w:szCs w:val="15"/>
          <w:highlight w:val="none"/>
        </w:rPr>
        <w:t>-5</w:t>
      </w:r>
      <w:r>
        <w:rPr>
          <w:rFonts w:ascii="Times New Roman" w:hAnsi="Times New Roman" w:eastAsia="Times New Roman" w:cs="Times New Roman"/>
          <w:color w:val="auto"/>
          <w:spacing w:val="-3"/>
          <w:sz w:val="24"/>
          <w:szCs w:val="24"/>
          <w:highlight w:val="none"/>
        </w:rPr>
        <w:t>cm/s</w:t>
      </w: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1.11×</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3"/>
          <w:sz w:val="24"/>
          <w:szCs w:val="24"/>
          <w:highlight w:val="none"/>
        </w:rPr>
        <w:t>10</w:t>
      </w:r>
      <w:r>
        <w:rPr>
          <w:rFonts w:ascii="Times New Roman" w:hAnsi="Times New Roman" w:eastAsia="Times New Roman" w:cs="Times New Roman"/>
          <w:color w:val="auto"/>
          <w:spacing w:val="-3"/>
          <w:position w:val="8"/>
          <w:sz w:val="15"/>
          <w:szCs w:val="15"/>
          <w:highlight w:val="none"/>
        </w:rPr>
        <w:t>-4</w:t>
      </w:r>
      <w:r>
        <w:rPr>
          <w:rFonts w:ascii="Times New Roman" w:hAnsi="Times New Roman" w:eastAsia="Times New Roman" w:cs="Times New Roman"/>
          <w:color w:val="auto"/>
          <w:spacing w:val="-3"/>
          <w:sz w:val="24"/>
          <w:szCs w:val="24"/>
          <w:highlight w:val="none"/>
        </w:rPr>
        <w:t>cm/s</w:t>
      </w:r>
      <w:r>
        <w:rPr>
          <w:rFonts w:ascii="Times New Roman" w:hAnsi="Times New Roman" w:eastAsia="Times New Roman" w:cs="Times New Roman"/>
          <w:color w:val="auto"/>
          <w:spacing w:val="-31"/>
          <w:sz w:val="24"/>
          <w:szCs w:val="24"/>
          <w:highlight w:val="none"/>
        </w:rPr>
        <w:t xml:space="preserve"> </w:t>
      </w:r>
      <w:r>
        <w:rPr>
          <w:rFonts w:ascii="宋体" w:hAnsi="宋体" w:eastAsia="宋体" w:cs="宋体"/>
          <w:color w:val="auto"/>
          <w:spacing w:val="-3"/>
          <w:sz w:val="24"/>
          <w:szCs w:val="24"/>
          <w:highlight w:val="none"/>
        </w:rPr>
        <w:t>，粉土垂直渗透系</w:t>
      </w:r>
      <w:r>
        <w:rPr>
          <w:rFonts w:ascii="宋体" w:hAnsi="宋体" w:eastAsia="宋体" w:cs="宋体"/>
          <w:color w:val="auto"/>
          <w:spacing w:val="-9"/>
          <w:sz w:val="24"/>
          <w:szCs w:val="24"/>
          <w:highlight w:val="none"/>
        </w:rPr>
        <w:t>数</w:t>
      </w:r>
      <w:r>
        <w:rPr>
          <w:rFonts w:ascii="Times New Roman" w:hAnsi="Times New Roman" w:eastAsia="Times New Roman" w:cs="Times New Roman"/>
          <w:color w:val="auto"/>
          <w:spacing w:val="-9"/>
          <w:sz w:val="24"/>
          <w:szCs w:val="24"/>
          <w:highlight w:val="none"/>
        </w:rPr>
        <w:t>1.67×</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9"/>
          <w:sz w:val="24"/>
          <w:szCs w:val="24"/>
          <w:highlight w:val="none"/>
        </w:rPr>
        <w:t>10</w:t>
      </w:r>
      <w:r>
        <w:rPr>
          <w:rFonts w:ascii="Times New Roman" w:hAnsi="Times New Roman" w:eastAsia="Times New Roman" w:cs="Times New Roman"/>
          <w:color w:val="auto"/>
          <w:spacing w:val="-2"/>
          <w:position w:val="7"/>
          <w:sz w:val="15"/>
          <w:szCs w:val="15"/>
          <w:highlight w:val="none"/>
        </w:rPr>
        <w:t>-4</w:t>
      </w:r>
      <w:r>
        <w:rPr>
          <w:rFonts w:ascii="Times New Roman" w:hAnsi="Times New Roman" w:eastAsia="Times New Roman" w:cs="Times New Roman"/>
          <w:color w:val="auto"/>
          <w:spacing w:val="-2"/>
          <w:sz w:val="24"/>
          <w:szCs w:val="24"/>
          <w:highlight w:val="none"/>
        </w:rPr>
        <w:t>cm/s</w:t>
      </w:r>
      <w:r>
        <w:rPr>
          <w:rFonts w:ascii="宋体" w:hAnsi="宋体" w:eastAsia="宋体" w:cs="宋体"/>
          <w:color w:val="auto"/>
          <w:spacing w:val="-2"/>
          <w:sz w:val="24"/>
          <w:szCs w:val="24"/>
          <w:highlight w:val="none"/>
        </w:rPr>
        <w:t>～</w:t>
      </w:r>
      <w:r>
        <w:rPr>
          <w:rFonts w:ascii="宋体" w:hAnsi="宋体" w:eastAsia="宋体" w:cs="宋体"/>
          <w:color w:val="auto"/>
          <w:spacing w:val="-47"/>
          <w:sz w:val="24"/>
          <w:szCs w:val="24"/>
          <w:highlight w:val="none"/>
        </w:rPr>
        <w:t xml:space="preserve"> </w:t>
      </w:r>
      <w:r>
        <w:rPr>
          <w:rFonts w:ascii="Times New Roman" w:hAnsi="Times New Roman" w:eastAsia="Times New Roman" w:cs="Times New Roman"/>
          <w:color w:val="auto"/>
          <w:spacing w:val="-2"/>
          <w:sz w:val="24"/>
          <w:szCs w:val="24"/>
          <w:highlight w:val="none"/>
        </w:rPr>
        <w:t>6.67×</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2"/>
          <w:sz w:val="24"/>
          <w:szCs w:val="24"/>
          <w:highlight w:val="none"/>
        </w:rPr>
        <w:t>10</w:t>
      </w:r>
      <w:r>
        <w:rPr>
          <w:rFonts w:ascii="Times New Roman" w:hAnsi="Times New Roman" w:eastAsia="Times New Roman" w:cs="Times New Roman"/>
          <w:color w:val="auto"/>
          <w:spacing w:val="-2"/>
          <w:position w:val="7"/>
          <w:sz w:val="15"/>
          <w:szCs w:val="15"/>
          <w:highlight w:val="none"/>
        </w:rPr>
        <w:t>-4</w:t>
      </w:r>
      <w:r>
        <w:rPr>
          <w:rFonts w:ascii="Times New Roman" w:hAnsi="Times New Roman" w:eastAsia="Times New Roman" w:cs="Times New Roman"/>
          <w:color w:val="auto"/>
          <w:spacing w:val="-2"/>
          <w:sz w:val="24"/>
          <w:szCs w:val="24"/>
          <w:highlight w:val="none"/>
        </w:rPr>
        <w:t>cm/s</w:t>
      </w:r>
      <w:r>
        <w:rPr>
          <w:rFonts w:ascii="宋体" w:hAnsi="宋体" w:eastAsia="宋体" w:cs="宋体"/>
          <w:color w:val="auto"/>
          <w:spacing w:val="-2"/>
          <w:sz w:val="24"/>
          <w:szCs w:val="24"/>
          <w:highlight w:val="none"/>
        </w:rPr>
        <w:t>，</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细</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砂</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垂</w:t>
      </w:r>
      <w:r>
        <w:rPr>
          <w:rFonts w:ascii="宋体" w:hAnsi="宋体" w:eastAsia="宋体" w:cs="宋体"/>
          <w:color w:val="auto"/>
          <w:spacing w:val="-44"/>
          <w:sz w:val="24"/>
          <w:szCs w:val="24"/>
          <w:highlight w:val="none"/>
        </w:rPr>
        <w:t xml:space="preserve"> </w:t>
      </w:r>
      <w:r>
        <w:rPr>
          <w:rFonts w:ascii="宋体" w:hAnsi="宋体" w:eastAsia="宋体" w:cs="宋体"/>
          <w:color w:val="auto"/>
          <w:spacing w:val="-3"/>
          <w:sz w:val="24"/>
          <w:szCs w:val="24"/>
          <w:highlight w:val="none"/>
        </w:rPr>
        <w:t>直</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渗</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透</w:t>
      </w:r>
      <w:r>
        <w:rPr>
          <w:rFonts w:ascii="宋体" w:hAnsi="宋体" w:eastAsia="宋体" w:cs="宋体"/>
          <w:color w:val="auto"/>
          <w:spacing w:val="-43"/>
          <w:sz w:val="24"/>
          <w:szCs w:val="24"/>
          <w:highlight w:val="none"/>
        </w:rPr>
        <w:t xml:space="preserve"> </w:t>
      </w:r>
      <w:r>
        <w:rPr>
          <w:rFonts w:ascii="宋体" w:hAnsi="宋体" w:eastAsia="宋体" w:cs="宋体"/>
          <w:color w:val="auto"/>
          <w:spacing w:val="-3"/>
          <w:sz w:val="24"/>
          <w:szCs w:val="24"/>
          <w:highlight w:val="none"/>
        </w:rPr>
        <w:t>系</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数</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为</w:t>
      </w:r>
      <w:r>
        <w:rPr>
          <w:rFonts w:ascii="Times New Roman" w:hAnsi="Times New Roman" w:eastAsia="Times New Roman" w:cs="Times New Roman"/>
          <w:color w:val="auto"/>
          <w:spacing w:val="-3"/>
          <w:sz w:val="24"/>
          <w:szCs w:val="24"/>
          <w:highlight w:val="none"/>
        </w:rPr>
        <w:t>6.11×</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3"/>
          <w:sz w:val="24"/>
          <w:szCs w:val="24"/>
          <w:highlight w:val="none"/>
        </w:rPr>
        <w:t>10</w:t>
      </w:r>
      <w:r>
        <w:rPr>
          <w:rFonts w:ascii="Times New Roman" w:hAnsi="Times New Roman" w:eastAsia="Times New Roman" w:cs="Times New Roman"/>
          <w:color w:val="auto"/>
          <w:spacing w:val="-3"/>
          <w:position w:val="7"/>
          <w:sz w:val="15"/>
          <w:szCs w:val="15"/>
          <w:highlight w:val="none"/>
        </w:rPr>
        <w:t>-4</w:t>
      </w:r>
      <w:r>
        <w:rPr>
          <w:rFonts w:ascii="Times New Roman" w:hAnsi="Times New Roman" w:eastAsia="Times New Roman" w:cs="Times New Roman"/>
          <w:color w:val="auto"/>
          <w:spacing w:val="-3"/>
          <w:sz w:val="24"/>
          <w:szCs w:val="24"/>
          <w:highlight w:val="none"/>
        </w:rPr>
        <w:t>cm/s</w:t>
      </w:r>
      <w:r>
        <w:rPr>
          <w:rFonts w:ascii="Times New Roman" w:hAnsi="Times New Roman" w:eastAsia="Times New Roman" w:cs="Times New Roman"/>
          <w:color w:val="auto"/>
          <w:spacing w:val="19"/>
          <w:w w:val="101"/>
          <w:sz w:val="24"/>
          <w:szCs w:val="24"/>
          <w:highlight w:val="none"/>
        </w:rPr>
        <w:t xml:space="preserve"> </w:t>
      </w:r>
      <w:r>
        <w:rPr>
          <w:rFonts w:hint="eastAsia" w:ascii="Times New Roman" w:hAnsi="Times New Roman" w:eastAsia="宋体" w:cs="Times New Roman"/>
          <w:color w:val="auto"/>
          <w:spacing w:val="19"/>
          <w:w w:val="101"/>
          <w:sz w:val="24"/>
          <w:szCs w:val="24"/>
          <w:highlight w:val="none"/>
          <w:lang w:val="en-US" w:eastAsia="zh-CN"/>
        </w:rPr>
        <w:t>~</w:t>
      </w:r>
      <w:r>
        <w:rPr>
          <w:rFonts w:ascii="Times New Roman" w:hAnsi="Times New Roman" w:eastAsia="Times New Roman" w:cs="Times New Roman"/>
          <w:color w:val="auto"/>
          <w:spacing w:val="-3"/>
          <w:sz w:val="24"/>
          <w:szCs w:val="24"/>
          <w:highlight w:val="none"/>
        </w:rPr>
        <w:t>8.89×</w:t>
      </w:r>
      <w:r>
        <w:rPr>
          <w:rFonts w:ascii="Times New Roman" w:hAnsi="Times New Roman" w:eastAsia="Times New Roman" w:cs="Times New Roman"/>
          <w:color w:val="auto"/>
          <w:spacing w:val="-24"/>
          <w:sz w:val="24"/>
          <w:szCs w:val="24"/>
          <w:highlight w:val="none"/>
        </w:rPr>
        <w:t xml:space="preserve"> </w:t>
      </w:r>
      <w:r>
        <w:rPr>
          <w:rFonts w:ascii="Times New Roman" w:hAnsi="Times New Roman" w:eastAsia="Times New Roman" w:cs="Times New Roman"/>
          <w:color w:val="auto"/>
          <w:spacing w:val="-3"/>
          <w:sz w:val="24"/>
          <w:szCs w:val="24"/>
          <w:highlight w:val="none"/>
        </w:rPr>
        <w:t>10</w:t>
      </w:r>
      <w:r>
        <w:rPr>
          <w:rFonts w:ascii="Times New Roman" w:hAnsi="Times New Roman" w:eastAsia="Times New Roman" w:cs="Times New Roman"/>
          <w:color w:val="auto"/>
          <w:spacing w:val="-3"/>
          <w:position w:val="7"/>
          <w:sz w:val="15"/>
          <w:szCs w:val="15"/>
          <w:highlight w:val="none"/>
        </w:rPr>
        <w:t>-4</w:t>
      </w:r>
      <w:r>
        <w:rPr>
          <w:rFonts w:ascii="Times New Roman" w:hAnsi="Times New Roman" w:eastAsia="Times New Roman" w:cs="Times New Roman"/>
          <w:color w:val="auto"/>
          <w:spacing w:val="-3"/>
          <w:sz w:val="24"/>
          <w:szCs w:val="24"/>
          <w:highlight w:val="none"/>
        </w:rPr>
        <w:t>cm/s</w:t>
      </w:r>
      <w:r>
        <w:rPr>
          <w:rFonts w:ascii="宋体" w:hAnsi="宋体" w:eastAsia="宋体" w:cs="宋体"/>
          <w:color w:val="auto"/>
          <w:spacing w:val="-3"/>
          <w:sz w:val="24"/>
          <w:szCs w:val="24"/>
          <w:highlight w:val="none"/>
        </w:rPr>
        <w:t>，包气带防污性能为</w:t>
      </w:r>
      <w:r>
        <w:rPr>
          <w:rFonts w:ascii="Times New Roman" w:hAnsi="Times New Roman" w:eastAsia="Times New Roman" w:cs="Times New Roman"/>
          <w:color w:val="auto"/>
          <w:spacing w:val="-3"/>
          <w:sz w:val="24"/>
          <w:szCs w:val="24"/>
          <w:highlight w:val="none"/>
        </w:rPr>
        <w:t>“</w:t>
      </w:r>
      <w:r>
        <w:rPr>
          <w:rFonts w:ascii="宋体" w:hAnsi="宋体" w:eastAsia="宋体" w:cs="宋体"/>
          <w:color w:val="auto"/>
          <w:spacing w:val="-3"/>
          <w:sz w:val="24"/>
          <w:szCs w:val="24"/>
          <w:highlight w:val="none"/>
        </w:rPr>
        <w:t>弱</w:t>
      </w:r>
      <w:r>
        <w:rPr>
          <w:rFonts w:ascii="Times New Roman" w:hAnsi="Times New Roman" w:eastAsia="Times New Roman" w:cs="Times New Roman"/>
          <w:color w:val="auto"/>
          <w:spacing w:val="-3"/>
          <w:sz w:val="24"/>
          <w:szCs w:val="24"/>
          <w:highlight w:val="none"/>
        </w:rPr>
        <w:t>”</w:t>
      </w:r>
      <w:r>
        <w:rPr>
          <w:rFonts w:ascii="宋体" w:hAnsi="宋体" w:eastAsia="宋体" w:cs="宋体"/>
          <w:color w:val="auto"/>
          <w:spacing w:val="-3"/>
          <w:sz w:val="24"/>
          <w:szCs w:val="24"/>
          <w:highlight w:val="none"/>
        </w:rPr>
        <w:t>。</w:t>
      </w:r>
    </w:p>
    <w:p w14:paraId="37862EA6">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中国石化西北油田分公司土壤和地下水环境初步调查报告》中的调查结论，各监测点表层土壤样品中重金属、挥发性及半挥发性有机物检测数值波动较小，均满足《土壤环境质量建设用地土壤污染风险管控标准（试行）》（GB36600-2018）第二类用地筛选值；总石油烃检测结果浮动相对较大，但是总体均可满足《土壤环境质量建设用地土壤污染风险管控标准（试行）》（GB36600-2018）第二类用地筛选值，包气带土壤质量状况良好。</w:t>
      </w:r>
    </w:p>
    <w:p w14:paraId="05C134D6">
      <w:pPr>
        <w:pStyle w:val="7"/>
        <w:bidi w:val="0"/>
        <w:rPr>
          <w:rFonts w:hint="default" w:ascii="Times New Roman" w:hAnsi="Times New Roman" w:eastAsia="宋体" w:cs="Times New Roman"/>
          <w:i w:val="0"/>
          <w:color w:val="auto"/>
          <w:sz w:val="24"/>
          <w:highlight w:val="none"/>
        </w:rPr>
      </w:pPr>
      <w:r>
        <w:rPr>
          <w:rFonts w:hint="default" w:ascii="Times New Roman" w:hAnsi="Times New Roman" w:eastAsia="宋体" w:cs="Times New Roman"/>
          <w:i w:val="0"/>
          <w:color w:val="auto"/>
          <w:sz w:val="24"/>
          <w:highlight w:val="none"/>
        </w:rPr>
        <w:fldChar w:fldCharType="begin"/>
      </w:r>
      <w:r>
        <w:rPr>
          <w:rFonts w:hint="default" w:ascii="Times New Roman" w:hAnsi="Times New Roman" w:eastAsia="宋体" w:cs="Times New Roman"/>
          <w:i w:val="0"/>
          <w:color w:val="auto"/>
          <w:sz w:val="24"/>
          <w:highlight w:val="none"/>
        </w:rPr>
        <w:instrText xml:space="preserve"> HYPERLINK "5.4.2.2" </w:instrText>
      </w:r>
      <w:r>
        <w:rPr>
          <w:rFonts w:hint="default" w:ascii="Times New Roman" w:hAnsi="Times New Roman" w:eastAsia="宋体" w:cs="Times New Roman"/>
          <w:i w:val="0"/>
          <w:color w:val="auto"/>
          <w:sz w:val="24"/>
          <w:highlight w:val="none"/>
        </w:rPr>
        <w:fldChar w:fldCharType="separate"/>
      </w:r>
      <w:r>
        <w:rPr>
          <w:rFonts w:hint="default" w:ascii="Times New Roman" w:hAnsi="Times New Roman" w:eastAsia="宋体" w:cs="Times New Roman"/>
          <w:i w:val="0"/>
          <w:color w:val="auto"/>
          <w:sz w:val="24"/>
          <w:highlight w:val="none"/>
        </w:rPr>
        <w:t>5.4.2.2</w:t>
      </w:r>
      <w:r>
        <w:rPr>
          <w:rFonts w:hint="default" w:ascii="Times New Roman" w:hAnsi="Times New Roman" w:eastAsia="宋体" w:cs="Times New Roman"/>
          <w:i w:val="0"/>
          <w:color w:val="auto"/>
          <w:sz w:val="24"/>
          <w:highlight w:val="none"/>
        </w:rPr>
        <w:fldChar w:fldCharType="end"/>
      </w:r>
      <w:r>
        <w:rPr>
          <w:rFonts w:hint="default" w:ascii="Times New Roman" w:hAnsi="Times New Roman" w:eastAsia="宋体" w:cs="Times New Roman"/>
          <w:i w:val="0"/>
          <w:color w:val="auto"/>
          <w:sz w:val="24"/>
          <w:highlight w:val="none"/>
        </w:rPr>
        <w:t>施工期地下水环境影响分析</w:t>
      </w:r>
    </w:p>
    <w:p w14:paraId="352C14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（1）正常状况下水环境影响分析</w:t>
      </w:r>
    </w:p>
    <w:p w14:paraId="3FF3B1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本项目侧</w:t>
      </w:r>
      <w:r>
        <w:rPr>
          <w:rFonts w:hint="default" w:ascii="Times New Roman" w:hAnsi="Times New Roman" w:eastAsia="宋体" w:cs="Times New Roman"/>
          <w:color w:val="auto"/>
          <w:highlight w:val="none"/>
          <w:lang w:val="en-US" w:eastAsia="zh-CN"/>
        </w:rPr>
        <w:t>钻井施工过程中采用下套管注水泥固井完井方式，对含水层进行了封固处理，有效保护地下水层，同时严格要求套管下入深度，可有效控制钻井液在地层中的漏失，减轻对地下水的影响。井深超过5000m，远超出了项目所在区域地下水含水层深度，正常状况下，不会对地下水产生影响。</w:t>
      </w:r>
    </w:p>
    <w:p w14:paraId="3790BE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废水主要包括钻井废水、压裂返排液、试压废水和生活污水。根据目前油气田钻井实际情况，钻井废水由临时罐体收集，按泥浆体系不同分阶段用于配制钻井液，在钻井期间综合利用，不外排；压裂返排液采取不落地直接排入回收罐中，拉运至塔河油田绿色环保站处理；管线试压废水为清洁废水，试压完成后用于场地降尘；生活污水排入井场撬装式污水处理站处理达标后，用于生活区、井场及通井路降尘，不外排地表水环境。本项目施工期间无废水直接外排，在严格执行环境保护措施的前提下，项目施工期废水可避免对地下水环境产生不利影响。</w:t>
      </w:r>
    </w:p>
    <w:p w14:paraId="0B12419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bidi="ar-SA"/>
        </w:rPr>
        <w:t>（2）</w:t>
      </w:r>
      <w:r>
        <w:rPr>
          <w:rFonts w:hint="default" w:ascii="Times New Roman" w:hAnsi="Times New Roman" w:cs="Times New Roman"/>
          <w:color w:val="auto"/>
          <w:sz w:val="24"/>
          <w:szCs w:val="24"/>
          <w:highlight w:val="none"/>
          <w:lang w:val="en-US" w:eastAsia="zh-CN" w:bidi="ar-SA"/>
        </w:rPr>
        <w:t>非</w:t>
      </w:r>
      <w:r>
        <w:rPr>
          <w:rFonts w:hint="default" w:ascii="Times New Roman" w:hAnsi="Times New Roman" w:eastAsia="宋体" w:cs="Times New Roman"/>
          <w:color w:val="auto"/>
          <w:highlight w:val="none"/>
          <w:lang w:val="en-US" w:eastAsia="zh-CN"/>
        </w:rPr>
        <w:t>正常状况下水环境影响分析</w:t>
      </w:r>
    </w:p>
    <w:p w14:paraId="0D7D204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①井漏事故对地下水环境的影响</w:t>
      </w:r>
    </w:p>
    <w:p w14:paraId="4A69596F">
      <w:pPr>
        <w:kinsoku w:val="0"/>
        <w:autoSpaceDE w:val="0"/>
        <w:autoSpaceDN w:val="0"/>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非正常状况下，井漏事故对地下水的污染是指在钻井过程中，钻井废水、泥浆漏失于地下含水层中，造成地下含水层水质污染。就钻井液漏失而言，发生在局部且持续时间较短。钻井过程中表层套管（隔离含水体套管）固井变径后，继续钻井数千米到达含油气目的层。在表层套管内提下钻具和钻井的钻杆自重离心力不稳定，在压力下的钻杆转动对套管产生摩擦、碰撞，有可能对套管和固井环状水泥柱产生破坏作用，使钻井液在高压循环的过程中，从破坏处产生井漏而进入含水层造成污染，其风险性是存在的。</w:t>
      </w:r>
    </w:p>
    <w:p w14:paraId="3F49B138">
      <w:pPr>
        <w:kinsoku w:val="0"/>
        <w:autoSpaceDE w:val="0"/>
        <w:autoSpaceDN w:val="0"/>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本项目施工单位针对井漏制定有完善的应对措施，钻井过程中一旦发现异常，施工单位将立即停钻采取堵漏承压、打水泥塞等措施，防止井漏事故的发生，可有效减轻井漏对地下水的影响。井漏事故发生概率较低，本项目钻井液使用清洁无害的钻井泥浆，不含重金属等有毒物质，同时严格要求套管下入深度等措施，可以有效控制钻井液在含水层中的漏失，减轻对地下水环境的影响。</w:t>
      </w:r>
    </w:p>
    <w:p w14:paraId="2882A200">
      <w:pPr>
        <w:kinsoku w:val="0"/>
        <w:autoSpaceDE w:val="0"/>
        <w:autoSpaceDN w:val="0"/>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②井喷事故对地下水环境的影响</w:t>
      </w:r>
    </w:p>
    <w:p w14:paraId="21FB27B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en-US" w:bidi="ar-SA"/>
        </w:rPr>
        <w:t>井喷事故一旦发生，大量的油气喷出井口，散落于井场周围。根据测算，井喷发生后，类比井喷事故现场调查结果，其井喷污染范围为半径300m，井喷持续时间2天，井喷范围内土壤表层可见有蜡状的原油喷散物，井喷的影响范围及影响程度较大。但从事故井区土壤剖面分析，井喷事故后石油类污染物主要聚集在土壤剖面1m以内，石油类污染物很难下渗到2m以下，项目所在区域地下水埋深大于1m，同时及时将原油喷散物集中收集，由有危废处置资质的公司接收处置。因此非正常状况下井喷对区域地下水影响可接受。</w:t>
      </w:r>
    </w:p>
    <w:p w14:paraId="658DA767">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"5.4.2.3"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5.4.2.3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运营期地下水环境影响分析</w:t>
      </w:r>
    </w:p>
    <w:p w14:paraId="0A4326B5">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（1）正常状况下水环境影响分析</w:t>
      </w:r>
    </w:p>
    <w:p w14:paraId="7D8217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①废水对地下水影响分析</w:t>
      </w:r>
    </w:p>
    <w:p w14:paraId="3D7CDA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运营期废水污染源主要为采出水和井下作业废水，污染物主要为石油类。根据前文5.4.1节，</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营运期产生的采出水、井下作业废水均得到妥善处置，不外排，正常情况下不会对地下水产生影响。</w:t>
      </w:r>
    </w:p>
    <w:p w14:paraId="09FBB25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②落地油对地下水影响分析</w:t>
      </w:r>
    </w:p>
    <w:p w14:paraId="15051D6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在修井及采油气等过程中都可能产生落地油。根据西北油田分公司作业要求，井下作业必须采用带罐进行，井口排出物全部进罐，故基本无落地油产生。西北油田分公司要求各作业队伍在作业过程中尽可能避免落地油的产生，落地油一旦产生须及时、彻底进行回收，在措施落实、管理到位的前提下，可最大限度减少落地油量，故落地油对开发区域地下水的影响很小。</w:t>
      </w:r>
    </w:p>
    <w:p w14:paraId="48C8A2B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③集输管道对地下水影响分析</w:t>
      </w:r>
    </w:p>
    <w:p w14:paraId="33A149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本项目输送管线是全封闭系统，集输管线采用柔性复合管，采取严格防腐防 渗措施。正常状况下，输送、储存的介质不会与管线穿越区的地下水水体之间发</w:t>
      </w:r>
    </w:p>
    <w:p w14:paraId="650B1A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生联系，不会对区域地下水环境产生污染影响。</w:t>
      </w:r>
    </w:p>
    <w:p w14:paraId="7CEC7E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④采油井场</w:t>
      </w:r>
    </w:p>
    <w:p w14:paraId="59D891D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正常状况下，井口区采取严格的防渗，定期开展井筒完整性检查，不会对区域地下水环境产生污染影响。</w:t>
      </w:r>
    </w:p>
    <w:p w14:paraId="3E03F29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综上，正常状况下，</w:t>
      </w: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在运营期，建设方严格按照拟定的环保措施进行的情况下，可对废水进行妥善处置，对水环境的影响很小。</w:t>
      </w:r>
    </w:p>
    <w:p w14:paraId="57700945">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（2）非正常状况</w:t>
      </w:r>
    </w:p>
    <w:p w14:paraId="7E92228E">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油田工程生产过程中，</w:t>
      </w:r>
      <w:r>
        <w:rPr>
          <w:rFonts w:hint="eastAsia" w:ascii="Times New Roman" w:hAnsi="宋体" w:eastAsia="宋体" w:cs="宋体"/>
          <w:color w:val="auto"/>
          <w:kern w:val="2"/>
          <w:szCs w:val="20"/>
          <w:highlight w:val="none"/>
          <w:lang w:eastAsia="zh-CN"/>
        </w:rPr>
        <w:t>各个环节</w:t>
      </w:r>
      <w:r>
        <w:rPr>
          <w:rFonts w:hint="eastAsia" w:ascii="Times New Roman" w:hAnsi="宋体" w:eastAsia="宋体" w:cs="宋体"/>
          <w:color w:val="auto"/>
          <w:kern w:val="2"/>
          <w:szCs w:val="20"/>
          <w:highlight w:val="none"/>
        </w:rPr>
        <w:t>都存在着易燃、易爆、有害物质，除危害工程本身安全外，同时对地下水也构成污染的危险。主要表现因操作失误或处理措施不当而发生的井喷或井漏等工程事故；自然灾害引起的油田污染事故；集输管线、阀组运行过程中，管线腐蚀穿孔，误操作及人为破坏等原因造成的管线破裂使油品泄漏。无论是人为因素还是自然因素所造成的事故，对油田区地下水体均可能产生污染的风险。</w:t>
      </w:r>
    </w:p>
    <w:p w14:paraId="43F785AD">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油田开发对地下水产生污染的途径主要有两种方式，即渗透污染和穿透污染途径</w:t>
      </w:r>
      <w:r>
        <w:rPr>
          <w:rFonts w:ascii="Times New Roman" w:hAnsi="宋体" w:eastAsia="宋体" w:cs="宋体"/>
          <w:color w:val="auto"/>
          <w:kern w:val="2"/>
          <w:szCs w:val="20"/>
          <w:highlight w:val="none"/>
        </w:rPr>
        <w:t>。</w:t>
      </w:r>
    </w:p>
    <w:p w14:paraId="7FFB95FD">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（1）</w:t>
      </w:r>
      <w:r>
        <w:rPr>
          <w:rFonts w:hint="eastAsia" w:ascii="Times New Roman" w:hAnsi="宋体" w:eastAsia="宋体" w:cs="宋体"/>
          <w:color w:val="auto"/>
          <w:kern w:val="2"/>
          <w:szCs w:val="20"/>
          <w:highlight w:val="none"/>
        </w:rPr>
        <w:t>情景1：</w:t>
      </w:r>
      <w:r>
        <w:rPr>
          <w:rFonts w:ascii="Times New Roman" w:hAnsi="宋体" w:eastAsia="宋体" w:cs="宋体"/>
          <w:color w:val="auto"/>
          <w:kern w:val="2"/>
          <w:szCs w:val="20"/>
          <w:highlight w:val="none"/>
        </w:rPr>
        <w:t>穿透污染</w:t>
      </w:r>
      <w:r>
        <w:rPr>
          <w:rFonts w:hint="eastAsia" w:ascii="Times New Roman" w:hAnsi="宋体" w:eastAsia="宋体" w:cs="宋体"/>
          <w:color w:val="auto"/>
          <w:kern w:val="2"/>
          <w:szCs w:val="20"/>
          <w:highlight w:val="none"/>
        </w:rPr>
        <w:t>（油水窜层）</w:t>
      </w:r>
    </w:p>
    <w:p w14:paraId="6DFB9795">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污染物沿着裂隙或孔隙直接到达含水层从而污染地下水的方式称为穿透污染。以该种方式污染地下水的主要是</w:t>
      </w:r>
      <w:r>
        <w:rPr>
          <w:rFonts w:hint="eastAsia" w:hAnsi="宋体" w:cs="宋体"/>
          <w:color w:val="auto"/>
          <w:kern w:val="2"/>
          <w:szCs w:val="20"/>
          <w:highlight w:val="none"/>
          <w:lang w:val="en-US" w:eastAsia="zh-CN"/>
        </w:rPr>
        <w:t>采油（气）</w:t>
      </w:r>
      <w:r>
        <w:rPr>
          <w:rFonts w:ascii="Times New Roman" w:hAnsi="宋体" w:eastAsia="宋体" w:cs="宋体"/>
          <w:color w:val="auto"/>
          <w:kern w:val="2"/>
          <w:szCs w:val="20"/>
          <w:highlight w:val="none"/>
        </w:rPr>
        <w:t>过程中套外返水。</w:t>
      </w:r>
      <w:r>
        <w:rPr>
          <w:rFonts w:hint="eastAsia" w:ascii="Times New Roman" w:hAnsi="宋体" w:eastAsia="宋体" w:cs="宋体"/>
          <w:color w:val="auto"/>
          <w:kern w:val="2"/>
          <w:szCs w:val="20"/>
          <w:highlight w:val="none"/>
          <w:lang w:eastAsia="zh-CN"/>
        </w:rPr>
        <w:t>一旦出现</w:t>
      </w:r>
      <w:r>
        <w:rPr>
          <w:rFonts w:ascii="Times New Roman" w:hAnsi="宋体" w:eastAsia="宋体" w:cs="宋体"/>
          <w:color w:val="auto"/>
          <w:kern w:val="2"/>
          <w:szCs w:val="20"/>
          <w:highlight w:val="none"/>
        </w:rPr>
        <w:t>套外返水事故，采出液在水头压力差的作用下，可能直接进入含水层，发生油水串层，并在含水层中扩散迁移，污染地下水。</w:t>
      </w:r>
    </w:p>
    <w:p w14:paraId="53B8517A">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窜层污染的主要原因一般是由于表层套管和油气层套管的固井效果变差导致窜层使地下水受污染。由废弃井、套管被腐蚀破坏而污染到地下水的现象，在前期不会发生，待</w:t>
      </w:r>
      <w:r>
        <w:rPr>
          <w:rFonts w:hint="eastAsia" w:ascii="Times New Roman" w:hAnsi="宋体" w:eastAsia="宋体" w:cs="宋体"/>
          <w:color w:val="auto"/>
          <w:kern w:val="2"/>
          <w:szCs w:val="20"/>
          <w:highlight w:val="none"/>
          <w:lang w:val="en-US" w:eastAsia="zh-CN"/>
        </w:rPr>
        <w:t>井</w:t>
      </w:r>
      <w:r>
        <w:rPr>
          <w:rFonts w:ascii="Times New Roman" w:hAnsi="宋体" w:eastAsia="宋体" w:cs="宋体"/>
          <w:color w:val="auto"/>
          <w:kern w:val="2"/>
          <w:szCs w:val="20"/>
          <w:highlight w:val="none"/>
        </w:rPr>
        <w:t>开发到中后期时，废弃井、套管被腐蚀破坏，才可能会对地下水有影响：废弃井在长期闲置过程中，在地下各种复合作用下，固井水泥被腐蚀，套管被腐蚀穿孔，加上只封死井口，油气物质失去了释放通道，会通过</w:t>
      </w:r>
      <w:r>
        <w:rPr>
          <w:rFonts w:hint="eastAsia" w:ascii="Times New Roman" w:hAnsi="宋体" w:eastAsia="宋体" w:cs="宋体"/>
          <w:color w:val="auto"/>
          <w:kern w:val="2"/>
          <w:szCs w:val="20"/>
          <w:highlight w:val="none"/>
          <w:lang w:eastAsia="zh-CN"/>
        </w:rPr>
        <w:t>径</w:t>
      </w:r>
      <w:r>
        <w:rPr>
          <w:rFonts w:ascii="Times New Roman" w:hAnsi="宋体" w:eastAsia="宋体" w:cs="宋体"/>
          <w:color w:val="auto"/>
          <w:kern w:val="2"/>
          <w:szCs w:val="20"/>
          <w:highlight w:val="none"/>
        </w:rPr>
        <w:t>流进入潜水含水层，参与地下水循环。虽然此时油层几乎没有多少压力，原油不大可能进入到含水层污染地下水，但这一现象仍应引起重视。</w:t>
      </w:r>
    </w:p>
    <w:p w14:paraId="32AB7041">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本次地下水环境影响评价主要考虑最不利的极端情况下，油水窜层后对工程区下游第四系含水层水质的影响，针对污染物进入到第四系孔隙水含水层后的运移进行重点预测、评价。</w:t>
      </w:r>
    </w:p>
    <w:p w14:paraId="6387DBD5">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宋体" w:hAnsi="宋体" w:eastAsia="宋体" w:cs="宋体"/>
          <w:color w:val="auto"/>
          <w:kern w:val="2"/>
          <w:szCs w:val="20"/>
          <w:highlight w:val="none"/>
        </w:rPr>
        <w:t>①</w:t>
      </w:r>
      <w:r>
        <w:rPr>
          <w:rFonts w:ascii="Times New Roman" w:hAnsi="宋体" w:eastAsia="宋体" w:cs="宋体"/>
          <w:color w:val="auto"/>
          <w:kern w:val="2"/>
          <w:szCs w:val="20"/>
          <w:highlight w:val="none"/>
        </w:rPr>
        <w:t>预测情景</w:t>
      </w:r>
    </w:p>
    <w:p w14:paraId="0BB3761E">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当发生窜层时，污染物</w:t>
      </w:r>
      <w:r>
        <w:rPr>
          <w:rFonts w:hint="eastAsia" w:ascii="Times New Roman" w:hAnsi="宋体" w:eastAsia="宋体" w:cs="宋体"/>
          <w:color w:val="auto"/>
          <w:kern w:val="2"/>
          <w:szCs w:val="20"/>
          <w:highlight w:val="none"/>
          <w:lang w:eastAsia="zh-CN"/>
        </w:rPr>
        <w:t>进入</w:t>
      </w:r>
      <w:r>
        <w:rPr>
          <w:rFonts w:ascii="Times New Roman" w:hAnsi="宋体" w:eastAsia="宋体" w:cs="宋体"/>
          <w:color w:val="auto"/>
          <w:kern w:val="2"/>
          <w:szCs w:val="20"/>
          <w:highlight w:val="none"/>
        </w:rPr>
        <w:t>含水层中。考虑最不利情况，污染物泄漏为连续排放，发生窜层后，工程区内的污染物通过孔隙、裂隙径流至下游第四系含水层的水质。因此污染物在含水层中的迁移，可将预测情形概化为一维连续</w:t>
      </w:r>
      <w:r>
        <w:rPr>
          <w:rFonts w:hint="eastAsia" w:ascii="Times New Roman" w:hAnsi="宋体" w:eastAsia="宋体" w:cs="宋体"/>
          <w:color w:val="auto"/>
          <w:kern w:val="2"/>
          <w:szCs w:val="20"/>
          <w:highlight w:val="none"/>
          <w:lang w:eastAsia="zh-CN"/>
        </w:rPr>
        <w:t>泄漏</w:t>
      </w:r>
      <w:r>
        <w:rPr>
          <w:rFonts w:ascii="Times New Roman" w:hAnsi="宋体" w:eastAsia="宋体" w:cs="宋体"/>
          <w:color w:val="auto"/>
          <w:kern w:val="2"/>
          <w:szCs w:val="20"/>
          <w:highlight w:val="none"/>
        </w:rPr>
        <w:t>点源的水动力弥散问题。</w:t>
      </w:r>
    </w:p>
    <w:p w14:paraId="70147816">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②</w:t>
      </w:r>
      <w:r>
        <w:rPr>
          <w:rFonts w:ascii="Times New Roman" w:hAnsi="宋体" w:eastAsia="宋体" w:cs="宋体"/>
          <w:color w:val="auto"/>
          <w:kern w:val="2"/>
          <w:szCs w:val="20"/>
          <w:highlight w:val="none"/>
        </w:rPr>
        <w:t>预测方法</w:t>
      </w:r>
    </w:p>
    <w:p w14:paraId="62AA1A00">
      <w:pPr>
        <w:widowControl w:val="0"/>
        <w:spacing w:line="360" w:lineRule="auto"/>
        <w:ind w:firstLine="480" w:firstLineChars="200"/>
        <w:jc w:val="both"/>
        <w:rPr>
          <w:rFonts w:ascii="Times New Roman" w:hAnsi="宋体" w:eastAsia="宋体" w:cs="宋体"/>
          <w:b/>
          <w:color w:val="auto"/>
          <w:kern w:val="2"/>
          <w:szCs w:val="20"/>
          <w:highlight w:val="none"/>
        </w:rPr>
      </w:pPr>
      <w:r>
        <w:rPr>
          <w:rFonts w:ascii="Times New Roman" w:hAnsi="宋体" w:eastAsia="宋体" w:cs="宋体"/>
          <w:color w:val="auto"/>
          <w:kern w:val="2"/>
          <w:szCs w:val="20"/>
          <w:highlight w:val="none"/>
        </w:rPr>
        <w:t>本项目按I类项目地下水环境影响评价级别为二级，按照《环境影响评价技术导则－地下水环境》</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HJ610-2016</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的规定，预测方法可以采用数值法或者解析法，由于评价区水文地质条件较简单、评价区内含水层的基本参数变化很小、污染物的排放对地下水流场没有明显的影响，本报告采用解析法对地下水环境影响进行预测。</w:t>
      </w:r>
    </w:p>
    <w:p w14:paraId="58ECE749">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③</w:t>
      </w:r>
      <w:r>
        <w:rPr>
          <w:rFonts w:ascii="Times New Roman" w:hAnsi="宋体" w:eastAsia="宋体" w:cs="宋体"/>
          <w:color w:val="auto"/>
          <w:kern w:val="2"/>
          <w:szCs w:val="20"/>
          <w:highlight w:val="none"/>
        </w:rPr>
        <w:t>预测因子</w:t>
      </w:r>
    </w:p>
    <w:p w14:paraId="3FA5809A">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油井套管发生泄漏，采出液中污染物主要有石油类等污染物。根据《环境影响评价技术导则地下水环境》（HJ610-2016）中情景设置预测因子相关要求，对每一类别中的各项因子采取标准指数法进行排序，分别取标准指数较大的因子作为预测因子。根据采出液污染物特征，本次选取石油类作为预测特征因子</w:t>
      </w:r>
      <w:r>
        <w:rPr>
          <w:rFonts w:ascii="Times New Roman" w:hAnsi="宋体" w:eastAsia="宋体" w:cs="宋体"/>
          <w:color w:val="auto"/>
          <w:kern w:val="2"/>
          <w:szCs w:val="20"/>
          <w:highlight w:val="none"/>
        </w:rPr>
        <w:t>。</w:t>
      </w:r>
    </w:p>
    <w:p w14:paraId="0815A3DE">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宋体" w:hAnsi="宋体" w:eastAsia="宋体" w:cs="宋体"/>
          <w:color w:val="auto"/>
          <w:kern w:val="2"/>
          <w:szCs w:val="20"/>
          <w:highlight w:val="none"/>
        </w:rPr>
        <w:t>④</w:t>
      </w:r>
      <w:r>
        <w:rPr>
          <w:rFonts w:ascii="Times New Roman" w:hAnsi="宋体" w:eastAsia="宋体" w:cs="宋体"/>
          <w:color w:val="auto"/>
          <w:kern w:val="2"/>
          <w:szCs w:val="20"/>
          <w:highlight w:val="none"/>
        </w:rPr>
        <w:t>预测模型</w:t>
      </w:r>
    </w:p>
    <w:p w14:paraId="3C5BD41E">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本次地下水污染模拟仅考虑污染物随地下水发生对流、弥散作用，对污染物与液体介质</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地下水</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、固体介质</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包气带介质和地下水含水介质</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等的化学反应</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如酸碱反应、氧化还原反应、吸附、交换、挥发及生物化学反应</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等可能存在的环境消减因素做保守考虑。这样选择的理由是：</w:t>
      </w:r>
    </w:p>
    <w:p w14:paraId="2F4C76CE">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1）对于长期持续的污染事件，环境自净作用属于次要因素，而水体的对流、弥散作用是污染物运移的主要因素。</w:t>
      </w:r>
    </w:p>
    <w:p w14:paraId="49D93BA1">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2）污染物在地下水中的反应运移非常复杂，物理、化学、微生物等环境自净作用往往会使污染浓度衰减。忽略这些环境自净因素可以模拟出污染的最大</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或潜在</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影响范围，符合保守性评价原则。</w:t>
      </w:r>
    </w:p>
    <w:p w14:paraId="18607D5E">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3）对这些化学、生物化学作用进行精确模拟还属于国际性难题，一些模拟参数还存在很大争议，</w:t>
      </w:r>
      <w:r>
        <w:rPr>
          <w:rFonts w:hint="eastAsia" w:hAnsi="宋体" w:cs="宋体"/>
          <w:color w:val="auto"/>
          <w:kern w:val="2"/>
          <w:szCs w:val="20"/>
          <w:highlight w:val="none"/>
          <w:lang w:eastAsia="zh-CN"/>
        </w:rPr>
        <w:t>精确</w:t>
      </w:r>
      <w:r>
        <w:rPr>
          <w:rFonts w:ascii="Times New Roman" w:hAnsi="宋体" w:eastAsia="宋体" w:cs="宋体"/>
          <w:color w:val="auto"/>
          <w:kern w:val="2"/>
          <w:szCs w:val="20"/>
          <w:highlight w:val="none"/>
        </w:rPr>
        <w:t>模拟还需要大量的实验支持。</w:t>
      </w:r>
    </w:p>
    <w:p w14:paraId="0EB0FF60">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4）在国际上有很多用保守型污染物作为模拟因子的环境质量评价的实例，保守型考虑符合环境评价的思想。</w:t>
      </w:r>
    </w:p>
    <w:p w14:paraId="545E503A">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污染物在含水层中的迁移，特别是</w:t>
      </w:r>
      <w:r>
        <w:rPr>
          <w:rFonts w:hint="eastAsia" w:hAnsi="宋体" w:cs="宋体"/>
          <w:color w:val="auto"/>
          <w:kern w:val="2"/>
          <w:szCs w:val="20"/>
          <w:highlight w:val="none"/>
          <w:lang w:eastAsia="zh-CN"/>
        </w:rPr>
        <w:t>泄漏</w:t>
      </w:r>
      <w:r>
        <w:rPr>
          <w:rFonts w:ascii="Times New Roman" w:hAnsi="宋体" w:eastAsia="宋体" w:cs="宋体"/>
          <w:color w:val="auto"/>
          <w:kern w:val="2"/>
          <w:szCs w:val="20"/>
          <w:highlight w:val="none"/>
        </w:rPr>
        <w:t>点的连续泄漏，造成的水环境污染会更加严重。本次按照《环境影响评价技术导则 地下水环境》（HJ610-2016）附录D中一维无限长多孔介质柱体，一端为定浓度边界预测模型进行预测，计算公式如下：</w:t>
      </w:r>
    </w:p>
    <w:p w14:paraId="161F0AE8">
      <w:pPr>
        <w:widowControl w:val="0"/>
        <w:spacing w:line="360" w:lineRule="auto"/>
        <w:ind w:left="0" w:leftChars="0" w:right="0" w:rightChars="0" w:firstLine="0" w:firstLineChars="0"/>
        <w:jc w:val="center"/>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drawing>
          <wp:inline distT="0" distB="0" distL="0" distR="0">
            <wp:extent cx="2585085" cy="513080"/>
            <wp:effectExtent l="0" t="0" r="5715" b="1270"/>
            <wp:docPr id="2029" name="图片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图片 20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585085" cy="513080"/>
                    </a:xfrm>
                    <a:prstGeom prst="rect">
                      <a:avLst/>
                    </a:prstGeom>
                    <a:noFill/>
                    <a:ln>
                      <a:noFill/>
                    </a:ln>
                  </pic:spPr>
                </pic:pic>
              </a:graphicData>
            </a:graphic>
          </wp:inline>
        </w:drawing>
      </w:r>
    </w:p>
    <w:p w14:paraId="5E817A03">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以上式中：</w:t>
      </w:r>
      <w:r>
        <w:rPr>
          <w:rFonts w:ascii="Times New Roman" w:hAnsi="宋体" w:eastAsia="宋体" w:cs="宋体"/>
          <w:i/>
          <w:color w:val="auto"/>
          <w:kern w:val="2"/>
          <w:szCs w:val="20"/>
          <w:highlight w:val="none"/>
        </w:rPr>
        <w:t>x</w:t>
      </w:r>
      <w:r>
        <w:rPr>
          <w:rFonts w:ascii="Times New Roman" w:hAnsi="宋体" w:eastAsia="宋体" w:cs="宋体"/>
          <w:color w:val="auto"/>
          <w:kern w:val="2"/>
          <w:szCs w:val="20"/>
          <w:highlight w:val="none"/>
        </w:rPr>
        <w:t>—距注入点的距离，m；</w:t>
      </w:r>
    </w:p>
    <w:p w14:paraId="51C4CC6C">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i/>
          <w:color w:val="auto"/>
          <w:kern w:val="2"/>
          <w:szCs w:val="20"/>
          <w:highlight w:val="none"/>
        </w:rPr>
        <w:t>t</w:t>
      </w:r>
      <w:r>
        <w:rPr>
          <w:rFonts w:ascii="Times New Roman" w:hAnsi="宋体" w:eastAsia="宋体" w:cs="宋体"/>
          <w:color w:val="auto"/>
          <w:kern w:val="2"/>
          <w:szCs w:val="20"/>
          <w:highlight w:val="none"/>
        </w:rPr>
        <w:t>—时间，d；</w:t>
      </w:r>
    </w:p>
    <w:p w14:paraId="61583B12">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i/>
          <w:color w:val="auto"/>
          <w:kern w:val="2"/>
          <w:szCs w:val="20"/>
          <w:highlight w:val="none"/>
        </w:rPr>
        <w:t>C（x，t）—t</w:t>
      </w:r>
      <w:r>
        <w:rPr>
          <w:rFonts w:ascii="Times New Roman" w:hAnsi="宋体" w:eastAsia="宋体" w:cs="宋体"/>
          <w:color w:val="auto"/>
          <w:kern w:val="2"/>
          <w:szCs w:val="20"/>
          <w:highlight w:val="none"/>
        </w:rPr>
        <w:t>时刻</w:t>
      </w:r>
      <w:r>
        <w:rPr>
          <w:rFonts w:ascii="Times New Roman" w:hAnsi="宋体" w:eastAsia="宋体" w:cs="宋体"/>
          <w:i/>
          <w:color w:val="auto"/>
          <w:kern w:val="2"/>
          <w:szCs w:val="20"/>
          <w:highlight w:val="none"/>
        </w:rPr>
        <w:t>x</w:t>
      </w:r>
      <w:r>
        <w:rPr>
          <w:rFonts w:ascii="Times New Roman" w:hAnsi="宋体" w:eastAsia="宋体" w:cs="宋体"/>
          <w:color w:val="auto"/>
          <w:kern w:val="2"/>
          <w:szCs w:val="20"/>
          <w:highlight w:val="none"/>
        </w:rPr>
        <w:t>处的示踪剂浓度，g/l；</w:t>
      </w:r>
    </w:p>
    <w:p w14:paraId="10A696D5">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i/>
          <w:color w:val="auto"/>
          <w:kern w:val="2"/>
          <w:szCs w:val="20"/>
          <w:highlight w:val="none"/>
        </w:rPr>
        <w:t>C</w:t>
      </w:r>
      <w:r>
        <w:rPr>
          <w:rFonts w:ascii="Times New Roman" w:hAnsi="宋体" w:eastAsia="宋体" w:cs="宋体"/>
          <w:i/>
          <w:color w:val="auto"/>
          <w:kern w:val="2"/>
          <w:szCs w:val="20"/>
          <w:highlight w:val="none"/>
          <w:vertAlign w:val="subscript"/>
        </w:rPr>
        <w:t>0—</w:t>
      </w:r>
      <w:r>
        <w:rPr>
          <w:rFonts w:ascii="Times New Roman" w:hAnsi="宋体" w:eastAsia="宋体" w:cs="宋体"/>
          <w:color w:val="auto"/>
          <w:kern w:val="2"/>
          <w:szCs w:val="20"/>
          <w:highlight w:val="none"/>
          <w:vertAlign w:val="subscript"/>
        </w:rPr>
        <w:t>—</w:t>
      </w:r>
      <w:r>
        <w:rPr>
          <w:rFonts w:ascii="Times New Roman" w:hAnsi="宋体" w:eastAsia="宋体" w:cs="宋体"/>
          <w:color w:val="auto"/>
          <w:kern w:val="2"/>
          <w:szCs w:val="20"/>
          <w:highlight w:val="none"/>
        </w:rPr>
        <w:t>注入的示踪剂浓度，g/l；</w:t>
      </w:r>
    </w:p>
    <w:p w14:paraId="6EB8C5EE">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i/>
          <w:color w:val="auto"/>
          <w:kern w:val="2"/>
          <w:szCs w:val="20"/>
          <w:highlight w:val="none"/>
        </w:rPr>
        <w:t>u</w:t>
      </w:r>
      <w:r>
        <w:rPr>
          <w:rFonts w:hint="eastAsia" w:ascii="Times New Roman" w:hAnsi="宋体" w:eastAsia="宋体" w:cs="宋体"/>
          <w:i/>
          <w:color w:val="auto"/>
          <w:kern w:val="2"/>
          <w:szCs w:val="20"/>
          <w:highlight w:val="none"/>
        </w:rPr>
        <w:t>——</w:t>
      </w:r>
      <w:r>
        <w:rPr>
          <w:rFonts w:ascii="Times New Roman" w:hAnsi="宋体" w:eastAsia="宋体" w:cs="宋体"/>
          <w:color w:val="auto"/>
          <w:kern w:val="2"/>
          <w:szCs w:val="20"/>
          <w:highlight w:val="none"/>
        </w:rPr>
        <w:t>水流速度，m/d；</w:t>
      </w:r>
    </w:p>
    <w:p w14:paraId="1CBB03E8">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i/>
          <w:color w:val="auto"/>
          <w:kern w:val="2"/>
          <w:szCs w:val="20"/>
          <w:highlight w:val="none"/>
        </w:rPr>
        <w:t>n</w:t>
      </w:r>
      <w:r>
        <w:rPr>
          <w:rFonts w:hint="eastAsia" w:ascii="Times New Roman" w:hAnsi="宋体" w:eastAsia="宋体" w:cs="宋体"/>
          <w:i/>
          <w:color w:val="auto"/>
          <w:kern w:val="2"/>
          <w:szCs w:val="20"/>
          <w:highlight w:val="none"/>
        </w:rPr>
        <w:t>——</w:t>
      </w:r>
      <w:r>
        <w:rPr>
          <w:rFonts w:ascii="Times New Roman" w:hAnsi="宋体" w:eastAsia="宋体" w:cs="宋体"/>
          <w:color w:val="auto"/>
          <w:kern w:val="2"/>
          <w:szCs w:val="20"/>
          <w:highlight w:val="none"/>
        </w:rPr>
        <w:t>有效孔隙度，无量纲；</w:t>
      </w:r>
    </w:p>
    <w:p w14:paraId="05B98BB9">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i/>
          <w:color w:val="auto"/>
          <w:kern w:val="2"/>
          <w:szCs w:val="20"/>
          <w:highlight w:val="none"/>
        </w:rPr>
        <w:t>D</w:t>
      </w:r>
      <w:r>
        <w:rPr>
          <w:rFonts w:ascii="Times New Roman" w:hAnsi="宋体" w:eastAsia="宋体" w:cs="宋体"/>
          <w:i/>
          <w:color w:val="auto"/>
          <w:kern w:val="2"/>
          <w:szCs w:val="20"/>
          <w:highlight w:val="none"/>
          <w:vertAlign w:val="subscript"/>
        </w:rPr>
        <w:t>L</w:t>
      </w:r>
      <w:r>
        <w:rPr>
          <w:rFonts w:hint="eastAsia" w:ascii="Times New Roman" w:hAnsi="宋体" w:eastAsia="宋体" w:cs="宋体"/>
          <w:color w:val="auto"/>
          <w:kern w:val="2"/>
          <w:szCs w:val="20"/>
          <w:highlight w:val="none"/>
        </w:rPr>
        <w:t>—</w:t>
      </w:r>
      <w:r>
        <w:rPr>
          <w:rFonts w:ascii="Times New Roman" w:hAnsi="宋体" w:eastAsia="宋体" w:cs="宋体"/>
          <w:color w:val="auto"/>
          <w:kern w:val="2"/>
          <w:szCs w:val="20"/>
          <w:highlight w:val="none"/>
        </w:rPr>
        <w:t>纵向弥散系数，m</w:t>
      </w:r>
      <w:r>
        <w:rPr>
          <w:rFonts w:ascii="Times New Roman" w:hAnsi="宋体" w:eastAsia="宋体" w:cs="宋体"/>
          <w:color w:val="auto"/>
          <w:kern w:val="2"/>
          <w:szCs w:val="20"/>
          <w:highlight w:val="none"/>
          <w:vertAlign w:val="superscript"/>
        </w:rPr>
        <w:t>2</w:t>
      </w:r>
      <w:r>
        <w:rPr>
          <w:rFonts w:ascii="Times New Roman" w:hAnsi="宋体" w:eastAsia="宋体" w:cs="宋体"/>
          <w:color w:val="auto"/>
          <w:kern w:val="2"/>
          <w:szCs w:val="20"/>
          <w:highlight w:val="none"/>
        </w:rPr>
        <w:t>/d；</w:t>
      </w:r>
    </w:p>
    <w:p w14:paraId="4C9A1F27">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i/>
          <w:color w:val="auto"/>
          <w:kern w:val="2"/>
          <w:szCs w:val="20"/>
          <w:highlight w:val="none"/>
        </w:rPr>
        <w:t>erf</w:t>
      </w:r>
      <w:r>
        <w:rPr>
          <w:rFonts w:ascii="Times New Roman" w:hAnsi="宋体" w:eastAsia="宋体" w:cs="宋体"/>
          <w:color w:val="auto"/>
          <w:kern w:val="2"/>
          <w:szCs w:val="20"/>
          <w:highlight w:val="none"/>
        </w:rPr>
        <w:t>c</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 xml:space="preserve">  </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—余误差函数。</w:t>
      </w:r>
    </w:p>
    <w:p w14:paraId="7938FF57">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⑤</w:t>
      </w:r>
      <w:r>
        <w:rPr>
          <w:rFonts w:ascii="Times New Roman" w:hAnsi="宋体" w:eastAsia="宋体" w:cs="宋体"/>
          <w:color w:val="auto"/>
          <w:kern w:val="2"/>
          <w:szCs w:val="20"/>
          <w:highlight w:val="none"/>
        </w:rPr>
        <w:t>预测参数</w:t>
      </w:r>
    </w:p>
    <w:p w14:paraId="1646A714">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根据区域水文地质条件，评价区内第四系含水层岩性主要为细砂。本次评价水文地质参数主要通过油田区域的勘察资料</w:t>
      </w:r>
      <w:r>
        <w:rPr>
          <w:rFonts w:hint="eastAsia" w:ascii="Times New Roman" w:hAnsi="宋体" w:eastAsia="宋体" w:cs="宋体"/>
          <w:color w:val="auto"/>
          <w:kern w:val="2"/>
          <w:szCs w:val="20"/>
          <w:highlight w:val="none"/>
          <w:lang w:val="en-US" w:eastAsia="zh-CN"/>
        </w:rPr>
        <w:t>及经验值等综合</w:t>
      </w:r>
      <w:r>
        <w:rPr>
          <w:rFonts w:hint="eastAsia" w:ascii="Times New Roman" w:hAnsi="宋体" w:eastAsia="宋体" w:cs="宋体"/>
          <w:color w:val="auto"/>
          <w:kern w:val="2"/>
          <w:szCs w:val="20"/>
          <w:highlight w:val="none"/>
        </w:rPr>
        <w:t>确定。模型中所需参数及来源见表5.</w:t>
      </w:r>
      <w:r>
        <w:rPr>
          <w:rFonts w:hint="eastAsia" w:ascii="Times New Roman" w:hAnsi="宋体" w:eastAsia="宋体" w:cs="宋体"/>
          <w:color w:val="auto"/>
          <w:kern w:val="2"/>
          <w:szCs w:val="20"/>
          <w:highlight w:val="none"/>
          <w:lang w:val="en-US" w:eastAsia="zh-CN"/>
        </w:rPr>
        <w:t>4</w:t>
      </w:r>
      <w:r>
        <w:rPr>
          <w:rFonts w:hint="eastAsia"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val="en-US" w:eastAsia="zh-CN"/>
        </w:rPr>
        <w:t>2</w:t>
      </w:r>
      <w:r>
        <w:rPr>
          <w:rFonts w:ascii="Times New Roman" w:hAnsi="宋体" w:eastAsia="宋体" w:cs="宋体"/>
          <w:color w:val="auto"/>
          <w:kern w:val="2"/>
          <w:szCs w:val="20"/>
          <w:highlight w:val="none"/>
        </w:rPr>
        <w:t>。</w:t>
      </w:r>
    </w:p>
    <w:p w14:paraId="21AA37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val="0"/>
          <w:bCs/>
          <w:color w:val="auto"/>
          <w:kern w:val="2"/>
          <w:sz w:val="21"/>
          <w:szCs w:val="16"/>
          <w:highlight w:val="none"/>
        </w:rPr>
      </w:pPr>
      <w:r>
        <w:rPr>
          <w:rFonts w:hint="eastAsia" w:ascii="黑体" w:hAnsi="黑体" w:eastAsia="黑体" w:cs="黑体"/>
          <w:b w:val="0"/>
          <w:bCs/>
          <w:color w:val="auto"/>
          <w:kern w:val="2"/>
          <w:sz w:val="21"/>
          <w:szCs w:val="16"/>
          <w:highlight w:val="none"/>
        </w:rPr>
        <w:t>表5.</w:t>
      </w:r>
      <w:r>
        <w:rPr>
          <w:rFonts w:hint="eastAsia" w:ascii="黑体" w:hAnsi="黑体" w:eastAsia="黑体" w:cs="黑体"/>
          <w:b w:val="0"/>
          <w:bCs/>
          <w:color w:val="auto"/>
          <w:kern w:val="2"/>
          <w:sz w:val="21"/>
          <w:szCs w:val="16"/>
          <w:highlight w:val="none"/>
          <w:lang w:val="en-US" w:eastAsia="zh-CN"/>
        </w:rPr>
        <w:t>4</w:t>
      </w:r>
      <w:r>
        <w:rPr>
          <w:rFonts w:hint="eastAsia" w:ascii="黑体" w:hAnsi="黑体" w:eastAsia="黑体" w:cs="黑体"/>
          <w:b w:val="0"/>
          <w:bCs/>
          <w:color w:val="auto"/>
          <w:kern w:val="2"/>
          <w:sz w:val="21"/>
          <w:szCs w:val="16"/>
          <w:highlight w:val="none"/>
        </w:rPr>
        <w:t>-</w:t>
      </w:r>
      <w:r>
        <w:rPr>
          <w:rFonts w:hint="eastAsia" w:ascii="黑体" w:hAnsi="黑体" w:eastAsia="黑体" w:cs="黑体"/>
          <w:b w:val="0"/>
          <w:bCs/>
          <w:color w:val="auto"/>
          <w:kern w:val="2"/>
          <w:sz w:val="21"/>
          <w:szCs w:val="16"/>
          <w:highlight w:val="none"/>
          <w:lang w:val="en-US" w:eastAsia="zh-CN"/>
        </w:rPr>
        <w:t>2</w:t>
      </w:r>
      <w:r>
        <w:rPr>
          <w:rFonts w:hint="eastAsia" w:ascii="黑体" w:hAnsi="黑体" w:eastAsia="黑体" w:cs="黑体"/>
          <w:b w:val="0"/>
          <w:bCs/>
          <w:color w:val="auto"/>
          <w:kern w:val="2"/>
          <w:sz w:val="21"/>
          <w:szCs w:val="16"/>
          <w:highlight w:val="none"/>
        </w:rPr>
        <w:t xml:space="preserve">   水质预测模型所需参数一览表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64"/>
        <w:gridCol w:w="851"/>
        <w:gridCol w:w="738"/>
        <w:gridCol w:w="5784"/>
      </w:tblGrid>
      <w:tr w14:paraId="1F8C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6DF13BE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序号</w:t>
            </w:r>
          </w:p>
        </w:tc>
        <w:tc>
          <w:tcPr>
            <w:tcW w:w="664" w:type="dxa"/>
            <w:vAlign w:val="center"/>
          </w:tcPr>
          <w:p w14:paraId="459ADAC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参数符号</w:t>
            </w:r>
          </w:p>
        </w:tc>
        <w:tc>
          <w:tcPr>
            <w:tcW w:w="851" w:type="dxa"/>
            <w:vAlign w:val="center"/>
          </w:tcPr>
          <w:p w14:paraId="4F9ED40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参数名称</w:t>
            </w:r>
          </w:p>
        </w:tc>
        <w:tc>
          <w:tcPr>
            <w:tcW w:w="738" w:type="dxa"/>
            <w:vAlign w:val="center"/>
          </w:tcPr>
          <w:p w14:paraId="76AA334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参数数值</w:t>
            </w:r>
          </w:p>
        </w:tc>
        <w:tc>
          <w:tcPr>
            <w:tcW w:w="5784" w:type="dxa"/>
            <w:vAlign w:val="center"/>
          </w:tcPr>
          <w:p w14:paraId="5215C76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数值来源</w:t>
            </w:r>
          </w:p>
        </w:tc>
      </w:tr>
      <w:tr w14:paraId="0E29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3B79327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w:t>
            </w:r>
          </w:p>
        </w:tc>
        <w:tc>
          <w:tcPr>
            <w:tcW w:w="664" w:type="dxa"/>
            <w:vAlign w:val="center"/>
          </w:tcPr>
          <w:p w14:paraId="05823E4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i/>
                <w:iCs/>
                <w:color w:val="auto"/>
                <w:kern w:val="0"/>
                <w:sz w:val="21"/>
                <w:szCs w:val="20"/>
                <w:highlight w:val="none"/>
                <w:lang w:val="en-US" w:eastAsia="zh-CN" w:bidi="ar-SA"/>
              </w:rPr>
            </w:pPr>
            <w:r>
              <w:rPr>
                <w:rFonts w:hint="default" w:ascii="Times New Roman" w:hAnsi="宋体" w:eastAsia="宋体" w:cs="宋体"/>
                <w:i/>
                <w:iCs/>
                <w:color w:val="auto"/>
                <w:kern w:val="0"/>
                <w:sz w:val="21"/>
                <w:szCs w:val="20"/>
                <w:highlight w:val="none"/>
                <w:lang w:val="en-US" w:eastAsia="zh-CN" w:bidi="ar-SA"/>
              </w:rPr>
              <w:t>u</w:t>
            </w:r>
          </w:p>
        </w:tc>
        <w:tc>
          <w:tcPr>
            <w:tcW w:w="851" w:type="dxa"/>
            <w:vAlign w:val="center"/>
          </w:tcPr>
          <w:p w14:paraId="4EF1E0E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水流</w:t>
            </w:r>
          </w:p>
          <w:p w14:paraId="5A97892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速度</w:t>
            </w:r>
          </w:p>
        </w:tc>
        <w:tc>
          <w:tcPr>
            <w:tcW w:w="738" w:type="dxa"/>
            <w:vAlign w:val="center"/>
          </w:tcPr>
          <w:p w14:paraId="0CA0B98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w:t>
            </w:r>
            <w:r>
              <w:rPr>
                <w:rFonts w:hint="eastAsia" w:ascii="Times New Roman" w:hAnsi="宋体" w:eastAsia="宋体" w:cs="宋体"/>
                <w:color w:val="auto"/>
                <w:kern w:val="0"/>
                <w:sz w:val="21"/>
                <w:szCs w:val="20"/>
                <w:highlight w:val="none"/>
                <w:lang w:val="en-US" w:eastAsia="zh-CN" w:bidi="ar-SA"/>
              </w:rPr>
              <w:t>24</w:t>
            </w:r>
            <w:r>
              <w:rPr>
                <w:rFonts w:hint="default" w:ascii="Times New Roman" w:hAnsi="宋体" w:eastAsia="宋体" w:cs="宋体"/>
                <w:color w:val="auto"/>
                <w:kern w:val="0"/>
                <w:sz w:val="21"/>
                <w:szCs w:val="20"/>
                <w:highlight w:val="none"/>
                <w:lang w:val="en-US" w:eastAsia="zh-CN" w:bidi="ar-SA"/>
              </w:rPr>
              <w:t>m/d</w:t>
            </w:r>
          </w:p>
        </w:tc>
        <w:tc>
          <w:tcPr>
            <w:tcW w:w="5784" w:type="dxa"/>
            <w:vAlign w:val="center"/>
          </w:tcPr>
          <w:p w14:paraId="3708D609">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地下水的平均实际流速u= KI /n，</w:t>
            </w:r>
            <w:r>
              <w:rPr>
                <w:rFonts w:hint="eastAsia" w:ascii="Times New Roman" w:hAnsi="宋体" w:eastAsia="宋体" w:cs="宋体"/>
                <w:color w:val="auto"/>
                <w:kern w:val="0"/>
                <w:sz w:val="21"/>
                <w:szCs w:val="20"/>
                <w:highlight w:val="none"/>
                <w:lang w:val="en-US" w:eastAsia="zh-CN" w:bidi="ar-SA"/>
              </w:rPr>
              <w:t>评价区内含水层主要岩性为细砂，根据导则中附录B，细砂</w:t>
            </w:r>
            <w:r>
              <w:rPr>
                <w:rFonts w:hint="default" w:ascii="Times New Roman" w:hAnsi="宋体" w:eastAsia="宋体" w:cs="宋体"/>
                <w:color w:val="auto"/>
                <w:kern w:val="0"/>
                <w:sz w:val="21"/>
                <w:szCs w:val="20"/>
                <w:highlight w:val="none"/>
                <w:lang w:val="en-US" w:eastAsia="zh-CN" w:bidi="ar-SA"/>
              </w:rPr>
              <w:t>渗透系数</w:t>
            </w:r>
            <w:r>
              <w:rPr>
                <w:rFonts w:hint="eastAsia" w:ascii="Times New Roman" w:hAnsi="宋体" w:eastAsia="宋体" w:cs="宋体"/>
                <w:color w:val="auto"/>
                <w:kern w:val="0"/>
                <w:sz w:val="21"/>
                <w:szCs w:val="20"/>
                <w:highlight w:val="none"/>
                <w:lang w:val="en-US" w:eastAsia="zh-CN" w:bidi="ar-SA"/>
              </w:rPr>
              <w:t>为5~10m/d，本次评价取</w:t>
            </w:r>
            <w:r>
              <w:rPr>
                <w:rFonts w:hint="default" w:ascii="Times New Roman" w:hAnsi="宋体" w:eastAsia="宋体" w:cs="宋体"/>
                <w:color w:val="auto"/>
                <w:kern w:val="0"/>
                <w:sz w:val="21"/>
                <w:szCs w:val="20"/>
                <w:highlight w:val="none"/>
                <w:lang w:val="en-US" w:eastAsia="zh-CN" w:bidi="ar-SA"/>
              </w:rPr>
              <w:t>10m/d，</w:t>
            </w:r>
            <w:r>
              <w:rPr>
                <w:rFonts w:hint="eastAsia" w:ascii="Times New Roman" w:hAnsi="宋体" w:eastAsia="宋体" w:cs="宋体"/>
                <w:color w:val="auto"/>
                <w:kern w:val="0"/>
                <w:sz w:val="21"/>
                <w:szCs w:val="20"/>
                <w:highlight w:val="none"/>
                <w:lang w:val="en-US" w:eastAsia="zh-CN" w:bidi="ar-SA"/>
              </w:rPr>
              <w:t>根据《塔河油田水文地质普查报告》等历史水文地质勘察报告，区内地下水基本处于停滞状态，水力坡度很小，为0.2‰～0.8‰，本次预测取</w:t>
            </w:r>
            <w:r>
              <w:rPr>
                <w:rFonts w:hint="default" w:ascii="Times New Roman" w:hAnsi="宋体" w:eastAsia="宋体" w:cs="宋体"/>
                <w:color w:val="auto"/>
                <w:kern w:val="0"/>
                <w:sz w:val="21"/>
                <w:szCs w:val="20"/>
                <w:highlight w:val="none"/>
                <w:lang w:val="en-US" w:eastAsia="zh-CN" w:bidi="ar-SA"/>
              </w:rPr>
              <w:t>水力坡度最大</w:t>
            </w:r>
            <w:r>
              <w:rPr>
                <w:rFonts w:hint="eastAsia" w:ascii="Times New Roman" w:hAnsi="宋体" w:eastAsia="宋体" w:cs="宋体"/>
                <w:color w:val="auto"/>
                <w:kern w:val="0"/>
                <w:sz w:val="21"/>
                <w:szCs w:val="20"/>
                <w:highlight w:val="none"/>
                <w:lang w:val="en-US" w:eastAsia="zh-CN" w:bidi="ar-SA"/>
              </w:rPr>
              <w:t>值</w:t>
            </w:r>
            <w:r>
              <w:rPr>
                <w:rFonts w:hint="default" w:ascii="Times New Roman" w:hAnsi="宋体" w:eastAsia="宋体" w:cs="宋体"/>
                <w:color w:val="auto"/>
                <w:kern w:val="0"/>
                <w:sz w:val="21"/>
                <w:szCs w:val="20"/>
                <w:highlight w:val="none"/>
                <w:lang w:val="en-US" w:eastAsia="zh-CN" w:bidi="ar-SA"/>
              </w:rPr>
              <w:t>为0.8‰</w:t>
            </w:r>
            <w:r>
              <w:rPr>
                <w:rFonts w:hint="eastAsia" w:ascii="Times New Roman" w:hAnsi="宋体" w:eastAsia="宋体" w:cs="宋体"/>
                <w:color w:val="auto"/>
                <w:kern w:val="0"/>
                <w:sz w:val="21"/>
                <w:szCs w:val="20"/>
                <w:highlight w:val="none"/>
                <w:lang w:val="en-US" w:eastAsia="zh-CN" w:bidi="ar-SA"/>
              </w:rPr>
              <w:t>。</w:t>
            </w:r>
          </w:p>
        </w:tc>
      </w:tr>
      <w:tr w14:paraId="55E3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254B427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w:t>
            </w:r>
          </w:p>
        </w:tc>
        <w:tc>
          <w:tcPr>
            <w:tcW w:w="664" w:type="dxa"/>
            <w:vAlign w:val="center"/>
          </w:tcPr>
          <w:p w14:paraId="3C68D2D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i/>
                <w:iCs/>
                <w:color w:val="auto"/>
                <w:kern w:val="0"/>
                <w:sz w:val="21"/>
                <w:szCs w:val="20"/>
                <w:highlight w:val="none"/>
                <w:lang w:val="en-US" w:eastAsia="zh-CN" w:bidi="ar-SA"/>
              </w:rPr>
            </w:pPr>
            <w:r>
              <w:rPr>
                <w:rFonts w:hint="default" w:ascii="Times New Roman" w:hAnsi="宋体" w:eastAsia="宋体" w:cs="宋体"/>
                <w:i/>
                <w:iCs/>
                <w:color w:val="auto"/>
                <w:kern w:val="0"/>
                <w:sz w:val="21"/>
                <w:szCs w:val="20"/>
                <w:highlight w:val="none"/>
                <w:lang w:val="en-US" w:eastAsia="zh-CN" w:bidi="ar-SA"/>
              </w:rPr>
              <w:t>D</w:t>
            </w:r>
            <w:r>
              <w:rPr>
                <w:rFonts w:hint="default" w:ascii="Times New Roman" w:hAnsi="宋体" w:eastAsia="宋体" w:cs="宋体"/>
                <w:i/>
                <w:iCs/>
                <w:color w:val="auto"/>
                <w:kern w:val="0"/>
                <w:sz w:val="21"/>
                <w:szCs w:val="20"/>
                <w:highlight w:val="none"/>
                <w:vertAlign w:val="subscript"/>
                <w:lang w:val="en-US" w:eastAsia="zh-CN" w:bidi="ar-SA"/>
              </w:rPr>
              <w:t>L</w:t>
            </w:r>
          </w:p>
        </w:tc>
        <w:tc>
          <w:tcPr>
            <w:tcW w:w="851" w:type="dxa"/>
            <w:vAlign w:val="center"/>
          </w:tcPr>
          <w:p w14:paraId="1D23244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纵向弥散系数</w:t>
            </w:r>
          </w:p>
        </w:tc>
        <w:tc>
          <w:tcPr>
            <w:tcW w:w="738" w:type="dxa"/>
            <w:vAlign w:val="center"/>
          </w:tcPr>
          <w:p w14:paraId="0D69210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r>
              <w:rPr>
                <w:rFonts w:hint="eastAsia" w:ascii="Times New Roman" w:hAnsi="宋体" w:eastAsia="宋体" w:cs="宋体"/>
                <w:color w:val="auto"/>
                <w:kern w:val="0"/>
                <w:sz w:val="21"/>
                <w:szCs w:val="20"/>
                <w:highlight w:val="none"/>
                <w:lang w:val="en-US" w:eastAsia="zh-CN" w:bidi="ar-SA"/>
              </w:rPr>
              <w:t>24</w:t>
            </w:r>
            <w:r>
              <w:rPr>
                <w:rFonts w:hint="default" w:ascii="Times New Roman" w:hAnsi="宋体" w:eastAsia="宋体" w:cs="宋体"/>
                <w:color w:val="auto"/>
                <w:kern w:val="0"/>
                <w:sz w:val="21"/>
                <w:szCs w:val="20"/>
                <w:highlight w:val="none"/>
                <w:lang w:val="en-US" w:eastAsia="zh-CN" w:bidi="ar-SA"/>
              </w:rPr>
              <w:t>m</w:t>
            </w:r>
            <w:r>
              <w:rPr>
                <w:rFonts w:hint="default" w:ascii="Times New Roman" w:hAnsi="宋体" w:eastAsia="宋体" w:cs="宋体"/>
                <w:color w:val="auto"/>
                <w:kern w:val="0"/>
                <w:sz w:val="21"/>
                <w:szCs w:val="20"/>
                <w:highlight w:val="none"/>
                <w:vertAlign w:val="superscript"/>
                <w:lang w:val="en-US" w:eastAsia="zh-CN" w:bidi="ar-SA"/>
              </w:rPr>
              <w:t>2</w:t>
            </w:r>
            <w:r>
              <w:rPr>
                <w:rFonts w:hint="default" w:ascii="Times New Roman" w:hAnsi="宋体" w:eastAsia="宋体" w:cs="宋体"/>
                <w:color w:val="auto"/>
                <w:kern w:val="0"/>
                <w:sz w:val="21"/>
                <w:szCs w:val="20"/>
                <w:highlight w:val="none"/>
                <w:lang w:val="en-US" w:eastAsia="zh-CN" w:bidi="ar-SA"/>
              </w:rPr>
              <w:t>/d</w:t>
            </w:r>
          </w:p>
        </w:tc>
        <w:tc>
          <w:tcPr>
            <w:tcW w:w="5784" w:type="dxa"/>
            <w:vAlign w:val="center"/>
          </w:tcPr>
          <w:p w14:paraId="531025C9">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D</w:t>
            </w:r>
            <w:r>
              <w:rPr>
                <w:rFonts w:hint="default" w:ascii="Times New Roman" w:hAnsi="宋体" w:eastAsia="宋体" w:cs="宋体"/>
                <w:color w:val="auto"/>
                <w:kern w:val="0"/>
                <w:sz w:val="21"/>
                <w:szCs w:val="20"/>
                <w:highlight w:val="none"/>
                <w:vertAlign w:val="subscript"/>
                <w:lang w:val="en-US" w:eastAsia="zh-CN" w:bidi="ar-SA"/>
              </w:rPr>
              <w:t>L</w:t>
            </w:r>
            <w:r>
              <w:rPr>
                <w:rFonts w:hint="default" w:ascii="Times New Roman" w:hAnsi="宋体" w:eastAsia="宋体" w:cs="宋体"/>
                <w:color w:val="auto"/>
                <w:kern w:val="0"/>
                <w:sz w:val="21"/>
                <w:szCs w:val="20"/>
                <w:highlight w:val="none"/>
                <w:lang w:val="en-US" w:eastAsia="zh-CN" w:bidi="ar-SA"/>
              </w:rPr>
              <w:t>=aLu，aL为纵向弥散度。参考前人的研究成果，弥散度应介于1～10之间，按照最不利的评价原则，</w:t>
            </w:r>
          </w:p>
          <w:p w14:paraId="36F63DF9">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本次模拟取弥散度参数值取10。</w:t>
            </w:r>
          </w:p>
        </w:tc>
      </w:tr>
      <w:tr w14:paraId="38CC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5547818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w:t>
            </w:r>
          </w:p>
        </w:tc>
        <w:tc>
          <w:tcPr>
            <w:tcW w:w="664" w:type="dxa"/>
            <w:vAlign w:val="center"/>
          </w:tcPr>
          <w:p w14:paraId="6975BF0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i/>
                <w:iCs/>
                <w:color w:val="auto"/>
                <w:kern w:val="0"/>
                <w:sz w:val="21"/>
                <w:szCs w:val="20"/>
                <w:highlight w:val="none"/>
                <w:lang w:val="en-US" w:eastAsia="zh-CN" w:bidi="ar-SA"/>
              </w:rPr>
            </w:pPr>
            <w:r>
              <w:rPr>
                <w:rFonts w:hint="default" w:ascii="Times New Roman" w:hAnsi="宋体" w:eastAsia="宋体" w:cs="宋体"/>
                <w:i/>
                <w:iCs/>
                <w:color w:val="auto"/>
                <w:kern w:val="0"/>
                <w:sz w:val="21"/>
                <w:szCs w:val="20"/>
                <w:highlight w:val="none"/>
                <w:lang w:val="en-US" w:eastAsia="zh-CN" w:bidi="ar-SA"/>
              </w:rPr>
              <w:t>n</w:t>
            </w:r>
          </w:p>
        </w:tc>
        <w:tc>
          <w:tcPr>
            <w:tcW w:w="851" w:type="dxa"/>
            <w:vAlign w:val="center"/>
          </w:tcPr>
          <w:p w14:paraId="4807765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有效孔隙度</w:t>
            </w:r>
          </w:p>
        </w:tc>
        <w:tc>
          <w:tcPr>
            <w:tcW w:w="738" w:type="dxa"/>
            <w:vAlign w:val="center"/>
          </w:tcPr>
          <w:p w14:paraId="3E0BD11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33.6</w:t>
            </w:r>
            <w:r>
              <w:rPr>
                <w:rFonts w:hint="default" w:ascii="Times New Roman" w:hAnsi="宋体" w:eastAsia="宋体" w:cs="宋体"/>
                <w:color w:val="auto"/>
                <w:kern w:val="0"/>
                <w:sz w:val="21"/>
                <w:szCs w:val="20"/>
                <w:highlight w:val="none"/>
                <w:lang w:val="en-US" w:eastAsia="zh-CN" w:bidi="ar-SA"/>
              </w:rPr>
              <w:t>%</w:t>
            </w:r>
          </w:p>
        </w:tc>
        <w:tc>
          <w:tcPr>
            <w:tcW w:w="5784" w:type="dxa"/>
            <w:vAlign w:val="center"/>
          </w:tcPr>
          <w:p w14:paraId="6C4FF67A">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依据《水文地质手册》（第二版）中表 2-3-2及区内已有</w:t>
            </w:r>
            <w:r>
              <w:rPr>
                <w:rFonts w:hint="eastAsia" w:hAnsi="宋体" w:cs="宋体"/>
                <w:color w:val="auto"/>
                <w:kern w:val="0"/>
                <w:sz w:val="21"/>
                <w:szCs w:val="20"/>
                <w:highlight w:val="none"/>
                <w:lang w:val="en-US" w:eastAsia="zh-CN" w:bidi="ar-SA"/>
              </w:rPr>
              <w:t>勘查资料</w:t>
            </w:r>
            <w:r>
              <w:rPr>
                <w:rFonts w:hint="default" w:ascii="Times New Roman" w:hAnsi="宋体" w:eastAsia="宋体" w:cs="宋体"/>
                <w:color w:val="auto"/>
                <w:kern w:val="0"/>
                <w:sz w:val="21"/>
                <w:szCs w:val="20"/>
                <w:highlight w:val="none"/>
                <w:lang w:val="en-US" w:eastAsia="zh-CN" w:bidi="ar-SA"/>
              </w:rPr>
              <w:t>，细砂孔隙度为0.42，</w:t>
            </w:r>
            <w:r>
              <w:rPr>
                <w:rFonts w:hint="default" w:ascii="Times New Roman" w:hAnsi="Times New Roman" w:eastAsia="宋体" w:cs="Times New Roman"/>
                <w:color w:val="auto"/>
                <w:kern w:val="0"/>
                <w:sz w:val="21"/>
                <w:szCs w:val="21"/>
                <w:highlight w:val="none"/>
                <w:lang w:val="en-US" w:eastAsia="zh-CN" w:bidi="ar-SA"/>
              </w:rPr>
              <w:t>而根据以往</w:t>
            </w:r>
            <w:r>
              <w:rPr>
                <w:rFonts w:hint="eastAsia" w:ascii="Times New Roman" w:hAnsi="Times New Roman" w:eastAsia="宋体" w:cs="Times New Roman"/>
                <w:color w:val="auto"/>
                <w:kern w:val="0"/>
                <w:sz w:val="21"/>
                <w:szCs w:val="21"/>
                <w:highlight w:val="none"/>
                <w:lang w:val="en-US" w:eastAsia="zh-CN" w:bidi="ar-SA"/>
              </w:rPr>
              <w:t>生产</w:t>
            </w:r>
            <w:r>
              <w:rPr>
                <w:rFonts w:hint="default" w:ascii="Times New Roman" w:hAnsi="Times New Roman" w:eastAsia="宋体" w:cs="Times New Roman"/>
                <w:color w:val="auto"/>
                <w:kern w:val="0"/>
                <w:sz w:val="21"/>
                <w:szCs w:val="21"/>
                <w:highlight w:val="none"/>
                <w:lang w:val="en-US" w:eastAsia="zh-CN" w:bidi="ar-SA"/>
              </w:rPr>
              <w:t>经验，有效孔隙度一般比孔隙度小10%～20%，因此本次取有效孔隙度n=0.</w:t>
            </w:r>
            <w:r>
              <w:rPr>
                <w:rFonts w:hint="eastAsia" w:ascii="Times New Roman" w:hAnsi="Times New Roman" w:eastAsia="宋体" w:cs="Times New Roman"/>
                <w:color w:val="auto"/>
                <w:kern w:val="0"/>
                <w:sz w:val="21"/>
                <w:szCs w:val="21"/>
                <w:highlight w:val="none"/>
                <w:lang w:val="en-US" w:eastAsia="zh-CN" w:bidi="ar-SA"/>
              </w:rPr>
              <w:t>42</w:t>
            </w:r>
            <w:r>
              <w:rPr>
                <w:rFonts w:hint="default" w:ascii="Times New Roman" w:hAnsi="Times New Roman" w:eastAsia="宋体" w:cs="Times New Roman"/>
                <w:color w:val="auto"/>
                <w:kern w:val="0"/>
                <w:sz w:val="21"/>
                <w:szCs w:val="21"/>
                <w:highlight w:val="none"/>
                <w:lang w:val="en-US" w:eastAsia="zh-CN" w:bidi="ar-SA"/>
              </w:rPr>
              <w:t>×0.8=0.</w:t>
            </w:r>
            <w:r>
              <w:rPr>
                <w:rFonts w:hint="eastAsia" w:ascii="Times New Roman" w:hAnsi="Times New Roman" w:eastAsia="宋体" w:cs="Times New Roman"/>
                <w:color w:val="auto"/>
                <w:kern w:val="0"/>
                <w:sz w:val="21"/>
                <w:szCs w:val="21"/>
                <w:highlight w:val="none"/>
                <w:lang w:val="en-US" w:eastAsia="zh-CN" w:bidi="ar-SA"/>
              </w:rPr>
              <w:t>336。</w:t>
            </w:r>
          </w:p>
        </w:tc>
      </w:tr>
      <w:tr w14:paraId="775B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6BC8ED9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w:t>
            </w:r>
          </w:p>
        </w:tc>
        <w:tc>
          <w:tcPr>
            <w:tcW w:w="664" w:type="dxa"/>
            <w:vAlign w:val="center"/>
          </w:tcPr>
          <w:p w14:paraId="672F92E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i/>
                <w:iCs/>
                <w:color w:val="auto"/>
                <w:kern w:val="0"/>
                <w:sz w:val="21"/>
                <w:szCs w:val="20"/>
                <w:highlight w:val="none"/>
                <w:lang w:val="en-US" w:eastAsia="zh-CN" w:bidi="ar-SA"/>
              </w:rPr>
            </w:pPr>
            <w:r>
              <w:rPr>
                <w:rFonts w:hint="default" w:ascii="Times New Roman" w:hAnsi="宋体" w:eastAsia="宋体" w:cs="宋体"/>
                <w:i/>
                <w:iCs/>
                <w:color w:val="auto"/>
                <w:kern w:val="0"/>
                <w:sz w:val="21"/>
                <w:szCs w:val="20"/>
                <w:highlight w:val="none"/>
                <w:lang w:val="en-US" w:eastAsia="zh-CN" w:bidi="ar-SA"/>
              </w:rPr>
              <w:t>t</w:t>
            </w:r>
          </w:p>
        </w:tc>
        <w:tc>
          <w:tcPr>
            <w:tcW w:w="851" w:type="dxa"/>
            <w:vAlign w:val="center"/>
          </w:tcPr>
          <w:p w14:paraId="735D26B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时间</w:t>
            </w:r>
          </w:p>
        </w:tc>
        <w:tc>
          <w:tcPr>
            <w:tcW w:w="6522" w:type="dxa"/>
            <w:gridSpan w:val="2"/>
            <w:vAlign w:val="center"/>
          </w:tcPr>
          <w:p w14:paraId="2F49F74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计算发生渗漏后100d、1000d、3650d后各预测点的浓度</w:t>
            </w:r>
          </w:p>
        </w:tc>
      </w:tr>
      <w:tr w14:paraId="7521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05D6DC2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5</w:t>
            </w:r>
          </w:p>
        </w:tc>
        <w:tc>
          <w:tcPr>
            <w:tcW w:w="664" w:type="dxa"/>
            <w:vAlign w:val="center"/>
          </w:tcPr>
          <w:p w14:paraId="3E08068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i/>
                <w:iCs/>
                <w:color w:val="auto"/>
                <w:kern w:val="0"/>
                <w:sz w:val="21"/>
                <w:szCs w:val="20"/>
                <w:highlight w:val="none"/>
                <w:lang w:val="en-US" w:eastAsia="zh-CN" w:bidi="ar-SA"/>
              </w:rPr>
            </w:pPr>
            <w:r>
              <w:rPr>
                <w:rFonts w:hint="default" w:ascii="Times New Roman" w:hAnsi="宋体" w:eastAsia="宋体" w:cs="宋体"/>
                <w:i/>
                <w:iCs/>
                <w:color w:val="auto"/>
                <w:kern w:val="0"/>
                <w:sz w:val="21"/>
                <w:szCs w:val="20"/>
                <w:highlight w:val="none"/>
                <w:lang w:val="en-US" w:eastAsia="zh-CN" w:bidi="ar-SA"/>
              </w:rPr>
              <w:t>C</w:t>
            </w:r>
            <w:r>
              <w:rPr>
                <w:rFonts w:hint="default" w:ascii="Times New Roman" w:hAnsi="宋体" w:eastAsia="宋体" w:cs="宋体"/>
                <w:i/>
                <w:iCs/>
                <w:color w:val="auto"/>
                <w:kern w:val="0"/>
                <w:sz w:val="21"/>
                <w:szCs w:val="20"/>
                <w:highlight w:val="none"/>
                <w:vertAlign w:val="subscript"/>
                <w:lang w:val="en-US" w:eastAsia="zh-CN" w:bidi="ar-SA"/>
              </w:rPr>
              <w:t>0</w:t>
            </w:r>
          </w:p>
        </w:tc>
        <w:tc>
          <w:tcPr>
            <w:tcW w:w="851" w:type="dxa"/>
            <w:vAlign w:val="center"/>
          </w:tcPr>
          <w:p w14:paraId="0634E2C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污染物浓度</w:t>
            </w:r>
          </w:p>
        </w:tc>
        <w:tc>
          <w:tcPr>
            <w:tcW w:w="6522" w:type="dxa"/>
            <w:gridSpan w:val="2"/>
            <w:vAlign w:val="center"/>
          </w:tcPr>
          <w:p w14:paraId="10CE6443">
            <w:pPr>
              <w:keepNext w:val="0"/>
              <w:keepLines w:val="0"/>
              <w:widowControl/>
              <w:suppressLineNumbers w:val="0"/>
              <w:adjustRightInd w:val="0"/>
              <w:snapToGrid w:val="0"/>
              <w:spacing w:before="0" w:beforeAutospacing="0" w:after="0" w:afterAutospacing="0" w:line="240" w:lineRule="auto"/>
              <w:ind w:left="0" w:right="0" w:firstLine="0" w:firstLineChars="0"/>
              <w:jc w:val="left"/>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参照</w:t>
            </w:r>
            <w:r>
              <w:rPr>
                <w:rFonts w:hint="eastAsia" w:ascii="Times New Roman" w:hAnsi="宋体" w:eastAsia="宋体" w:cs="宋体"/>
                <w:color w:val="auto"/>
                <w:kern w:val="0"/>
                <w:sz w:val="21"/>
                <w:szCs w:val="20"/>
                <w:highlight w:val="none"/>
                <w:lang w:val="en-US" w:eastAsia="zh-CN" w:bidi="ar-SA"/>
              </w:rPr>
              <w:t>美国石油协会石油烃标准化工作组</w:t>
            </w:r>
            <w:r>
              <w:rPr>
                <w:rFonts w:hint="default" w:ascii="Times New Roman" w:hAnsi="宋体" w:eastAsia="宋体" w:cs="宋体"/>
                <w:color w:val="auto"/>
                <w:kern w:val="0"/>
                <w:sz w:val="21"/>
                <w:szCs w:val="20"/>
                <w:highlight w:val="none"/>
                <w:lang w:val="en-US" w:eastAsia="zh-CN" w:bidi="ar-SA"/>
              </w:rPr>
              <w:t>TPHCWG（1997）中关于石油类污染物的溶解度等相关文献，取18 mg/L为石油类可溶态污染物的最高浓度值</w:t>
            </w:r>
            <w:r>
              <w:rPr>
                <w:rFonts w:hint="eastAsia" w:ascii="Times New Roman" w:hAnsi="宋体" w:eastAsia="宋体" w:cs="宋体"/>
                <w:color w:val="auto"/>
                <w:kern w:val="0"/>
                <w:sz w:val="21"/>
                <w:szCs w:val="20"/>
                <w:highlight w:val="none"/>
                <w:lang w:val="en-US" w:eastAsia="zh-CN" w:bidi="ar-SA"/>
              </w:rPr>
              <w:t>，作为本次预测的源强。</w:t>
            </w:r>
            <w:r>
              <w:rPr>
                <w:rFonts w:hint="default" w:ascii="Times New Roman" w:hAnsi="宋体" w:eastAsia="宋体" w:cs="宋体"/>
                <w:color w:val="auto"/>
                <w:kern w:val="0"/>
                <w:sz w:val="21"/>
                <w:szCs w:val="20"/>
                <w:highlight w:val="none"/>
                <w:lang w:val="en-US" w:eastAsia="zh-CN" w:bidi="ar-SA"/>
              </w:rPr>
              <w:t>石油类参照《地表水环境质量标准》（GB3838-2002）中Ⅲ类，将石油类污染物浓度标准定为0.05mg/L。检出限为0.01mg/L。</w:t>
            </w:r>
          </w:p>
        </w:tc>
      </w:tr>
    </w:tbl>
    <w:p w14:paraId="4452F303">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⑥</w:t>
      </w:r>
      <w:r>
        <w:rPr>
          <w:rFonts w:ascii="Times New Roman" w:hAnsi="宋体" w:eastAsia="宋体" w:cs="宋体"/>
          <w:color w:val="auto"/>
          <w:kern w:val="2"/>
          <w:szCs w:val="20"/>
          <w:highlight w:val="none"/>
        </w:rPr>
        <w:t>预测结果与分析</w:t>
      </w:r>
    </w:p>
    <w:p w14:paraId="36EBB55F">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将以上确定</w:t>
      </w:r>
      <w:r>
        <w:rPr>
          <w:rFonts w:hint="eastAsia" w:ascii="Times New Roman" w:hAnsi="宋体" w:eastAsia="宋体" w:cs="宋体"/>
          <w:color w:val="auto"/>
          <w:kern w:val="2"/>
          <w:szCs w:val="20"/>
          <w:highlight w:val="none"/>
          <w:lang w:eastAsia="zh-CN"/>
        </w:rPr>
        <w:t>的</w:t>
      </w:r>
      <w:r>
        <w:rPr>
          <w:rFonts w:hint="eastAsia" w:ascii="Times New Roman" w:hAnsi="宋体" w:eastAsia="宋体" w:cs="宋体"/>
          <w:color w:val="auto"/>
          <w:kern w:val="2"/>
          <w:szCs w:val="20"/>
          <w:highlight w:val="none"/>
        </w:rPr>
        <w:t>参数代入模型，便可以求出不同时段，在预测情景下，</w:t>
      </w:r>
      <w:r>
        <w:rPr>
          <w:rFonts w:hint="eastAsia" w:hAnsi="宋体" w:cs="宋体"/>
          <w:color w:val="auto"/>
          <w:kern w:val="2"/>
          <w:szCs w:val="20"/>
          <w:highlight w:val="none"/>
          <w:lang w:eastAsia="zh-CN"/>
        </w:rPr>
        <w:t>泄漏</w:t>
      </w:r>
      <w:r>
        <w:rPr>
          <w:rFonts w:hint="eastAsia" w:ascii="Times New Roman" w:hAnsi="宋体" w:eastAsia="宋体" w:cs="宋体"/>
          <w:color w:val="auto"/>
          <w:kern w:val="2"/>
          <w:szCs w:val="20"/>
          <w:highlight w:val="none"/>
        </w:rPr>
        <w:t>了不同天数（100天、1000天、3650天）时，污染物在含水层不同位置的浓度分布情况。具体见表</w:t>
      </w:r>
      <w:r>
        <w:rPr>
          <w:rFonts w:hint="eastAsia" w:ascii="Times New Roman" w:hAnsi="宋体" w:eastAsia="宋体" w:cs="宋体"/>
          <w:color w:val="auto"/>
          <w:kern w:val="2"/>
          <w:szCs w:val="20"/>
          <w:highlight w:val="none"/>
          <w:lang w:eastAsia="zh-CN"/>
        </w:rPr>
        <w:t>5.</w:t>
      </w:r>
      <w:r>
        <w:rPr>
          <w:rFonts w:hint="eastAsia" w:ascii="Times New Roman" w:hAnsi="宋体" w:eastAsia="宋体" w:cs="宋体"/>
          <w:color w:val="auto"/>
          <w:kern w:val="2"/>
          <w:szCs w:val="20"/>
          <w:highlight w:val="none"/>
          <w:lang w:val="en-US" w:eastAsia="zh-CN"/>
        </w:rPr>
        <w:t>4</w:t>
      </w:r>
      <w:r>
        <w:rPr>
          <w:rFonts w:hint="eastAsia"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val="en-US" w:eastAsia="zh-CN"/>
        </w:rPr>
        <w:t>3</w:t>
      </w:r>
      <w:r>
        <w:rPr>
          <w:rFonts w:hint="eastAsia" w:ascii="Times New Roman" w:hAnsi="宋体" w:eastAsia="宋体" w:cs="宋体"/>
          <w:color w:val="auto"/>
          <w:kern w:val="2"/>
          <w:szCs w:val="20"/>
          <w:highlight w:val="none"/>
        </w:rPr>
        <w:t>、表5.</w:t>
      </w:r>
      <w:r>
        <w:rPr>
          <w:rFonts w:hint="eastAsia" w:ascii="Times New Roman" w:hAnsi="宋体" w:eastAsia="宋体" w:cs="宋体"/>
          <w:color w:val="auto"/>
          <w:kern w:val="2"/>
          <w:szCs w:val="20"/>
          <w:highlight w:val="none"/>
          <w:lang w:val="en-US" w:eastAsia="zh-CN"/>
        </w:rPr>
        <w:t>4</w:t>
      </w:r>
      <w:r>
        <w:rPr>
          <w:rFonts w:hint="eastAsia"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val="en-US" w:eastAsia="zh-CN"/>
        </w:rPr>
        <w:t>4</w:t>
      </w:r>
      <w:r>
        <w:rPr>
          <w:rFonts w:hint="eastAsia" w:ascii="Times New Roman" w:hAnsi="宋体" w:eastAsia="宋体" w:cs="宋体"/>
          <w:color w:val="auto"/>
          <w:kern w:val="2"/>
          <w:szCs w:val="20"/>
          <w:highlight w:val="none"/>
        </w:rPr>
        <w:t>，图5.</w:t>
      </w:r>
      <w:r>
        <w:rPr>
          <w:rFonts w:hint="eastAsia" w:ascii="Times New Roman" w:hAnsi="宋体" w:eastAsia="宋体" w:cs="宋体"/>
          <w:color w:val="auto"/>
          <w:kern w:val="2"/>
          <w:szCs w:val="20"/>
          <w:highlight w:val="none"/>
          <w:lang w:val="en-US" w:eastAsia="zh-CN"/>
        </w:rPr>
        <w:t>4</w:t>
      </w:r>
      <w:r>
        <w:rPr>
          <w:rFonts w:hint="eastAsia"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val="en-US" w:eastAsia="zh-CN"/>
        </w:rPr>
        <w:t>3</w:t>
      </w:r>
      <w:r>
        <w:rPr>
          <w:rFonts w:ascii="Times New Roman" w:hAnsi="宋体" w:eastAsia="宋体" w:cs="宋体"/>
          <w:color w:val="auto"/>
          <w:kern w:val="2"/>
          <w:szCs w:val="20"/>
          <w:highlight w:val="none"/>
        </w:rPr>
        <w:t>。</w:t>
      </w:r>
    </w:p>
    <w:p w14:paraId="78D2E1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val="0"/>
          <w:bCs/>
          <w:color w:val="auto"/>
          <w:kern w:val="2"/>
          <w:sz w:val="21"/>
          <w:szCs w:val="16"/>
          <w:highlight w:val="none"/>
        </w:rPr>
      </w:pPr>
      <w:r>
        <w:rPr>
          <w:rFonts w:hint="eastAsia" w:ascii="黑体" w:hAnsi="黑体" w:eastAsia="黑体" w:cs="黑体"/>
          <w:b w:val="0"/>
          <w:bCs/>
          <w:color w:val="auto"/>
          <w:kern w:val="2"/>
          <w:sz w:val="21"/>
          <w:szCs w:val="16"/>
          <w:highlight w:val="none"/>
        </w:rPr>
        <w:t>表5.</w:t>
      </w:r>
      <w:r>
        <w:rPr>
          <w:rFonts w:hint="eastAsia" w:ascii="黑体" w:hAnsi="黑体" w:eastAsia="黑体" w:cs="黑体"/>
          <w:b w:val="0"/>
          <w:bCs/>
          <w:color w:val="auto"/>
          <w:kern w:val="2"/>
          <w:sz w:val="21"/>
          <w:szCs w:val="16"/>
          <w:highlight w:val="none"/>
          <w:lang w:val="en-US" w:eastAsia="zh-CN"/>
        </w:rPr>
        <w:t>4</w:t>
      </w:r>
      <w:r>
        <w:rPr>
          <w:rFonts w:hint="eastAsia" w:ascii="黑体" w:hAnsi="黑体" w:eastAsia="黑体" w:cs="黑体"/>
          <w:b w:val="0"/>
          <w:bCs/>
          <w:color w:val="auto"/>
          <w:kern w:val="2"/>
          <w:sz w:val="21"/>
          <w:szCs w:val="16"/>
          <w:highlight w:val="none"/>
        </w:rPr>
        <w:t>-</w:t>
      </w:r>
      <w:r>
        <w:rPr>
          <w:rFonts w:hint="eastAsia" w:ascii="黑体" w:hAnsi="黑体" w:eastAsia="黑体" w:cs="黑体"/>
          <w:b w:val="0"/>
          <w:bCs/>
          <w:color w:val="auto"/>
          <w:kern w:val="2"/>
          <w:sz w:val="21"/>
          <w:szCs w:val="16"/>
          <w:highlight w:val="none"/>
          <w:lang w:val="en-US" w:eastAsia="zh-CN"/>
        </w:rPr>
        <w:t>3</w:t>
      </w:r>
      <w:r>
        <w:rPr>
          <w:rFonts w:hint="eastAsia" w:ascii="黑体" w:hAnsi="黑体" w:eastAsia="黑体" w:cs="黑体"/>
          <w:b w:val="0"/>
          <w:bCs/>
          <w:color w:val="auto"/>
          <w:kern w:val="2"/>
          <w:sz w:val="21"/>
          <w:szCs w:val="16"/>
          <w:highlight w:val="none"/>
        </w:rPr>
        <w:t xml:space="preserve">  污染物在潜水含水层中的浓度迁移预测结果（情景1）</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1206"/>
        <w:gridCol w:w="1568"/>
        <w:gridCol w:w="1206"/>
        <w:gridCol w:w="1568"/>
        <w:gridCol w:w="1206"/>
        <w:gridCol w:w="1568"/>
      </w:tblGrid>
      <w:tr w14:paraId="0FB9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7" w:type="pct"/>
            <w:vMerge w:val="restart"/>
            <w:shd w:val="clear" w:color="auto" w:fill="auto"/>
            <w:vAlign w:val="center"/>
          </w:tcPr>
          <w:p w14:paraId="3AC551F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污染物</w:t>
            </w:r>
          </w:p>
        </w:tc>
        <w:tc>
          <w:tcPr>
            <w:tcW w:w="1538" w:type="pct"/>
            <w:gridSpan w:val="2"/>
            <w:shd w:val="clear" w:color="auto" w:fill="auto"/>
            <w:noWrap/>
            <w:vAlign w:val="center"/>
          </w:tcPr>
          <w:p w14:paraId="1E7D825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100d</w:t>
            </w:r>
          </w:p>
        </w:tc>
        <w:tc>
          <w:tcPr>
            <w:tcW w:w="1601" w:type="pct"/>
            <w:gridSpan w:val="2"/>
            <w:shd w:val="clear" w:color="auto" w:fill="auto"/>
            <w:noWrap/>
            <w:vAlign w:val="center"/>
          </w:tcPr>
          <w:p w14:paraId="5980555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1000d</w:t>
            </w:r>
          </w:p>
        </w:tc>
        <w:tc>
          <w:tcPr>
            <w:tcW w:w="1601" w:type="pct"/>
            <w:gridSpan w:val="2"/>
            <w:shd w:val="clear" w:color="auto" w:fill="auto"/>
            <w:noWrap/>
            <w:vAlign w:val="center"/>
          </w:tcPr>
          <w:p w14:paraId="73BA990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3650d</w:t>
            </w:r>
          </w:p>
        </w:tc>
      </w:tr>
      <w:tr w14:paraId="7617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7" w:type="pct"/>
            <w:vMerge w:val="continue"/>
            <w:vAlign w:val="center"/>
          </w:tcPr>
          <w:p w14:paraId="34BF91D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205F1AB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等线"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距离（</w:t>
            </w:r>
            <w:r>
              <w:rPr>
                <w:rFonts w:hint="default" w:ascii="Times New Roman" w:hAnsi="宋体" w:eastAsia="等线" w:cs="宋体"/>
                <w:color w:val="auto"/>
                <w:kern w:val="0"/>
                <w:sz w:val="21"/>
                <w:szCs w:val="20"/>
                <w:highlight w:val="none"/>
                <w:lang w:val="en-US" w:eastAsia="zh-CN" w:bidi="ar-SA"/>
              </w:rPr>
              <w:t>m</w:t>
            </w:r>
            <w:r>
              <w:rPr>
                <w:rFonts w:hint="default" w:ascii="Times New Roman" w:hAnsi="宋体" w:eastAsia="宋体" w:cs="宋体"/>
                <w:color w:val="auto"/>
                <w:kern w:val="0"/>
                <w:sz w:val="21"/>
                <w:szCs w:val="20"/>
                <w:highlight w:val="none"/>
                <w:lang w:val="en-US" w:eastAsia="zh-CN" w:bidi="ar-SA"/>
              </w:rPr>
              <w:t>）</w:t>
            </w:r>
          </w:p>
        </w:tc>
        <w:tc>
          <w:tcPr>
            <w:tcW w:w="796" w:type="pct"/>
            <w:shd w:val="clear" w:color="auto" w:fill="auto"/>
            <w:noWrap/>
            <w:vAlign w:val="center"/>
          </w:tcPr>
          <w:p w14:paraId="355632B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浓度c</w:t>
            </w:r>
            <w:r>
              <w:rPr>
                <w:rFonts w:hint="eastAsia" w:ascii="Times New Roman"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mg/l</w:t>
            </w:r>
            <w:r>
              <w:rPr>
                <w:rFonts w:hint="eastAsia" w:ascii="Times New Roman" w:hAnsi="宋体" w:eastAsia="宋体" w:cs="宋体"/>
                <w:color w:val="auto"/>
                <w:kern w:val="0"/>
                <w:sz w:val="21"/>
                <w:szCs w:val="20"/>
                <w:highlight w:val="none"/>
                <w:lang w:val="en-US" w:eastAsia="zh-CN" w:bidi="ar-SA"/>
              </w:rPr>
              <w:t>）</w:t>
            </w:r>
          </w:p>
        </w:tc>
        <w:tc>
          <w:tcPr>
            <w:tcW w:w="742" w:type="pct"/>
            <w:shd w:val="clear" w:color="auto" w:fill="auto"/>
            <w:noWrap/>
            <w:vAlign w:val="center"/>
          </w:tcPr>
          <w:p w14:paraId="0252CFF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等线"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距离（</w:t>
            </w:r>
            <w:r>
              <w:rPr>
                <w:rFonts w:hint="default" w:ascii="Times New Roman" w:hAnsi="宋体" w:eastAsia="等线" w:cs="宋体"/>
                <w:color w:val="auto"/>
                <w:kern w:val="0"/>
                <w:sz w:val="21"/>
                <w:szCs w:val="20"/>
                <w:highlight w:val="none"/>
                <w:lang w:val="en-US" w:eastAsia="zh-CN" w:bidi="ar-SA"/>
              </w:rPr>
              <w:t>m</w:t>
            </w:r>
            <w:r>
              <w:rPr>
                <w:rFonts w:hint="default" w:ascii="Times New Roman" w:hAnsi="宋体" w:eastAsia="宋体" w:cs="宋体"/>
                <w:color w:val="auto"/>
                <w:kern w:val="0"/>
                <w:sz w:val="21"/>
                <w:szCs w:val="20"/>
                <w:highlight w:val="none"/>
                <w:lang w:val="en-US" w:eastAsia="zh-CN" w:bidi="ar-SA"/>
              </w:rPr>
              <w:t>）</w:t>
            </w:r>
          </w:p>
        </w:tc>
        <w:tc>
          <w:tcPr>
            <w:tcW w:w="858" w:type="pct"/>
            <w:shd w:val="clear" w:color="auto" w:fill="auto"/>
            <w:noWrap/>
            <w:vAlign w:val="center"/>
          </w:tcPr>
          <w:p w14:paraId="1037B3D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浓度c</w:t>
            </w:r>
            <w:r>
              <w:rPr>
                <w:rFonts w:hint="eastAsia" w:ascii="Times New Roman"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mg/l</w:t>
            </w:r>
            <w:r>
              <w:rPr>
                <w:rFonts w:hint="eastAsia" w:ascii="Times New Roman" w:hAnsi="宋体" w:eastAsia="宋体" w:cs="宋体"/>
                <w:color w:val="auto"/>
                <w:kern w:val="0"/>
                <w:sz w:val="21"/>
                <w:szCs w:val="20"/>
                <w:highlight w:val="none"/>
                <w:lang w:val="en-US" w:eastAsia="zh-CN" w:bidi="ar-SA"/>
              </w:rPr>
              <w:t>）</w:t>
            </w:r>
          </w:p>
        </w:tc>
        <w:tc>
          <w:tcPr>
            <w:tcW w:w="742" w:type="pct"/>
            <w:shd w:val="clear" w:color="auto" w:fill="auto"/>
            <w:noWrap/>
            <w:vAlign w:val="center"/>
          </w:tcPr>
          <w:p w14:paraId="547F3A8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等线"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距离（</w:t>
            </w:r>
            <w:r>
              <w:rPr>
                <w:rFonts w:hint="default" w:ascii="Times New Roman" w:hAnsi="宋体" w:eastAsia="等线" w:cs="宋体"/>
                <w:color w:val="auto"/>
                <w:kern w:val="0"/>
                <w:sz w:val="21"/>
                <w:szCs w:val="20"/>
                <w:highlight w:val="none"/>
                <w:lang w:val="en-US" w:eastAsia="zh-CN" w:bidi="ar-SA"/>
              </w:rPr>
              <w:t>m</w:t>
            </w:r>
            <w:r>
              <w:rPr>
                <w:rFonts w:hint="default" w:ascii="Times New Roman" w:hAnsi="宋体" w:eastAsia="宋体" w:cs="宋体"/>
                <w:color w:val="auto"/>
                <w:kern w:val="0"/>
                <w:sz w:val="21"/>
                <w:szCs w:val="20"/>
                <w:highlight w:val="none"/>
                <w:lang w:val="en-US" w:eastAsia="zh-CN" w:bidi="ar-SA"/>
              </w:rPr>
              <w:t>）</w:t>
            </w:r>
          </w:p>
        </w:tc>
        <w:tc>
          <w:tcPr>
            <w:tcW w:w="858" w:type="pct"/>
            <w:shd w:val="clear" w:color="auto" w:fill="auto"/>
            <w:noWrap/>
            <w:vAlign w:val="center"/>
          </w:tcPr>
          <w:p w14:paraId="38AC94B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浓度c</w:t>
            </w:r>
            <w:r>
              <w:rPr>
                <w:rFonts w:hint="eastAsia" w:ascii="Times New Roman"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mg/l</w:t>
            </w:r>
            <w:r>
              <w:rPr>
                <w:rFonts w:hint="eastAsia" w:ascii="Times New Roman" w:hAnsi="宋体" w:eastAsia="宋体" w:cs="宋体"/>
                <w:color w:val="auto"/>
                <w:kern w:val="0"/>
                <w:sz w:val="21"/>
                <w:szCs w:val="20"/>
                <w:highlight w:val="none"/>
                <w:lang w:val="en-US" w:eastAsia="zh-CN" w:bidi="ar-SA"/>
              </w:rPr>
              <w:t>）</w:t>
            </w:r>
          </w:p>
        </w:tc>
      </w:tr>
      <w:tr w14:paraId="1E5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7" w:type="pct"/>
            <w:vMerge w:val="restart"/>
            <w:shd w:val="clear" w:color="auto" w:fill="auto"/>
            <w:vAlign w:val="center"/>
          </w:tcPr>
          <w:p w14:paraId="23C57EC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石油类</w:t>
            </w:r>
          </w:p>
        </w:tc>
        <w:tc>
          <w:tcPr>
            <w:tcW w:w="742" w:type="pct"/>
            <w:shd w:val="clear" w:color="auto" w:fill="auto"/>
            <w:noWrap/>
            <w:vAlign w:val="center"/>
          </w:tcPr>
          <w:p w14:paraId="67602E1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796" w:type="pct"/>
            <w:shd w:val="clear" w:color="auto" w:fill="auto"/>
            <w:noWrap/>
            <w:vAlign w:val="center"/>
          </w:tcPr>
          <w:p w14:paraId="44EBA1B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18.000</w:t>
            </w:r>
          </w:p>
        </w:tc>
        <w:tc>
          <w:tcPr>
            <w:tcW w:w="742" w:type="pct"/>
            <w:shd w:val="clear" w:color="auto" w:fill="auto"/>
            <w:noWrap/>
            <w:vAlign w:val="center"/>
          </w:tcPr>
          <w:p w14:paraId="5C096EF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858" w:type="pct"/>
            <w:shd w:val="clear" w:color="auto" w:fill="auto"/>
            <w:noWrap/>
            <w:vAlign w:val="center"/>
          </w:tcPr>
          <w:p w14:paraId="119444B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18.000</w:t>
            </w:r>
          </w:p>
        </w:tc>
        <w:tc>
          <w:tcPr>
            <w:tcW w:w="742" w:type="pct"/>
            <w:shd w:val="clear" w:color="auto" w:fill="auto"/>
            <w:noWrap/>
            <w:vAlign w:val="center"/>
          </w:tcPr>
          <w:p w14:paraId="6D1115D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858" w:type="pct"/>
            <w:shd w:val="clear" w:color="auto" w:fill="auto"/>
            <w:noWrap/>
            <w:vAlign w:val="center"/>
          </w:tcPr>
          <w:p w14:paraId="293183D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18.000</w:t>
            </w:r>
          </w:p>
        </w:tc>
      </w:tr>
      <w:tr w14:paraId="78D1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3BFDF96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0286762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5</w:t>
            </w:r>
          </w:p>
        </w:tc>
        <w:tc>
          <w:tcPr>
            <w:tcW w:w="796" w:type="pct"/>
            <w:shd w:val="clear" w:color="auto" w:fill="auto"/>
            <w:noWrap/>
            <w:vAlign w:val="center"/>
          </w:tcPr>
          <w:p w14:paraId="0B0CA6F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10.600</w:t>
            </w:r>
          </w:p>
        </w:tc>
        <w:tc>
          <w:tcPr>
            <w:tcW w:w="742" w:type="pct"/>
            <w:shd w:val="clear" w:color="auto" w:fill="auto"/>
            <w:noWrap/>
            <w:vAlign w:val="center"/>
          </w:tcPr>
          <w:p w14:paraId="5474545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20</w:t>
            </w:r>
          </w:p>
        </w:tc>
        <w:tc>
          <w:tcPr>
            <w:tcW w:w="858" w:type="pct"/>
            <w:shd w:val="clear" w:color="auto" w:fill="auto"/>
            <w:noWrap/>
            <w:vAlign w:val="center"/>
          </w:tcPr>
          <w:p w14:paraId="4A97812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13.300</w:t>
            </w:r>
          </w:p>
        </w:tc>
        <w:tc>
          <w:tcPr>
            <w:tcW w:w="742" w:type="pct"/>
            <w:shd w:val="clear" w:color="auto" w:fill="auto"/>
            <w:noWrap/>
            <w:vAlign w:val="center"/>
          </w:tcPr>
          <w:p w14:paraId="572676C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30</w:t>
            </w:r>
          </w:p>
        </w:tc>
        <w:tc>
          <w:tcPr>
            <w:tcW w:w="858" w:type="pct"/>
            <w:shd w:val="clear" w:color="auto" w:fill="auto"/>
            <w:noWrap/>
            <w:vAlign w:val="center"/>
          </w:tcPr>
          <w:p w14:paraId="229C016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17.400</w:t>
            </w:r>
          </w:p>
        </w:tc>
      </w:tr>
      <w:tr w14:paraId="072C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4AF0F38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0976F79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w:t>
            </w:r>
          </w:p>
        </w:tc>
        <w:tc>
          <w:tcPr>
            <w:tcW w:w="796" w:type="pct"/>
            <w:shd w:val="clear" w:color="auto" w:fill="auto"/>
            <w:noWrap/>
            <w:vAlign w:val="center"/>
          </w:tcPr>
          <w:p w14:paraId="4DC08FF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4.250</w:t>
            </w:r>
          </w:p>
        </w:tc>
        <w:tc>
          <w:tcPr>
            <w:tcW w:w="742" w:type="pct"/>
            <w:shd w:val="clear" w:color="auto" w:fill="auto"/>
            <w:noWrap/>
            <w:vAlign w:val="center"/>
          </w:tcPr>
          <w:p w14:paraId="00F482C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40</w:t>
            </w:r>
          </w:p>
        </w:tc>
        <w:tc>
          <w:tcPr>
            <w:tcW w:w="858" w:type="pct"/>
            <w:shd w:val="clear" w:color="auto" w:fill="auto"/>
            <w:noWrap/>
            <w:vAlign w:val="center"/>
          </w:tcPr>
          <w:p w14:paraId="34D5C78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5.900</w:t>
            </w:r>
          </w:p>
        </w:tc>
        <w:tc>
          <w:tcPr>
            <w:tcW w:w="742" w:type="pct"/>
            <w:shd w:val="clear" w:color="auto" w:fill="auto"/>
            <w:noWrap/>
            <w:vAlign w:val="center"/>
          </w:tcPr>
          <w:p w14:paraId="7C8E3FE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60</w:t>
            </w:r>
          </w:p>
        </w:tc>
        <w:tc>
          <w:tcPr>
            <w:tcW w:w="858" w:type="pct"/>
            <w:shd w:val="clear" w:color="auto" w:fill="auto"/>
            <w:noWrap/>
            <w:vAlign w:val="center"/>
          </w:tcPr>
          <w:p w14:paraId="2EEFE21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14.900</w:t>
            </w:r>
          </w:p>
        </w:tc>
      </w:tr>
      <w:tr w14:paraId="7E48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7C9F37D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3A274C3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15</w:t>
            </w:r>
          </w:p>
        </w:tc>
        <w:tc>
          <w:tcPr>
            <w:tcW w:w="796" w:type="pct"/>
            <w:shd w:val="clear" w:color="auto" w:fill="auto"/>
            <w:noWrap/>
            <w:vAlign w:val="center"/>
          </w:tcPr>
          <w:p w14:paraId="7E880A8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1.110</w:t>
            </w:r>
          </w:p>
        </w:tc>
        <w:tc>
          <w:tcPr>
            <w:tcW w:w="742" w:type="pct"/>
            <w:shd w:val="clear" w:color="auto" w:fill="auto"/>
            <w:noWrap/>
            <w:vAlign w:val="center"/>
          </w:tcPr>
          <w:p w14:paraId="1BCACDE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60</w:t>
            </w:r>
          </w:p>
        </w:tc>
        <w:tc>
          <w:tcPr>
            <w:tcW w:w="858" w:type="pct"/>
            <w:shd w:val="clear" w:color="auto" w:fill="auto"/>
            <w:noWrap/>
            <w:vAlign w:val="center"/>
          </w:tcPr>
          <w:p w14:paraId="728162F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1.360</w:t>
            </w:r>
          </w:p>
        </w:tc>
        <w:tc>
          <w:tcPr>
            <w:tcW w:w="742" w:type="pct"/>
            <w:shd w:val="clear" w:color="auto" w:fill="auto"/>
            <w:noWrap/>
            <w:vAlign w:val="center"/>
          </w:tcPr>
          <w:p w14:paraId="3E47D9A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90</w:t>
            </w:r>
          </w:p>
        </w:tc>
        <w:tc>
          <w:tcPr>
            <w:tcW w:w="858" w:type="pct"/>
            <w:shd w:val="clear" w:color="auto" w:fill="auto"/>
            <w:noWrap/>
            <w:vAlign w:val="center"/>
          </w:tcPr>
          <w:p w14:paraId="7971D12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10.200</w:t>
            </w:r>
          </w:p>
        </w:tc>
      </w:tr>
      <w:tr w14:paraId="4442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0376A6A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0EE4200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23</w:t>
            </w:r>
          </w:p>
        </w:tc>
        <w:tc>
          <w:tcPr>
            <w:tcW w:w="796" w:type="pct"/>
            <w:shd w:val="clear" w:color="auto" w:fill="auto"/>
            <w:noWrap/>
            <w:vAlign w:val="center"/>
          </w:tcPr>
          <w:p w14:paraId="3C100EE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0.049</w:t>
            </w:r>
          </w:p>
        </w:tc>
        <w:tc>
          <w:tcPr>
            <w:tcW w:w="742" w:type="pct"/>
            <w:shd w:val="clear" w:color="auto" w:fill="auto"/>
            <w:noWrap/>
            <w:vAlign w:val="center"/>
          </w:tcPr>
          <w:p w14:paraId="39E1853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80</w:t>
            </w:r>
          </w:p>
        </w:tc>
        <w:tc>
          <w:tcPr>
            <w:tcW w:w="858" w:type="pct"/>
            <w:shd w:val="clear" w:color="auto" w:fill="auto"/>
            <w:noWrap/>
            <w:vAlign w:val="center"/>
          </w:tcPr>
          <w:p w14:paraId="2CBD38A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0.151</w:t>
            </w:r>
          </w:p>
        </w:tc>
        <w:tc>
          <w:tcPr>
            <w:tcW w:w="742" w:type="pct"/>
            <w:shd w:val="clear" w:color="auto" w:fill="auto"/>
            <w:noWrap/>
            <w:vAlign w:val="center"/>
          </w:tcPr>
          <w:p w14:paraId="062EBF5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120</w:t>
            </w:r>
          </w:p>
        </w:tc>
        <w:tc>
          <w:tcPr>
            <w:tcW w:w="858" w:type="pct"/>
            <w:shd w:val="clear" w:color="auto" w:fill="auto"/>
            <w:noWrap/>
            <w:vAlign w:val="center"/>
          </w:tcPr>
          <w:p w14:paraId="64A4843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4.990</w:t>
            </w:r>
          </w:p>
        </w:tc>
      </w:tr>
      <w:tr w14:paraId="6EC1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2852816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2B2C6F8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26</w:t>
            </w:r>
          </w:p>
        </w:tc>
        <w:tc>
          <w:tcPr>
            <w:tcW w:w="796" w:type="pct"/>
            <w:shd w:val="clear" w:color="auto" w:fill="auto"/>
            <w:noWrap/>
            <w:vAlign w:val="center"/>
          </w:tcPr>
          <w:p w14:paraId="3A786B6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0.011</w:t>
            </w:r>
          </w:p>
        </w:tc>
        <w:tc>
          <w:tcPr>
            <w:tcW w:w="742" w:type="pct"/>
            <w:shd w:val="clear" w:color="auto" w:fill="auto"/>
            <w:noWrap/>
            <w:vAlign w:val="center"/>
          </w:tcPr>
          <w:p w14:paraId="6BCFF01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88</w:t>
            </w:r>
          </w:p>
        </w:tc>
        <w:tc>
          <w:tcPr>
            <w:tcW w:w="858" w:type="pct"/>
            <w:shd w:val="clear" w:color="auto" w:fill="auto"/>
            <w:noWrap/>
            <w:vAlign w:val="center"/>
          </w:tcPr>
          <w:p w14:paraId="5991CC1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0.049</w:t>
            </w:r>
          </w:p>
        </w:tc>
        <w:tc>
          <w:tcPr>
            <w:tcW w:w="742" w:type="pct"/>
            <w:shd w:val="clear" w:color="auto" w:fill="auto"/>
            <w:noWrap/>
            <w:vAlign w:val="center"/>
          </w:tcPr>
          <w:p w14:paraId="0415DE6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150</w:t>
            </w:r>
          </w:p>
        </w:tc>
        <w:tc>
          <w:tcPr>
            <w:tcW w:w="858" w:type="pct"/>
            <w:shd w:val="clear" w:color="auto" w:fill="auto"/>
            <w:noWrap/>
            <w:vAlign w:val="center"/>
          </w:tcPr>
          <w:p w14:paraId="790A2B1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1.630</w:t>
            </w:r>
          </w:p>
        </w:tc>
      </w:tr>
      <w:tr w14:paraId="179F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7657886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706EBB1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30</w:t>
            </w:r>
          </w:p>
        </w:tc>
        <w:tc>
          <w:tcPr>
            <w:tcW w:w="796" w:type="pct"/>
            <w:shd w:val="clear" w:color="auto" w:fill="auto"/>
            <w:noWrap/>
            <w:vAlign w:val="center"/>
          </w:tcPr>
          <w:p w14:paraId="6E6E964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0.001</w:t>
            </w:r>
          </w:p>
        </w:tc>
        <w:tc>
          <w:tcPr>
            <w:tcW w:w="742" w:type="pct"/>
            <w:shd w:val="clear" w:color="auto" w:fill="auto"/>
            <w:noWrap/>
            <w:vAlign w:val="center"/>
          </w:tcPr>
          <w:p w14:paraId="517CCE7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99</w:t>
            </w:r>
          </w:p>
        </w:tc>
        <w:tc>
          <w:tcPr>
            <w:tcW w:w="858" w:type="pct"/>
            <w:shd w:val="clear" w:color="auto" w:fill="auto"/>
            <w:noWrap/>
            <w:vAlign w:val="center"/>
          </w:tcPr>
          <w:p w14:paraId="474483C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0.010</w:t>
            </w:r>
          </w:p>
        </w:tc>
        <w:tc>
          <w:tcPr>
            <w:tcW w:w="742" w:type="pct"/>
            <w:shd w:val="clear" w:color="auto" w:fill="auto"/>
            <w:noWrap/>
            <w:vAlign w:val="center"/>
          </w:tcPr>
          <w:p w14:paraId="55255E1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180</w:t>
            </w:r>
          </w:p>
        </w:tc>
        <w:tc>
          <w:tcPr>
            <w:tcW w:w="858" w:type="pct"/>
            <w:shd w:val="clear" w:color="auto" w:fill="auto"/>
            <w:noWrap/>
            <w:vAlign w:val="center"/>
          </w:tcPr>
          <w:p w14:paraId="58199A6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0.342</w:t>
            </w:r>
          </w:p>
        </w:tc>
      </w:tr>
      <w:tr w14:paraId="316A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54BD096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6EA3618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35</w:t>
            </w:r>
          </w:p>
        </w:tc>
        <w:tc>
          <w:tcPr>
            <w:tcW w:w="796" w:type="pct"/>
            <w:shd w:val="clear" w:color="auto" w:fill="auto"/>
            <w:noWrap/>
            <w:vAlign w:val="center"/>
          </w:tcPr>
          <w:p w14:paraId="57019B4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26A7A08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120</w:t>
            </w:r>
          </w:p>
        </w:tc>
        <w:tc>
          <w:tcPr>
            <w:tcW w:w="858" w:type="pct"/>
            <w:shd w:val="clear" w:color="auto" w:fill="auto"/>
            <w:noWrap/>
            <w:vAlign w:val="center"/>
          </w:tcPr>
          <w:p w14:paraId="1B4D3EA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36EB44A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209</w:t>
            </w:r>
          </w:p>
        </w:tc>
        <w:tc>
          <w:tcPr>
            <w:tcW w:w="858" w:type="pct"/>
            <w:shd w:val="clear" w:color="auto" w:fill="auto"/>
            <w:noWrap/>
            <w:vAlign w:val="center"/>
          </w:tcPr>
          <w:p w14:paraId="6526E7E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0.050</w:t>
            </w:r>
          </w:p>
        </w:tc>
      </w:tr>
      <w:tr w14:paraId="204E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0EEBD93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2AE72F7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40</w:t>
            </w:r>
          </w:p>
        </w:tc>
        <w:tc>
          <w:tcPr>
            <w:tcW w:w="796" w:type="pct"/>
            <w:shd w:val="clear" w:color="auto" w:fill="auto"/>
            <w:noWrap/>
            <w:vAlign w:val="center"/>
          </w:tcPr>
          <w:p w14:paraId="44C8FB4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2FE0843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140</w:t>
            </w:r>
          </w:p>
        </w:tc>
        <w:tc>
          <w:tcPr>
            <w:tcW w:w="858" w:type="pct"/>
            <w:shd w:val="clear" w:color="auto" w:fill="auto"/>
            <w:noWrap/>
            <w:vAlign w:val="center"/>
          </w:tcPr>
          <w:p w14:paraId="5264AFB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6C01617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229</w:t>
            </w:r>
          </w:p>
        </w:tc>
        <w:tc>
          <w:tcPr>
            <w:tcW w:w="858" w:type="pct"/>
            <w:shd w:val="clear" w:color="auto" w:fill="auto"/>
            <w:noWrap/>
            <w:vAlign w:val="center"/>
          </w:tcPr>
          <w:p w14:paraId="4FBF937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0.010</w:t>
            </w:r>
          </w:p>
        </w:tc>
      </w:tr>
      <w:tr w14:paraId="06DF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6FF5C47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2FC7D2C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45</w:t>
            </w:r>
          </w:p>
        </w:tc>
        <w:tc>
          <w:tcPr>
            <w:tcW w:w="796" w:type="pct"/>
            <w:shd w:val="clear" w:color="auto" w:fill="auto"/>
            <w:noWrap/>
            <w:vAlign w:val="center"/>
          </w:tcPr>
          <w:p w14:paraId="72AAEF4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5D6D612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160</w:t>
            </w:r>
          </w:p>
        </w:tc>
        <w:tc>
          <w:tcPr>
            <w:tcW w:w="858" w:type="pct"/>
            <w:shd w:val="clear" w:color="auto" w:fill="auto"/>
            <w:noWrap/>
            <w:vAlign w:val="center"/>
          </w:tcPr>
          <w:p w14:paraId="00EB1D4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4082089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270</w:t>
            </w:r>
          </w:p>
        </w:tc>
        <w:tc>
          <w:tcPr>
            <w:tcW w:w="858" w:type="pct"/>
            <w:shd w:val="clear" w:color="auto" w:fill="auto"/>
            <w:noWrap/>
            <w:vAlign w:val="center"/>
          </w:tcPr>
          <w:p w14:paraId="3FA3F67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r>
      <w:tr w14:paraId="57A7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7" w:type="pct"/>
            <w:vMerge w:val="continue"/>
            <w:vAlign w:val="center"/>
          </w:tcPr>
          <w:p w14:paraId="61683BD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742" w:type="pct"/>
            <w:shd w:val="clear" w:color="auto" w:fill="auto"/>
            <w:noWrap/>
            <w:vAlign w:val="center"/>
          </w:tcPr>
          <w:p w14:paraId="045D980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50</w:t>
            </w:r>
          </w:p>
        </w:tc>
        <w:tc>
          <w:tcPr>
            <w:tcW w:w="796" w:type="pct"/>
            <w:shd w:val="clear" w:color="auto" w:fill="auto"/>
            <w:noWrap/>
            <w:vAlign w:val="center"/>
          </w:tcPr>
          <w:p w14:paraId="01C7494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032C24C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180</w:t>
            </w:r>
          </w:p>
        </w:tc>
        <w:tc>
          <w:tcPr>
            <w:tcW w:w="858" w:type="pct"/>
            <w:shd w:val="clear" w:color="auto" w:fill="auto"/>
            <w:noWrap/>
            <w:vAlign w:val="center"/>
          </w:tcPr>
          <w:p w14:paraId="75DC699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742" w:type="pct"/>
            <w:shd w:val="clear" w:color="auto" w:fill="auto"/>
            <w:noWrap/>
            <w:vAlign w:val="center"/>
          </w:tcPr>
          <w:p w14:paraId="3EB6466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300</w:t>
            </w:r>
          </w:p>
        </w:tc>
        <w:tc>
          <w:tcPr>
            <w:tcW w:w="858" w:type="pct"/>
            <w:shd w:val="clear" w:color="auto" w:fill="auto"/>
            <w:noWrap/>
            <w:vAlign w:val="center"/>
          </w:tcPr>
          <w:p w14:paraId="2A2F672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r>
    </w:tbl>
    <w:p w14:paraId="5B9E6F90">
      <w:pPr>
        <w:keepNext w:val="0"/>
        <w:keepLines w:val="0"/>
        <w:pageBreakBefore w:val="0"/>
        <w:widowControl w:val="0"/>
        <w:kinsoku/>
        <w:wordWrap/>
        <w:overflowPunct/>
        <w:topLinePunct w:val="0"/>
        <w:autoSpaceDE/>
        <w:autoSpaceDN/>
        <w:bidi w:val="0"/>
        <w:adjustRightInd/>
        <w:snapToGrid/>
        <w:spacing w:before="164" w:beforeLines="50" w:line="240" w:lineRule="auto"/>
        <w:ind w:firstLine="420" w:firstLineChars="200"/>
        <w:jc w:val="center"/>
        <w:textAlignment w:val="auto"/>
        <w:rPr>
          <w:rFonts w:hint="eastAsia" w:ascii="黑体" w:hAnsi="黑体" w:eastAsia="黑体" w:cs="黑体"/>
          <w:b w:val="0"/>
          <w:bCs/>
          <w:color w:val="auto"/>
          <w:kern w:val="2"/>
          <w:sz w:val="21"/>
          <w:szCs w:val="16"/>
          <w:highlight w:val="none"/>
        </w:rPr>
      </w:pPr>
      <w:r>
        <w:rPr>
          <w:rFonts w:hint="eastAsia" w:ascii="黑体" w:hAnsi="黑体" w:eastAsia="黑体" w:cs="黑体"/>
          <w:b w:val="0"/>
          <w:bCs/>
          <w:color w:val="auto"/>
          <w:kern w:val="2"/>
          <w:sz w:val="21"/>
          <w:szCs w:val="16"/>
          <w:highlight w:val="none"/>
        </w:rPr>
        <w:t>表5.</w:t>
      </w:r>
      <w:r>
        <w:rPr>
          <w:rFonts w:hint="eastAsia" w:ascii="黑体" w:hAnsi="黑体" w:eastAsia="黑体" w:cs="黑体"/>
          <w:b w:val="0"/>
          <w:bCs/>
          <w:color w:val="auto"/>
          <w:kern w:val="2"/>
          <w:sz w:val="21"/>
          <w:szCs w:val="16"/>
          <w:highlight w:val="none"/>
          <w:lang w:val="en-US" w:eastAsia="zh-CN"/>
        </w:rPr>
        <w:t>4</w:t>
      </w:r>
      <w:r>
        <w:rPr>
          <w:rFonts w:hint="eastAsia" w:ascii="黑体" w:hAnsi="黑体" w:eastAsia="黑体" w:cs="黑体"/>
          <w:b w:val="0"/>
          <w:bCs/>
          <w:color w:val="auto"/>
          <w:kern w:val="2"/>
          <w:sz w:val="21"/>
          <w:szCs w:val="16"/>
          <w:highlight w:val="none"/>
        </w:rPr>
        <w:t>-</w:t>
      </w:r>
      <w:r>
        <w:rPr>
          <w:rFonts w:hint="eastAsia" w:ascii="黑体" w:hAnsi="黑体" w:eastAsia="黑体" w:cs="黑体"/>
          <w:b w:val="0"/>
          <w:bCs/>
          <w:color w:val="auto"/>
          <w:kern w:val="2"/>
          <w:sz w:val="21"/>
          <w:szCs w:val="16"/>
          <w:highlight w:val="none"/>
          <w:lang w:val="en-US" w:eastAsia="zh-CN"/>
        </w:rPr>
        <w:t>4</w:t>
      </w:r>
      <w:r>
        <w:rPr>
          <w:rFonts w:hint="eastAsia" w:ascii="黑体" w:hAnsi="黑体" w:eastAsia="黑体" w:cs="黑体"/>
          <w:b w:val="0"/>
          <w:bCs/>
          <w:color w:val="auto"/>
          <w:kern w:val="2"/>
          <w:sz w:val="21"/>
          <w:szCs w:val="16"/>
          <w:highlight w:val="none"/>
        </w:rPr>
        <w:t xml:space="preserve">     预测结果统计表（情景1）</w:t>
      </w:r>
    </w:p>
    <w:tbl>
      <w:tblPr>
        <w:tblStyle w:val="35"/>
        <w:tblW w:w="4946"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222"/>
        <w:gridCol w:w="1860"/>
        <w:gridCol w:w="1545"/>
        <w:gridCol w:w="2667"/>
      </w:tblGrid>
      <w:tr w14:paraId="3ACF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4" w:type="pct"/>
            <w:vAlign w:val="center"/>
          </w:tcPr>
          <w:p w14:paraId="2147F0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污染物</w:t>
            </w:r>
          </w:p>
        </w:tc>
        <w:tc>
          <w:tcPr>
            <w:tcW w:w="706" w:type="pct"/>
            <w:vAlign w:val="center"/>
          </w:tcPr>
          <w:p w14:paraId="73A66A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预测时间</w:t>
            </w:r>
          </w:p>
        </w:tc>
        <w:tc>
          <w:tcPr>
            <w:tcW w:w="1075" w:type="pct"/>
            <w:vAlign w:val="center"/>
          </w:tcPr>
          <w:p w14:paraId="73466E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超标距离（m）</w:t>
            </w:r>
          </w:p>
        </w:tc>
        <w:tc>
          <w:tcPr>
            <w:tcW w:w="893" w:type="pct"/>
            <w:vAlign w:val="center"/>
          </w:tcPr>
          <w:p w14:paraId="142509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影响距离（m）</w:t>
            </w:r>
          </w:p>
        </w:tc>
        <w:tc>
          <w:tcPr>
            <w:tcW w:w="1541" w:type="pct"/>
            <w:vAlign w:val="center"/>
          </w:tcPr>
          <w:p w14:paraId="6A8F4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影响范围内水环境敏感点</w:t>
            </w:r>
          </w:p>
        </w:tc>
      </w:tr>
      <w:tr w14:paraId="119F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4" w:type="pct"/>
            <w:vMerge w:val="restart"/>
            <w:vAlign w:val="center"/>
          </w:tcPr>
          <w:p w14:paraId="4C4443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石油类</w:t>
            </w:r>
          </w:p>
        </w:tc>
        <w:tc>
          <w:tcPr>
            <w:tcW w:w="706" w:type="pct"/>
            <w:vAlign w:val="center"/>
          </w:tcPr>
          <w:p w14:paraId="01E5F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100d</w:t>
            </w:r>
          </w:p>
        </w:tc>
        <w:tc>
          <w:tcPr>
            <w:tcW w:w="1075" w:type="pct"/>
            <w:vAlign w:val="center"/>
          </w:tcPr>
          <w:p w14:paraId="654E64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23</w:t>
            </w:r>
          </w:p>
        </w:tc>
        <w:tc>
          <w:tcPr>
            <w:tcW w:w="893" w:type="pct"/>
            <w:vAlign w:val="center"/>
          </w:tcPr>
          <w:p w14:paraId="3BF96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26</w:t>
            </w:r>
          </w:p>
        </w:tc>
        <w:tc>
          <w:tcPr>
            <w:tcW w:w="1541" w:type="pct"/>
            <w:vAlign w:val="center"/>
          </w:tcPr>
          <w:p w14:paraId="3092C8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无</w:t>
            </w:r>
          </w:p>
        </w:tc>
      </w:tr>
      <w:tr w14:paraId="68C2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4" w:type="pct"/>
            <w:vMerge w:val="continue"/>
            <w:vAlign w:val="center"/>
          </w:tcPr>
          <w:p w14:paraId="6B82B7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p>
        </w:tc>
        <w:tc>
          <w:tcPr>
            <w:tcW w:w="706" w:type="pct"/>
            <w:vAlign w:val="center"/>
          </w:tcPr>
          <w:p w14:paraId="6EAF50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1000d</w:t>
            </w:r>
          </w:p>
        </w:tc>
        <w:tc>
          <w:tcPr>
            <w:tcW w:w="1075" w:type="pct"/>
            <w:vAlign w:val="center"/>
          </w:tcPr>
          <w:p w14:paraId="267CD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88</w:t>
            </w:r>
          </w:p>
        </w:tc>
        <w:tc>
          <w:tcPr>
            <w:tcW w:w="893" w:type="pct"/>
            <w:vAlign w:val="center"/>
          </w:tcPr>
          <w:p w14:paraId="75CD0E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99</w:t>
            </w:r>
          </w:p>
        </w:tc>
        <w:tc>
          <w:tcPr>
            <w:tcW w:w="1541" w:type="pct"/>
          </w:tcPr>
          <w:p w14:paraId="13DD9A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无</w:t>
            </w:r>
          </w:p>
        </w:tc>
      </w:tr>
      <w:tr w14:paraId="4BDA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4" w:type="pct"/>
            <w:vMerge w:val="continue"/>
            <w:vAlign w:val="center"/>
          </w:tcPr>
          <w:p w14:paraId="2AFFAF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p>
        </w:tc>
        <w:tc>
          <w:tcPr>
            <w:tcW w:w="706" w:type="pct"/>
            <w:vAlign w:val="center"/>
          </w:tcPr>
          <w:p w14:paraId="32E4C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3650d</w:t>
            </w:r>
          </w:p>
        </w:tc>
        <w:tc>
          <w:tcPr>
            <w:tcW w:w="1075" w:type="pct"/>
            <w:vAlign w:val="center"/>
          </w:tcPr>
          <w:p w14:paraId="685F1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209</w:t>
            </w:r>
          </w:p>
        </w:tc>
        <w:tc>
          <w:tcPr>
            <w:tcW w:w="893" w:type="pct"/>
            <w:vAlign w:val="center"/>
          </w:tcPr>
          <w:p w14:paraId="2CE2E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229</w:t>
            </w:r>
          </w:p>
        </w:tc>
        <w:tc>
          <w:tcPr>
            <w:tcW w:w="1541" w:type="pct"/>
          </w:tcPr>
          <w:p w14:paraId="1F328E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无</w:t>
            </w:r>
          </w:p>
        </w:tc>
      </w:tr>
    </w:tbl>
    <w:p w14:paraId="2F6AE3ED">
      <w:pPr>
        <w:widowControl w:val="0"/>
        <w:spacing w:line="360" w:lineRule="auto"/>
        <w:ind w:firstLine="480" w:firstLineChars="200"/>
        <w:jc w:val="both"/>
        <w:rPr>
          <w:rFonts w:ascii="Times New Roman" w:hAnsi="宋体" w:eastAsia="宋体" w:cs="宋体"/>
          <w:color w:val="auto"/>
          <w:kern w:val="2"/>
          <w:szCs w:val="20"/>
          <w:highlight w:val="none"/>
        </w:rPr>
      </w:pPr>
    </w:p>
    <w:p w14:paraId="048ED1D8">
      <w:pPr>
        <w:widowControl w:val="0"/>
        <w:spacing w:line="360" w:lineRule="auto"/>
        <w:ind w:firstLine="0" w:firstLineChars="0"/>
        <w:jc w:val="center"/>
        <w:rPr>
          <w:rFonts w:hint="eastAsia" w:ascii="Times New Roman" w:hAnsi="宋体" w:eastAsia="宋体" w:cs="宋体"/>
          <w:color w:val="auto"/>
          <w:kern w:val="2"/>
          <w:szCs w:val="20"/>
          <w:highlight w:val="none"/>
          <w:lang w:eastAsia="zh-CN"/>
        </w:rPr>
      </w:pPr>
    </w:p>
    <w:p w14:paraId="59195A41">
      <w:pPr>
        <w:pStyle w:val="2"/>
        <w:rPr>
          <w:rFonts w:hint="eastAsia" w:ascii="Times New Roman" w:hAnsi="宋体" w:eastAsia="宋体" w:cs="宋体"/>
          <w:color w:val="auto"/>
          <w:kern w:val="2"/>
          <w:szCs w:val="20"/>
          <w:highlight w:val="none"/>
          <w:lang w:eastAsia="zh-CN"/>
        </w:rPr>
      </w:pPr>
    </w:p>
    <w:p w14:paraId="532D73D1">
      <w:pPr>
        <w:rPr>
          <w:rFonts w:hint="eastAsia" w:ascii="Times New Roman" w:hAnsi="宋体" w:eastAsia="宋体" w:cs="宋体"/>
          <w:color w:val="auto"/>
          <w:kern w:val="2"/>
          <w:szCs w:val="20"/>
          <w:highlight w:val="none"/>
          <w:lang w:eastAsia="zh-CN"/>
        </w:rPr>
      </w:pPr>
    </w:p>
    <w:p w14:paraId="7FBD6418">
      <w:pPr>
        <w:pStyle w:val="2"/>
        <w:rPr>
          <w:rFonts w:hint="eastAsia" w:ascii="Times New Roman" w:hAnsi="宋体" w:eastAsia="宋体" w:cs="宋体"/>
          <w:color w:val="auto"/>
          <w:kern w:val="2"/>
          <w:szCs w:val="20"/>
          <w:highlight w:val="none"/>
          <w:lang w:eastAsia="zh-CN"/>
        </w:rPr>
      </w:pPr>
    </w:p>
    <w:p w14:paraId="719BA8B7">
      <w:pPr>
        <w:rPr>
          <w:rFonts w:hint="eastAsia" w:ascii="Times New Roman" w:hAnsi="宋体" w:eastAsia="宋体" w:cs="宋体"/>
          <w:color w:val="auto"/>
          <w:kern w:val="2"/>
          <w:szCs w:val="20"/>
          <w:highlight w:val="none"/>
          <w:lang w:eastAsia="zh-CN"/>
        </w:rPr>
      </w:pPr>
    </w:p>
    <w:p w14:paraId="3A7E711D">
      <w:pPr>
        <w:pStyle w:val="2"/>
        <w:rPr>
          <w:rFonts w:hint="eastAsia" w:ascii="Times New Roman" w:hAnsi="宋体" w:eastAsia="宋体" w:cs="宋体"/>
          <w:color w:val="auto"/>
          <w:kern w:val="2"/>
          <w:szCs w:val="20"/>
          <w:highlight w:val="none"/>
          <w:lang w:eastAsia="zh-CN"/>
        </w:rPr>
      </w:pPr>
    </w:p>
    <w:p w14:paraId="5EA406D9">
      <w:pPr>
        <w:rPr>
          <w:rFonts w:hint="eastAsia" w:ascii="Times New Roman" w:hAnsi="宋体" w:eastAsia="宋体" w:cs="宋体"/>
          <w:color w:val="auto"/>
          <w:kern w:val="2"/>
          <w:szCs w:val="20"/>
          <w:highlight w:val="none"/>
          <w:lang w:eastAsia="zh-CN"/>
        </w:rPr>
      </w:pPr>
    </w:p>
    <w:p w14:paraId="7FD255E9">
      <w:pPr>
        <w:pStyle w:val="2"/>
        <w:rPr>
          <w:rFonts w:hint="eastAsia"/>
          <w:lang w:eastAsia="zh-CN"/>
        </w:rPr>
      </w:pPr>
    </w:p>
    <w:p w14:paraId="569D24F9">
      <w:pPr>
        <w:widowControl w:val="0"/>
        <w:spacing w:line="360" w:lineRule="auto"/>
        <w:ind w:left="0" w:leftChars="0" w:right="0" w:rightChars="0" w:firstLine="0" w:firstLineChars="0"/>
        <w:jc w:val="center"/>
        <w:rPr>
          <w:rFonts w:hint="eastAsia" w:ascii="黑体" w:hAnsi="黑体" w:eastAsia="黑体" w:cs="黑体"/>
          <w:b w:val="0"/>
          <w:bCs/>
          <w:color w:val="auto"/>
          <w:kern w:val="2"/>
          <w:sz w:val="21"/>
          <w:szCs w:val="16"/>
          <w:highlight w:val="none"/>
        </w:rPr>
      </w:pPr>
      <w:r>
        <w:rPr>
          <w:rFonts w:hint="eastAsia" w:ascii="黑体" w:hAnsi="黑体" w:eastAsia="黑体" w:cs="黑体"/>
          <w:b w:val="0"/>
          <w:bCs/>
          <w:color w:val="auto"/>
          <w:kern w:val="2"/>
          <w:sz w:val="21"/>
          <w:szCs w:val="16"/>
          <w:highlight w:val="none"/>
        </w:rPr>
        <w:t>图5.</w:t>
      </w:r>
      <w:r>
        <w:rPr>
          <w:rFonts w:hint="eastAsia" w:ascii="黑体" w:hAnsi="黑体" w:eastAsia="黑体" w:cs="黑体"/>
          <w:b w:val="0"/>
          <w:bCs/>
          <w:color w:val="auto"/>
          <w:kern w:val="2"/>
          <w:sz w:val="21"/>
          <w:szCs w:val="16"/>
          <w:highlight w:val="none"/>
          <w:lang w:val="en-US" w:eastAsia="zh-CN"/>
        </w:rPr>
        <w:t>4</w:t>
      </w:r>
      <w:r>
        <w:rPr>
          <w:rFonts w:hint="eastAsia" w:ascii="黑体" w:hAnsi="黑体" w:eastAsia="黑体" w:cs="黑体"/>
          <w:b w:val="0"/>
          <w:bCs/>
          <w:color w:val="auto"/>
          <w:kern w:val="2"/>
          <w:sz w:val="21"/>
          <w:szCs w:val="16"/>
          <w:highlight w:val="none"/>
        </w:rPr>
        <w:t>-</w:t>
      </w:r>
      <w:r>
        <w:rPr>
          <w:rFonts w:hint="eastAsia" w:ascii="黑体" w:hAnsi="黑体" w:eastAsia="黑体" w:cs="黑体"/>
          <w:b w:val="0"/>
          <w:bCs/>
          <w:color w:val="auto"/>
          <w:kern w:val="2"/>
          <w:sz w:val="21"/>
          <w:szCs w:val="16"/>
          <w:highlight w:val="none"/>
          <w:lang w:val="en-US" w:eastAsia="zh-CN"/>
        </w:rPr>
        <w:t>3</w:t>
      </w:r>
      <w:r>
        <w:rPr>
          <w:rFonts w:hint="eastAsia" w:ascii="黑体" w:hAnsi="黑体" w:eastAsia="黑体" w:cs="黑体"/>
          <w:b w:val="0"/>
          <w:bCs/>
          <w:color w:val="auto"/>
          <w:kern w:val="2"/>
          <w:sz w:val="21"/>
          <w:szCs w:val="16"/>
          <w:highlight w:val="none"/>
        </w:rPr>
        <w:t xml:space="preserve">  发生</w:t>
      </w:r>
      <w:r>
        <w:rPr>
          <w:rFonts w:hint="eastAsia" w:ascii="黑体" w:hAnsi="黑体" w:eastAsia="黑体" w:cs="黑体"/>
          <w:b w:val="0"/>
          <w:bCs/>
          <w:color w:val="auto"/>
          <w:kern w:val="2"/>
          <w:sz w:val="21"/>
          <w:szCs w:val="16"/>
          <w:highlight w:val="none"/>
          <w:lang w:eastAsia="zh-CN"/>
        </w:rPr>
        <w:t>泄漏</w:t>
      </w:r>
      <w:r>
        <w:rPr>
          <w:rFonts w:hint="eastAsia" w:ascii="黑体" w:hAnsi="黑体" w:eastAsia="黑体" w:cs="黑体"/>
          <w:b w:val="0"/>
          <w:bCs/>
          <w:color w:val="auto"/>
          <w:kern w:val="2"/>
          <w:sz w:val="21"/>
          <w:szCs w:val="16"/>
          <w:highlight w:val="none"/>
        </w:rPr>
        <w:t>后石油类污染物浓度变化趋势图（情景1）</w:t>
      </w:r>
    </w:p>
    <w:p w14:paraId="6DB4EB43">
      <w:pPr>
        <w:keepNext w:val="0"/>
        <w:keepLines w:val="0"/>
        <w:pageBreakBefore w:val="0"/>
        <w:widowControl w:val="0"/>
        <w:kinsoku/>
        <w:wordWrap/>
        <w:overflowPunct/>
        <w:topLinePunct w:val="0"/>
        <w:autoSpaceDE/>
        <w:autoSpaceDN/>
        <w:bidi w:val="0"/>
        <w:adjustRightInd/>
        <w:snapToGrid/>
        <w:spacing w:before="164" w:beforeLines="50" w:line="360" w:lineRule="auto"/>
        <w:ind w:firstLine="480" w:firstLineChars="200"/>
        <w:jc w:val="both"/>
        <w:textAlignment w:val="auto"/>
        <w:rPr>
          <w:rFonts w:ascii="Times New Roman" w:hAnsi="宋体" w:eastAsia="宋体" w:cs="宋体"/>
          <w:bCs/>
          <w:color w:val="auto"/>
          <w:kern w:val="2"/>
          <w:szCs w:val="20"/>
          <w:highlight w:val="none"/>
        </w:rPr>
      </w:pPr>
      <w:r>
        <w:rPr>
          <w:rFonts w:hint="eastAsia" w:ascii="Times New Roman" w:hAnsi="宋体" w:eastAsia="宋体" w:cs="宋体"/>
          <w:color w:val="auto"/>
          <w:kern w:val="2"/>
          <w:szCs w:val="20"/>
          <w:highlight w:val="none"/>
        </w:rPr>
        <w:t>根据以上预测结果，在本次设定的预测情形下：预测期间，随着时间、距离增加，污染范围也呈增加趋势。石油类浓度在预测100d、1000d、3650d时地下水超标距离分别为23m、88m、109m，影响距离分别为26m、99m、229m</w:t>
      </w:r>
      <w:r>
        <w:rPr>
          <w:rFonts w:hint="eastAsia" w:ascii="Times New Roman" w:hAnsi="宋体" w:eastAsia="宋体" w:cs="宋体"/>
          <w:color w:val="auto"/>
          <w:kern w:val="2"/>
          <w:szCs w:val="20"/>
          <w:highlight w:val="none"/>
          <w:lang w:eastAsia="zh-CN"/>
        </w:rPr>
        <w:t>。</w:t>
      </w:r>
      <w:r>
        <w:rPr>
          <w:rFonts w:hint="eastAsia" w:ascii="Times New Roman" w:hAnsi="宋体" w:eastAsia="宋体" w:cs="宋体"/>
          <w:color w:val="auto"/>
          <w:kern w:val="2"/>
          <w:szCs w:val="20"/>
          <w:highlight w:val="none"/>
        </w:rPr>
        <w:t>影响范围内均无居民饮用水井等敏感点，但下渗废水对该地区地下水的影响依然存在。因此，为预防污染的发生和污染源的形成，表层套管严格封闭第四系含水层，定期维护，固井质量应符合要求，废弃井应全部打水泥塞，并经严格的试压以防窜漏污染地下水，套损发生后及时采取治理技术，尽量避免窜层污染到泄漏点周边区域内的地下水</w:t>
      </w:r>
      <w:r>
        <w:rPr>
          <w:rFonts w:ascii="Times New Roman" w:hAnsi="宋体" w:eastAsia="宋体" w:cs="宋体"/>
          <w:bCs/>
          <w:color w:val="auto"/>
          <w:kern w:val="2"/>
          <w:szCs w:val="20"/>
          <w:highlight w:val="none"/>
        </w:rPr>
        <w:t>。</w:t>
      </w:r>
    </w:p>
    <w:p w14:paraId="355A3898">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（2）</w:t>
      </w:r>
      <w:r>
        <w:rPr>
          <w:rFonts w:hint="eastAsia" w:ascii="Times New Roman" w:hAnsi="宋体" w:eastAsia="宋体" w:cs="宋体"/>
          <w:color w:val="auto"/>
          <w:kern w:val="2"/>
          <w:szCs w:val="20"/>
          <w:highlight w:val="none"/>
        </w:rPr>
        <w:t>情景2：</w:t>
      </w:r>
      <w:r>
        <w:rPr>
          <w:rFonts w:ascii="Times New Roman" w:hAnsi="宋体" w:eastAsia="宋体" w:cs="宋体"/>
          <w:color w:val="auto"/>
          <w:kern w:val="2"/>
          <w:szCs w:val="20"/>
          <w:highlight w:val="none"/>
        </w:rPr>
        <w:t>渗透污染</w:t>
      </w:r>
      <w:r>
        <w:rPr>
          <w:rFonts w:hint="eastAsia"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eastAsia="zh-CN"/>
        </w:rPr>
        <w:t>泄漏</w:t>
      </w:r>
      <w:r>
        <w:rPr>
          <w:rFonts w:hint="eastAsia" w:ascii="Times New Roman" w:hAnsi="宋体" w:eastAsia="宋体" w:cs="宋体"/>
          <w:color w:val="auto"/>
          <w:kern w:val="2"/>
          <w:szCs w:val="20"/>
          <w:highlight w:val="none"/>
        </w:rPr>
        <w:t>）</w:t>
      </w:r>
    </w:p>
    <w:p w14:paraId="19673BA8">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地面及包气带污染物沿着松散的孔隙下渗至含水层致使地下水污染的方式称渗透污染。本项目可能产生的渗透污染主要是井喷、集输管线</w:t>
      </w:r>
      <w:r>
        <w:rPr>
          <w:rFonts w:hint="eastAsia" w:ascii="Times New Roman" w:hAnsi="宋体" w:eastAsia="宋体" w:cs="宋体"/>
          <w:color w:val="auto"/>
          <w:kern w:val="2"/>
          <w:szCs w:val="20"/>
          <w:highlight w:val="none"/>
          <w:lang w:eastAsia="zh-CN"/>
        </w:rPr>
        <w:t>泄漏</w:t>
      </w:r>
      <w:r>
        <w:rPr>
          <w:rFonts w:hint="eastAsia" w:ascii="Times New Roman" w:hAnsi="宋体" w:eastAsia="宋体" w:cs="宋体"/>
          <w:color w:val="auto"/>
          <w:kern w:val="2"/>
          <w:szCs w:val="20"/>
          <w:highlight w:val="none"/>
        </w:rPr>
        <w:t>、落地油渗漏等，都是通过包气带渗透到潜水含水层而污染地下水的。包气带厚度愈薄，透水性愈好，就愈造成潜水污染，反之，包气带愈厚、透水性愈差，则其隔污能力就愈强，则潜水污染就愈轻。</w:t>
      </w:r>
    </w:p>
    <w:p w14:paraId="5DF2C7A3">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当区域地层压力增大，就可能引发井喷事故。管线与法兰连接处、管线泄漏事故会导致浅部隐蔽性污染源的产生，泄漏的油品下渗而可能导致地下水污染风险的发生。发生泄漏的原因有如下几种：误操作、机械故障、外力作用和腐蚀等，这几种因素的产生都是人为的或人为操控程度很高，发生污染的危害程度也取决于操作人员的处置和控制。泄漏事故会导致浅部隐蔽性污染源的产生，泄漏的油品下渗而可能导致地下水污染风险的发生。</w:t>
      </w:r>
    </w:p>
    <w:p w14:paraId="344EBC6F">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通常泄漏事故对地下水环境的影响程度主要取决于原油的物理性质、泄漏方式、多孔介质特征及地下水位埋深等多种因素。由于管线泄漏事故为短期大量排放，污染物的泄漏以地表扩展为主，一般能及时发现，并可很快加以控制，石油烃等污染物在其中迁移的阻滞作用较强，迁移及衰减速度较慢，其影响范围不大，对地下水环境一般不易产生不利影响。</w:t>
      </w:r>
    </w:p>
    <w:p w14:paraId="5E947602">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污染物进入地下后，污染物向地下水系统的迁移途径为：</w:t>
      </w:r>
    </w:p>
    <w:p w14:paraId="3F78A25C">
      <w:pPr>
        <w:widowControl w:val="0"/>
        <w:spacing w:line="360" w:lineRule="auto"/>
        <w:ind w:left="0" w:leftChars="0" w:right="0" w:rightChars="0" w:firstLine="0" w:firstLineChars="0"/>
        <w:jc w:val="center"/>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入渗污染物→表土层→包气带→含水层→迁移</w:t>
      </w:r>
    </w:p>
    <w:p w14:paraId="1305C9B9">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为了评价污染物入渗对评价区内地下水水质的影响，故本次地下水环境影响预测采用解析法，针对石油类污染物</w:t>
      </w:r>
      <w:r>
        <w:rPr>
          <w:rFonts w:hint="eastAsia" w:ascii="Times New Roman" w:hAnsi="宋体" w:eastAsia="宋体" w:cs="宋体"/>
          <w:color w:val="auto"/>
          <w:kern w:val="2"/>
          <w:szCs w:val="20"/>
          <w:highlight w:val="none"/>
          <w:lang w:eastAsia="zh-CN"/>
        </w:rPr>
        <w:t>进入</w:t>
      </w:r>
      <w:r>
        <w:rPr>
          <w:rFonts w:hint="eastAsia" w:ascii="Times New Roman" w:hAnsi="宋体" w:eastAsia="宋体" w:cs="宋体"/>
          <w:color w:val="auto"/>
          <w:kern w:val="2"/>
          <w:szCs w:val="20"/>
          <w:highlight w:val="none"/>
        </w:rPr>
        <w:t>含水层后的运移进行重点预测、评价。</w:t>
      </w:r>
    </w:p>
    <w:p w14:paraId="7BFB004B">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①</w:t>
      </w:r>
      <w:r>
        <w:rPr>
          <w:rFonts w:ascii="Times New Roman" w:hAnsi="宋体" w:eastAsia="宋体" w:cs="宋体"/>
          <w:color w:val="auto"/>
          <w:kern w:val="2"/>
          <w:szCs w:val="20"/>
          <w:highlight w:val="none"/>
        </w:rPr>
        <w:t>预测情景</w:t>
      </w:r>
    </w:p>
    <w:p w14:paraId="07E24DAF">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根据区域水文地质条件，地下水</w:t>
      </w:r>
      <w:r>
        <w:rPr>
          <w:rFonts w:hint="eastAsia" w:ascii="Times New Roman" w:hAnsi="宋体" w:eastAsia="宋体" w:cs="宋体"/>
          <w:color w:val="auto"/>
          <w:kern w:val="2"/>
          <w:szCs w:val="20"/>
          <w:highlight w:val="none"/>
        </w:rPr>
        <w:t>类型主要</w:t>
      </w:r>
      <w:r>
        <w:rPr>
          <w:rFonts w:ascii="Times New Roman" w:hAnsi="宋体" w:eastAsia="宋体" w:cs="宋体"/>
          <w:color w:val="auto"/>
          <w:kern w:val="2"/>
          <w:szCs w:val="20"/>
          <w:highlight w:val="none"/>
        </w:rPr>
        <w:t>为第四系潜水含水层。当泄漏量很大时，</w:t>
      </w:r>
      <w:r>
        <w:rPr>
          <w:rFonts w:hint="eastAsia" w:ascii="Times New Roman" w:hAnsi="宋体" w:eastAsia="宋体" w:cs="宋体"/>
          <w:color w:val="auto"/>
          <w:kern w:val="2"/>
          <w:szCs w:val="20"/>
          <w:highlight w:val="none"/>
        </w:rPr>
        <w:t>石油类</w:t>
      </w:r>
      <w:r>
        <w:rPr>
          <w:rFonts w:ascii="Times New Roman" w:hAnsi="宋体" w:eastAsia="宋体" w:cs="宋体"/>
          <w:color w:val="auto"/>
          <w:kern w:val="2"/>
          <w:szCs w:val="20"/>
          <w:highlight w:val="none"/>
        </w:rPr>
        <w:t>污染物可能通过包气带</w:t>
      </w:r>
      <w:r>
        <w:rPr>
          <w:rFonts w:hint="eastAsia" w:ascii="Times New Roman" w:hAnsi="宋体" w:eastAsia="宋体" w:cs="宋体"/>
          <w:color w:val="auto"/>
          <w:kern w:val="2"/>
          <w:szCs w:val="20"/>
          <w:highlight w:val="none"/>
          <w:lang w:eastAsia="zh-CN"/>
        </w:rPr>
        <w:t>进入</w:t>
      </w:r>
      <w:r>
        <w:rPr>
          <w:rFonts w:ascii="Times New Roman" w:hAnsi="宋体" w:eastAsia="宋体" w:cs="宋体"/>
          <w:color w:val="auto"/>
          <w:kern w:val="2"/>
          <w:szCs w:val="20"/>
          <w:highlight w:val="none"/>
        </w:rPr>
        <w:t>潜水中，影响潜水水质。污染物泄漏为非连续排放，泄漏后一般可及时发现泄漏状况</w:t>
      </w:r>
      <w:r>
        <w:rPr>
          <w:rFonts w:hint="eastAsia" w:ascii="Times New Roman" w:hAnsi="宋体" w:eastAsia="宋体" w:cs="宋体"/>
          <w:color w:val="auto"/>
          <w:kern w:val="2"/>
          <w:szCs w:val="20"/>
          <w:highlight w:val="none"/>
        </w:rPr>
        <w:t>并截断</w:t>
      </w:r>
      <w:r>
        <w:rPr>
          <w:rFonts w:ascii="Times New Roman" w:hAnsi="宋体" w:eastAsia="宋体" w:cs="宋体"/>
          <w:color w:val="auto"/>
          <w:kern w:val="2"/>
          <w:szCs w:val="20"/>
          <w:highlight w:val="none"/>
        </w:rPr>
        <w:t>，排放时间在时间尺度上设定为短时泄漏，泄漏时长最多按1d计。考虑最不利情况，按渗漏的污染物穿透包气带污染地下水，不考虑污染物的吸附、生物降解、化学反应等因素。</w:t>
      </w:r>
    </w:p>
    <w:p w14:paraId="0D41A6C7">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②</w:t>
      </w:r>
      <w:r>
        <w:rPr>
          <w:rFonts w:ascii="Times New Roman" w:hAnsi="宋体" w:eastAsia="宋体" w:cs="宋体"/>
          <w:color w:val="auto"/>
          <w:kern w:val="2"/>
          <w:szCs w:val="20"/>
          <w:highlight w:val="none"/>
        </w:rPr>
        <w:t>预测方法</w:t>
      </w:r>
    </w:p>
    <w:p w14:paraId="0CCB3ED5">
      <w:pPr>
        <w:widowControl w:val="0"/>
        <w:spacing w:line="360" w:lineRule="auto"/>
        <w:ind w:firstLine="480" w:firstLineChars="200"/>
        <w:jc w:val="both"/>
        <w:rPr>
          <w:rFonts w:ascii="Times New Roman" w:hAnsi="宋体" w:eastAsia="宋体" w:cs="宋体"/>
          <w:b/>
          <w:color w:val="auto"/>
          <w:kern w:val="2"/>
          <w:szCs w:val="20"/>
          <w:highlight w:val="none"/>
        </w:rPr>
      </w:pPr>
      <w:r>
        <w:rPr>
          <w:rFonts w:ascii="Times New Roman" w:hAnsi="宋体" w:eastAsia="宋体" w:cs="宋体"/>
          <w:color w:val="auto"/>
          <w:kern w:val="2"/>
          <w:szCs w:val="20"/>
          <w:highlight w:val="none"/>
        </w:rPr>
        <w:t>本次评价采用解析法对地下水环境影响进行预测。</w:t>
      </w:r>
    </w:p>
    <w:p w14:paraId="23228D3A">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③</w:t>
      </w:r>
      <w:r>
        <w:rPr>
          <w:rFonts w:ascii="Times New Roman" w:hAnsi="宋体" w:eastAsia="宋体" w:cs="宋体"/>
          <w:color w:val="auto"/>
          <w:kern w:val="2"/>
          <w:szCs w:val="20"/>
          <w:highlight w:val="none"/>
        </w:rPr>
        <w:t>预测模型</w:t>
      </w:r>
    </w:p>
    <w:p w14:paraId="7F01A29E">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污染物在浅层含水层中的迁移，可将预测情形概化为一维短时</w:t>
      </w:r>
      <w:r>
        <w:rPr>
          <w:rFonts w:hint="eastAsia" w:ascii="Times New Roman" w:hAnsi="宋体" w:eastAsia="宋体" w:cs="宋体"/>
          <w:color w:val="auto"/>
          <w:kern w:val="2"/>
          <w:szCs w:val="20"/>
          <w:highlight w:val="none"/>
          <w:lang w:eastAsia="zh-CN"/>
        </w:rPr>
        <w:t>泄漏</w:t>
      </w:r>
      <w:r>
        <w:rPr>
          <w:rFonts w:ascii="Times New Roman" w:hAnsi="宋体" w:eastAsia="宋体" w:cs="宋体"/>
          <w:color w:val="auto"/>
          <w:kern w:val="2"/>
          <w:szCs w:val="20"/>
          <w:highlight w:val="none"/>
        </w:rPr>
        <w:t>点源的水动力弥散问题。在模型计算中，对污染物的吸附、挥发、生物化学反应均不予以考虑，对模型中的各项参数均予保守性估计</w:t>
      </w:r>
      <w:r>
        <w:rPr>
          <w:rFonts w:hint="eastAsia" w:ascii="Times New Roman" w:hAnsi="宋体" w:eastAsia="宋体" w:cs="宋体"/>
          <w:color w:val="auto"/>
          <w:kern w:val="2"/>
          <w:szCs w:val="20"/>
          <w:highlight w:val="none"/>
        </w:rPr>
        <w:t>。</w:t>
      </w:r>
    </w:p>
    <w:p w14:paraId="78FBBA35">
      <w:pPr>
        <w:widowControl w:val="0"/>
        <w:spacing w:line="360" w:lineRule="auto"/>
        <w:ind w:firstLine="480" w:firstLineChars="200"/>
        <w:jc w:val="center"/>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drawing>
          <wp:inline distT="0" distB="0" distL="0" distR="0">
            <wp:extent cx="3010535" cy="543560"/>
            <wp:effectExtent l="0" t="0" r="18415" b="8890"/>
            <wp:docPr id="53292" name="图片 5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2" name="图片 532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010535" cy="543560"/>
                    </a:xfrm>
                    <a:prstGeom prst="rect">
                      <a:avLst/>
                    </a:prstGeom>
                    <a:noFill/>
                    <a:ln>
                      <a:noFill/>
                    </a:ln>
                  </pic:spPr>
                </pic:pic>
              </a:graphicData>
            </a:graphic>
          </wp:inline>
        </w:drawing>
      </w:r>
    </w:p>
    <w:p w14:paraId="794E8EC5">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以上式中：x—距注入点的距离，m；</w:t>
      </w:r>
    </w:p>
    <w:p w14:paraId="1C407A78">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t—时间，d；</w:t>
      </w:r>
    </w:p>
    <w:p w14:paraId="75C923C3">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C（x，t）—t时刻x处的示踪剂浓度，g/l；</w:t>
      </w:r>
    </w:p>
    <w:p w14:paraId="2234F36B">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C</w:t>
      </w:r>
      <w:r>
        <w:rPr>
          <w:rFonts w:ascii="Times New Roman" w:hAnsi="宋体" w:eastAsia="宋体" w:cs="宋体"/>
          <w:color w:val="auto"/>
          <w:kern w:val="2"/>
          <w:szCs w:val="20"/>
          <w:highlight w:val="none"/>
          <w:vertAlign w:val="subscript"/>
        </w:rPr>
        <w:t>0——</w:t>
      </w:r>
      <w:r>
        <w:rPr>
          <w:rFonts w:ascii="Times New Roman" w:hAnsi="宋体" w:eastAsia="宋体" w:cs="宋体"/>
          <w:color w:val="auto"/>
          <w:kern w:val="2"/>
          <w:szCs w:val="20"/>
          <w:highlight w:val="none"/>
        </w:rPr>
        <w:t>注入的示踪剂浓度，g/l；</w:t>
      </w:r>
    </w:p>
    <w:p w14:paraId="51A34C1F">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u-水流速度，m/d；</w:t>
      </w:r>
    </w:p>
    <w:p w14:paraId="0199FEC3">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 xml:space="preserve">n—有效孔隙度，无量纲； </w:t>
      </w:r>
    </w:p>
    <w:p w14:paraId="44F9B29C">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D</w:t>
      </w:r>
      <w:r>
        <w:rPr>
          <w:rFonts w:ascii="Times New Roman" w:hAnsi="宋体" w:eastAsia="宋体" w:cs="宋体"/>
          <w:color w:val="auto"/>
          <w:kern w:val="2"/>
          <w:szCs w:val="20"/>
          <w:highlight w:val="none"/>
          <w:vertAlign w:val="subscript"/>
        </w:rPr>
        <w:t>L</w:t>
      </w:r>
      <w:r>
        <w:rPr>
          <w:rFonts w:ascii="Times New Roman" w:hAnsi="宋体" w:eastAsia="宋体" w:cs="宋体"/>
          <w:color w:val="auto"/>
          <w:kern w:val="2"/>
          <w:szCs w:val="20"/>
          <w:highlight w:val="none"/>
        </w:rPr>
        <w:t>—纵向弥散系数，m</w:t>
      </w:r>
      <w:r>
        <w:rPr>
          <w:rFonts w:ascii="Times New Roman" w:hAnsi="宋体" w:eastAsia="宋体" w:cs="宋体"/>
          <w:color w:val="auto"/>
          <w:kern w:val="2"/>
          <w:szCs w:val="20"/>
          <w:highlight w:val="none"/>
          <w:vertAlign w:val="superscript"/>
        </w:rPr>
        <w:t>2</w:t>
      </w:r>
      <w:r>
        <w:rPr>
          <w:rFonts w:ascii="Times New Roman" w:hAnsi="宋体" w:eastAsia="宋体" w:cs="宋体"/>
          <w:color w:val="auto"/>
          <w:kern w:val="2"/>
          <w:szCs w:val="20"/>
          <w:highlight w:val="none"/>
        </w:rPr>
        <w:t>/d；</w:t>
      </w:r>
    </w:p>
    <w:p w14:paraId="0876CEA6">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erfc</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 xml:space="preserve">  </w:t>
      </w:r>
      <w:r>
        <w:rPr>
          <w:rFonts w:hint="eastAsia" w:ascii="Times New Roman" w:hAnsi="宋体" w:eastAsia="宋体" w:cs="宋体"/>
          <w:color w:val="auto"/>
          <w:kern w:val="2"/>
          <w:szCs w:val="20"/>
          <w:highlight w:val="none"/>
          <w:lang w:eastAsia="zh-CN"/>
        </w:rPr>
        <w:t>）</w:t>
      </w:r>
      <w:r>
        <w:rPr>
          <w:rFonts w:ascii="Times New Roman" w:hAnsi="宋体" w:eastAsia="宋体" w:cs="宋体"/>
          <w:color w:val="auto"/>
          <w:kern w:val="2"/>
          <w:szCs w:val="20"/>
          <w:highlight w:val="none"/>
        </w:rPr>
        <w:t>—余误差函数。</w:t>
      </w:r>
    </w:p>
    <w:p w14:paraId="1BAE6C1D">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④</w:t>
      </w:r>
      <w:r>
        <w:rPr>
          <w:rFonts w:ascii="Times New Roman" w:hAnsi="宋体" w:eastAsia="宋体" w:cs="宋体"/>
          <w:color w:val="auto"/>
          <w:kern w:val="2"/>
          <w:szCs w:val="20"/>
          <w:highlight w:val="none"/>
        </w:rPr>
        <w:t>预测参数</w:t>
      </w:r>
      <w:r>
        <w:rPr>
          <w:rFonts w:hint="eastAsia" w:ascii="Times New Roman" w:hAnsi="宋体" w:eastAsia="宋体" w:cs="宋体"/>
          <w:color w:val="auto"/>
          <w:kern w:val="2"/>
          <w:szCs w:val="20"/>
          <w:highlight w:val="none"/>
        </w:rPr>
        <w:t>及因子</w:t>
      </w:r>
    </w:p>
    <w:p w14:paraId="01A5DDC1">
      <w:pPr>
        <w:widowControl w:val="0"/>
        <w:spacing w:line="360" w:lineRule="auto"/>
        <w:ind w:firstLine="480" w:firstLineChars="200"/>
        <w:jc w:val="both"/>
        <w:rPr>
          <w:rFonts w:ascii="Times New Roman" w:hAnsi="宋体" w:eastAsia="等线" w:cs="宋体"/>
          <w:color w:val="auto"/>
          <w:kern w:val="2"/>
          <w:szCs w:val="32"/>
          <w:highlight w:val="none"/>
        </w:rPr>
      </w:pPr>
      <w:r>
        <w:rPr>
          <w:rFonts w:ascii="Times New Roman" w:hAnsi="宋体" w:eastAsia="宋体" w:cs="宋体"/>
          <w:color w:val="auto"/>
          <w:kern w:val="2"/>
          <w:szCs w:val="20"/>
          <w:highlight w:val="none"/>
        </w:rPr>
        <w:t>本次评价水文地质参数主要通过收集项目所在区域的成果资料及经验参数来确定。石油类因子</w:t>
      </w:r>
      <w:r>
        <w:rPr>
          <w:rFonts w:hint="eastAsia" w:ascii="Times New Roman" w:hAnsi="宋体" w:eastAsia="宋体" w:cs="宋体"/>
          <w:color w:val="auto"/>
          <w:kern w:val="2"/>
          <w:szCs w:val="20"/>
          <w:highlight w:val="none"/>
          <w:lang w:eastAsia="zh-CN"/>
        </w:rPr>
        <w:t>是</w:t>
      </w:r>
      <w:r>
        <w:rPr>
          <w:rFonts w:hint="eastAsia" w:ascii="Times New Roman" w:hAnsi="宋体" w:eastAsia="宋体" w:cs="宋体"/>
          <w:color w:val="auto"/>
          <w:kern w:val="2"/>
          <w:szCs w:val="20"/>
          <w:highlight w:val="none"/>
        </w:rPr>
        <w:t>油田</w:t>
      </w:r>
      <w:r>
        <w:rPr>
          <w:rFonts w:ascii="Times New Roman" w:hAnsi="宋体" w:eastAsia="宋体" w:cs="宋体"/>
          <w:color w:val="auto"/>
          <w:kern w:val="2"/>
          <w:szCs w:val="20"/>
          <w:highlight w:val="none"/>
        </w:rPr>
        <w:t>开采污染检测项的</w:t>
      </w:r>
      <w:r>
        <w:rPr>
          <w:rFonts w:hint="eastAsia" w:ascii="Times New Roman" w:hAnsi="宋体" w:eastAsia="宋体" w:cs="宋体"/>
          <w:color w:val="auto"/>
          <w:kern w:val="2"/>
          <w:szCs w:val="20"/>
          <w:highlight w:val="none"/>
        </w:rPr>
        <w:t>特征污染物</w:t>
      </w:r>
      <w:r>
        <w:rPr>
          <w:rFonts w:ascii="Times New Roman" w:hAnsi="宋体" w:eastAsia="宋体" w:cs="宋体"/>
          <w:color w:val="auto"/>
          <w:kern w:val="2"/>
          <w:szCs w:val="20"/>
          <w:highlight w:val="none"/>
        </w:rPr>
        <w:t>。因此，本次影响预测以石油类进行预测。具体</w:t>
      </w:r>
      <w:r>
        <w:rPr>
          <w:rFonts w:ascii="Times New Roman" w:hAnsi="宋体" w:eastAsia="宋体" w:cs="宋体"/>
          <w:color w:val="auto"/>
          <w:kern w:val="2"/>
          <w:szCs w:val="32"/>
          <w:highlight w:val="none"/>
        </w:rPr>
        <w:t>见表5.5-3。</w:t>
      </w:r>
    </w:p>
    <w:p w14:paraId="3CDCA44C">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color w:val="auto"/>
          <w:kern w:val="2"/>
          <w:szCs w:val="20"/>
          <w:highlight w:val="none"/>
        </w:rPr>
        <w:t>⑤</w:t>
      </w:r>
      <w:r>
        <w:rPr>
          <w:rFonts w:ascii="Times New Roman" w:hAnsi="宋体" w:eastAsia="宋体" w:cs="宋体"/>
          <w:color w:val="auto"/>
          <w:kern w:val="2"/>
          <w:szCs w:val="20"/>
          <w:highlight w:val="none"/>
        </w:rPr>
        <w:t>预测结果与分析</w:t>
      </w:r>
    </w:p>
    <w:p w14:paraId="69FEDB6F">
      <w:pPr>
        <w:widowControl w:val="0"/>
        <w:spacing w:line="360" w:lineRule="auto"/>
        <w:ind w:firstLine="480" w:firstLineChars="200"/>
        <w:jc w:val="both"/>
        <w:rPr>
          <w:rFonts w:ascii="Times New Roman" w:hAnsi="宋体" w:eastAsia="宋体" w:cs="宋体"/>
          <w:color w:val="auto"/>
          <w:kern w:val="2"/>
          <w:szCs w:val="20"/>
          <w:highlight w:val="none"/>
        </w:rPr>
      </w:pPr>
      <w:r>
        <w:rPr>
          <w:rFonts w:ascii="Times New Roman" w:hAnsi="宋体" w:eastAsia="宋体" w:cs="宋体"/>
          <w:color w:val="auto"/>
          <w:kern w:val="2"/>
          <w:szCs w:val="20"/>
          <w:highlight w:val="none"/>
        </w:rPr>
        <w:t>将以上确定</w:t>
      </w:r>
      <w:r>
        <w:rPr>
          <w:rFonts w:hint="eastAsia" w:ascii="Times New Roman" w:hAnsi="宋体" w:eastAsia="宋体" w:cs="宋体"/>
          <w:color w:val="auto"/>
          <w:kern w:val="2"/>
          <w:szCs w:val="20"/>
          <w:highlight w:val="none"/>
          <w:lang w:eastAsia="zh-CN"/>
        </w:rPr>
        <w:t>的</w:t>
      </w:r>
      <w:r>
        <w:rPr>
          <w:rFonts w:ascii="Times New Roman" w:hAnsi="宋体" w:eastAsia="宋体" w:cs="宋体"/>
          <w:color w:val="auto"/>
          <w:kern w:val="2"/>
          <w:szCs w:val="20"/>
          <w:highlight w:val="none"/>
        </w:rPr>
        <w:t>参数代入模型，便可以求出不同时段，石油类在预测情景下，不同天数（100天、1000天、3650天）时，污染物在含水层不同位置的浓度分布情况。具体见表5.</w:t>
      </w:r>
      <w:r>
        <w:rPr>
          <w:rFonts w:hint="eastAsia" w:ascii="Times New Roman" w:hAnsi="宋体" w:eastAsia="宋体" w:cs="宋体"/>
          <w:color w:val="auto"/>
          <w:kern w:val="2"/>
          <w:szCs w:val="20"/>
          <w:highlight w:val="none"/>
          <w:lang w:val="en-US" w:eastAsia="zh-CN"/>
        </w:rPr>
        <w:t>4</w:t>
      </w:r>
      <w:r>
        <w:rPr>
          <w:rFonts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val="en-US" w:eastAsia="zh-CN"/>
        </w:rPr>
        <w:t>5</w:t>
      </w:r>
      <w:r>
        <w:rPr>
          <w:rFonts w:hint="eastAsia" w:ascii="Times New Roman" w:hAnsi="宋体" w:eastAsia="宋体" w:cs="宋体"/>
          <w:color w:val="auto"/>
          <w:kern w:val="2"/>
          <w:szCs w:val="20"/>
          <w:highlight w:val="none"/>
        </w:rPr>
        <w:t>、表5.</w:t>
      </w:r>
      <w:r>
        <w:rPr>
          <w:rFonts w:hint="eastAsia" w:ascii="Times New Roman" w:hAnsi="宋体" w:eastAsia="宋体" w:cs="宋体"/>
          <w:color w:val="auto"/>
          <w:kern w:val="2"/>
          <w:szCs w:val="20"/>
          <w:highlight w:val="none"/>
          <w:lang w:val="en-US" w:eastAsia="zh-CN"/>
        </w:rPr>
        <w:t>4</w:t>
      </w:r>
      <w:r>
        <w:rPr>
          <w:rFonts w:hint="eastAsia"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val="en-US" w:eastAsia="zh-CN"/>
        </w:rPr>
        <w:t>6</w:t>
      </w:r>
      <w:r>
        <w:rPr>
          <w:rFonts w:ascii="Times New Roman" w:hAnsi="宋体" w:eastAsia="宋体" w:cs="宋体"/>
          <w:color w:val="auto"/>
          <w:kern w:val="2"/>
          <w:szCs w:val="20"/>
          <w:highlight w:val="none"/>
        </w:rPr>
        <w:t>，图5.</w:t>
      </w:r>
      <w:r>
        <w:rPr>
          <w:rFonts w:hint="eastAsia" w:ascii="Times New Roman" w:hAnsi="宋体" w:eastAsia="宋体" w:cs="宋体"/>
          <w:color w:val="auto"/>
          <w:kern w:val="2"/>
          <w:szCs w:val="20"/>
          <w:highlight w:val="none"/>
          <w:lang w:val="en-US" w:eastAsia="zh-CN"/>
        </w:rPr>
        <w:t>4</w:t>
      </w:r>
      <w:r>
        <w:rPr>
          <w:rFonts w:ascii="Times New Roman" w:hAnsi="宋体" w:eastAsia="宋体" w:cs="宋体"/>
          <w:color w:val="auto"/>
          <w:kern w:val="2"/>
          <w:szCs w:val="20"/>
          <w:highlight w:val="none"/>
        </w:rPr>
        <w:t>-</w:t>
      </w:r>
      <w:r>
        <w:rPr>
          <w:rFonts w:hint="eastAsia" w:ascii="Times New Roman" w:hAnsi="宋体" w:eastAsia="宋体" w:cs="宋体"/>
          <w:color w:val="auto"/>
          <w:kern w:val="2"/>
          <w:szCs w:val="20"/>
          <w:highlight w:val="none"/>
          <w:lang w:val="en-US" w:eastAsia="zh-CN"/>
        </w:rPr>
        <w:t>4</w:t>
      </w:r>
      <w:r>
        <w:rPr>
          <w:rFonts w:ascii="Times New Roman" w:hAnsi="宋体" w:eastAsia="宋体" w:cs="宋体"/>
          <w:color w:val="auto"/>
          <w:kern w:val="2"/>
          <w:szCs w:val="20"/>
          <w:highlight w:val="none"/>
        </w:rPr>
        <w:t>。</w:t>
      </w:r>
    </w:p>
    <w:p w14:paraId="341088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val="0"/>
          <w:bCs/>
          <w:color w:val="auto"/>
          <w:kern w:val="2"/>
          <w:sz w:val="21"/>
          <w:szCs w:val="16"/>
          <w:highlight w:val="none"/>
        </w:rPr>
      </w:pPr>
      <w:r>
        <w:rPr>
          <w:rFonts w:hint="eastAsia" w:ascii="黑体" w:hAnsi="黑体" w:eastAsia="黑体" w:cs="黑体"/>
          <w:b w:val="0"/>
          <w:bCs/>
          <w:color w:val="auto"/>
          <w:kern w:val="2"/>
          <w:sz w:val="21"/>
          <w:szCs w:val="16"/>
          <w:highlight w:val="none"/>
        </w:rPr>
        <w:t>表5.</w:t>
      </w:r>
      <w:r>
        <w:rPr>
          <w:rFonts w:hint="eastAsia" w:ascii="黑体" w:hAnsi="黑体" w:eastAsia="黑体" w:cs="黑体"/>
          <w:b w:val="0"/>
          <w:bCs/>
          <w:color w:val="auto"/>
          <w:kern w:val="2"/>
          <w:sz w:val="21"/>
          <w:szCs w:val="16"/>
          <w:highlight w:val="none"/>
          <w:lang w:val="en-US" w:eastAsia="zh-CN"/>
        </w:rPr>
        <w:t>4</w:t>
      </w:r>
      <w:r>
        <w:rPr>
          <w:rFonts w:hint="eastAsia" w:ascii="黑体" w:hAnsi="黑体" w:eastAsia="黑体" w:cs="黑体"/>
          <w:b w:val="0"/>
          <w:bCs/>
          <w:color w:val="auto"/>
          <w:kern w:val="2"/>
          <w:sz w:val="21"/>
          <w:szCs w:val="16"/>
          <w:highlight w:val="none"/>
        </w:rPr>
        <w:t>-</w:t>
      </w:r>
      <w:r>
        <w:rPr>
          <w:rFonts w:hint="eastAsia" w:ascii="黑体" w:hAnsi="黑体" w:eastAsia="黑体" w:cs="黑体"/>
          <w:b w:val="0"/>
          <w:bCs/>
          <w:color w:val="auto"/>
          <w:kern w:val="2"/>
          <w:sz w:val="21"/>
          <w:szCs w:val="16"/>
          <w:highlight w:val="none"/>
          <w:lang w:val="en-US" w:eastAsia="zh-CN"/>
        </w:rPr>
        <w:t>5</w:t>
      </w:r>
      <w:r>
        <w:rPr>
          <w:rFonts w:hint="eastAsia" w:ascii="黑体" w:hAnsi="黑体" w:eastAsia="黑体" w:cs="黑体"/>
          <w:b w:val="0"/>
          <w:bCs/>
          <w:color w:val="auto"/>
          <w:kern w:val="2"/>
          <w:sz w:val="21"/>
          <w:szCs w:val="16"/>
          <w:highlight w:val="none"/>
        </w:rPr>
        <w:t xml:space="preserve"> 石油类污染物在潜水含水层中的浓度迁移预测结果（情景2）</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599"/>
        <w:gridCol w:w="1316"/>
        <w:gridCol w:w="1599"/>
        <w:gridCol w:w="1316"/>
        <w:gridCol w:w="1600"/>
      </w:tblGrid>
      <w:tr w14:paraId="471A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666" w:type="pct"/>
            <w:gridSpan w:val="2"/>
            <w:noWrap/>
            <w:vAlign w:val="center"/>
          </w:tcPr>
          <w:p w14:paraId="669657A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100d</w:t>
            </w:r>
          </w:p>
        </w:tc>
        <w:tc>
          <w:tcPr>
            <w:tcW w:w="1667" w:type="pct"/>
            <w:gridSpan w:val="2"/>
            <w:noWrap/>
            <w:vAlign w:val="center"/>
          </w:tcPr>
          <w:p w14:paraId="6D46667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1000d</w:t>
            </w:r>
          </w:p>
        </w:tc>
        <w:tc>
          <w:tcPr>
            <w:tcW w:w="1667" w:type="pct"/>
            <w:gridSpan w:val="2"/>
            <w:noWrap/>
            <w:vAlign w:val="center"/>
          </w:tcPr>
          <w:p w14:paraId="566483F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3650d</w:t>
            </w:r>
          </w:p>
        </w:tc>
      </w:tr>
      <w:tr w14:paraId="162B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98" w:type="pct"/>
            <w:noWrap/>
            <w:vAlign w:val="center"/>
          </w:tcPr>
          <w:p w14:paraId="617BF6C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距离（m）</w:t>
            </w:r>
          </w:p>
        </w:tc>
        <w:tc>
          <w:tcPr>
            <w:tcW w:w="868" w:type="pct"/>
            <w:noWrap/>
            <w:vAlign w:val="center"/>
          </w:tcPr>
          <w:p w14:paraId="008E8F1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浓度c</w:t>
            </w:r>
            <w:r>
              <w:rPr>
                <w:rFonts w:hint="eastAsia" w:ascii="Times New Roman" w:hAnsi="宋体" w:eastAsia="宋体" w:cs="宋体"/>
                <w:color w:val="auto"/>
                <w:kern w:val="0"/>
                <w:sz w:val="21"/>
                <w:szCs w:val="20"/>
                <w:highlight w:val="none"/>
                <w:lang w:val="zh-CN" w:eastAsia="zh-CN" w:bidi="zh-CN"/>
              </w:rPr>
              <w:t>（</w:t>
            </w:r>
            <w:r>
              <w:rPr>
                <w:rFonts w:hint="default" w:ascii="Times New Roman" w:hAnsi="宋体" w:eastAsia="宋体" w:cs="宋体"/>
                <w:color w:val="auto"/>
                <w:kern w:val="0"/>
                <w:sz w:val="21"/>
                <w:szCs w:val="20"/>
                <w:highlight w:val="none"/>
                <w:lang w:val="zh-CN" w:eastAsia="zh-CN" w:bidi="zh-CN"/>
              </w:rPr>
              <w:t>mg/L</w:t>
            </w:r>
            <w:r>
              <w:rPr>
                <w:rFonts w:hint="eastAsia" w:ascii="Times New Roman" w:hAnsi="宋体" w:eastAsia="宋体" w:cs="宋体"/>
                <w:color w:val="auto"/>
                <w:kern w:val="0"/>
                <w:sz w:val="21"/>
                <w:szCs w:val="20"/>
                <w:highlight w:val="none"/>
                <w:lang w:val="zh-CN" w:eastAsia="zh-CN" w:bidi="zh-CN"/>
              </w:rPr>
              <w:t>）</w:t>
            </w:r>
          </w:p>
        </w:tc>
        <w:tc>
          <w:tcPr>
            <w:tcW w:w="799" w:type="pct"/>
            <w:noWrap/>
            <w:vAlign w:val="center"/>
          </w:tcPr>
          <w:p w14:paraId="25F779E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距离（m）</w:t>
            </w:r>
          </w:p>
        </w:tc>
        <w:tc>
          <w:tcPr>
            <w:tcW w:w="868" w:type="pct"/>
            <w:noWrap/>
            <w:vAlign w:val="center"/>
          </w:tcPr>
          <w:p w14:paraId="64E5602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浓度c</w:t>
            </w:r>
            <w:r>
              <w:rPr>
                <w:rFonts w:hint="eastAsia" w:ascii="Times New Roman" w:hAnsi="宋体" w:eastAsia="宋体" w:cs="宋体"/>
                <w:color w:val="auto"/>
                <w:kern w:val="0"/>
                <w:sz w:val="21"/>
                <w:szCs w:val="20"/>
                <w:highlight w:val="none"/>
                <w:lang w:val="zh-CN" w:eastAsia="zh-CN" w:bidi="zh-CN"/>
              </w:rPr>
              <w:t>（</w:t>
            </w:r>
            <w:r>
              <w:rPr>
                <w:rFonts w:hint="default" w:ascii="Times New Roman" w:hAnsi="宋体" w:eastAsia="宋体" w:cs="宋体"/>
                <w:color w:val="auto"/>
                <w:kern w:val="0"/>
                <w:sz w:val="21"/>
                <w:szCs w:val="20"/>
                <w:highlight w:val="none"/>
                <w:lang w:val="zh-CN" w:eastAsia="zh-CN" w:bidi="zh-CN"/>
              </w:rPr>
              <w:t>mg/L</w:t>
            </w:r>
            <w:r>
              <w:rPr>
                <w:rFonts w:hint="eastAsia" w:ascii="Times New Roman" w:hAnsi="宋体" w:eastAsia="宋体" w:cs="宋体"/>
                <w:color w:val="auto"/>
                <w:kern w:val="0"/>
                <w:sz w:val="21"/>
                <w:szCs w:val="20"/>
                <w:highlight w:val="none"/>
                <w:lang w:val="zh-CN" w:eastAsia="zh-CN" w:bidi="zh-CN"/>
              </w:rPr>
              <w:t>）</w:t>
            </w:r>
          </w:p>
        </w:tc>
        <w:tc>
          <w:tcPr>
            <w:tcW w:w="799" w:type="pct"/>
            <w:noWrap/>
            <w:vAlign w:val="center"/>
          </w:tcPr>
          <w:p w14:paraId="79C0CF7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距离（m）</w:t>
            </w:r>
          </w:p>
        </w:tc>
        <w:tc>
          <w:tcPr>
            <w:tcW w:w="868" w:type="pct"/>
            <w:noWrap/>
            <w:vAlign w:val="center"/>
          </w:tcPr>
          <w:p w14:paraId="3DB5B4E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zh-CN" w:eastAsia="zh-CN" w:bidi="zh-CN"/>
              </w:rPr>
            </w:pPr>
            <w:r>
              <w:rPr>
                <w:rFonts w:hint="default" w:ascii="Times New Roman" w:hAnsi="宋体" w:eastAsia="宋体" w:cs="宋体"/>
                <w:color w:val="auto"/>
                <w:kern w:val="0"/>
                <w:sz w:val="21"/>
                <w:szCs w:val="20"/>
                <w:highlight w:val="none"/>
                <w:lang w:val="zh-CN" w:eastAsia="zh-CN" w:bidi="zh-CN"/>
              </w:rPr>
              <w:t>浓度c</w:t>
            </w:r>
            <w:r>
              <w:rPr>
                <w:rFonts w:hint="eastAsia" w:ascii="Times New Roman" w:hAnsi="宋体" w:eastAsia="宋体" w:cs="宋体"/>
                <w:color w:val="auto"/>
                <w:kern w:val="0"/>
                <w:sz w:val="21"/>
                <w:szCs w:val="20"/>
                <w:highlight w:val="none"/>
                <w:lang w:val="zh-CN" w:eastAsia="zh-CN" w:bidi="zh-CN"/>
              </w:rPr>
              <w:t>（</w:t>
            </w:r>
            <w:r>
              <w:rPr>
                <w:rFonts w:hint="default" w:ascii="Times New Roman" w:hAnsi="宋体" w:eastAsia="宋体" w:cs="宋体"/>
                <w:color w:val="auto"/>
                <w:kern w:val="0"/>
                <w:sz w:val="21"/>
                <w:szCs w:val="20"/>
                <w:highlight w:val="none"/>
                <w:lang w:val="zh-CN" w:eastAsia="zh-CN" w:bidi="zh-CN"/>
              </w:rPr>
              <w:t>mg/L</w:t>
            </w:r>
            <w:r>
              <w:rPr>
                <w:rFonts w:hint="eastAsia" w:ascii="Times New Roman" w:hAnsi="宋体" w:eastAsia="宋体" w:cs="宋体"/>
                <w:color w:val="auto"/>
                <w:kern w:val="0"/>
                <w:sz w:val="21"/>
                <w:szCs w:val="20"/>
                <w:highlight w:val="none"/>
                <w:lang w:val="zh-CN" w:eastAsia="zh-CN" w:bidi="zh-CN"/>
              </w:rPr>
              <w:t>）</w:t>
            </w:r>
          </w:p>
        </w:tc>
      </w:tr>
      <w:tr w14:paraId="5033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0" w:type="dxa"/>
            <w:noWrap/>
            <w:vAlign w:val="center"/>
          </w:tcPr>
          <w:p w14:paraId="5EC18D6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1479" w:type="dxa"/>
            <w:noWrap/>
            <w:vAlign w:val="center"/>
          </w:tcPr>
          <w:p w14:paraId="3B1D85D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0.012</w:t>
            </w:r>
          </w:p>
        </w:tc>
        <w:tc>
          <w:tcPr>
            <w:tcW w:w="1362" w:type="dxa"/>
            <w:noWrap/>
            <w:vAlign w:val="center"/>
          </w:tcPr>
          <w:p w14:paraId="40F80D3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1479" w:type="dxa"/>
            <w:noWrap/>
            <w:vAlign w:val="center"/>
          </w:tcPr>
          <w:p w14:paraId="60469B0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0.002</w:t>
            </w:r>
          </w:p>
        </w:tc>
        <w:tc>
          <w:tcPr>
            <w:tcW w:w="1362" w:type="dxa"/>
            <w:noWrap/>
            <w:vAlign w:val="center"/>
          </w:tcPr>
          <w:p w14:paraId="01B1158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1480" w:type="dxa"/>
            <w:noWrap/>
            <w:vAlign w:val="center"/>
          </w:tcPr>
          <w:p w14:paraId="4312855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r>
      <w:tr w14:paraId="6BF5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75BBDCC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5</w:t>
            </w:r>
          </w:p>
        </w:tc>
        <w:tc>
          <w:tcPr>
            <w:tcW w:w="1479" w:type="dxa"/>
            <w:noWrap/>
            <w:vAlign w:val="center"/>
          </w:tcPr>
          <w:p w14:paraId="349A8FA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0.036</w:t>
            </w:r>
          </w:p>
        </w:tc>
        <w:tc>
          <w:tcPr>
            <w:tcW w:w="1362" w:type="dxa"/>
            <w:noWrap/>
            <w:vAlign w:val="center"/>
          </w:tcPr>
          <w:p w14:paraId="625706E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w:t>
            </w:r>
          </w:p>
        </w:tc>
        <w:tc>
          <w:tcPr>
            <w:tcW w:w="1479" w:type="dxa"/>
            <w:noWrap/>
            <w:vAlign w:val="center"/>
          </w:tcPr>
          <w:p w14:paraId="4E4DD30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0.005</w:t>
            </w:r>
          </w:p>
        </w:tc>
        <w:tc>
          <w:tcPr>
            <w:tcW w:w="1362" w:type="dxa"/>
            <w:noWrap/>
            <w:vAlign w:val="center"/>
          </w:tcPr>
          <w:p w14:paraId="5401FB8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20</w:t>
            </w:r>
          </w:p>
        </w:tc>
        <w:tc>
          <w:tcPr>
            <w:tcW w:w="1480" w:type="dxa"/>
            <w:noWrap/>
            <w:vAlign w:val="center"/>
          </w:tcPr>
          <w:p w14:paraId="43E9D2D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0.001</w:t>
            </w:r>
          </w:p>
        </w:tc>
      </w:tr>
      <w:tr w14:paraId="3FB9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556B477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w:t>
            </w:r>
          </w:p>
        </w:tc>
        <w:tc>
          <w:tcPr>
            <w:tcW w:w="1479" w:type="dxa"/>
            <w:noWrap/>
            <w:vAlign w:val="center"/>
          </w:tcPr>
          <w:p w14:paraId="4F968E9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0.035</w:t>
            </w:r>
          </w:p>
        </w:tc>
        <w:tc>
          <w:tcPr>
            <w:tcW w:w="1362" w:type="dxa"/>
            <w:noWrap/>
            <w:vAlign w:val="center"/>
          </w:tcPr>
          <w:p w14:paraId="74B3534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20</w:t>
            </w:r>
          </w:p>
        </w:tc>
        <w:tc>
          <w:tcPr>
            <w:tcW w:w="1479" w:type="dxa"/>
            <w:noWrap/>
            <w:vAlign w:val="center"/>
          </w:tcPr>
          <w:p w14:paraId="30FD145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0.007</w:t>
            </w:r>
          </w:p>
        </w:tc>
        <w:tc>
          <w:tcPr>
            <w:tcW w:w="1362" w:type="dxa"/>
            <w:noWrap/>
            <w:vAlign w:val="center"/>
          </w:tcPr>
          <w:p w14:paraId="59452D4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40</w:t>
            </w:r>
          </w:p>
        </w:tc>
        <w:tc>
          <w:tcPr>
            <w:tcW w:w="1480" w:type="dxa"/>
            <w:noWrap/>
            <w:vAlign w:val="center"/>
          </w:tcPr>
          <w:p w14:paraId="78B261B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0.002</w:t>
            </w:r>
          </w:p>
        </w:tc>
      </w:tr>
      <w:tr w14:paraId="261A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777B0FA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15</w:t>
            </w:r>
          </w:p>
        </w:tc>
        <w:tc>
          <w:tcPr>
            <w:tcW w:w="1479" w:type="dxa"/>
            <w:noWrap/>
            <w:vAlign w:val="center"/>
          </w:tcPr>
          <w:p w14:paraId="479CCB3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0.017</w:t>
            </w:r>
          </w:p>
        </w:tc>
        <w:tc>
          <w:tcPr>
            <w:tcW w:w="1362" w:type="dxa"/>
            <w:noWrap/>
            <w:vAlign w:val="center"/>
          </w:tcPr>
          <w:p w14:paraId="3B22D1B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30</w:t>
            </w:r>
          </w:p>
        </w:tc>
        <w:tc>
          <w:tcPr>
            <w:tcW w:w="1479" w:type="dxa"/>
            <w:noWrap/>
            <w:vAlign w:val="center"/>
          </w:tcPr>
          <w:p w14:paraId="7CC9AD2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0.01</w:t>
            </w:r>
          </w:p>
        </w:tc>
        <w:tc>
          <w:tcPr>
            <w:tcW w:w="1362" w:type="dxa"/>
            <w:noWrap/>
            <w:vAlign w:val="center"/>
          </w:tcPr>
          <w:p w14:paraId="7755DA6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60</w:t>
            </w:r>
          </w:p>
        </w:tc>
        <w:tc>
          <w:tcPr>
            <w:tcW w:w="1480" w:type="dxa"/>
            <w:noWrap/>
            <w:vAlign w:val="center"/>
          </w:tcPr>
          <w:p w14:paraId="70A0406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0.003</w:t>
            </w:r>
          </w:p>
        </w:tc>
      </w:tr>
      <w:tr w14:paraId="1F66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0B052FF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18</w:t>
            </w:r>
          </w:p>
        </w:tc>
        <w:tc>
          <w:tcPr>
            <w:tcW w:w="1479" w:type="dxa"/>
            <w:noWrap/>
            <w:vAlign w:val="center"/>
          </w:tcPr>
          <w:p w14:paraId="3880A44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0.01</w:t>
            </w:r>
          </w:p>
        </w:tc>
        <w:tc>
          <w:tcPr>
            <w:tcW w:w="1362" w:type="dxa"/>
            <w:noWrap/>
            <w:vAlign w:val="center"/>
          </w:tcPr>
          <w:p w14:paraId="61CF101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40</w:t>
            </w:r>
          </w:p>
        </w:tc>
        <w:tc>
          <w:tcPr>
            <w:tcW w:w="1479" w:type="dxa"/>
            <w:noWrap/>
            <w:vAlign w:val="center"/>
          </w:tcPr>
          <w:p w14:paraId="2EABCEC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0.008</w:t>
            </w:r>
          </w:p>
        </w:tc>
        <w:tc>
          <w:tcPr>
            <w:tcW w:w="1362" w:type="dxa"/>
            <w:noWrap/>
            <w:vAlign w:val="center"/>
          </w:tcPr>
          <w:p w14:paraId="5A0BD20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80</w:t>
            </w:r>
          </w:p>
        </w:tc>
        <w:tc>
          <w:tcPr>
            <w:tcW w:w="1480" w:type="dxa"/>
            <w:noWrap/>
            <w:vAlign w:val="center"/>
          </w:tcPr>
          <w:p w14:paraId="7EA88BF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0.004</w:t>
            </w:r>
          </w:p>
        </w:tc>
      </w:tr>
      <w:tr w14:paraId="7923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557F20C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25</w:t>
            </w:r>
          </w:p>
        </w:tc>
        <w:tc>
          <w:tcPr>
            <w:tcW w:w="1479" w:type="dxa"/>
            <w:noWrap/>
            <w:vAlign w:val="center"/>
          </w:tcPr>
          <w:p w14:paraId="1D0AEC2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0.001</w:t>
            </w:r>
          </w:p>
        </w:tc>
        <w:tc>
          <w:tcPr>
            <w:tcW w:w="1362" w:type="dxa"/>
            <w:noWrap/>
            <w:vAlign w:val="center"/>
          </w:tcPr>
          <w:p w14:paraId="1ECB30D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50</w:t>
            </w:r>
          </w:p>
        </w:tc>
        <w:tc>
          <w:tcPr>
            <w:tcW w:w="1479" w:type="dxa"/>
            <w:noWrap/>
            <w:vAlign w:val="center"/>
          </w:tcPr>
          <w:p w14:paraId="1BD27E9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0.006</w:t>
            </w:r>
          </w:p>
        </w:tc>
        <w:tc>
          <w:tcPr>
            <w:tcW w:w="1362" w:type="dxa"/>
            <w:noWrap/>
            <w:vAlign w:val="center"/>
          </w:tcPr>
          <w:p w14:paraId="5D82E7E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w:t>
            </w:r>
          </w:p>
        </w:tc>
        <w:tc>
          <w:tcPr>
            <w:tcW w:w="1480" w:type="dxa"/>
            <w:noWrap/>
            <w:vAlign w:val="center"/>
          </w:tcPr>
          <w:p w14:paraId="3CB4133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0.004</w:t>
            </w:r>
          </w:p>
        </w:tc>
      </w:tr>
      <w:tr w14:paraId="190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17703CF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30</w:t>
            </w:r>
          </w:p>
        </w:tc>
        <w:tc>
          <w:tcPr>
            <w:tcW w:w="1479" w:type="dxa"/>
            <w:noWrap/>
            <w:vAlign w:val="center"/>
          </w:tcPr>
          <w:p w14:paraId="2C06AE7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1362" w:type="dxa"/>
            <w:noWrap/>
            <w:vAlign w:val="center"/>
          </w:tcPr>
          <w:p w14:paraId="618B816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60</w:t>
            </w:r>
          </w:p>
        </w:tc>
        <w:tc>
          <w:tcPr>
            <w:tcW w:w="1479" w:type="dxa"/>
            <w:noWrap/>
            <w:vAlign w:val="center"/>
          </w:tcPr>
          <w:p w14:paraId="3C478D3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0.004</w:t>
            </w:r>
          </w:p>
        </w:tc>
        <w:tc>
          <w:tcPr>
            <w:tcW w:w="1362" w:type="dxa"/>
            <w:noWrap/>
            <w:vAlign w:val="center"/>
          </w:tcPr>
          <w:p w14:paraId="56DC586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120</w:t>
            </w:r>
          </w:p>
        </w:tc>
        <w:tc>
          <w:tcPr>
            <w:tcW w:w="1480" w:type="dxa"/>
            <w:noWrap/>
            <w:vAlign w:val="center"/>
          </w:tcPr>
          <w:p w14:paraId="788421C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0.004</w:t>
            </w:r>
          </w:p>
        </w:tc>
      </w:tr>
      <w:tr w14:paraId="059D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32EFAA4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35</w:t>
            </w:r>
          </w:p>
        </w:tc>
        <w:tc>
          <w:tcPr>
            <w:tcW w:w="1479" w:type="dxa"/>
            <w:noWrap/>
            <w:vAlign w:val="center"/>
          </w:tcPr>
          <w:p w14:paraId="38427AF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1362" w:type="dxa"/>
            <w:noWrap/>
            <w:vAlign w:val="center"/>
          </w:tcPr>
          <w:p w14:paraId="6B9ADDC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70</w:t>
            </w:r>
          </w:p>
        </w:tc>
        <w:tc>
          <w:tcPr>
            <w:tcW w:w="1479" w:type="dxa"/>
            <w:noWrap/>
            <w:vAlign w:val="center"/>
          </w:tcPr>
          <w:p w14:paraId="62A7E88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0.002</w:t>
            </w:r>
          </w:p>
        </w:tc>
        <w:tc>
          <w:tcPr>
            <w:tcW w:w="1362" w:type="dxa"/>
            <w:noWrap/>
            <w:vAlign w:val="center"/>
          </w:tcPr>
          <w:p w14:paraId="2FD5FCC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140</w:t>
            </w:r>
          </w:p>
        </w:tc>
        <w:tc>
          <w:tcPr>
            <w:tcW w:w="1480" w:type="dxa"/>
            <w:noWrap/>
            <w:vAlign w:val="center"/>
          </w:tcPr>
          <w:p w14:paraId="70B0C0C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0.002</w:t>
            </w:r>
          </w:p>
        </w:tc>
      </w:tr>
      <w:tr w14:paraId="5F89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0660EF2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40</w:t>
            </w:r>
          </w:p>
        </w:tc>
        <w:tc>
          <w:tcPr>
            <w:tcW w:w="1479" w:type="dxa"/>
            <w:noWrap/>
            <w:vAlign w:val="center"/>
          </w:tcPr>
          <w:p w14:paraId="1E188E6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1362" w:type="dxa"/>
            <w:noWrap/>
            <w:vAlign w:val="center"/>
          </w:tcPr>
          <w:p w14:paraId="173C7B3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80</w:t>
            </w:r>
          </w:p>
        </w:tc>
        <w:tc>
          <w:tcPr>
            <w:tcW w:w="1479" w:type="dxa"/>
            <w:noWrap/>
            <w:vAlign w:val="center"/>
          </w:tcPr>
          <w:p w14:paraId="4581975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0.001</w:t>
            </w:r>
          </w:p>
        </w:tc>
        <w:tc>
          <w:tcPr>
            <w:tcW w:w="1362" w:type="dxa"/>
            <w:noWrap/>
            <w:vAlign w:val="center"/>
          </w:tcPr>
          <w:p w14:paraId="75532FA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160</w:t>
            </w:r>
          </w:p>
        </w:tc>
        <w:tc>
          <w:tcPr>
            <w:tcW w:w="1480" w:type="dxa"/>
            <w:noWrap/>
            <w:vAlign w:val="center"/>
          </w:tcPr>
          <w:p w14:paraId="798DCDD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0.001</w:t>
            </w:r>
          </w:p>
        </w:tc>
      </w:tr>
      <w:tr w14:paraId="1805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144323C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45</w:t>
            </w:r>
          </w:p>
        </w:tc>
        <w:tc>
          <w:tcPr>
            <w:tcW w:w="1479" w:type="dxa"/>
            <w:noWrap/>
            <w:vAlign w:val="center"/>
          </w:tcPr>
          <w:p w14:paraId="7EB56F9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1362" w:type="dxa"/>
            <w:noWrap/>
            <w:vAlign w:val="center"/>
          </w:tcPr>
          <w:p w14:paraId="6530300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90</w:t>
            </w:r>
          </w:p>
        </w:tc>
        <w:tc>
          <w:tcPr>
            <w:tcW w:w="1479" w:type="dxa"/>
            <w:noWrap/>
            <w:vAlign w:val="center"/>
          </w:tcPr>
          <w:p w14:paraId="3A45DA9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1362" w:type="dxa"/>
            <w:noWrap/>
            <w:vAlign w:val="center"/>
          </w:tcPr>
          <w:p w14:paraId="24D6FF9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180</w:t>
            </w:r>
          </w:p>
        </w:tc>
        <w:tc>
          <w:tcPr>
            <w:tcW w:w="1480" w:type="dxa"/>
            <w:noWrap/>
            <w:vAlign w:val="center"/>
          </w:tcPr>
          <w:p w14:paraId="7F0A457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0.001</w:t>
            </w:r>
          </w:p>
        </w:tc>
      </w:tr>
      <w:tr w14:paraId="57B9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0" w:type="dxa"/>
            <w:noWrap/>
            <w:vAlign w:val="center"/>
          </w:tcPr>
          <w:p w14:paraId="69C98FD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50</w:t>
            </w:r>
          </w:p>
        </w:tc>
        <w:tc>
          <w:tcPr>
            <w:tcW w:w="1479" w:type="dxa"/>
            <w:noWrap/>
            <w:vAlign w:val="center"/>
          </w:tcPr>
          <w:p w14:paraId="6827ABC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1362" w:type="dxa"/>
            <w:noWrap/>
            <w:vAlign w:val="center"/>
          </w:tcPr>
          <w:p w14:paraId="1E07E71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w:t>
            </w:r>
          </w:p>
        </w:tc>
        <w:tc>
          <w:tcPr>
            <w:tcW w:w="1479" w:type="dxa"/>
            <w:noWrap/>
            <w:vAlign w:val="center"/>
          </w:tcPr>
          <w:p w14:paraId="648EE27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c>
          <w:tcPr>
            <w:tcW w:w="1362" w:type="dxa"/>
            <w:noWrap/>
            <w:vAlign w:val="center"/>
          </w:tcPr>
          <w:p w14:paraId="5753FAB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200</w:t>
            </w:r>
          </w:p>
        </w:tc>
        <w:tc>
          <w:tcPr>
            <w:tcW w:w="1480" w:type="dxa"/>
            <w:noWrap/>
            <w:vAlign w:val="center"/>
          </w:tcPr>
          <w:p w14:paraId="2AA0070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0.000</w:t>
            </w:r>
          </w:p>
        </w:tc>
      </w:tr>
    </w:tbl>
    <w:p w14:paraId="136A00C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黑体" w:hAnsi="黑体" w:eastAsia="黑体" w:cs="黑体"/>
          <w:b w:val="0"/>
          <w:bCs/>
          <w:color w:val="auto"/>
          <w:kern w:val="2"/>
          <w:sz w:val="21"/>
          <w:szCs w:val="16"/>
          <w:highlight w:val="none"/>
        </w:rPr>
      </w:pPr>
      <w:r>
        <w:rPr>
          <w:rFonts w:hint="eastAsia" w:ascii="黑体" w:hAnsi="黑体" w:eastAsia="黑体" w:cs="黑体"/>
          <w:b w:val="0"/>
          <w:bCs/>
          <w:color w:val="auto"/>
          <w:kern w:val="2"/>
          <w:sz w:val="21"/>
          <w:szCs w:val="16"/>
          <w:highlight w:val="none"/>
        </w:rPr>
        <w:t>表5.</w:t>
      </w:r>
      <w:r>
        <w:rPr>
          <w:rFonts w:hint="eastAsia" w:ascii="黑体" w:hAnsi="黑体" w:eastAsia="黑体" w:cs="黑体"/>
          <w:b w:val="0"/>
          <w:bCs/>
          <w:color w:val="auto"/>
          <w:kern w:val="2"/>
          <w:sz w:val="21"/>
          <w:szCs w:val="16"/>
          <w:highlight w:val="none"/>
          <w:lang w:val="en-US" w:eastAsia="zh-CN"/>
        </w:rPr>
        <w:t>4</w:t>
      </w:r>
      <w:r>
        <w:rPr>
          <w:rFonts w:hint="eastAsia" w:ascii="黑体" w:hAnsi="黑体" w:eastAsia="黑体" w:cs="黑体"/>
          <w:b w:val="0"/>
          <w:bCs/>
          <w:color w:val="auto"/>
          <w:kern w:val="2"/>
          <w:sz w:val="21"/>
          <w:szCs w:val="16"/>
          <w:highlight w:val="none"/>
        </w:rPr>
        <w:t>-</w:t>
      </w:r>
      <w:r>
        <w:rPr>
          <w:rFonts w:hint="eastAsia" w:ascii="黑体" w:hAnsi="黑体" w:eastAsia="黑体" w:cs="黑体"/>
          <w:b w:val="0"/>
          <w:bCs/>
          <w:color w:val="auto"/>
          <w:kern w:val="2"/>
          <w:sz w:val="21"/>
          <w:szCs w:val="16"/>
          <w:highlight w:val="none"/>
          <w:lang w:val="en-US" w:eastAsia="zh-CN"/>
        </w:rPr>
        <w:t>6</w:t>
      </w:r>
      <w:r>
        <w:rPr>
          <w:rFonts w:hint="eastAsia" w:ascii="黑体" w:hAnsi="黑体" w:eastAsia="黑体" w:cs="黑体"/>
          <w:b w:val="0"/>
          <w:bCs/>
          <w:color w:val="auto"/>
          <w:kern w:val="2"/>
          <w:sz w:val="21"/>
          <w:szCs w:val="16"/>
          <w:highlight w:val="none"/>
        </w:rPr>
        <w:t xml:space="preserve">       预测结果统计表（情景2）</w:t>
      </w:r>
    </w:p>
    <w:tbl>
      <w:tblPr>
        <w:tblStyle w:val="35"/>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428"/>
        <w:gridCol w:w="2391"/>
        <w:gridCol w:w="1573"/>
        <w:gridCol w:w="1820"/>
      </w:tblGrid>
      <w:tr w14:paraId="00AA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5" w:type="pct"/>
            <w:vAlign w:val="center"/>
          </w:tcPr>
          <w:p w14:paraId="31714AB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预测因子</w:t>
            </w:r>
          </w:p>
        </w:tc>
        <w:tc>
          <w:tcPr>
            <w:tcW w:w="819" w:type="pct"/>
            <w:vAlign w:val="center"/>
          </w:tcPr>
          <w:p w14:paraId="46B6B53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预测时间</w:t>
            </w:r>
          </w:p>
        </w:tc>
        <w:tc>
          <w:tcPr>
            <w:tcW w:w="1371" w:type="pct"/>
            <w:vAlign w:val="center"/>
          </w:tcPr>
          <w:p w14:paraId="3C654E3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超标距离（m）</w:t>
            </w:r>
          </w:p>
        </w:tc>
        <w:tc>
          <w:tcPr>
            <w:tcW w:w="902" w:type="pct"/>
            <w:vAlign w:val="center"/>
          </w:tcPr>
          <w:p w14:paraId="47EBFE9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影响距离（m）</w:t>
            </w:r>
          </w:p>
        </w:tc>
        <w:tc>
          <w:tcPr>
            <w:tcW w:w="1043" w:type="pct"/>
            <w:vAlign w:val="center"/>
          </w:tcPr>
          <w:p w14:paraId="553FFFE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影响范围内</w:t>
            </w:r>
            <w:r>
              <w:rPr>
                <w:rFonts w:hint="eastAsia" w:ascii="Times New Roman" w:hAnsi="宋体" w:eastAsia="宋体" w:cs="宋体"/>
                <w:color w:val="auto"/>
                <w:kern w:val="0"/>
                <w:sz w:val="21"/>
                <w:szCs w:val="20"/>
                <w:highlight w:val="none"/>
                <w:lang w:val="en-US" w:eastAsia="zh-CN" w:bidi="ar-SA"/>
              </w:rPr>
              <w:t>居民饮用水井</w:t>
            </w:r>
          </w:p>
        </w:tc>
      </w:tr>
      <w:tr w14:paraId="1B10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5" w:type="pct"/>
            <w:vMerge w:val="restart"/>
            <w:vAlign w:val="center"/>
          </w:tcPr>
          <w:p w14:paraId="00AEB69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石油类</w:t>
            </w:r>
          </w:p>
        </w:tc>
        <w:tc>
          <w:tcPr>
            <w:tcW w:w="819" w:type="pct"/>
            <w:vAlign w:val="center"/>
          </w:tcPr>
          <w:p w14:paraId="1E8FD2A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100d</w:t>
            </w:r>
          </w:p>
        </w:tc>
        <w:tc>
          <w:tcPr>
            <w:tcW w:w="1371" w:type="pct"/>
            <w:vAlign w:val="center"/>
          </w:tcPr>
          <w:p w14:paraId="21CFAEE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902" w:type="pct"/>
            <w:vAlign w:val="center"/>
          </w:tcPr>
          <w:p w14:paraId="607DEC7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18</w:t>
            </w:r>
          </w:p>
        </w:tc>
        <w:tc>
          <w:tcPr>
            <w:tcW w:w="1043" w:type="pct"/>
            <w:vAlign w:val="center"/>
          </w:tcPr>
          <w:p w14:paraId="2509F24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无</w:t>
            </w:r>
          </w:p>
        </w:tc>
      </w:tr>
      <w:tr w14:paraId="4836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5" w:type="pct"/>
            <w:vMerge w:val="continue"/>
            <w:vAlign w:val="center"/>
          </w:tcPr>
          <w:p w14:paraId="4B03CFC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819" w:type="pct"/>
            <w:vAlign w:val="center"/>
          </w:tcPr>
          <w:p w14:paraId="0D8E896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1000d</w:t>
            </w:r>
          </w:p>
        </w:tc>
        <w:tc>
          <w:tcPr>
            <w:tcW w:w="1371" w:type="pct"/>
            <w:vAlign w:val="center"/>
          </w:tcPr>
          <w:p w14:paraId="7D2B1F8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0</w:t>
            </w:r>
          </w:p>
        </w:tc>
        <w:tc>
          <w:tcPr>
            <w:tcW w:w="902" w:type="pct"/>
            <w:vAlign w:val="center"/>
          </w:tcPr>
          <w:p w14:paraId="4A343AE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30</w:t>
            </w:r>
          </w:p>
        </w:tc>
        <w:tc>
          <w:tcPr>
            <w:tcW w:w="1043" w:type="pct"/>
          </w:tcPr>
          <w:p w14:paraId="58E7BAD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无</w:t>
            </w:r>
          </w:p>
        </w:tc>
      </w:tr>
      <w:tr w14:paraId="6079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5" w:type="pct"/>
            <w:vMerge w:val="continue"/>
            <w:vAlign w:val="center"/>
          </w:tcPr>
          <w:p w14:paraId="3470564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819" w:type="pct"/>
            <w:vAlign w:val="center"/>
          </w:tcPr>
          <w:p w14:paraId="08B0B2A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3650d</w:t>
            </w:r>
          </w:p>
        </w:tc>
        <w:tc>
          <w:tcPr>
            <w:tcW w:w="1371" w:type="pct"/>
            <w:vAlign w:val="center"/>
          </w:tcPr>
          <w:p w14:paraId="08D28A3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0</w:t>
            </w:r>
          </w:p>
        </w:tc>
        <w:tc>
          <w:tcPr>
            <w:tcW w:w="902" w:type="pct"/>
            <w:vAlign w:val="center"/>
          </w:tcPr>
          <w:p w14:paraId="2A2D45F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0</w:t>
            </w:r>
          </w:p>
        </w:tc>
        <w:tc>
          <w:tcPr>
            <w:tcW w:w="1043" w:type="pct"/>
          </w:tcPr>
          <w:p w14:paraId="77E6BFE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无</w:t>
            </w:r>
          </w:p>
        </w:tc>
      </w:tr>
    </w:tbl>
    <w:p w14:paraId="611E61F4">
      <w:pPr>
        <w:widowControl w:val="0"/>
        <w:spacing w:line="360" w:lineRule="auto"/>
        <w:ind w:firstLine="480" w:firstLineChars="200"/>
        <w:jc w:val="both"/>
        <w:rPr>
          <w:rFonts w:ascii="Times New Roman" w:hAnsi="宋体" w:eastAsia="宋体" w:cs="宋体"/>
          <w:color w:val="auto"/>
          <w:kern w:val="2"/>
          <w:szCs w:val="20"/>
          <w:highlight w:val="none"/>
        </w:rPr>
      </w:pPr>
    </w:p>
    <w:p w14:paraId="37FF79A6">
      <w:pPr>
        <w:pStyle w:val="2"/>
        <w:rPr>
          <w:rFonts w:ascii="Times New Roman" w:hAnsi="宋体" w:eastAsia="宋体" w:cs="宋体"/>
          <w:color w:val="auto"/>
          <w:kern w:val="2"/>
          <w:szCs w:val="20"/>
          <w:highlight w:val="none"/>
        </w:rPr>
      </w:pPr>
    </w:p>
    <w:p w14:paraId="6EBFEB02">
      <w:pPr>
        <w:rPr>
          <w:rFonts w:ascii="Times New Roman" w:hAnsi="宋体" w:eastAsia="宋体" w:cs="宋体"/>
          <w:color w:val="auto"/>
          <w:kern w:val="2"/>
          <w:szCs w:val="20"/>
          <w:highlight w:val="none"/>
        </w:rPr>
      </w:pPr>
    </w:p>
    <w:p w14:paraId="2E6A3A07">
      <w:pPr>
        <w:pStyle w:val="2"/>
        <w:rPr>
          <w:rFonts w:ascii="Times New Roman" w:hAnsi="宋体" w:eastAsia="宋体" w:cs="宋体"/>
          <w:color w:val="auto"/>
          <w:kern w:val="2"/>
          <w:szCs w:val="20"/>
          <w:highlight w:val="none"/>
        </w:rPr>
      </w:pPr>
    </w:p>
    <w:p w14:paraId="1081E7B9"/>
    <w:p w14:paraId="03267732">
      <w:pPr>
        <w:pStyle w:val="2"/>
        <w:rPr>
          <w:rFonts w:ascii="Times New Roman" w:hAnsi="宋体" w:eastAsia="宋体" w:cs="宋体"/>
          <w:color w:val="auto"/>
          <w:kern w:val="2"/>
          <w:szCs w:val="20"/>
          <w:highlight w:val="none"/>
        </w:rPr>
      </w:pPr>
    </w:p>
    <w:p w14:paraId="48DFCB88"/>
    <w:p w14:paraId="38555523">
      <w:pPr>
        <w:widowControl w:val="0"/>
        <w:spacing w:line="360" w:lineRule="auto"/>
        <w:ind w:firstLine="420" w:firstLineChars="200"/>
        <w:jc w:val="center"/>
        <w:rPr>
          <w:rFonts w:ascii="Times New Roman" w:hAnsi="宋体" w:eastAsia="宋体" w:cs="宋体"/>
          <w:b/>
          <w:bCs/>
          <w:color w:val="auto"/>
          <w:kern w:val="2"/>
          <w:szCs w:val="20"/>
          <w:highlight w:val="none"/>
        </w:rPr>
      </w:pPr>
      <w:r>
        <w:rPr>
          <w:rFonts w:hint="eastAsia" w:ascii="黑体" w:hAnsi="黑体" w:eastAsia="黑体" w:cs="黑体"/>
          <w:b w:val="0"/>
          <w:bCs w:val="0"/>
          <w:color w:val="auto"/>
          <w:kern w:val="2"/>
          <w:sz w:val="21"/>
          <w:szCs w:val="16"/>
          <w:highlight w:val="none"/>
        </w:rPr>
        <w:t>图5.</w:t>
      </w:r>
      <w:r>
        <w:rPr>
          <w:rFonts w:hint="eastAsia" w:ascii="黑体" w:hAnsi="黑体" w:eastAsia="黑体" w:cs="黑体"/>
          <w:b w:val="0"/>
          <w:bCs w:val="0"/>
          <w:color w:val="auto"/>
          <w:kern w:val="2"/>
          <w:sz w:val="21"/>
          <w:szCs w:val="16"/>
          <w:highlight w:val="none"/>
          <w:lang w:val="en-US" w:eastAsia="zh-CN"/>
        </w:rPr>
        <w:t>4</w:t>
      </w:r>
      <w:r>
        <w:rPr>
          <w:rFonts w:hint="eastAsia" w:ascii="黑体" w:hAnsi="黑体" w:eastAsia="黑体" w:cs="黑体"/>
          <w:b w:val="0"/>
          <w:bCs w:val="0"/>
          <w:color w:val="auto"/>
          <w:kern w:val="2"/>
          <w:sz w:val="21"/>
          <w:szCs w:val="16"/>
          <w:highlight w:val="none"/>
        </w:rPr>
        <w:t>-</w:t>
      </w:r>
      <w:r>
        <w:rPr>
          <w:rFonts w:hint="eastAsia" w:ascii="黑体" w:hAnsi="黑体" w:eastAsia="黑体" w:cs="黑体"/>
          <w:b w:val="0"/>
          <w:bCs w:val="0"/>
          <w:color w:val="auto"/>
          <w:kern w:val="2"/>
          <w:sz w:val="21"/>
          <w:szCs w:val="16"/>
          <w:highlight w:val="none"/>
          <w:lang w:val="en-US" w:eastAsia="zh-CN"/>
        </w:rPr>
        <w:t>4</w:t>
      </w:r>
      <w:r>
        <w:rPr>
          <w:rFonts w:hint="eastAsia" w:ascii="黑体" w:hAnsi="黑体" w:eastAsia="黑体" w:cs="黑体"/>
          <w:b w:val="0"/>
          <w:bCs w:val="0"/>
          <w:color w:val="auto"/>
          <w:kern w:val="2"/>
          <w:sz w:val="21"/>
          <w:szCs w:val="16"/>
          <w:highlight w:val="none"/>
        </w:rPr>
        <w:t xml:space="preserve"> 发生</w:t>
      </w:r>
      <w:r>
        <w:rPr>
          <w:rFonts w:hint="eastAsia" w:ascii="黑体" w:hAnsi="黑体" w:eastAsia="黑体" w:cs="黑体"/>
          <w:b w:val="0"/>
          <w:bCs w:val="0"/>
          <w:color w:val="auto"/>
          <w:kern w:val="2"/>
          <w:sz w:val="21"/>
          <w:szCs w:val="16"/>
          <w:highlight w:val="none"/>
          <w:lang w:eastAsia="zh-CN"/>
        </w:rPr>
        <w:t>泄漏</w:t>
      </w:r>
      <w:r>
        <w:rPr>
          <w:rFonts w:hint="eastAsia" w:ascii="黑体" w:hAnsi="黑体" w:eastAsia="黑体" w:cs="黑体"/>
          <w:b w:val="0"/>
          <w:bCs w:val="0"/>
          <w:color w:val="auto"/>
          <w:kern w:val="2"/>
          <w:sz w:val="21"/>
          <w:szCs w:val="16"/>
          <w:highlight w:val="none"/>
        </w:rPr>
        <w:t>后石油类污染物浓度变化趋势图</w:t>
      </w:r>
      <w:r>
        <w:rPr>
          <w:rFonts w:hint="eastAsia" w:ascii="黑体" w:hAnsi="黑体" w:eastAsia="黑体" w:cs="黑体"/>
          <w:b w:val="0"/>
          <w:bCs w:val="0"/>
          <w:color w:val="auto"/>
          <w:kern w:val="2"/>
          <w:sz w:val="21"/>
          <w:szCs w:val="21"/>
          <w:highlight w:val="none"/>
        </w:rPr>
        <w:t>（情景2）</w:t>
      </w:r>
    </w:p>
    <w:p w14:paraId="6D3684E4">
      <w:pPr>
        <w:widowControl w:val="0"/>
        <w:spacing w:line="360" w:lineRule="auto"/>
        <w:ind w:firstLine="480" w:firstLineChars="200"/>
        <w:jc w:val="both"/>
        <w:rPr>
          <w:rFonts w:ascii="Times New Roman" w:hAnsi="宋体" w:eastAsia="宋体" w:cs="宋体"/>
          <w:bCs/>
          <w:color w:val="auto"/>
          <w:kern w:val="2"/>
          <w:szCs w:val="20"/>
          <w:highlight w:val="none"/>
        </w:rPr>
      </w:pPr>
      <w:r>
        <w:rPr>
          <w:rFonts w:ascii="Times New Roman" w:hAnsi="宋体" w:eastAsia="宋体" w:cs="宋体"/>
          <w:color w:val="auto"/>
          <w:kern w:val="2"/>
          <w:szCs w:val="20"/>
          <w:highlight w:val="none"/>
        </w:rPr>
        <w:t>根据以上预测结果，在本次设定的预测情形下：当</w:t>
      </w:r>
      <w:r>
        <w:rPr>
          <w:rFonts w:hint="eastAsia" w:hAnsi="宋体" w:cs="宋体"/>
          <w:color w:val="auto"/>
          <w:kern w:val="2"/>
          <w:szCs w:val="20"/>
          <w:highlight w:val="none"/>
          <w:lang w:eastAsia="zh-CN"/>
        </w:rPr>
        <w:t>泄漏</w:t>
      </w:r>
      <w:r>
        <w:rPr>
          <w:rFonts w:ascii="Times New Roman" w:hAnsi="宋体" w:eastAsia="宋体" w:cs="宋体"/>
          <w:color w:val="auto"/>
          <w:kern w:val="2"/>
          <w:szCs w:val="20"/>
          <w:highlight w:val="none"/>
        </w:rPr>
        <w:t>发生后，在预测期间，随着距离的增加，石油类在含水层中</w:t>
      </w:r>
      <w:r>
        <w:rPr>
          <w:rFonts w:hint="eastAsia" w:ascii="Times New Roman" w:hAnsi="宋体" w:eastAsia="宋体" w:cs="宋体"/>
          <w:color w:val="auto"/>
          <w:kern w:val="2"/>
          <w:szCs w:val="20"/>
          <w:highlight w:val="none"/>
        </w:rPr>
        <w:t>在水动力弥散作用下，</w:t>
      </w:r>
      <w:r>
        <w:rPr>
          <w:rFonts w:ascii="Times New Roman" w:hAnsi="宋体" w:eastAsia="宋体" w:cs="宋体"/>
          <w:color w:val="auto"/>
          <w:kern w:val="2"/>
          <w:szCs w:val="20"/>
          <w:highlight w:val="none"/>
        </w:rPr>
        <w:t>沿地下水流向运移，污染物的浓度呈先增大后减小的趋势；随着泄漏后的时间的增加，影响范围呈增加趋势。在本次预测情景下的泄漏对地下水环境的影响很小。石油类浓度在预测100d、1000d、3650d时地下水最大影响距离约</w:t>
      </w:r>
      <w:r>
        <w:rPr>
          <w:rFonts w:hint="eastAsia" w:ascii="Times New Roman" w:hAnsi="宋体" w:eastAsia="宋体" w:cs="宋体"/>
          <w:color w:val="auto"/>
          <w:kern w:val="2"/>
          <w:szCs w:val="20"/>
          <w:highlight w:val="none"/>
          <w:lang w:val="en-US" w:eastAsia="zh-CN"/>
        </w:rPr>
        <w:t>18</w:t>
      </w:r>
      <w:r>
        <w:rPr>
          <w:rFonts w:ascii="Times New Roman" w:hAnsi="宋体" w:eastAsia="宋体" w:cs="宋体"/>
          <w:color w:val="auto"/>
          <w:kern w:val="2"/>
          <w:szCs w:val="20"/>
          <w:highlight w:val="none"/>
        </w:rPr>
        <w:t>m、3</w:t>
      </w:r>
      <w:r>
        <w:rPr>
          <w:rFonts w:hint="eastAsia" w:ascii="Times New Roman" w:hAnsi="宋体" w:eastAsia="宋体" w:cs="宋体"/>
          <w:color w:val="auto"/>
          <w:kern w:val="2"/>
          <w:szCs w:val="20"/>
          <w:highlight w:val="none"/>
          <w:lang w:val="en-US" w:eastAsia="zh-CN"/>
        </w:rPr>
        <w:t>0</w:t>
      </w:r>
      <w:r>
        <w:rPr>
          <w:rFonts w:ascii="Times New Roman" w:hAnsi="宋体" w:eastAsia="宋体" w:cs="宋体"/>
          <w:color w:val="auto"/>
          <w:kern w:val="2"/>
          <w:szCs w:val="20"/>
          <w:highlight w:val="none"/>
        </w:rPr>
        <w:t>m、</w:t>
      </w:r>
      <w:r>
        <w:rPr>
          <w:rFonts w:hint="eastAsia" w:ascii="Times New Roman" w:hAnsi="宋体" w:eastAsia="宋体" w:cs="宋体"/>
          <w:color w:val="auto"/>
          <w:kern w:val="2"/>
          <w:szCs w:val="20"/>
          <w:highlight w:val="none"/>
          <w:lang w:val="en-US" w:eastAsia="zh-CN"/>
        </w:rPr>
        <w:t>0</w:t>
      </w:r>
      <w:r>
        <w:rPr>
          <w:rFonts w:ascii="Times New Roman" w:hAnsi="宋体" w:eastAsia="宋体" w:cs="宋体"/>
          <w:color w:val="auto"/>
          <w:kern w:val="2"/>
          <w:szCs w:val="20"/>
          <w:highlight w:val="none"/>
        </w:rPr>
        <w:t>m，</w:t>
      </w:r>
      <w:r>
        <w:rPr>
          <w:rFonts w:hint="eastAsia" w:ascii="Times New Roman" w:hAnsi="宋体" w:eastAsia="宋体" w:cs="宋体"/>
          <w:color w:val="auto"/>
          <w:kern w:val="2"/>
          <w:szCs w:val="20"/>
          <w:highlight w:val="none"/>
        </w:rPr>
        <w:t>故在处理及时的短时</w:t>
      </w:r>
      <w:r>
        <w:rPr>
          <w:rFonts w:hint="eastAsia" w:ascii="Times New Roman" w:hAnsi="宋体" w:eastAsia="宋体" w:cs="宋体"/>
          <w:color w:val="auto"/>
          <w:kern w:val="2"/>
          <w:szCs w:val="20"/>
          <w:highlight w:val="none"/>
          <w:lang w:eastAsia="zh-CN"/>
        </w:rPr>
        <w:t>泄漏</w:t>
      </w:r>
      <w:r>
        <w:rPr>
          <w:rFonts w:hint="eastAsia" w:ascii="Times New Roman" w:hAnsi="宋体" w:eastAsia="宋体" w:cs="宋体"/>
          <w:color w:val="auto"/>
          <w:kern w:val="2"/>
          <w:szCs w:val="20"/>
          <w:highlight w:val="none"/>
        </w:rPr>
        <w:t>预测情境下</w:t>
      </w:r>
      <w:r>
        <w:rPr>
          <w:rFonts w:ascii="Times New Roman" w:hAnsi="宋体" w:eastAsia="宋体" w:cs="宋体"/>
          <w:color w:val="auto"/>
          <w:kern w:val="2"/>
          <w:szCs w:val="20"/>
          <w:highlight w:val="none"/>
        </w:rPr>
        <w:t>对该地区地下水影响</w:t>
      </w:r>
      <w:r>
        <w:rPr>
          <w:rFonts w:hint="eastAsia" w:ascii="Times New Roman" w:hAnsi="宋体" w:eastAsia="宋体" w:cs="宋体"/>
          <w:color w:val="auto"/>
          <w:kern w:val="2"/>
          <w:szCs w:val="20"/>
          <w:highlight w:val="none"/>
        </w:rPr>
        <w:t>较小</w:t>
      </w:r>
      <w:r>
        <w:rPr>
          <w:rFonts w:ascii="Times New Roman" w:hAnsi="宋体" w:eastAsia="宋体" w:cs="宋体"/>
          <w:color w:val="auto"/>
          <w:kern w:val="2"/>
          <w:szCs w:val="20"/>
          <w:highlight w:val="none"/>
        </w:rPr>
        <w:t>。</w:t>
      </w:r>
    </w:p>
    <w:p w14:paraId="1C9392CA">
      <w:pPr>
        <w:widowControl w:val="0"/>
        <w:spacing w:line="360" w:lineRule="auto"/>
        <w:ind w:firstLine="480" w:firstLineChars="200"/>
        <w:jc w:val="both"/>
        <w:rPr>
          <w:rFonts w:ascii="Times New Roman" w:hAnsi="宋体" w:eastAsia="宋体" w:cs="宋体"/>
          <w:color w:val="auto"/>
          <w:kern w:val="2"/>
          <w:szCs w:val="20"/>
          <w:highlight w:val="none"/>
        </w:rPr>
      </w:pPr>
      <w:r>
        <w:rPr>
          <w:rFonts w:hint="eastAsia" w:ascii="Times New Roman" w:hAnsi="宋体" w:eastAsia="宋体" w:cs="宋体"/>
          <w:bCs/>
          <w:color w:val="auto"/>
          <w:kern w:val="2"/>
          <w:szCs w:val="24"/>
          <w:highlight w:val="none"/>
        </w:rPr>
        <w:t>井场、</w:t>
      </w:r>
      <w:r>
        <w:rPr>
          <w:rFonts w:ascii="Times New Roman" w:hAnsi="宋体" w:eastAsia="宋体" w:cs="宋体"/>
          <w:bCs/>
          <w:color w:val="auto"/>
          <w:kern w:val="2"/>
          <w:szCs w:val="24"/>
          <w:highlight w:val="none"/>
        </w:rPr>
        <w:t>集输管道</w:t>
      </w:r>
      <w:r>
        <w:rPr>
          <w:rFonts w:hint="eastAsia" w:ascii="Times New Roman" w:hAnsi="宋体" w:eastAsia="宋体" w:cs="宋体"/>
          <w:bCs/>
          <w:color w:val="auto"/>
          <w:kern w:val="2"/>
          <w:szCs w:val="24"/>
          <w:highlight w:val="none"/>
        </w:rPr>
        <w:t>等</w:t>
      </w:r>
      <w:r>
        <w:rPr>
          <w:rFonts w:ascii="Times New Roman" w:hAnsi="宋体" w:eastAsia="宋体" w:cs="宋体"/>
          <w:bCs/>
          <w:color w:val="auto"/>
          <w:kern w:val="2"/>
          <w:szCs w:val="24"/>
          <w:highlight w:val="none"/>
        </w:rPr>
        <w:t>必须采取必要的防渗、防渗措施，</w:t>
      </w:r>
      <w:r>
        <w:rPr>
          <w:rFonts w:hint="eastAsia" w:ascii="Times New Roman" w:hAnsi="宋体" w:eastAsia="宋体" w:cs="宋体"/>
          <w:color w:val="auto"/>
          <w:kern w:val="2"/>
          <w:szCs w:val="20"/>
          <w:highlight w:val="none"/>
        </w:rPr>
        <w:t>在非正常状况下，</w:t>
      </w:r>
      <w:r>
        <w:rPr>
          <w:rFonts w:ascii="Times New Roman" w:hAnsi="宋体" w:eastAsia="宋体" w:cs="宋体"/>
          <w:snapToGrid w:val="0"/>
          <w:color w:val="auto"/>
          <w:kern w:val="2"/>
          <w:szCs w:val="20"/>
          <w:highlight w:val="none"/>
        </w:rPr>
        <w:t>由于</w:t>
      </w:r>
      <w:r>
        <w:rPr>
          <w:rFonts w:hint="eastAsia" w:ascii="Times New Roman" w:hAnsi="宋体" w:eastAsia="宋体" w:cs="宋体"/>
          <w:bCs/>
          <w:color w:val="auto"/>
          <w:kern w:val="2"/>
          <w:szCs w:val="20"/>
          <w:highlight w:val="none"/>
        </w:rPr>
        <w:t>项目区</w:t>
      </w:r>
      <w:r>
        <w:rPr>
          <w:rFonts w:ascii="Times New Roman" w:hAnsi="宋体" w:eastAsia="宋体" w:cs="宋体"/>
          <w:bCs/>
          <w:color w:val="auto"/>
          <w:kern w:val="2"/>
          <w:szCs w:val="20"/>
          <w:highlight w:val="none"/>
        </w:rPr>
        <w:t>地下水循环条件差，径流、排泄基本处于停滞状态，因此，</w:t>
      </w:r>
      <w:r>
        <w:rPr>
          <w:rFonts w:hint="eastAsia" w:ascii="Times New Roman" w:hAnsi="宋体" w:eastAsia="宋体" w:cs="宋体"/>
          <w:bCs/>
          <w:color w:val="auto"/>
          <w:kern w:val="2"/>
          <w:szCs w:val="20"/>
          <w:highlight w:val="none"/>
          <w:lang w:eastAsia="zh-CN"/>
        </w:rPr>
        <w:t>泄漏</w:t>
      </w:r>
      <w:r>
        <w:rPr>
          <w:rFonts w:ascii="Times New Roman" w:hAnsi="宋体" w:eastAsia="宋体" w:cs="宋体"/>
          <w:bCs/>
          <w:color w:val="auto"/>
          <w:kern w:val="2"/>
          <w:szCs w:val="20"/>
          <w:highlight w:val="none"/>
        </w:rPr>
        <w:t>对地下水环境产生的影响非常有限</w:t>
      </w:r>
      <w:r>
        <w:rPr>
          <w:rFonts w:hint="eastAsia" w:ascii="Times New Roman" w:hAnsi="宋体" w:eastAsia="宋体" w:cs="宋体"/>
          <w:bCs/>
          <w:color w:val="auto"/>
          <w:kern w:val="2"/>
          <w:szCs w:val="20"/>
          <w:highlight w:val="none"/>
        </w:rPr>
        <w:t>，</w:t>
      </w:r>
      <w:r>
        <w:rPr>
          <w:rFonts w:hint="eastAsia" w:ascii="Times New Roman" w:hAnsi="宋体" w:eastAsia="宋体" w:cs="宋体"/>
          <w:color w:val="auto"/>
          <w:kern w:val="2"/>
          <w:szCs w:val="20"/>
          <w:highlight w:val="none"/>
        </w:rPr>
        <w:t>在非正常状况下，建设单位应立即采取切断措施并及时组织专门力量进行污染物的清除工作，在最短的时间内清除地面及地下的石油类物质，</w:t>
      </w:r>
      <w:r>
        <w:rPr>
          <w:rFonts w:ascii="Times New Roman" w:hAnsi="宋体" w:eastAsia="宋体" w:cs="宋体"/>
          <w:bCs/>
          <w:color w:val="auto"/>
          <w:kern w:val="2"/>
          <w:szCs w:val="24"/>
          <w:highlight w:val="none"/>
        </w:rPr>
        <w:t>并加强</w:t>
      </w:r>
      <w:r>
        <w:rPr>
          <w:rFonts w:hint="eastAsia" w:ascii="Times New Roman" w:hAnsi="宋体" w:eastAsia="宋体" w:cs="宋体"/>
          <w:bCs/>
          <w:color w:val="auto"/>
          <w:kern w:val="2"/>
          <w:szCs w:val="24"/>
          <w:highlight w:val="none"/>
        </w:rPr>
        <w:t>后期污染治理和跟踪监测</w:t>
      </w:r>
      <w:r>
        <w:rPr>
          <w:rFonts w:ascii="Times New Roman" w:hAnsi="宋体" w:eastAsia="宋体" w:cs="宋体"/>
          <w:bCs/>
          <w:color w:val="auto"/>
          <w:kern w:val="2"/>
          <w:szCs w:val="24"/>
          <w:highlight w:val="none"/>
        </w:rPr>
        <w:t>，</w:t>
      </w:r>
      <w:r>
        <w:rPr>
          <w:rFonts w:hint="eastAsia" w:ascii="Times New Roman" w:hAnsi="宋体" w:eastAsia="宋体" w:cs="宋体"/>
          <w:bCs/>
          <w:color w:val="auto"/>
          <w:kern w:val="2"/>
          <w:szCs w:val="24"/>
          <w:highlight w:val="none"/>
        </w:rPr>
        <w:t>尽量避免</w:t>
      </w:r>
      <w:r>
        <w:rPr>
          <w:rFonts w:ascii="Times New Roman" w:hAnsi="宋体" w:eastAsia="宋体" w:cs="宋体"/>
          <w:bCs/>
          <w:color w:val="auto"/>
          <w:kern w:val="2"/>
          <w:szCs w:val="24"/>
          <w:highlight w:val="none"/>
        </w:rPr>
        <w:t>泄漏污染到周边区域内的地下水。</w:t>
      </w:r>
      <w:r>
        <w:rPr>
          <w:rFonts w:hint="eastAsia" w:ascii="Times New Roman" w:hAnsi="宋体" w:eastAsia="宋体" w:cs="宋体"/>
          <w:color w:val="auto"/>
          <w:kern w:val="2"/>
          <w:szCs w:val="20"/>
          <w:highlight w:val="none"/>
        </w:rPr>
        <w:t>只要建设单位和施工单位严格按照拟定的环保措施进行，非正常状况下，对地下水的影响属可接受范围。</w:t>
      </w:r>
    </w:p>
    <w:p w14:paraId="46C8D384">
      <w:pPr>
        <w:widowControl w:val="0"/>
        <w:spacing w:line="360" w:lineRule="auto"/>
        <w:ind w:firstLine="480" w:firstLineChars="200"/>
        <w:jc w:val="both"/>
        <w:rPr>
          <w:rFonts w:ascii="Times New Roman" w:hAnsi="宋体" w:eastAsia="宋体" w:cs="宋体"/>
          <w:color w:val="auto"/>
          <w:kern w:val="2"/>
          <w:szCs w:val="20"/>
          <w:highlight w:val="none"/>
          <w:lang w:val="zh-CN"/>
        </w:rPr>
      </w:pPr>
      <w:r>
        <w:rPr>
          <w:rFonts w:hint="eastAsia" w:ascii="Times New Roman" w:hAnsi="宋体" w:eastAsia="宋体" w:cs="宋体"/>
          <w:color w:val="auto"/>
          <w:kern w:val="2"/>
          <w:szCs w:val="20"/>
          <w:highlight w:val="none"/>
        </w:rPr>
        <w:t>综上，本项目需采取地下水污染防治措施按照“源头控制、过程防控、跟踪监测、应急响应”相结合的原则，并定期开展地下水跟踪监测，在严格按照地下水污染防护措施后，本项目对区域地下水环境影响可接受</w:t>
      </w:r>
      <w:r>
        <w:rPr>
          <w:rFonts w:ascii="Times New Roman" w:hAnsi="宋体" w:eastAsia="宋体" w:cs="宋体"/>
          <w:color w:val="auto"/>
          <w:kern w:val="2"/>
          <w:szCs w:val="20"/>
          <w:highlight w:val="none"/>
        </w:rPr>
        <w:t>。</w:t>
      </w:r>
    </w:p>
    <w:p w14:paraId="1CCAA80C">
      <w:pPr>
        <w:pStyle w:val="12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5.4.</w:t>
      </w:r>
      <w:r>
        <w:rPr>
          <w:rFonts w:hint="default" w:ascii="Times New Roman" w:hAnsi="Times New Roman" w:cs="Times New Roman"/>
          <w:color w:val="auto"/>
          <w:highlight w:val="none"/>
          <w:lang w:val="en-US" w:eastAsia="zh-CN"/>
        </w:rPr>
        <w:t>4退役</w:t>
      </w:r>
      <w:r>
        <w:rPr>
          <w:rFonts w:hint="default" w:ascii="Times New Roman" w:hAnsi="Times New Roman" w:cs="Times New Roman"/>
          <w:color w:val="auto"/>
          <w:highlight w:val="none"/>
        </w:rPr>
        <w:t>期水环境影响分析</w:t>
      </w:r>
    </w:p>
    <w:p w14:paraId="1003998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当油井开发接近尾声时，各种机械设备将停止使用，进驻其中的油田开发工作人员将陆续撤离油田区域。油井停采后将进行一系列清理工作，包括地面设施拆除、封井、井场清理等。</w:t>
      </w:r>
      <w:bookmarkStart w:id="518" w:name="_Toc6819"/>
      <w:bookmarkStart w:id="519" w:name="_Toc15223"/>
      <w:bookmarkStart w:id="520" w:name="_Toc22059"/>
    </w:p>
    <w:p w14:paraId="516A2141">
      <w:pPr>
        <w:pStyle w:val="12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5.4.</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小结</w:t>
      </w:r>
      <w:bookmarkEnd w:id="518"/>
      <w:bookmarkEnd w:id="519"/>
      <w:bookmarkEnd w:id="520"/>
    </w:p>
    <w:p w14:paraId="0E66AB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（1）施工期产生的钻井废水全部采用泥浆不落地技术收集处置，正常情况下，不会对周边水环境产生影响；钻井采用了套管，采取固井措施，有效防止了</w:t>
      </w:r>
    </w:p>
    <w:p w14:paraId="4F6F78D9">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钻井液漏失污染地下水。</w:t>
      </w:r>
    </w:p>
    <w:p w14:paraId="4575AC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（2）运营期的采出水依托塔河油田三号联合站</w:t>
      </w:r>
      <w:r>
        <w:rPr>
          <w:rFonts w:hint="eastAsia" w:cs="Times New Roman"/>
          <w:color w:val="auto"/>
          <w:highlight w:val="none"/>
          <w:lang w:val="en-US" w:eastAsia="zh-CN"/>
        </w:rPr>
        <w:t>采出水</w:t>
      </w:r>
      <w:r>
        <w:rPr>
          <w:rFonts w:hint="default" w:ascii="Times New Roman" w:hAnsi="Times New Roman" w:cs="Times New Roman"/>
          <w:color w:val="auto"/>
          <w:highlight w:val="none"/>
        </w:rPr>
        <w:t>处理系统处理，达标采出水回注油层，剩余处理能力可满足</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需求。</w:t>
      </w:r>
    </w:p>
    <w:p w14:paraId="6BFEA31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（3）在正常状况下，</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产生的废水不外排，在设计、施工和运行时，严把质量验收关，</w:t>
      </w:r>
      <w:r>
        <w:rPr>
          <w:rFonts w:hint="eastAsia" w:cs="Times New Roman"/>
          <w:color w:val="auto"/>
          <w:highlight w:val="none"/>
          <w:lang w:eastAsia="zh-CN"/>
        </w:rPr>
        <w:t>杜绝</w:t>
      </w:r>
      <w:r>
        <w:rPr>
          <w:rFonts w:hint="default" w:ascii="Times New Roman" w:hAnsi="Times New Roman" w:cs="Times New Roman"/>
          <w:color w:val="auto"/>
          <w:highlight w:val="none"/>
        </w:rPr>
        <w:t>因管道材质、制管、防腐涂层、焊接缺陷及运行失误而造成泄漏。在生产运行过程中，强化监控手段，定期检查检验，检漏控漏，尽量杜绝事故性排放源的存在，</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对地下水环境的影响较小；在非正常状况下，在及时采取水污染应急控制措施后，</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对水环境的影响属可接受范围。</w:t>
      </w:r>
    </w:p>
    <w:p w14:paraId="17285B1E">
      <w:pPr>
        <w:pStyle w:val="5"/>
        <w:pageBreakBefore w:val="0"/>
        <w:kinsoku/>
        <w:wordWrap/>
        <w:overflowPunct/>
        <w:topLinePunct w:val="0"/>
        <w:autoSpaceDE/>
        <w:autoSpaceDN/>
        <w:bidi w:val="0"/>
        <w:adjustRightInd w:val="0"/>
        <w:snapToGrid w:val="0"/>
        <w:spacing w:beforeLines="0"/>
        <w:rPr>
          <w:rFonts w:hint="default" w:ascii="Times New Roman" w:hAnsi="Times New Roman" w:cs="Times New Roman"/>
          <w:color w:val="auto"/>
          <w:highlight w:val="none"/>
        </w:rPr>
      </w:pPr>
      <w:bookmarkStart w:id="521" w:name="_Toc21419"/>
      <w:bookmarkStart w:id="522" w:name="_Toc2994"/>
      <w:bookmarkStart w:id="523" w:name="_Toc10419"/>
      <w:r>
        <w:rPr>
          <w:rFonts w:hint="default" w:ascii="Times New Roman" w:hAnsi="Times New Roman" w:cs="Times New Roman"/>
          <w:color w:val="auto"/>
          <w:highlight w:val="none"/>
        </w:rPr>
        <w:t>5.5固体废物影响分析</w:t>
      </w:r>
      <w:bookmarkEnd w:id="515"/>
      <w:bookmarkEnd w:id="516"/>
      <w:bookmarkEnd w:id="517"/>
      <w:bookmarkEnd w:id="521"/>
      <w:bookmarkEnd w:id="522"/>
      <w:bookmarkEnd w:id="523"/>
    </w:p>
    <w:p w14:paraId="18A4DE60">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cs="Times New Roman"/>
          <w:color w:val="auto"/>
          <w:highlight w:val="none"/>
        </w:rPr>
      </w:pPr>
      <w:bookmarkStart w:id="524" w:name="_Toc12524"/>
      <w:bookmarkStart w:id="525" w:name="_Toc34"/>
      <w:bookmarkStart w:id="526" w:name="_Toc20321"/>
      <w:bookmarkStart w:id="527" w:name="_Hlk48692888"/>
      <w:bookmarkStart w:id="528" w:name="_Toc125468031"/>
      <w:bookmarkStart w:id="529" w:name="_Toc212280213"/>
      <w:bookmarkStart w:id="530" w:name="_Toc246160433"/>
      <w:r>
        <w:rPr>
          <w:rFonts w:hint="default" w:ascii="Times New Roman" w:hAnsi="Times New Roman" w:cs="Times New Roman"/>
          <w:color w:val="auto"/>
          <w:highlight w:val="none"/>
        </w:rPr>
        <w:t>5.5.1</w:t>
      </w:r>
      <w:r>
        <w:rPr>
          <w:rFonts w:hint="default" w:ascii="Times New Roman" w:hAnsi="Times New Roman" w:cs="Times New Roman"/>
          <w:color w:val="auto"/>
          <w:highlight w:val="none"/>
          <w:lang w:eastAsia="zh-CN"/>
        </w:rPr>
        <w:t>施工期</w:t>
      </w:r>
      <w:r>
        <w:rPr>
          <w:rFonts w:hint="default" w:ascii="Times New Roman" w:hAnsi="Times New Roman" w:cs="Times New Roman"/>
          <w:color w:val="auto"/>
          <w:highlight w:val="none"/>
        </w:rPr>
        <w:t>固体废物影响</w:t>
      </w:r>
      <w:bookmarkEnd w:id="524"/>
      <w:bookmarkEnd w:id="525"/>
      <w:bookmarkEnd w:id="526"/>
    </w:p>
    <w:p w14:paraId="17E23914">
      <w:pPr>
        <w:pStyle w:val="46"/>
        <w:pageBreakBefore w:val="0"/>
        <w:kinsoku/>
        <w:wordWrap/>
        <w:overflowPunct/>
        <w:topLinePunct w:val="0"/>
        <w:autoSpaceDE/>
        <w:autoSpaceDN/>
        <w:bidi w:val="0"/>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在施工期产生的固体废物主要包括：</w:t>
      </w:r>
      <w:r>
        <w:rPr>
          <w:rFonts w:hint="default" w:ascii="Times New Roman" w:hAnsi="Times New Roman" w:cs="Times New Roman"/>
          <w:color w:val="auto"/>
          <w:szCs w:val="24"/>
          <w:highlight w:val="none"/>
        </w:rPr>
        <w:t>钻井泥浆、钻井岩屑</w:t>
      </w:r>
      <w:r>
        <w:rPr>
          <w:rFonts w:hint="default" w:ascii="Times New Roman" w:hAnsi="Times New Roman" w:cs="Times New Roman"/>
          <w:color w:val="auto"/>
          <w:highlight w:val="none"/>
        </w:rPr>
        <w:t>、</w:t>
      </w:r>
      <w:r>
        <w:rPr>
          <w:rFonts w:hint="default" w:ascii="Times New Roman" w:hAnsi="Times New Roman" w:cs="Times New Roman"/>
          <w:color w:val="auto"/>
          <w:szCs w:val="24"/>
          <w:highlight w:val="none"/>
        </w:rPr>
        <w:t>施工废料、</w:t>
      </w:r>
      <w:r>
        <w:rPr>
          <w:rFonts w:hint="default" w:ascii="Times New Roman" w:hAnsi="Times New Roman" w:cs="Times New Roman"/>
          <w:color w:val="auto"/>
          <w:highlight w:val="none"/>
        </w:rPr>
        <w:t>废机油</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4"/>
          <w:highlight w:val="none"/>
        </w:rPr>
        <w:t>废烧碱包装袋、</w:t>
      </w:r>
      <w:r>
        <w:rPr>
          <w:rFonts w:hint="default" w:ascii="Times New Roman" w:hAnsi="Times New Roman" w:cs="Times New Roman"/>
          <w:bCs/>
          <w:color w:val="auto"/>
          <w:spacing w:val="-10"/>
          <w:sz w:val="24"/>
          <w:szCs w:val="24"/>
          <w:highlight w:val="none"/>
        </w:rPr>
        <w:t>撬装式污水处理站产生污泥</w:t>
      </w:r>
      <w:r>
        <w:rPr>
          <w:rFonts w:hint="default" w:ascii="Times New Roman" w:hAnsi="Times New Roman" w:cs="Times New Roman"/>
          <w:color w:val="auto"/>
          <w:szCs w:val="24"/>
          <w:highlight w:val="none"/>
        </w:rPr>
        <w:t>以及施工人员生活垃圾</w:t>
      </w:r>
      <w:r>
        <w:rPr>
          <w:rFonts w:hint="default" w:ascii="Times New Roman" w:hAnsi="Times New Roman" w:cs="Times New Roman"/>
          <w:color w:val="auto"/>
          <w:highlight w:val="none"/>
        </w:rPr>
        <w:t>。</w:t>
      </w:r>
    </w:p>
    <w:p w14:paraId="79CF2EA8">
      <w:pPr>
        <w:pStyle w:val="32"/>
        <w:keepNext w:val="0"/>
        <w:keepLines w:val="0"/>
        <w:pageBreakBefore w:val="0"/>
        <w:widowControl w:val="0"/>
        <w:kinsoku/>
        <w:wordWrap/>
        <w:overflowPunct/>
        <w:bidi w:val="0"/>
        <w:adjustRightInd w:val="0"/>
        <w:snapToGrid w:val="0"/>
        <w:spacing w:before="0" w:beforeLines="0" w:beforeAutospacing="0" w:after="0" w:afterLines="0" w:afterAutospacing="0" w:line="360" w:lineRule="auto"/>
        <w:ind w:firstLine="480" w:firstLineChars="200"/>
        <w:jc w:val="both"/>
        <w:rPr>
          <w:rFonts w:hint="default" w:ascii="Times New Roman" w:hAnsi="Times New Roman" w:eastAsia="宋体" w:cs="Times New Roman"/>
          <w:color w:val="auto"/>
          <w:spacing w:val="5"/>
          <w:kern w:val="2"/>
          <w:sz w:val="24"/>
          <w:szCs w:val="24"/>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default" w:ascii="Times New Roman" w:hAnsi="Times New Roman" w:eastAsia="宋体" w:cs="Times New Roman"/>
          <w:color w:val="auto"/>
          <w:spacing w:val="5"/>
          <w:kern w:val="2"/>
          <w:sz w:val="24"/>
          <w:szCs w:val="24"/>
          <w:highlight w:val="none"/>
        </w:rPr>
        <w:t>钻井泥浆</w:t>
      </w:r>
    </w:p>
    <w:p w14:paraId="6194AD0C">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本项目侧钻井</w:t>
      </w:r>
      <w:r>
        <w:rPr>
          <w:rFonts w:hint="default" w:ascii="Times New Roman" w:hAnsi="Times New Roman" w:eastAsia="宋体" w:cs="Times New Roman"/>
          <w:color w:val="auto"/>
          <w:sz w:val="24"/>
          <w:szCs w:val="24"/>
          <w:highlight w:val="none"/>
        </w:rPr>
        <w:t>使用水基聚磺体系泥浆，泥浆在井口采用“振动筛+除砂器+处理器+离心分离机”分离岩屑后，进入泥浆罐循环使用。工程泥浆使用过程中根据地层情况循环使用，泥浆钻井结束后回收，由罐车拉走用于下一口钻井使用。</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产生的废弃</w:t>
      </w:r>
      <w:r>
        <w:rPr>
          <w:rFonts w:hint="eastAsia" w:ascii="Times New Roman" w:hAnsi="Times New Roman" w:cs="Times New Roman"/>
          <w:color w:val="auto"/>
          <w:highlight w:val="none"/>
          <w:lang w:val="en-US" w:eastAsia="zh-CN"/>
        </w:rPr>
        <w:t>磺化</w:t>
      </w:r>
      <w:r>
        <w:rPr>
          <w:rFonts w:hint="default" w:ascii="Times New Roman" w:hAnsi="Times New Roman" w:eastAsia="宋体" w:cs="Times New Roman"/>
          <w:color w:val="auto"/>
          <w:highlight w:val="none"/>
        </w:rPr>
        <w:t>泥浆量约</w:t>
      </w:r>
      <w:r>
        <w:rPr>
          <w:rFonts w:hint="eastAsia" w:ascii="Times New Roman" w:hAnsi="Times New Roman" w:cs="Times New Roman"/>
          <w:color w:val="auto"/>
          <w:highlight w:val="none"/>
          <w:lang w:val="en-US" w:eastAsia="zh-CN"/>
        </w:rPr>
        <w:t>735.3</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14:paraId="59EA14CF">
      <w:pPr>
        <w:pStyle w:val="56"/>
        <w:keepNext w:val="0"/>
        <w:keepLines w:val="0"/>
        <w:pageBreakBefore w:val="0"/>
        <w:kinsoku/>
        <w:wordWrap/>
        <w:overflowPunct/>
        <w:autoSpaceDE/>
        <w:autoSpaceDN/>
        <w:bidi w:val="0"/>
        <w:adjustRightInd w:val="0"/>
        <w:snapToGrid w:val="0"/>
        <w:spacing w:after="0" w:line="360" w:lineRule="auto"/>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5"/>
          <w:szCs w:val="25"/>
          <w:highlight w:val="none"/>
          <w:lang w:eastAsia="zh-CN"/>
        </w:rPr>
        <w:t>（</w:t>
      </w:r>
      <w:r>
        <w:rPr>
          <w:rFonts w:hint="eastAsia" w:ascii="Times New Roman" w:hAnsi="Times New Roman" w:cs="Times New Roman"/>
          <w:color w:val="auto"/>
          <w:sz w:val="25"/>
          <w:szCs w:val="25"/>
          <w:highlight w:val="none"/>
          <w:lang w:val="en-US" w:eastAsia="zh-CN"/>
        </w:rPr>
        <w:t>2）</w:t>
      </w:r>
      <w:r>
        <w:rPr>
          <w:rFonts w:hint="default" w:ascii="Times New Roman" w:hAnsi="Times New Roman" w:eastAsia="宋体" w:cs="Times New Roman"/>
          <w:color w:val="auto"/>
          <w:kern w:val="2"/>
          <w:sz w:val="24"/>
          <w:szCs w:val="24"/>
          <w:highlight w:val="none"/>
        </w:rPr>
        <w:t>钻井岩屑</w:t>
      </w:r>
    </w:p>
    <w:p w14:paraId="0512B77C">
      <w:pPr>
        <w:pStyle w:val="56"/>
        <w:keepNext w:val="0"/>
        <w:keepLines w:val="0"/>
        <w:pageBreakBefore w:val="0"/>
        <w:kinsoku/>
        <w:wordWrap/>
        <w:overflowPunct/>
        <w:autoSpaceDN/>
        <w:bidi w:val="0"/>
        <w:adjustRightInd w:val="0"/>
        <w:snapToGrid w:val="0"/>
        <w:spacing w:after="0"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钻井期内产生的</w:t>
      </w:r>
      <w:r>
        <w:rPr>
          <w:rFonts w:hint="eastAsia" w:ascii="Times New Roman" w:hAnsi="Times New Roman" w:cs="Times New Roman"/>
          <w:color w:val="auto"/>
          <w:sz w:val="24"/>
          <w:szCs w:val="24"/>
          <w:highlight w:val="none"/>
          <w:lang w:val="en-US" w:eastAsia="zh-CN"/>
        </w:rPr>
        <w:t>磺化</w:t>
      </w:r>
      <w:r>
        <w:rPr>
          <w:rFonts w:hint="default" w:ascii="Times New Roman" w:hAnsi="Times New Roman" w:eastAsia="宋体" w:cs="Times New Roman"/>
          <w:color w:val="auto"/>
          <w:sz w:val="24"/>
          <w:szCs w:val="24"/>
          <w:highlight w:val="none"/>
        </w:rPr>
        <w:t>岩屑量为</w:t>
      </w:r>
      <w:r>
        <w:rPr>
          <w:rFonts w:hint="eastAsia" w:ascii="Times New Roman" w:hAnsi="Times New Roman" w:cs="Times New Roman"/>
          <w:color w:val="auto"/>
          <w:sz w:val="24"/>
          <w:szCs w:val="24"/>
          <w:highlight w:val="none"/>
          <w:lang w:val="en-US" w:eastAsia="zh-CN"/>
        </w:rPr>
        <w:t>196.7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根据目前西北油田分公司钻井工程的要求，钻井采用泥浆不落地系统，钻井期钻井岩屑随泥浆一同进入泥浆不落地系统，采用泥浆不落地技术在井场进行固液分离，分离后的液体回用于钻井液配备，分离后的固相经检测</w:t>
      </w:r>
      <w:r>
        <w:rPr>
          <w:rFonts w:hint="default" w:ascii="Times New Roman" w:hAnsi="Times New Roman" w:cs="Times New Roman"/>
          <w:color w:val="auto"/>
          <w:sz w:val="24"/>
          <w:szCs w:val="24"/>
          <w:highlight w:val="none"/>
          <w:lang w:eastAsia="zh-CN"/>
        </w:rPr>
        <w:t>满足《油气田钻井固体废物综合利用污染控制要求》（DB65/T3997-2017）中综合利用污染物限值要求，同时石油烃满足《土壤环境质量建设用地土壤污染风险管控标准（试行）》（GB36600-2018）中表2第二类用地风险筛选值后，</w:t>
      </w:r>
      <w:r>
        <w:rPr>
          <w:rFonts w:hint="default" w:ascii="Times New Roman" w:hAnsi="Times New Roman" w:eastAsia="宋体" w:cs="Times New Roman"/>
          <w:color w:val="auto"/>
          <w:sz w:val="24"/>
          <w:szCs w:val="24"/>
          <w:highlight w:val="none"/>
        </w:rPr>
        <w:t>用于铺垫油区内的井场、道路</w:t>
      </w:r>
      <w:r>
        <w:rPr>
          <w:rFonts w:hint="default" w:ascii="Times New Roman" w:hAnsi="Times New Roman"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rPr>
        <w:t>一次处理后检测不合格，现场进行二次处理，达标后用于铺垫油区内的井场、道路等。</w:t>
      </w:r>
    </w:p>
    <w:p w14:paraId="46255946">
      <w:pPr>
        <w:pStyle w:val="46"/>
        <w:pageBreakBefore w:val="0"/>
        <w:numPr>
          <w:ilvl w:val="0"/>
          <w:numId w:val="0"/>
        </w:numPr>
        <w:kinsoku/>
        <w:wordWrap/>
        <w:overflowPunct/>
        <w:topLinePunct w:val="0"/>
        <w:autoSpaceDE/>
        <w:autoSpaceDN/>
        <w:bidi w:val="0"/>
        <w:adjustRightInd w:val="0"/>
        <w:snapToGrid w:val="0"/>
        <w:ind w:left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施工废料</w:t>
      </w:r>
    </w:p>
    <w:p w14:paraId="7AB5AC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施工废料主要包括管材边角料、焊接作业中产生的废焊渣等。根据类比调查，施工废料产生量约为</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t。施工废料应首先考虑回收利用，不可回收利用部分收集后定期由库车绿能环保科技有限公司</w:t>
      </w:r>
      <w:r>
        <w:rPr>
          <w:rFonts w:hint="default" w:ascii="Times New Roman" w:hAnsi="Times New Roman"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14:paraId="51833418">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spacing w:val="0"/>
          <w:kern w:val="2"/>
          <w:sz w:val="24"/>
          <w:szCs w:val="24"/>
          <w:highlight w:val="none"/>
        </w:rPr>
      </w:pPr>
      <w:r>
        <w:rPr>
          <w:rFonts w:hint="eastAsia" w:cs="Times New Roman"/>
          <w:color w:val="auto"/>
          <w:spacing w:val="0"/>
          <w:kern w:val="2"/>
          <w:sz w:val="24"/>
          <w:szCs w:val="24"/>
          <w:highlight w:val="none"/>
          <w:lang w:eastAsia="zh-CN"/>
        </w:rPr>
        <w:t>（</w:t>
      </w:r>
      <w:r>
        <w:rPr>
          <w:rFonts w:hint="eastAsia" w:cs="Times New Roman"/>
          <w:color w:val="auto"/>
          <w:spacing w:val="0"/>
          <w:kern w:val="2"/>
          <w:sz w:val="24"/>
          <w:szCs w:val="24"/>
          <w:highlight w:val="none"/>
          <w:lang w:val="en-US" w:eastAsia="zh-CN"/>
        </w:rPr>
        <w:t>4）</w:t>
      </w:r>
      <w:r>
        <w:rPr>
          <w:rFonts w:hint="default" w:ascii="Times New Roman" w:hAnsi="Times New Roman" w:eastAsia="宋体" w:cs="Times New Roman"/>
          <w:bCs/>
          <w:color w:val="auto"/>
          <w:spacing w:val="0"/>
          <w:sz w:val="24"/>
          <w:szCs w:val="24"/>
          <w:highlight w:val="none"/>
        </w:rPr>
        <w:t>撬装式污水处理站产生污泥</w:t>
      </w:r>
    </w:p>
    <w:p w14:paraId="5D51A966">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撬装式污水处理站处置过程中产生的污泥经污泥脱水装置，脱到60%含水率后，由</w:t>
      </w:r>
      <w:r>
        <w:rPr>
          <w:rFonts w:hint="default" w:ascii="Times New Roman" w:hAnsi="Times New Roman" w:cs="Times New Roman"/>
          <w:color w:val="auto"/>
          <w:kern w:val="2"/>
          <w:sz w:val="24"/>
          <w:szCs w:val="24"/>
          <w:highlight w:val="none"/>
          <w:lang w:eastAsia="zh-CN"/>
        </w:rPr>
        <w:t>库车绿能环保科技有限公司</w:t>
      </w:r>
      <w:r>
        <w:rPr>
          <w:rFonts w:hint="default" w:ascii="Times New Roman" w:hAnsi="Times New Roman" w:eastAsia="宋体" w:cs="Times New Roman"/>
          <w:color w:val="auto"/>
          <w:kern w:val="2"/>
          <w:sz w:val="24"/>
          <w:szCs w:val="24"/>
          <w:highlight w:val="none"/>
        </w:rPr>
        <w:t>拉运处置。</w:t>
      </w:r>
      <w:r>
        <w:rPr>
          <w:rFonts w:hint="eastAsia" w:cs="Times New Roman"/>
          <w:color w:val="auto"/>
          <w:kern w:val="2"/>
          <w:sz w:val="24"/>
          <w:szCs w:val="24"/>
          <w:highlight w:val="none"/>
          <w:lang w:val="en-US" w:eastAsia="zh-CN"/>
        </w:rPr>
        <w:t>撬装式污水站</w:t>
      </w:r>
      <w:r>
        <w:rPr>
          <w:rFonts w:hint="default" w:ascii="Times New Roman" w:hAnsi="Times New Roman" w:eastAsia="宋体" w:cs="Times New Roman"/>
          <w:color w:val="auto"/>
          <w:kern w:val="2"/>
          <w:sz w:val="24"/>
          <w:szCs w:val="24"/>
          <w:highlight w:val="none"/>
        </w:rPr>
        <w:t>污泥产生量为</w:t>
      </w:r>
      <w:r>
        <w:rPr>
          <w:rFonts w:hint="eastAsia" w:cs="Times New Roman"/>
          <w:color w:val="auto"/>
          <w:kern w:val="2"/>
          <w:sz w:val="24"/>
          <w:szCs w:val="24"/>
          <w:highlight w:val="none"/>
          <w:lang w:val="en-US" w:eastAsia="zh-CN"/>
        </w:rPr>
        <w:t>0.08t</w:t>
      </w:r>
      <w:r>
        <w:rPr>
          <w:rFonts w:hint="default" w:ascii="Times New Roman" w:hAnsi="Times New Roman" w:eastAsia="宋体" w:cs="Times New Roman"/>
          <w:color w:val="auto"/>
          <w:kern w:val="2"/>
          <w:sz w:val="24"/>
          <w:szCs w:val="24"/>
          <w:highlight w:val="none"/>
        </w:rPr>
        <w:t>。</w:t>
      </w:r>
    </w:p>
    <w:p w14:paraId="3B52143B">
      <w:pPr>
        <w:pStyle w:val="46"/>
        <w:pageBreakBefore w:val="0"/>
        <w:numPr>
          <w:ilvl w:val="0"/>
          <w:numId w:val="0"/>
        </w:numPr>
        <w:kinsoku/>
        <w:wordWrap/>
        <w:overflowPunct/>
        <w:topLinePunct w:val="0"/>
        <w:autoSpaceDE/>
        <w:autoSpaceDN/>
        <w:bidi w:val="0"/>
        <w:adjustRightInd w:val="0"/>
        <w:snapToGrid w:val="0"/>
        <w:ind w:leftChars="200"/>
        <w:rPr>
          <w:rFonts w:hint="default" w:ascii="Times New Roman" w:hAnsi="Times New Roman" w:cs="Times New Roman"/>
          <w:color w:val="auto"/>
          <w:highlight w:val="none"/>
        </w:rPr>
      </w:pPr>
      <w:r>
        <w:rPr>
          <w:rFonts w:hint="eastAsia" w:cs="Times New Roman"/>
          <w:color w:val="auto"/>
          <w:kern w:val="2"/>
          <w:sz w:val="25"/>
          <w:szCs w:val="25"/>
          <w:highlight w:val="none"/>
          <w:lang w:eastAsia="zh-CN"/>
        </w:rPr>
        <w:t>（</w:t>
      </w:r>
      <w:r>
        <w:rPr>
          <w:rFonts w:hint="eastAsia" w:cs="Times New Roman"/>
          <w:color w:val="auto"/>
          <w:kern w:val="2"/>
          <w:sz w:val="25"/>
          <w:szCs w:val="25"/>
          <w:highlight w:val="none"/>
          <w:lang w:val="en-US" w:eastAsia="zh-CN"/>
        </w:rPr>
        <w:t>5）</w:t>
      </w:r>
      <w:r>
        <w:rPr>
          <w:rFonts w:hint="default" w:ascii="Times New Roman" w:hAnsi="Times New Roman" w:cs="Times New Roman"/>
          <w:color w:val="auto"/>
          <w:highlight w:val="none"/>
        </w:rPr>
        <w:t>生活垃圾</w:t>
      </w:r>
    </w:p>
    <w:p w14:paraId="7D3B0105">
      <w:pPr>
        <w:pStyle w:val="57"/>
        <w:pageBreakBefore w:val="0"/>
        <w:kinsoku/>
        <w:overflowPunct/>
        <w:topLinePunct w:val="0"/>
        <w:autoSpaceDE/>
        <w:autoSpaceDN/>
        <w:bidi w:val="0"/>
        <w:adjustRightInd w:val="0"/>
        <w:snapToGrid w:val="0"/>
        <w:spacing w:line="360" w:lineRule="auto"/>
        <w:ind w:firstLine="480"/>
        <w:rPr>
          <w:rFonts w:hint="default" w:ascii="Times New Roman" w:hAnsi="Times New Roman" w:eastAsia="宋体" w:cs="Times New Roman"/>
          <w:color w:val="auto"/>
          <w:spacing w:val="0"/>
          <w:highlight w:val="none"/>
        </w:rPr>
      </w:pPr>
      <w:r>
        <w:rPr>
          <w:rFonts w:hint="eastAsia" w:cs="Times New Roman"/>
          <w:color w:val="auto"/>
          <w:highlight w:val="none"/>
          <w:lang w:val="en-US" w:eastAsia="zh-CN"/>
        </w:rPr>
        <w:t>本项目施工期施工人员</w:t>
      </w:r>
      <w:r>
        <w:rPr>
          <w:rFonts w:hint="default" w:ascii="Times New Roman" w:hAnsi="Times New Roman" w:eastAsia="宋体" w:cs="Times New Roman"/>
          <w:color w:val="auto"/>
          <w:highlight w:val="none"/>
        </w:rPr>
        <w:t>产生的生活垃圾为</w:t>
      </w:r>
      <w:r>
        <w:rPr>
          <w:rFonts w:hint="eastAsia" w:cs="Times New Roman"/>
          <w:color w:val="auto"/>
          <w:highlight w:val="none"/>
          <w:lang w:val="en-US" w:eastAsia="zh-CN"/>
        </w:rPr>
        <w:t>2.4</w:t>
      </w:r>
      <w:r>
        <w:rPr>
          <w:rFonts w:hint="default" w:ascii="Times New Roman" w:hAnsi="Times New Roman" w:eastAsia="宋体" w:cs="Times New Roman"/>
          <w:color w:val="auto"/>
          <w:highlight w:val="none"/>
        </w:rPr>
        <w:t>t</w:t>
      </w:r>
      <w:r>
        <w:rPr>
          <w:rFonts w:hint="eastAsia" w:cs="Times New Roman"/>
          <w:color w:val="auto"/>
          <w:highlight w:val="none"/>
          <w:lang w:eastAsia="zh-CN"/>
        </w:rPr>
        <w:t>，</w:t>
      </w:r>
      <w:r>
        <w:rPr>
          <w:rFonts w:hint="default" w:ascii="Times New Roman" w:hAnsi="Times New Roman" w:eastAsia="宋体" w:cs="Times New Roman"/>
          <w:color w:val="auto"/>
          <w:spacing w:val="0"/>
          <w:highlight w:val="none"/>
        </w:rPr>
        <w:t>现场</w:t>
      </w:r>
      <w:r>
        <w:rPr>
          <w:rFonts w:hint="default" w:ascii="Times New Roman" w:hAnsi="Times New Roman" w:eastAsia="宋体" w:cs="Times New Roman"/>
          <w:color w:val="auto"/>
          <w:highlight w:val="none"/>
        </w:rPr>
        <w:t>集中收集后定期由库车绿能环保科技有限公司</w:t>
      </w:r>
      <w:r>
        <w:rPr>
          <w:rFonts w:hint="default" w:ascii="Times New Roman" w:hAnsi="Times New Roman" w:cs="Times New Roman"/>
          <w:color w:val="auto"/>
          <w:highlight w:val="none"/>
          <w:lang w:eastAsia="zh-CN"/>
        </w:rPr>
        <w:t>清运处置</w:t>
      </w:r>
      <w:r>
        <w:rPr>
          <w:rFonts w:hint="default" w:ascii="Times New Roman" w:hAnsi="Times New Roman" w:eastAsia="宋体" w:cs="Times New Roman"/>
          <w:color w:val="auto"/>
          <w:spacing w:val="0"/>
          <w:highlight w:val="none"/>
        </w:rPr>
        <w:t>。</w:t>
      </w:r>
    </w:p>
    <w:p w14:paraId="78B61937">
      <w:pPr>
        <w:pStyle w:val="56"/>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废机油</w:t>
      </w:r>
    </w:p>
    <w:p w14:paraId="1DDB31CE">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钻井施工过程中机械检修时会产生少量废机油，检修期间地面应铺设防渗膜，采用钢制铁桶收集后暂存于撬装式危废暂存间中，防止废机油落地污染土壤和地下水。</w:t>
      </w:r>
      <w:r>
        <w:rPr>
          <w:rFonts w:hint="default" w:ascii="Times New Roman" w:hAnsi="Times New Roman" w:cs="Times New Roman"/>
          <w:color w:val="auto"/>
          <w:highlight w:val="none"/>
          <w:lang w:eastAsia="zh-CN"/>
        </w:rPr>
        <w:t>本项目</w:t>
      </w:r>
      <w:r>
        <w:rPr>
          <w:rFonts w:hint="eastAsia" w:ascii="Times New Roman" w:hAnsi="Times New Roman" w:cs="Times New Roman"/>
          <w:color w:val="auto"/>
          <w:highlight w:val="none"/>
          <w:lang w:eastAsia="zh-CN"/>
        </w:rPr>
        <w:t>废机油</w:t>
      </w:r>
      <w:r>
        <w:rPr>
          <w:rFonts w:hint="default" w:ascii="Times New Roman" w:hAnsi="Times New Roman" w:eastAsia="宋体" w:cs="Times New Roman"/>
          <w:color w:val="auto"/>
          <w:highlight w:val="none"/>
        </w:rPr>
        <w:t>产生量为0.</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t，废机油采用桶装密闭收集</w:t>
      </w:r>
      <w:r>
        <w:rPr>
          <w:rFonts w:hint="eastAsia" w:ascii="Times New Roman" w:hAnsi="Times New Roman" w:cs="Times New Roman"/>
          <w:color w:val="auto"/>
          <w:highlight w:val="none"/>
          <w:lang w:val="en-US" w:eastAsia="zh-CN"/>
        </w:rPr>
        <w:t>暂存于撬装式危废暂存点</w:t>
      </w:r>
      <w:r>
        <w:rPr>
          <w:rFonts w:hint="default" w:ascii="Times New Roman" w:hAnsi="Times New Roman" w:eastAsia="宋体" w:cs="Times New Roman"/>
          <w:color w:val="auto"/>
          <w:highlight w:val="none"/>
        </w:rPr>
        <w:t>，定期由钻井队联系有危险废物经营许可证的单位清运处置。</w:t>
      </w:r>
    </w:p>
    <w:p w14:paraId="5BDFC010">
      <w:pPr>
        <w:pStyle w:val="75"/>
        <w:pageBreakBefore w:val="0"/>
        <w:kinsoku/>
        <w:overflowPunct/>
        <w:topLinePunct w:val="0"/>
        <w:autoSpaceDE/>
        <w:autoSpaceDN/>
        <w:bidi w:val="0"/>
        <w:adjustRightInd w:val="0"/>
        <w:snapToGrid w:val="0"/>
        <w:spacing w:before="0" w:after="0" w:line="360" w:lineRule="auto"/>
        <w:rPr>
          <w:rFonts w:hint="default" w:ascii="Times New Roman" w:hAnsi="Times New Roman" w:eastAsia="宋体" w:cs="Times New Roman"/>
          <w:color w:val="auto"/>
          <w:highlight w:val="none"/>
        </w:rPr>
      </w:pPr>
      <w:r>
        <w:rPr>
          <w:rFonts w:hint="eastAsia" w:cs="Times New Roman"/>
          <w:color w:val="auto"/>
          <w:kern w:val="2"/>
          <w:sz w:val="24"/>
          <w:szCs w:val="24"/>
          <w:highlight w:val="none"/>
          <w:lang w:eastAsia="zh-CN"/>
        </w:rPr>
        <w:t>（</w:t>
      </w:r>
      <w:r>
        <w:rPr>
          <w:rFonts w:hint="eastAsia" w:cs="Times New Roman"/>
          <w:color w:val="auto"/>
          <w:kern w:val="2"/>
          <w:sz w:val="24"/>
          <w:szCs w:val="24"/>
          <w:highlight w:val="none"/>
          <w:lang w:val="en-US" w:eastAsia="zh-CN"/>
        </w:rPr>
        <w:t>7）</w:t>
      </w:r>
      <w:r>
        <w:rPr>
          <w:rFonts w:hint="default" w:ascii="Times New Roman" w:hAnsi="Times New Roman" w:eastAsia="宋体" w:cs="Times New Roman"/>
          <w:color w:val="auto"/>
          <w:highlight w:val="none"/>
        </w:rPr>
        <w:t>废烧碱包装袋</w:t>
      </w:r>
    </w:p>
    <w:p w14:paraId="3E3D4D68">
      <w:pPr>
        <w:pStyle w:val="76"/>
        <w:wordWrap/>
        <w:jc w:val="both"/>
        <w:rPr>
          <w:rFonts w:hint="eastAsia" w:ascii="Times New Roman" w:hAnsi="Times New Roman" w:eastAsia="宋体" w:cs="Times New Roman"/>
          <w:bCs/>
          <w:snapToGrid w:val="0"/>
          <w:color w:val="auto"/>
          <w:sz w:val="24"/>
          <w:szCs w:val="24"/>
          <w:highlight w:val="none"/>
          <w:lang w:val="en-US" w:eastAsia="zh-CN"/>
        </w:rPr>
      </w:pPr>
      <w:r>
        <w:rPr>
          <w:rFonts w:hint="default" w:ascii="Times New Roman" w:hAnsi="Times New Roman" w:eastAsia="宋体" w:cs="Times New Roman"/>
          <w:color w:val="auto"/>
          <w:highlight w:val="none"/>
        </w:rPr>
        <w:t>钻井施工过程中配制钻井泥浆时会产生少量烧碱废包装袋。</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废</w:t>
      </w:r>
      <w:r>
        <w:rPr>
          <w:rFonts w:hint="default" w:ascii="Times New Roman" w:hAnsi="Times New Roman" w:eastAsia="宋体" w:cs="Times New Roman"/>
          <w:color w:val="auto"/>
          <w:highlight w:val="none"/>
        </w:rPr>
        <w:t>烧碱废包装袋产生量为</w:t>
      </w:r>
      <w:r>
        <w:rPr>
          <w:rFonts w:hint="eastAsia" w:cs="Times New Roman"/>
          <w:color w:val="auto"/>
          <w:highlight w:val="none"/>
          <w:lang w:val="en-US" w:eastAsia="zh-CN"/>
        </w:rPr>
        <w:t>0.2</w:t>
      </w:r>
      <w:r>
        <w:rPr>
          <w:rFonts w:hint="default" w:ascii="Times New Roman" w:hAnsi="Times New Roman" w:eastAsia="宋体" w:cs="Times New Roman"/>
          <w:color w:val="auto"/>
          <w:highlight w:val="none"/>
        </w:rPr>
        <w:t>t，</w:t>
      </w:r>
      <w:r>
        <w:rPr>
          <w:rFonts w:hint="eastAsia" w:ascii="Times New Roman" w:hAnsi="Times New Roman" w:eastAsia="宋体" w:cs="Times New Roman"/>
          <w:color w:val="auto"/>
          <w:sz w:val="24"/>
          <w:highlight w:val="none"/>
          <w:lang w:val="en-US" w:eastAsia="zh-CN"/>
        </w:rPr>
        <w:t>施工单位</w:t>
      </w:r>
      <w:r>
        <w:rPr>
          <w:rFonts w:hint="eastAsia" w:ascii="Times New Roman" w:hAnsi="Times New Roman" w:eastAsia="宋体" w:cs="Times New Roman"/>
          <w:color w:val="auto"/>
          <w:sz w:val="24"/>
          <w:highlight w:val="none"/>
          <w:lang w:eastAsia="zh-CN"/>
        </w:rPr>
        <w:t>及时回收烧碱废包装袋，暂存于</w:t>
      </w:r>
      <w:r>
        <w:rPr>
          <w:rFonts w:hint="eastAsia" w:cs="Times New Roman"/>
          <w:color w:val="auto"/>
          <w:sz w:val="24"/>
          <w:highlight w:val="none"/>
          <w:lang w:val="en-US" w:eastAsia="zh-CN"/>
        </w:rPr>
        <w:t>钻井井场撬装化</w:t>
      </w:r>
      <w:r>
        <w:rPr>
          <w:rFonts w:hint="eastAsia" w:ascii="Times New Roman" w:hAnsi="Times New Roman" w:eastAsia="宋体" w:cs="Times New Roman"/>
          <w:color w:val="auto"/>
          <w:sz w:val="24"/>
          <w:highlight w:val="none"/>
          <w:lang w:eastAsia="zh-CN"/>
        </w:rPr>
        <w:t>危废暂存</w:t>
      </w:r>
      <w:r>
        <w:rPr>
          <w:rFonts w:hint="eastAsia" w:cs="Times New Roman"/>
          <w:color w:val="auto"/>
          <w:sz w:val="24"/>
          <w:highlight w:val="none"/>
          <w:lang w:val="en-US" w:eastAsia="zh-CN"/>
        </w:rPr>
        <w:t>点</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施工结束后委托</w:t>
      </w:r>
      <w:r>
        <w:rPr>
          <w:rFonts w:hint="eastAsia" w:ascii="Times New Roman" w:hAnsi="Times New Roman" w:eastAsia="宋体" w:cs="Times New Roman"/>
          <w:color w:val="auto"/>
          <w:sz w:val="24"/>
          <w:highlight w:val="none"/>
          <w:lang w:eastAsia="zh-CN"/>
        </w:rPr>
        <w:t>具有危废处置资质的公司接收处置</w:t>
      </w:r>
      <w:r>
        <w:rPr>
          <w:rFonts w:hint="eastAsia" w:ascii="Times New Roman" w:hAnsi="Times New Roman" w:eastAsia="宋体" w:cs="Times New Roman"/>
          <w:bCs/>
          <w:snapToGrid w:val="0"/>
          <w:color w:val="auto"/>
          <w:sz w:val="24"/>
          <w:szCs w:val="24"/>
          <w:highlight w:val="none"/>
          <w:lang w:val="en-US" w:eastAsia="zh-CN"/>
        </w:rPr>
        <w:t>。</w:t>
      </w:r>
    </w:p>
    <w:p w14:paraId="47DF0FE0">
      <w:pPr>
        <w:pStyle w:val="3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eastAsia" w:cs="Times New Roman"/>
          <w:color w:val="auto"/>
          <w:kern w:val="2"/>
          <w:sz w:val="24"/>
          <w:szCs w:val="24"/>
          <w:highlight w:val="none"/>
          <w:lang w:eastAsia="zh-CN"/>
        </w:rPr>
        <w:t>（</w:t>
      </w:r>
      <w:r>
        <w:rPr>
          <w:rFonts w:hint="eastAsia" w:cs="Times New Roman"/>
          <w:color w:val="auto"/>
          <w:kern w:val="2"/>
          <w:sz w:val="24"/>
          <w:szCs w:val="24"/>
          <w:highlight w:val="none"/>
          <w:lang w:val="en-US" w:eastAsia="zh-CN"/>
        </w:rPr>
        <w:t>8）</w:t>
      </w:r>
      <w:r>
        <w:rPr>
          <w:rFonts w:hint="default" w:ascii="Times New Roman" w:hAnsi="Times New Roman" w:eastAsia="宋体" w:cs="Times New Roman"/>
          <w:color w:val="auto"/>
          <w:kern w:val="2"/>
          <w:sz w:val="24"/>
          <w:szCs w:val="24"/>
          <w:highlight w:val="none"/>
          <w:lang w:eastAsia="zh-CN"/>
        </w:rPr>
        <w:t>废防渗材料</w:t>
      </w:r>
    </w:p>
    <w:p w14:paraId="6EF5474A">
      <w:pPr>
        <w:pStyle w:val="75"/>
        <w:pageBreakBefore w:val="0"/>
        <w:kinsoku/>
        <w:overflowPunct/>
        <w:topLinePunct w:val="0"/>
        <w:autoSpaceDE/>
        <w:autoSpaceDN/>
        <w:bidi w:val="0"/>
        <w:adjustRightInd w:val="0"/>
        <w:snapToGrid w:val="0"/>
        <w:spacing w:before="0" w:after="0" w:line="360" w:lineRule="auto"/>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工程钻井期产生少量废防渗材料属于危险废物</w:t>
      </w:r>
      <w:r>
        <w:rPr>
          <w:rFonts w:hint="default"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类比同类钻井工程，</w:t>
      </w:r>
      <w:r>
        <w:rPr>
          <w:rFonts w:hint="default" w:ascii="Times New Roman" w:hAnsi="Times New Roman" w:cs="Times New Roman"/>
          <w:color w:val="auto"/>
          <w:kern w:val="2"/>
          <w:sz w:val="24"/>
          <w:szCs w:val="24"/>
          <w:highlight w:val="none"/>
          <w:lang w:val="en-US" w:eastAsia="zh-CN"/>
        </w:rPr>
        <w:t>本项目</w:t>
      </w:r>
      <w:r>
        <w:rPr>
          <w:rFonts w:hint="default" w:ascii="Times New Roman" w:hAnsi="Times New Roman" w:eastAsia="宋体" w:cs="Times New Roman"/>
          <w:color w:val="auto"/>
          <w:kern w:val="2"/>
          <w:sz w:val="24"/>
          <w:szCs w:val="24"/>
          <w:highlight w:val="none"/>
          <w:lang w:eastAsia="zh-CN"/>
        </w:rPr>
        <w:t>废防渗材料产生量为</w:t>
      </w:r>
      <w:r>
        <w:rPr>
          <w:rFonts w:hint="eastAsia" w:cs="Times New Roman"/>
          <w:color w:val="auto"/>
          <w:kern w:val="2"/>
          <w:sz w:val="24"/>
          <w:szCs w:val="24"/>
          <w:highlight w:val="none"/>
          <w:lang w:val="en-US" w:eastAsia="zh-CN"/>
        </w:rPr>
        <w:t>0.8</w:t>
      </w:r>
      <w:r>
        <w:rPr>
          <w:rFonts w:hint="default" w:ascii="Times New Roman" w:hAnsi="Times New Roman" w:eastAsia="宋体" w:cs="Times New Roman"/>
          <w:color w:val="auto"/>
          <w:kern w:val="2"/>
          <w:sz w:val="24"/>
          <w:szCs w:val="24"/>
          <w:highlight w:val="none"/>
          <w:lang w:eastAsia="zh-CN"/>
        </w:rPr>
        <w:t>t，</w:t>
      </w:r>
      <w:r>
        <w:rPr>
          <w:rFonts w:hint="default" w:ascii="Times New Roman" w:hAnsi="Times New Roman" w:eastAsia="宋体" w:cs="Times New Roman"/>
          <w:color w:val="auto"/>
          <w:highlight w:val="none"/>
        </w:rPr>
        <w:t>定期由钻井队联系有危险废物经营许可证的单位清运处置。</w:t>
      </w:r>
    </w:p>
    <w:p w14:paraId="1F9E1706">
      <w:pPr>
        <w:pStyle w:val="57"/>
        <w:ind w:firstLine="480" w:firstLineChars="200"/>
        <w:jc w:val="both"/>
        <w:rPr>
          <w:color w:val="auto"/>
          <w:highlight w:val="none"/>
        </w:rPr>
      </w:pPr>
      <w:r>
        <w:rPr>
          <w:rFonts w:hint="eastAsia"/>
          <w:color w:val="auto"/>
          <w:szCs w:val="24"/>
          <w:highlight w:val="none"/>
          <w:lang w:val="en-US" w:eastAsia="zh-CN"/>
        </w:rPr>
        <w:t>钻井期间</w:t>
      </w:r>
      <w:r>
        <w:rPr>
          <w:color w:val="auto"/>
          <w:szCs w:val="24"/>
          <w:highlight w:val="none"/>
        </w:rPr>
        <w:t>考虑到</w:t>
      </w:r>
      <w:r>
        <w:rPr>
          <w:rFonts w:hint="eastAsia"/>
          <w:color w:val="auto"/>
          <w:szCs w:val="24"/>
          <w:highlight w:val="none"/>
          <w:lang w:val="en-US" w:eastAsia="zh-CN"/>
        </w:rPr>
        <w:t>危险废物</w:t>
      </w:r>
      <w:r>
        <w:rPr>
          <w:color w:val="auto"/>
          <w:szCs w:val="24"/>
          <w:highlight w:val="none"/>
        </w:rPr>
        <w:t>转运期间的时间间隔，钻井场地应设置</w:t>
      </w:r>
      <w:r>
        <w:rPr>
          <w:rFonts w:hint="eastAsia"/>
          <w:color w:val="auto"/>
          <w:szCs w:val="24"/>
          <w:highlight w:val="none"/>
        </w:rPr>
        <w:t>撬装式</w:t>
      </w:r>
      <w:r>
        <w:rPr>
          <w:color w:val="auto"/>
          <w:szCs w:val="24"/>
          <w:highlight w:val="none"/>
        </w:rPr>
        <w:t>危险废物临时贮存</w:t>
      </w:r>
      <w:r>
        <w:rPr>
          <w:rFonts w:hint="eastAsia"/>
          <w:color w:val="auto"/>
          <w:szCs w:val="24"/>
          <w:highlight w:val="none"/>
          <w:lang w:val="en-US" w:eastAsia="zh-CN"/>
        </w:rPr>
        <w:t>点</w:t>
      </w:r>
      <w:r>
        <w:rPr>
          <w:color w:val="auto"/>
          <w:szCs w:val="24"/>
          <w:highlight w:val="none"/>
        </w:rPr>
        <w:t>，</w:t>
      </w:r>
      <w:r>
        <w:rPr>
          <w:rFonts w:hint="eastAsia"/>
          <w:color w:val="auto"/>
          <w:szCs w:val="24"/>
          <w:highlight w:val="none"/>
          <w:lang w:val="en-US" w:eastAsia="zh-CN"/>
        </w:rPr>
        <w:t>其建设</w:t>
      </w:r>
      <w:r>
        <w:rPr>
          <w:color w:val="auto"/>
          <w:szCs w:val="24"/>
          <w:highlight w:val="none"/>
        </w:rPr>
        <w:t>严格按照</w:t>
      </w:r>
      <w:r>
        <w:rPr>
          <w:rFonts w:hint="eastAsia"/>
          <w:color w:val="auto"/>
          <w:highlight w:val="none"/>
        </w:rPr>
        <w:t>《危险废物贮存污染控制标准》（GB18597-2023</w:t>
      </w:r>
      <w:r>
        <w:rPr>
          <w:rFonts w:hint="eastAsia"/>
          <w:color w:val="auto"/>
          <w:highlight w:val="none"/>
          <w:lang w:eastAsia="zh-CN"/>
        </w:rPr>
        <w:t>）</w:t>
      </w:r>
      <w:r>
        <w:rPr>
          <w:color w:val="auto"/>
          <w:szCs w:val="24"/>
          <w:highlight w:val="none"/>
        </w:rPr>
        <w:t>的相关要求建设</w:t>
      </w:r>
      <w:r>
        <w:rPr>
          <w:rFonts w:hint="eastAsia"/>
          <w:color w:val="auto"/>
          <w:szCs w:val="24"/>
          <w:highlight w:val="none"/>
        </w:rPr>
        <w:t>。危险废物转运过程中由专用运输车辆进行运输、转移，按照危险废物收集贮存运输技术规范</w:t>
      </w:r>
      <w:r>
        <w:rPr>
          <w:rFonts w:hint="eastAsia"/>
          <w:color w:val="auto"/>
          <w:szCs w:val="24"/>
          <w:highlight w:val="none"/>
          <w:lang w:eastAsia="zh-CN"/>
        </w:rPr>
        <w:t>（</w:t>
      </w:r>
      <w:r>
        <w:rPr>
          <w:rFonts w:hint="eastAsia"/>
          <w:color w:val="auto"/>
          <w:szCs w:val="24"/>
          <w:highlight w:val="none"/>
        </w:rPr>
        <w:t>HJ2025-2012</w:t>
      </w:r>
      <w:r>
        <w:rPr>
          <w:rFonts w:hint="eastAsia"/>
          <w:color w:val="auto"/>
          <w:szCs w:val="24"/>
          <w:highlight w:val="none"/>
          <w:lang w:eastAsia="zh-CN"/>
        </w:rPr>
        <w:t>）</w:t>
      </w:r>
      <w:r>
        <w:rPr>
          <w:rFonts w:hint="eastAsia"/>
          <w:color w:val="auto"/>
          <w:szCs w:val="24"/>
          <w:highlight w:val="none"/>
        </w:rPr>
        <w:t>，并严格按照《危险废物转移管理办法》，对危险废物实行全过程管理。具体措施详见固体废物污染防治措施章节。</w:t>
      </w:r>
    </w:p>
    <w:p w14:paraId="431A3519">
      <w:pPr>
        <w:pStyle w:val="76"/>
        <w:wordWrap/>
        <w:jc w:val="both"/>
        <w:rPr>
          <w:rFonts w:hint="default" w:eastAsia="宋体"/>
          <w:color w:val="auto"/>
          <w:highlight w:val="none"/>
          <w:lang w:val="en-US" w:eastAsia="zh-CN"/>
        </w:rPr>
      </w:pPr>
      <w:r>
        <w:rPr>
          <w:rFonts w:hint="eastAsia"/>
          <w:color w:val="auto"/>
          <w:highlight w:val="none"/>
          <w:lang w:val="en-US" w:eastAsia="zh-CN"/>
        </w:rPr>
        <w:t>本工程</w:t>
      </w:r>
      <w:r>
        <w:rPr>
          <w:rFonts w:hint="eastAsia"/>
          <w:color w:val="auto"/>
          <w:highlight w:val="none"/>
          <w:lang w:val="en-US"/>
        </w:rPr>
        <w:t>开挖土方主要为</w:t>
      </w:r>
      <w:r>
        <w:rPr>
          <w:rFonts w:hint="eastAsia"/>
          <w:color w:val="auto"/>
          <w:highlight w:val="none"/>
          <w:lang w:val="en-US" w:eastAsia="zh-CN"/>
        </w:rPr>
        <w:t>新建管线</w:t>
      </w:r>
      <w:r>
        <w:rPr>
          <w:rFonts w:hint="eastAsia"/>
          <w:color w:val="auto"/>
          <w:highlight w:val="none"/>
          <w:lang w:val="en-US"/>
        </w:rPr>
        <w:t>管沟开挖产生土方，回填土方主要为管沟回填，可以做到“取弃平衡”。</w:t>
      </w:r>
      <w:r>
        <w:rPr>
          <w:rFonts w:hint="eastAsia"/>
          <w:color w:val="auto"/>
          <w:highlight w:val="none"/>
          <w:lang w:val="en-US" w:eastAsia="zh-CN"/>
        </w:rPr>
        <w:t>综上所述，工程施工期固体废物均能妥善处置，对环境影响较小。</w:t>
      </w:r>
    </w:p>
    <w:bookmarkEnd w:id="527"/>
    <w:p w14:paraId="259971DD">
      <w:pPr>
        <w:pStyle w:val="6"/>
        <w:pageBreakBefore w:val="0"/>
        <w:widowControl/>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bookmarkStart w:id="531" w:name="_Toc10509"/>
      <w:bookmarkStart w:id="532" w:name="_Toc31623"/>
      <w:bookmarkStart w:id="533" w:name="_Toc25010"/>
      <w:r>
        <w:rPr>
          <w:rFonts w:hint="default" w:ascii="Times New Roman" w:hAnsi="Times New Roman" w:cs="Times New Roman"/>
          <w:color w:val="auto"/>
          <w:highlight w:val="none"/>
        </w:rPr>
        <w:t>5.5.2运营期固体废物影响</w:t>
      </w:r>
      <w:bookmarkEnd w:id="531"/>
      <w:bookmarkEnd w:id="532"/>
      <w:bookmarkEnd w:id="533"/>
    </w:p>
    <w:bookmarkEnd w:id="528"/>
    <w:bookmarkEnd w:id="529"/>
    <w:bookmarkEnd w:id="530"/>
    <w:p w14:paraId="7DF2512C">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5.5.2.1危险废物产生种类及数量</w:t>
      </w:r>
    </w:p>
    <w:p w14:paraId="7DFFACFA">
      <w:pPr>
        <w:pStyle w:val="75"/>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运营期产生的危险废物主要有落地油、清管废渣、废防渗材料</w:t>
      </w:r>
      <w:r>
        <w:rPr>
          <w:rFonts w:hint="eastAsia" w:cs="Times New Roman"/>
          <w:color w:val="auto"/>
          <w:highlight w:val="none"/>
          <w:lang w:eastAsia="zh-CN"/>
        </w:rPr>
        <w:t>、</w:t>
      </w:r>
      <w:r>
        <w:rPr>
          <w:rFonts w:hint="eastAsia" w:cs="Times New Roman"/>
          <w:color w:val="auto"/>
          <w:highlight w:val="none"/>
          <w:lang w:val="en-US" w:eastAsia="zh-CN"/>
        </w:rPr>
        <w:t>废润滑油</w:t>
      </w:r>
      <w:r>
        <w:rPr>
          <w:rFonts w:hint="default" w:ascii="Times New Roman" w:hAnsi="Times New Roman" w:cs="Times New Roman"/>
          <w:color w:val="auto"/>
          <w:highlight w:val="none"/>
        </w:rPr>
        <w:t>等。</w:t>
      </w:r>
    </w:p>
    <w:p w14:paraId="7075D1FB">
      <w:pPr>
        <w:pStyle w:val="75"/>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落地油</w:t>
      </w:r>
    </w:p>
    <w:p w14:paraId="333A80FA">
      <w:pPr>
        <w:pStyle w:val="75"/>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落地油主要来自突发环境事件和井下作业等</w:t>
      </w:r>
      <w:r>
        <w:rPr>
          <w:rFonts w:hint="eastAsia" w:cs="Times New Roman"/>
          <w:color w:val="auto"/>
          <w:highlight w:val="none"/>
          <w:lang w:eastAsia="zh-CN"/>
        </w:rPr>
        <w:t>，</w:t>
      </w:r>
      <w:r>
        <w:rPr>
          <w:rFonts w:hint="eastAsia" w:cs="Times New Roman"/>
          <w:color w:val="auto"/>
          <w:highlight w:val="none"/>
          <w:lang w:val="en-US" w:eastAsia="zh-CN"/>
        </w:rPr>
        <w:t>属于</w:t>
      </w:r>
      <w:r>
        <w:rPr>
          <w:rFonts w:hint="default" w:ascii="Times New Roman" w:hAnsi="Times New Roman" w:cs="Times New Roman"/>
          <w:snapToGrid w:val="0"/>
          <w:color w:val="auto"/>
          <w:spacing w:val="4"/>
          <w:szCs w:val="22"/>
          <w:highlight w:val="none"/>
        </w:rPr>
        <w:t>HW08类危险废物（废物代码：071-001-08）</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井下作业时带罐作业，防止产生落地油，井口排出物全部进罐，做到原油100%回收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产生</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落地油量为</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2</w:t>
      </w:r>
      <w:r>
        <w:rPr>
          <w:rFonts w:hint="default" w:ascii="Times New Roman" w:hAnsi="Times New Roman" w:cs="Times New Roman"/>
          <w:color w:val="auto"/>
          <w:highlight w:val="none"/>
        </w:rPr>
        <w:t>t/a。落地油不在施工井场储存，直接在作业施工现场由施工人员回收至罐车内，罐车采用密闭的专用罐车，由塔河油田绿色环保站进行无害化处理。</w:t>
      </w:r>
    </w:p>
    <w:p w14:paraId="301E1A1F">
      <w:pPr>
        <w:pStyle w:val="75"/>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清管废渣</w:t>
      </w:r>
    </w:p>
    <w:p w14:paraId="64E26905">
      <w:pPr>
        <w:pStyle w:val="75"/>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清管废渣中含有少量管道中的油，属于《国家危险废物名录》（2021本）HW08类危险废物（废物代码：</w:t>
      </w:r>
      <w:r>
        <w:rPr>
          <w:rFonts w:hint="eastAsia" w:cs="Times New Roman"/>
          <w:color w:val="auto"/>
          <w:highlight w:val="none"/>
          <w:lang w:val="en-US" w:eastAsia="zh-CN"/>
        </w:rPr>
        <w:t>251-008-08</w:t>
      </w:r>
      <w:r>
        <w:rPr>
          <w:rFonts w:hint="default" w:ascii="Times New Roman" w:hAnsi="Times New Roman" w:cs="Times New Roman"/>
          <w:color w:val="auto"/>
          <w:highlight w:val="none"/>
        </w:rPr>
        <w:t>），间歇产生，废渣量约</w:t>
      </w:r>
      <w:r>
        <w:rPr>
          <w:rFonts w:hint="default" w:ascii="Times New Roman" w:hAnsi="Times New Roman" w:cs="Times New Roman"/>
          <w:color w:val="auto"/>
          <w:szCs w:val="24"/>
          <w:highlight w:val="none"/>
          <w:lang w:val="en-US" w:eastAsia="zh-CN"/>
        </w:rPr>
        <w:t>0.00</w:t>
      </w:r>
      <w:r>
        <w:rPr>
          <w:rFonts w:hint="eastAsia" w:cs="Times New Roman"/>
          <w:color w:val="auto"/>
          <w:szCs w:val="24"/>
          <w:highlight w:val="none"/>
          <w:lang w:val="en-US" w:eastAsia="zh-CN"/>
        </w:rPr>
        <w:t>1</w:t>
      </w:r>
      <w:r>
        <w:rPr>
          <w:rFonts w:hint="default" w:ascii="Times New Roman" w:hAnsi="Times New Roman" w:cs="Times New Roman"/>
          <w:color w:val="auto"/>
          <w:highlight w:val="none"/>
        </w:rPr>
        <w:t>t/a，由塔河油田绿色环保站</w:t>
      </w:r>
      <w:r>
        <w:rPr>
          <w:rFonts w:hint="default" w:ascii="Times New Roman" w:hAnsi="Times New Roman" w:cs="Times New Roman"/>
          <w:color w:val="auto"/>
          <w:szCs w:val="24"/>
          <w:highlight w:val="none"/>
        </w:rPr>
        <w:t>进行处理</w:t>
      </w:r>
      <w:r>
        <w:rPr>
          <w:rFonts w:hint="default" w:ascii="Times New Roman" w:hAnsi="Times New Roman" w:cs="Times New Roman"/>
          <w:color w:val="auto"/>
          <w:highlight w:val="none"/>
        </w:rPr>
        <w:t>。</w:t>
      </w:r>
    </w:p>
    <w:p w14:paraId="428179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废防渗</w:t>
      </w:r>
      <w:r>
        <w:rPr>
          <w:rFonts w:hint="default" w:ascii="Times New Roman" w:hAnsi="Times New Roman" w:cs="Times New Roman"/>
          <w:color w:val="auto"/>
          <w:highlight w:val="none"/>
          <w:lang w:val="en-US" w:eastAsia="zh-CN"/>
        </w:rPr>
        <w:t>材料</w:t>
      </w:r>
    </w:p>
    <w:p w14:paraId="433E0D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cs="Times New Roman"/>
          <w:color w:val="auto"/>
          <w:highlight w:val="none"/>
        </w:rPr>
        <w:t>废防渗材料主要在修井作业过程中产生。</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产生废弃防渗布最大量约</w:t>
      </w:r>
      <w:r>
        <w:rPr>
          <w:rFonts w:hint="eastAsia" w:cs="Times New Roman"/>
          <w:color w:val="auto"/>
          <w:highlight w:val="none"/>
          <w:lang w:val="en-US" w:eastAsia="zh-CN"/>
        </w:rPr>
        <w:t>2.0</w:t>
      </w:r>
      <w:r>
        <w:rPr>
          <w:rFonts w:hint="default" w:ascii="Times New Roman" w:hAnsi="Times New Roman" w:cs="Times New Roman"/>
          <w:color w:val="auto"/>
          <w:highlight w:val="none"/>
        </w:rPr>
        <w:t>t/a</w:t>
      </w:r>
      <w:r>
        <w:rPr>
          <w:rFonts w:hint="eastAsia" w:cs="Times New Roman"/>
          <w:color w:val="auto"/>
          <w:highlight w:val="none"/>
          <w:lang w:eastAsia="zh-CN"/>
        </w:rPr>
        <w:t>，</w:t>
      </w:r>
      <w:r>
        <w:rPr>
          <w:rFonts w:hint="default" w:ascii="Times New Roman" w:hAnsi="Times New Roman" w:cs="Times New Roman"/>
          <w:color w:val="auto"/>
          <w:highlight w:val="none"/>
        </w:rPr>
        <w:t>危废代码为HW08900-249-08。</w:t>
      </w:r>
      <w:r>
        <w:rPr>
          <w:rFonts w:hint="eastAsia" w:cs="Times New Roman"/>
          <w:color w:val="auto"/>
          <w:highlight w:val="none"/>
          <w:lang w:val="en-US" w:eastAsia="zh-CN"/>
        </w:rPr>
        <w:t>井下</w:t>
      </w:r>
      <w:r>
        <w:rPr>
          <w:rFonts w:hint="default" w:ascii="Times New Roman" w:hAnsi="Times New Roman" w:cs="Times New Roman"/>
          <w:color w:val="auto"/>
          <w:highlight w:val="none"/>
        </w:rPr>
        <w:t>作业施工结束后，由施工单位将废弃的含油防渗布集中收集，委托持有危险废物经营许可证的单位接收处置，拉运过程中资质单位应使用专车、按照指定的拉运路线</w:t>
      </w:r>
      <w:r>
        <w:rPr>
          <w:rFonts w:hint="default" w:ascii="Times New Roman" w:hAnsi="Times New Roman" w:eastAsia="宋体" w:cs="Times New Roman"/>
          <w:color w:val="auto"/>
          <w:sz w:val="24"/>
          <w:szCs w:val="24"/>
          <w:highlight w:val="none"/>
          <w:lang w:bidi="ar"/>
        </w:rPr>
        <w:t>。</w:t>
      </w:r>
    </w:p>
    <w:p w14:paraId="10B1C055">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废润滑油</w:t>
      </w:r>
    </w:p>
    <w:p w14:paraId="60645BCC">
      <w:pPr>
        <w:shd w:val="clear" w:color="auto" w:fill="auto"/>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废润滑油主要是井下作业和采油过程中机械设备维修中产生的，</w:t>
      </w:r>
      <w:r>
        <w:rPr>
          <w:rFonts w:hint="eastAsia" w:ascii="Times New Roman" w:hAnsi="Times New Roman" w:eastAsia="宋体" w:cs="Times New Roman"/>
          <w:color w:val="auto"/>
          <w:kern w:val="0"/>
          <w:sz w:val="24"/>
          <w:highlight w:val="none"/>
          <w:lang w:val="en-US" w:eastAsia="zh-CN"/>
        </w:rPr>
        <w:t>本项目运营期井下作业或机械维修中</w:t>
      </w:r>
      <w:r>
        <w:rPr>
          <w:rFonts w:hint="default" w:ascii="Times New Roman" w:hAnsi="Times New Roman" w:eastAsia="宋体" w:cs="Times New Roman"/>
          <w:color w:val="auto"/>
          <w:kern w:val="0"/>
          <w:sz w:val="24"/>
          <w:highlight w:val="none"/>
          <w:lang w:val="en-US" w:eastAsia="zh-CN"/>
        </w:rPr>
        <w:t>废润滑油产生</w:t>
      </w:r>
      <w:r>
        <w:rPr>
          <w:rFonts w:hint="eastAsia" w:ascii="Times New Roman" w:hAnsi="Times New Roman" w:eastAsia="宋体" w:cs="Times New Roman"/>
          <w:color w:val="auto"/>
          <w:kern w:val="0"/>
          <w:sz w:val="24"/>
          <w:highlight w:val="none"/>
          <w:lang w:val="en-US" w:eastAsia="zh-CN"/>
        </w:rPr>
        <w:t>量</w:t>
      </w:r>
      <w:r>
        <w:rPr>
          <w:rFonts w:hint="default" w:ascii="Times New Roman" w:hAnsi="Times New Roman" w:eastAsia="宋体" w:cs="Times New Roman"/>
          <w:color w:val="auto"/>
          <w:kern w:val="0"/>
          <w:sz w:val="24"/>
          <w:highlight w:val="none"/>
          <w:lang w:val="en-US" w:eastAsia="zh-CN"/>
        </w:rPr>
        <w:t>约</w:t>
      </w:r>
      <w:r>
        <w:rPr>
          <w:rFonts w:hint="eastAsia" w:ascii="Times New Roman" w:hAnsi="Times New Roman" w:eastAsia="宋体" w:cs="Times New Roman"/>
          <w:color w:val="auto"/>
          <w:kern w:val="0"/>
          <w:sz w:val="24"/>
          <w:highlight w:val="none"/>
          <w:lang w:val="en-US" w:eastAsia="zh-CN"/>
        </w:rPr>
        <w:t>0.2</w:t>
      </w:r>
      <w:r>
        <w:rPr>
          <w:rFonts w:hint="default" w:ascii="Times New Roman" w:hAnsi="Times New Roman" w:eastAsia="宋体" w:cs="Times New Roman"/>
          <w:color w:val="auto"/>
          <w:kern w:val="0"/>
          <w:sz w:val="24"/>
          <w:highlight w:val="none"/>
          <w:lang w:val="en-US" w:eastAsia="zh-CN"/>
        </w:rPr>
        <w:t>t</w:t>
      </w:r>
      <w:r>
        <w:rPr>
          <w:rFonts w:hint="eastAsia" w:ascii="Times New Roman" w:hAnsi="Times New Roman" w:eastAsia="宋体" w:cs="Times New Roman"/>
          <w:color w:val="auto"/>
          <w:kern w:val="0"/>
          <w:sz w:val="24"/>
          <w:highlight w:val="none"/>
          <w:lang w:val="en-US" w:eastAsia="zh-CN"/>
        </w:rPr>
        <w:t>/次</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属于</w:t>
      </w:r>
      <w:r>
        <w:rPr>
          <w:rFonts w:hint="default" w:ascii="Times New Roman" w:hAnsi="Times New Roman" w:eastAsia="宋体" w:cs="Times New Roman"/>
          <w:color w:val="auto"/>
          <w:kern w:val="0"/>
          <w:sz w:val="24"/>
          <w:highlight w:val="none"/>
          <w:lang w:val="en-US" w:eastAsia="zh-CN"/>
        </w:rPr>
        <w:t>危险废物HW08</w:t>
      </w:r>
      <w:r>
        <w:rPr>
          <w:rFonts w:hint="eastAsia" w:ascii="Times New Roman" w:hAnsi="Times New Roman" w:eastAsia="宋体" w:cs="Times New Roman"/>
          <w:color w:val="auto"/>
          <w:kern w:val="0"/>
          <w:sz w:val="24"/>
          <w:highlight w:val="none"/>
          <w:lang w:val="en-US" w:eastAsia="zh-CN"/>
        </w:rPr>
        <w:t>（废物代码：</w:t>
      </w:r>
      <w:r>
        <w:rPr>
          <w:rFonts w:hint="default" w:ascii="Times New Roman" w:hAnsi="Times New Roman" w:cs="Times New Roman"/>
          <w:color w:val="auto"/>
          <w:sz w:val="24"/>
          <w:szCs w:val="24"/>
          <w:highlight w:val="none"/>
        </w:rPr>
        <w:t>900-214-08</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0"/>
          <w:sz w:val="24"/>
          <w:highlight w:val="none"/>
          <w:lang w:val="en-US" w:eastAsia="zh-CN"/>
        </w:rPr>
        <w:t>，交由有危废处置资质单位进行处置。</w:t>
      </w:r>
    </w:p>
    <w:p w14:paraId="4C2A347E">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5.5.2.2危险废物环境影响分析</w:t>
      </w:r>
    </w:p>
    <w:p w14:paraId="67793EED">
      <w:pPr>
        <w:spacing w:line="360" w:lineRule="auto"/>
        <w:ind w:firstLine="496" w:firstLineChars="200"/>
        <w:rPr>
          <w:rFonts w:hint="default" w:ascii="Times New Roman" w:hAnsi="Times New Roman" w:cs="Times New Roman"/>
          <w:snapToGrid w:val="0"/>
          <w:color w:val="auto"/>
          <w:spacing w:val="4"/>
          <w:szCs w:val="22"/>
          <w:highlight w:val="none"/>
        </w:rPr>
      </w:pPr>
      <w:r>
        <w:rPr>
          <w:rFonts w:hint="eastAsia" w:cs="Times New Roman"/>
          <w:snapToGrid w:val="0"/>
          <w:color w:val="auto"/>
          <w:spacing w:val="4"/>
          <w:szCs w:val="22"/>
          <w:highlight w:val="none"/>
          <w:lang w:eastAsia="zh-CN"/>
        </w:rPr>
        <w:t>（</w:t>
      </w:r>
      <w:r>
        <w:rPr>
          <w:rFonts w:hint="eastAsia" w:cs="Times New Roman"/>
          <w:snapToGrid w:val="0"/>
          <w:color w:val="auto"/>
          <w:spacing w:val="4"/>
          <w:szCs w:val="22"/>
          <w:highlight w:val="none"/>
          <w:lang w:val="en-US" w:eastAsia="zh-CN"/>
        </w:rPr>
        <w:t>1）</w:t>
      </w:r>
      <w:r>
        <w:rPr>
          <w:rFonts w:hint="default" w:ascii="Times New Roman" w:hAnsi="Times New Roman" w:cs="Times New Roman"/>
          <w:snapToGrid w:val="0"/>
          <w:color w:val="auto"/>
          <w:spacing w:val="4"/>
          <w:szCs w:val="22"/>
          <w:highlight w:val="none"/>
        </w:rPr>
        <w:t>危废收集过程影响分析</w:t>
      </w:r>
    </w:p>
    <w:p w14:paraId="75C98903">
      <w:pPr>
        <w:spacing w:line="360" w:lineRule="auto"/>
        <w:ind w:firstLine="496" w:firstLineChars="200"/>
        <w:jc w:val="both"/>
        <w:rPr>
          <w:rFonts w:hint="default" w:ascii="Times New Roman" w:hAnsi="Times New Roman" w:cs="Times New Roman"/>
          <w:snapToGrid w:val="0"/>
          <w:color w:val="auto"/>
          <w:spacing w:val="4"/>
          <w:szCs w:val="22"/>
          <w:highlight w:val="none"/>
        </w:rPr>
      </w:pPr>
      <w:r>
        <w:rPr>
          <w:rFonts w:hint="default" w:ascii="Times New Roman" w:hAnsi="Times New Roman" w:cs="Times New Roman"/>
          <w:snapToGrid w:val="0"/>
          <w:color w:val="auto"/>
          <w:spacing w:val="4"/>
          <w:szCs w:val="22"/>
          <w:highlight w:val="none"/>
          <w:lang w:eastAsia="zh-CN"/>
        </w:rPr>
        <w:t>本项目</w:t>
      </w:r>
      <w:r>
        <w:rPr>
          <w:rFonts w:hint="default" w:ascii="Times New Roman" w:hAnsi="Times New Roman" w:cs="Times New Roman"/>
          <w:snapToGrid w:val="0"/>
          <w:color w:val="auto"/>
          <w:spacing w:val="4"/>
          <w:szCs w:val="22"/>
          <w:highlight w:val="none"/>
        </w:rPr>
        <w:t>产生的危废按照《</w:t>
      </w:r>
      <w:r>
        <w:rPr>
          <w:rFonts w:hint="default" w:ascii="Times New Roman" w:hAnsi="Times New Roman" w:cs="Times New Roman"/>
          <w:snapToGrid w:val="0"/>
          <w:color w:val="auto"/>
          <w:spacing w:val="4"/>
          <w:szCs w:val="22"/>
          <w:highlight w:val="none"/>
          <w:lang w:eastAsia="zh-CN"/>
        </w:rPr>
        <w:t>危险废物收集贮存运输技术规范</w:t>
      </w:r>
      <w:r>
        <w:rPr>
          <w:rFonts w:hint="default" w:ascii="Times New Roman" w:hAnsi="Times New Roman" w:cs="Times New Roman"/>
          <w:snapToGrid w:val="0"/>
          <w:color w:val="auto"/>
          <w:spacing w:val="4"/>
          <w:szCs w:val="22"/>
          <w:highlight w:val="none"/>
        </w:rPr>
        <w:t>》</w:t>
      </w:r>
      <w:r>
        <w:rPr>
          <w:rFonts w:hint="default" w:ascii="Times New Roman" w:hAnsi="Times New Roman" w:cs="Times New Roman"/>
          <w:snapToGrid w:val="0"/>
          <w:color w:val="auto"/>
          <w:spacing w:val="4"/>
          <w:szCs w:val="22"/>
          <w:highlight w:val="none"/>
          <w:lang w:eastAsia="zh-CN"/>
        </w:rPr>
        <w:t>（</w:t>
      </w:r>
      <w:r>
        <w:rPr>
          <w:rFonts w:hint="default" w:ascii="Times New Roman" w:hAnsi="Times New Roman" w:cs="Times New Roman"/>
          <w:snapToGrid w:val="0"/>
          <w:color w:val="auto"/>
          <w:spacing w:val="4"/>
          <w:szCs w:val="22"/>
          <w:highlight w:val="none"/>
        </w:rPr>
        <w:t>HJ2025-2012</w:t>
      </w:r>
      <w:r>
        <w:rPr>
          <w:rFonts w:hint="default" w:ascii="Times New Roman" w:hAnsi="Times New Roman" w:cs="Times New Roman"/>
          <w:snapToGrid w:val="0"/>
          <w:color w:val="auto"/>
          <w:spacing w:val="4"/>
          <w:szCs w:val="22"/>
          <w:highlight w:val="none"/>
          <w:lang w:eastAsia="zh-CN"/>
        </w:rPr>
        <w:t>）</w:t>
      </w:r>
      <w:r>
        <w:rPr>
          <w:rFonts w:hint="default" w:ascii="Times New Roman" w:hAnsi="Times New Roman" w:cs="Times New Roman"/>
          <w:snapToGrid w:val="0"/>
          <w:color w:val="auto"/>
          <w:spacing w:val="4"/>
          <w:szCs w:val="22"/>
          <w:highlight w:val="none"/>
        </w:rPr>
        <w:t>相关要求进行收集、运输，并按要求填写危险废物的收集记录、转运记录表，并将记录表作为危险废物管理的重要档案妥善保存。危险废物在按照规范要求进行收集的情况下，对环境的影响很小。</w:t>
      </w:r>
    </w:p>
    <w:p w14:paraId="7BF69AA0">
      <w:pPr>
        <w:spacing w:line="360" w:lineRule="auto"/>
        <w:ind w:firstLine="496" w:firstLineChars="200"/>
        <w:rPr>
          <w:rFonts w:hint="default" w:ascii="Times New Roman" w:hAnsi="Times New Roman" w:cs="Times New Roman"/>
          <w:snapToGrid w:val="0"/>
          <w:color w:val="auto"/>
          <w:spacing w:val="4"/>
          <w:szCs w:val="22"/>
          <w:highlight w:val="none"/>
        </w:rPr>
      </w:pPr>
      <w:r>
        <w:rPr>
          <w:rFonts w:hint="eastAsia" w:cs="Times New Roman"/>
          <w:snapToGrid w:val="0"/>
          <w:color w:val="auto"/>
          <w:spacing w:val="4"/>
          <w:szCs w:val="22"/>
          <w:highlight w:val="none"/>
          <w:lang w:eastAsia="zh-CN"/>
        </w:rPr>
        <w:t>（</w:t>
      </w:r>
      <w:r>
        <w:rPr>
          <w:rFonts w:hint="eastAsia" w:cs="Times New Roman"/>
          <w:snapToGrid w:val="0"/>
          <w:color w:val="auto"/>
          <w:spacing w:val="4"/>
          <w:szCs w:val="22"/>
          <w:highlight w:val="none"/>
          <w:lang w:val="en-US" w:eastAsia="zh-CN"/>
        </w:rPr>
        <w:t>2）</w:t>
      </w:r>
      <w:r>
        <w:rPr>
          <w:rFonts w:hint="default" w:ascii="Times New Roman" w:hAnsi="Times New Roman" w:cs="Times New Roman"/>
          <w:snapToGrid w:val="0"/>
          <w:color w:val="auto"/>
          <w:spacing w:val="4"/>
          <w:szCs w:val="22"/>
          <w:highlight w:val="none"/>
        </w:rPr>
        <w:t>危废运输过程影响分析</w:t>
      </w:r>
    </w:p>
    <w:p w14:paraId="0FB7FC02">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①内部运输</w:t>
      </w:r>
    </w:p>
    <w:p w14:paraId="7D486503">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本</w:t>
      </w:r>
      <w:r>
        <w:rPr>
          <w:rFonts w:hint="eastAsia"/>
          <w:color w:val="auto"/>
          <w:sz w:val="24"/>
          <w:szCs w:val="24"/>
          <w:highlight w:val="none"/>
          <w:lang w:val="en-US" w:eastAsia="zh-CN" w:bidi="ar"/>
        </w:rPr>
        <w:t>项目</w:t>
      </w:r>
      <w:r>
        <w:rPr>
          <w:rFonts w:hint="default"/>
          <w:color w:val="auto"/>
          <w:sz w:val="24"/>
          <w:szCs w:val="24"/>
          <w:highlight w:val="none"/>
          <w:lang w:val="en-US" w:eastAsia="zh-CN" w:bidi="ar"/>
        </w:rPr>
        <w:t>运营期产生的固体废物采用专用容器收集后就近运至西北油田分公司采油四</w:t>
      </w:r>
      <w:r>
        <w:rPr>
          <w:rFonts w:hint="eastAsia"/>
          <w:color w:val="auto"/>
          <w:sz w:val="24"/>
          <w:szCs w:val="24"/>
          <w:highlight w:val="none"/>
          <w:lang w:val="en-US" w:eastAsia="zh-CN" w:bidi="ar"/>
        </w:rPr>
        <w:t>三厂三号联合站内</w:t>
      </w:r>
      <w:r>
        <w:rPr>
          <w:rFonts w:hint="default"/>
          <w:color w:val="auto"/>
          <w:sz w:val="24"/>
          <w:szCs w:val="24"/>
          <w:highlight w:val="none"/>
          <w:lang w:val="en-US" w:eastAsia="zh-CN" w:bidi="ar"/>
        </w:rPr>
        <w:t>已建暂存点贮存。危险废物内部转运作业应采用专用的工具，并填写内部转运记录表，转运结束后对路线进行检查和清理，确保无危险废物遗落在内部运输路线上。正常情况下危险废物产生散落、泄漏的可能性较小，不会对周围环境产生明显不利影响。万一发生散落或泄漏，应及时对散落物进行收集、清理，减轻污染影响。</w:t>
      </w:r>
    </w:p>
    <w:p w14:paraId="3CBE3CA8">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②外部运输</w:t>
      </w:r>
    </w:p>
    <w:p w14:paraId="3F92EA62">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本</w:t>
      </w:r>
      <w:r>
        <w:rPr>
          <w:rFonts w:hint="eastAsia"/>
          <w:color w:val="auto"/>
          <w:sz w:val="24"/>
          <w:szCs w:val="24"/>
          <w:highlight w:val="none"/>
          <w:lang w:val="en-US" w:eastAsia="zh-CN" w:bidi="ar"/>
        </w:rPr>
        <w:t>项目</w:t>
      </w:r>
      <w:r>
        <w:rPr>
          <w:rFonts w:hint="default"/>
          <w:color w:val="auto"/>
          <w:sz w:val="24"/>
          <w:szCs w:val="24"/>
          <w:highlight w:val="none"/>
          <w:lang w:val="en-US" w:eastAsia="zh-CN" w:bidi="ar"/>
        </w:rPr>
        <w:t>运营期产生的危险废物最终交由有相应资质的单位进行运输、处置。本工程运营单位、危险废物承运单位以及危险废物处置单位应按照要求填写危险废物转移联单，承运单位应按照危险废物污染环境防治和危险货物运输相关规定运输危险废物，记录运输轨迹，防范危险废物丢失、包装破损、泄漏或者发生突发环境事件。</w:t>
      </w:r>
    </w:p>
    <w:p w14:paraId="58BF5BA0">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（3）危险废物的处置</w:t>
      </w:r>
    </w:p>
    <w:p w14:paraId="144EE78B">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本</w:t>
      </w:r>
      <w:r>
        <w:rPr>
          <w:rFonts w:hint="eastAsia"/>
          <w:color w:val="auto"/>
          <w:sz w:val="24"/>
          <w:szCs w:val="24"/>
          <w:highlight w:val="none"/>
          <w:lang w:val="en-US" w:eastAsia="zh-CN" w:bidi="ar"/>
        </w:rPr>
        <w:t>项目</w:t>
      </w:r>
      <w:r>
        <w:rPr>
          <w:rFonts w:hint="default"/>
          <w:color w:val="auto"/>
          <w:sz w:val="24"/>
          <w:szCs w:val="24"/>
          <w:highlight w:val="none"/>
          <w:lang w:val="en-US" w:eastAsia="zh-CN" w:bidi="ar"/>
        </w:rPr>
        <w:t>运营单位应对处置单位的主体资格和技术能力进行核实，依法签订书面合同，并在合同中约定利用、处置危险废物的污染防治要求及相关责任，合同期内及时了解</w:t>
      </w:r>
      <w:r>
        <w:rPr>
          <w:rFonts w:hint="eastAsia"/>
          <w:color w:val="auto"/>
          <w:sz w:val="24"/>
          <w:szCs w:val="24"/>
          <w:highlight w:val="none"/>
          <w:lang w:val="en-US" w:eastAsia="zh-CN" w:bidi="ar"/>
        </w:rPr>
        <w:t>接收</w:t>
      </w:r>
      <w:r>
        <w:rPr>
          <w:rFonts w:hint="default"/>
          <w:color w:val="auto"/>
          <w:sz w:val="24"/>
          <w:szCs w:val="24"/>
          <w:highlight w:val="none"/>
          <w:lang w:val="en-US" w:eastAsia="zh-CN" w:bidi="ar"/>
        </w:rPr>
        <w:t>人贮存、利用或者处置相关危险废物情况，确保本</w:t>
      </w:r>
      <w:r>
        <w:rPr>
          <w:rFonts w:hint="eastAsia"/>
          <w:color w:val="auto"/>
          <w:sz w:val="24"/>
          <w:szCs w:val="24"/>
          <w:highlight w:val="none"/>
          <w:lang w:val="en-US" w:eastAsia="zh-CN" w:bidi="ar"/>
        </w:rPr>
        <w:t>项目</w:t>
      </w:r>
      <w:r>
        <w:rPr>
          <w:rFonts w:hint="default"/>
          <w:color w:val="auto"/>
          <w:sz w:val="24"/>
          <w:szCs w:val="24"/>
          <w:highlight w:val="none"/>
          <w:lang w:val="en-US" w:eastAsia="zh-CN" w:bidi="ar"/>
        </w:rPr>
        <w:t>运营期产生的危险废物得到妥善处置，避免对外环境产生不利影响。</w:t>
      </w:r>
    </w:p>
    <w:p w14:paraId="66889E0E">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本</w:t>
      </w:r>
      <w:r>
        <w:rPr>
          <w:rFonts w:hint="eastAsia"/>
          <w:color w:val="auto"/>
          <w:sz w:val="24"/>
          <w:szCs w:val="24"/>
          <w:highlight w:val="none"/>
          <w:lang w:val="en-US" w:eastAsia="zh-CN" w:bidi="ar"/>
        </w:rPr>
        <w:t>项目</w:t>
      </w:r>
      <w:r>
        <w:rPr>
          <w:rFonts w:hint="default"/>
          <w:color w:val="auto"/>
          <w:sz w:val="24"/>
          <w:szCs w:val="24"/>
          <w:highlight w:val="none"/>
          <w:lang w:val="en-US" w:eastAsia="zh-CN" w:bidi="ar"/>
        </w:rPr>
        <w:t>运营期产生的危险废物均可得到妥善处置，在严格落实《危险废物收集贮存运输技术规范》（HJ2025-2012）、《危险废物贮存污染控制标准（GB18597-2023）、《危险废物转移管理办法》等的要求的前提下，不会对外环境产生明显不利影响。</w:t>
      </w:r>
    </w:p>
    <w:p w14:paraId="3CDD9746">
      <w:pPr>
        <w:pStyle w:val="12"/>
        <w:pageBreakBefore w:val="0"/>
        <w:kinsoku/>
        <w:wordWrap/>
        <w:overflowPunct/>
        <w:topLinePunct w:val="0"/>
        <w:autoSpaceDE/>
        <w:autoSpaceDN/>
        <w:bidi w:val="0"/>
        <w:adjustRightInd w:val="0"/>
        <w:snapToGrid w:val="0"/>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5.5.</w:t>
      </w:r>
      <w:r>
        <w:rPr>
          <w:rFonts w:hint="default" w:ascii="Times New Roman" w:hAnsi="Times New Roman" w:eastAsia="宋体" w:cs="Times New Roman"/>
          <w:b/>
          <w:bCs/>
          <w:color w:val="auto"/>
          <w:sz w:val="28"/>
          <w:szCs w:val="28"/>
          <w:highlight w:val="none"/>
          <w:lang w:val="en-US" w:eastAsia="zh-CN"/>
        </w:rPr>
        <w:t>3退役</w:t>
      </w:r>
      <w:r>
        <w:rPr>
          <w:rFonts w:hint="default" w:ascii="Times New Roman" w:hAnsi="Times New Roman" w:eastAsia="宋体" w:cs="Times New Roman"/>
          <w:b/>
          <w:bCs/>
          <w:color w:val="auto"/>
          <w:sz w:val="28"/>
          <w:szCs w:val="28"/>
          <w:highlight w:val="none"/>
        </w:rPr>
        <w:t>期固体废物影响</w:t>
      </w:r>
    </w:p>
    <w:p w14:paraId="69C98A23">
      <w:pPr>
        <w:pageBreakBefore w:val="0"/>
        <w:widowControl w:val="0"/>
        <w:kinsoku/>
        <w:wordWrap/>
        <w:overflowPunct/>
        <w:topLinePunct w:val="0"/>
        <w:autoSpaceDE/>
        <w:autoSpaceDN/>
        <w:bidi w:val="0"/>
        <w:adjustRightInd w:val="0"/>
        <w:snapToGrid w:val="0"/>
        <w:spacing w:line="360" w:lineRule="auto"/>
        <w:ind w:firstLine="496"/>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服务期满后，井场拆除的井架、集输设施、井构筑物等为钢制材料，清洗油污后可回收利用</w:t>
      </w:r>
      <w:r>
        <w:rPr>
          <w:rFonts w:hint="eastAsia" w:cs="Times New Roman"/>
          <w:color w:val="auto"/>
          <w:spacing w:val="4"/>
          <w:kern w:val="24"/>
          <w:szCs w:val="22"/>
          <w:highlight w:val="none"/>
          <w:lang w:eastAsia="zh-CN"/>
        </w:rPr>
        <w:t>；</w:t>
      </w:r>
      <w:r>
        <w:rPr>
          <w:rFonts w:hint="default" w:ascii="Times New Roman" w:hAnsi="Times New Roman" w:eastAsia="宋体" w:cs="Times New Roman"/>
          <w:color w:val="auto"/>
          <w:spacing w:val="4"/>
          <w:kern w:val="24"/>
          <w:szCs w:val="22"/>
          <w:highlight w:val="none"/>
        </w:rPr>
        <w:t>不可回收利用的一般工业固体废物拉</w:t>
      </w:r>
      <w:r>
        <w:rPr>
          <w:rFonts w:ascii="Times New Roman" w:hAnsi="Times New Roman" w:cs="Times New Roman"/>
          <w:color w:val="auto"/>
          <w:highlight w:val="none"/>
        </w:rPr>
        <w:t>运至当地建筑垃圾填埋场</w:t>
      </w:r>
      <w:r>
        <w:rPr>
          <w:color w:val="auto"/>
          <w:sz w:val="24"/>
          <w:szCs w:val="22"/>
          <w:highlight w:val="none"/>
        </w:rPr>
        <w:t>妥善处理</w:t>
      </w:r>
      <w:r>
        <w:rPr>
          <w:rFonts w:hint="default" w:ascii="Times New Roman" w:hAnsi="Times New Roman" w:eastAsia="宋体" w:cs="Times New Roman"/>
          <w:color w:val="auto"/>
          <w:spacing w:val="4"/>
          <w:kern w:val="24"/>
          <w:szCs w:val="22"/>
          <w:highlight w:val="none"/>
        </w:rPr>
        <w:t>。</w:t>
      </w:r>
    </w:p>
    <w:p w14:paraId="2F0CBB64">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r>
        <w:rPr>
          <w:rFonts w:hint="default" w:ascii="Times New Roman" w:hAnsi="Times New Roman" w:cs="Times New Roman"/>
          <w:color w:val="auto"/>
          <w:highlight w:val="none"/>
          <w:lang w:val="en-US" w:eastAsia="zh-CN"/>
        </w:rPr>
        <w:t>4固体废物</w:t>
      </w:r>
      <w:r>
        <w:rPr>
          <w:rFonts w:hint="default" w:ascii="Times New Roman" w:hAnsi="Times New Roman" w:cs="Times New Roman"/>
          <w:color w:val="auto"/>
          <w:highlight w:val="none"/>
        </w:rPr>
        <w:t>影响评价小结</w:t>
      </w:r>
    </w:p>
    <w:p w14:paraId="5CBA4481">
      <w:pPr>
        <w:pStyle w:val="12"/>
        <w:pageBreakBefore w:val="0"/>
        <w:kinsoku/>
        <w:wordWrap/>
        <w:overflowPunct/>
        <w:topLinePunct w:val="0"/>
        <w:autoSpaceDE/>
        <w:autoSpaceDN/>
        <w:bidi w:val="0"/>
        <w:adjustRightInd w:val="0"/>
        <w:snapToGrid w:val="0"/>
        <w:ind w:firstLine="496" w:firstLineChars="200"/>
        <w:rPr>
          <w:rFonts w:hint="default" w:ascii="Times New Roman" w:hAnsi="Times New Roman" w:cs="Times New Roman"/>
          <w:color w:val="auto"/>
          <w:spacing w:val="4"/>
          <w:kern w:val="24"/>
          <w:sz w:val="24"/>
          <w:szCs w:val="22"/>
          <w:highlight w:val="none"/>
        </w:rPr>
      </w:pPr>
      <w:r>
        <w:rPr>
          <w:rFonts w:hint="default" w:ascii="Times New Roman" w:hAnsi="Times New Roman" w:cs="Times New Roman"/>
          <w:color w:val="auto"/>
          <w:spacing w:val="4"/>
          <w:kern w:val="24"/>
          <w:sz w:val="24"/>
          <w:szCs w:val="24"/>
          <w:highlight w:val="none"/>
          <w:lang w:eastAsia="zh-CN"/>
        </w:rPr>
        <w:t>本项目施工期、运营期和退役期产生的固体废物能够通过有效的途径得到较好</w:t>
      </w:r>
      <w:r>
        <w:rPr>
          <w:rFonts w:hint="eastAsia" w:ascii="Times New Roman" w:hAnsi="Times New Roman" w:cs="Times New Roman"/>
          <w:color w:val="auto"/>
          <w:spacing w:val="4"/>
          <w:kern w:val="24"/>
          <w:sz w:val="24"/>
          <w:szCs w:val="24"/>
          <w:highlight w:val="none"/>
          <w:lang w:eastAsia="zh-CN"/>
        </w:rPr>
        <w:t>地</w:t>
      </w:r>
      <w:r>
        <w:rPr>
          <w:rFonts w:hint="default" w:ascii="Times New Roman" w:hAnsi="Times New Roman" w:cs="Times New Roman"/>
          <w:color w:val="auto"/>
          <w:spacing w:val="4"/>
          <w:kern w:val="24"/>
          <w:sz w:val="24"/>
          <w:szCs w:val="24"/>
          <w:highlight w:val="none"/>
          <w:lang w:eastAsia="zh-CN"/>
        </w:rPr>
        <w:t>处置，对评价区环境影响较小</w:t>
      </w:r>
      <w:r>
        <w:rPr>
          <w:rFonts w:hint="default" w:ascii="Times New Roman" w:hAnsi="Times New Roman" w:cs="Times New Roman"/>
          <w:color w:val="auto"/>
          <w:sz w:val="24"/>
          <w:highlight w:val="none"/>
        </w:rPr>
        <w:t>。</w:t>
      </w:r>
    </w:p>
    <w:p w14:paraId="187FF19F">
      <w:pPr>
        <w:pStyle w:val="5"/>
        <w:pageBreakBefore w:val="0"/>
        <w:kinsoku/>
        <w:wordWrap/>
        <w:overflowPunct/>
        <w:topLinePunct w:val="0"/>
        <w:autoSpaceDE/>
        <w:autoSpaceDN/>
        <w:bidi w:val="0"/>
        <w:adjustRightInd w:val="0"/>
        <w:snapToGrid w:val="0"/>
        <w:spacing w:beforeLines="0"/>
        <w:rPr>
          <w:rFonts w:hint="default" w:ascii="Times New Roman" w:hAnsi="Times New Roman" w:cs="Times New Roman"/>
          <w:color w:val="auto"/>
          <w:highlight w:val="none"/>
        </w:rPr>
      </w:pPr>
      <w:bookmarkStart w:id="534" w:name="_Toc13298"/>
      <w:bookmarkStart w:id="535" w:name="_Toc75438904"/>
      <w:bookmarkStart w:id="536" w:name="_Toc4694"/>
      <w:bookmarkStart w:id="537" w:name="_Toc23890"/>
      <w:r>
        <w:rPr>
          <w:rFonts w:hint="default" w:ascii="Times New Roman" w:hAnsi="Times New Roman" w:cs="Times New Roman"/>
          <w:color w:val="auto"/>
          <w:highlight w:val="none"/>
        </w:rPr>
        <w:t>5.6土壤环境影响分析</w:t>
      </w:r>
      <w:bookmarkEnd w:id="534"/>
      <w:bookmarkEnd w:id="535"/>
      <w:bookmarkEnd w:id="536"/>
      <w:bookmarkEnd w:id="537"/>
    </w:p>
    <w:p w14:paraId="6276756A">
      <w:pPr>
        <w:pStyle w:val="6"/>
        <w:pageBreakBefore w:val="0"/>
        <w:kinsoku/>
        <w:wordWrap/>
        <w:overflowPunct/>
        <w:topLinePunct w:val="0"/>
        <w:autoSpaceDE/>
        <w:autoSpaceDN/>
        <w:bidi w:val="0"/>
        <w:adjustRightInd w:val="0"/>
        <w:snapToGrid w:val="0"/>
        <w:spacing w:beforeLines="0" w:afterLines="0"/>
        <w:rPr>
          <w:rFonts w:hint="eastAsia" w:ascii="Times New Roman" w:hAnsi="Times New Roman" w:eastAsia="宋体" w:cs="Times New Roman"/>
          <w:color w:val="auto"/>
          <w:highlight w:val="none"/>
          <w:lang w:eastAsia="zh-CN"/>
        </w:rPr>
      </w:pPr>
      <w:bookmarkStart w:id="538" w:name="_Toc27120"/>
      <w:bookmarkStart w:id="539" w:name="_Toc12515"/>
      <w:bookmarkStart w:id="540" w:name="_Toc7734"/>
      <w:r>
        <w:rPr>
          <w:rFonts w:hint="default" w:ascii="Times New Roman" w:hAnsi="Times New Roman" w:cs="Times New Roman"/>
          <w:color w:val="auto"/>
          <w:highlight w:val="none"/>
        </w:rPr>
        <w:t>5.6.1施工期土壤环境影响分析</w:t>
      </w:r>
      <w:bookmarkEnd w:id="538"/>
      <w:bookmarkEnd w:id="539"/>
      <w:bookmarkEnd w:id="540"/>
    </w:p>
    <w:p w14:paraId="0774F78F">
      <w:pPr>
        <w:spacing w:line="360" w:lineRule="auto"/>
        <w:ind w:firstLine="496"/>
        <w:jc w:val="both"/>
        <w:rPr>
          <w:rFonts w:hint="default" w:ascii="Times New Roman" w:hAnsi="Times New Roman" w:cs="Times New Roman"/>
          <w:color w:val="auto"/>
          <w:spacing w:val="4"/>
          <w:kern w:val="24"/>
          <w:szCs w:val="22"/>
          <w:highlight w:val="none"/>
        </w:rPr>
      </w:pPr>
      <w:r>
        <w:rPr>
          <w:rFonts w:hint="default" w:ascii="Times New Roman" w:hAnsi="Times New Roman" w:cs="Times New Roman"/>
          <w:color w:val="auto"/>
          <w:spacing w:val="4"/>
          <w:kern w:val="24"/>
          <w:szCs w:val="22"/>
          <w:highlight w:val="none"/>
        </w:rPr>
        <w:t>施工期对土壤质量的影响主要为人为扰动、车辆行驶和机械施工、各种废弃物污染影响。</w:t>
      </w:r>
    </w:p>
    <w:p w14:paraId="6D6C02F7">
      <w:pPr>
        <w:spacing w:line="360" w:lineRule="auto"/>
        <w:ind w:firstLine="48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（1）钻井作业对土壤环境的影响</w:t>
      </w:r>
    </w:p>
    <w:p w14:paraId="0ED794A3">
      <w:pPr>
        <w:spacing w:line="360" w:lineRule="auto"/>
        <w:ind w:firstLine="482"/>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施工期施工占地，将对地表土壤产生破坏性影响，如钻井井场等占地，以及堆积、挖掘、</w:t>
      </w:r>
      <w:r>
        <w:rPr>
          <w:rFonts w:hint="eastAsia" w:cs="Times New Roman"/>
          <w:color w:val="auto"/>
          <w:highlight w:val="none"/>
          <w:lang w:eastAsia="zh-CN"/>
        </w:rPr>
        <w:t>碾压</w:t>
      </w:r>
      <w:r>
        <w:rPr>
          <w:rFonts w:hint="default" w:ascii="Times New Roman" w:hAnsi="Times New Roman" w:cs="Times New Roman"/>
          <w:color w:val="auto"/>
          <w:highlight w:val="none"/>
        </w:rPr>
        <w:t>、践踏等均改变原有的土壤结构。油田施工期间，占地都将改变原有土壤的理化性质和土壤结构，使原有土壤结构和性状难以恢复。但是施工期对土壤的影响程度轻，影响特征是部分可逆，影响时间为短期。</w:t>
      </w:r>
    </w:p>
    <w:p w14:paraId="661DA8D6">
      <w:pPr>
        <w:widowControl w:val="0"/>
        <w:numPr>
          <w:ilvl w:val="0"/>
          <w:numId w:val="0"/>
        </w:numPr>
        <w:spacing w:line="360" w:lineRule="auto"/>
        <w:ind w:left="840" w:leftChars="0" w:hanging="360" w:firstLineChars="0"/>
        <w:jc w:val="both"/>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bidi="ar-SA"/>
        </w:rPr>
        <w:t>①</w:t>
      </w:r>
      <w:r>
        <w:rPr>
          <w:rFonts w:hint="default" w:ascii="Times New Roman" w:hAnsi="Times New Roman" w:cs="Times New Roman"/>
          <w:color w:val="auto"/>
          <w:highlight w:val="none"/>
        </w:rPr>
        <w:t>钻井作业对土壤环境的影响</w:t>
      </w:r>
    </w:p>
    <w:p w14:paraId="1582DF0E">
      <w:pPr>
        <w:spacing w:line="360" w:lineRule="auto"/>
        <w:ind w:firstLine="482"/>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部署</w:t>
      </w:r>
      <w:r>
        <w:rPr>
          <w:rFonts w:hint="eastAsia" w:cs="Times New Roman"/>
          <w:color w:val="auto"/>
          <w:highlight w:val="none"/>
          <w:lang w:val="en-US" w:eastAsia="zh-CN"/>
        </w:rPr>
        <w:t>侧钻井4口</w:t>
      </w:r>
      <w:r>
        <w:rPr>
          <w:rFonts w:hint="default" w:ascii="Times New Roman" w:hAnsi="Times New Roman" w:cs="Times New Roman"/>
          <w:color w:val="auto"/>
          <w:highlight w:val="none"/>
        </w:rPr>
        <w:t>，钻井作业均采用“泥浆不落地系统”对废弃泥浆和岩屑进行收集处置，对土壤的环境影响轻微。</w:t>
      </w:r>
    </w:p>
    <w:p w14:paraId="73BCE4A6">
      <w:pPr>
        <w:widowControl w:val="0"/>
        <w:numPr>
          <w:ilvl w:val="0"/>
          <w:numId w:val="0"/>
        </w:numPr>
        <w:spacing w:line="360" w:lineRule="auto"/>
        <w:ind w:left="840" w:leftChars="0" w:hanging="360" w:firstLineChars="0"/>
        <w:jc w:val="both"/>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bidi="ar-SA"/>
        </w:rPr>
        <w:t>②</w:t>
      </w:r>
      <w:r>
        <w:rPr>
          <w:rFonts w:hint="default" w:ascii="Times New Roman" w:hAnsi="Times New Roman" w:cs="Times New Roman"/>
          <w:color w:val="auto"/>
          <w:highlight w:val="none"/>
        </w:rPr>
        <w:t>固体废物对土壤的影响</w:t>
      </w:r>
    </w:p>
    <w:p w14:paraId="2EE6888F">
      <w:pPr>
        <w:spacing w:line="360" w:lineRule="auto"/>
        <w:ind w:firstLine="48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次钻井施工作业采用“钻井废弃物不落地达标处理技术”，钻井过程中的钻井液采用不落地技术处理，分离出的液相继续回用于钻井，待钻井工程结束后由供应商回收或带至下一个钻井井场继续使用，无废水及废弃钻井液外排；</w:t>
      </w:r>
      <w:r>
        <w:rPr>
          <w:rFonts w:hint="default" w:ascii="Times New Roman" w:hAnsi="Times New Roman" w:cs="Times New Roman"/>
          <w:color w:val="auto"/>
          <w:highlight w:val="none"/>
          <w:lang w:bidi="ar"/>
        </w:rPr>
        <w:t>钻井岩屑采用不落地系统进行处理，处理后的岩屑必须满足《油气田钻井固体废物综合利用污染控制要求》（DB65/T3997-2017）中综合利用污染物限值要求</w:t>
      </w:r>
      <w:r>
        <w:rPr>
          <w:rFonts w:hint="default" w:ascii="Times New Roman" w:hAnsi="Times New Roman" w:cs="Times New Roman"/>
          <w:color w:val="auto"/>
          <w:highlight w:val="none"/>
          <w:lang w:eastAsia="zh-CN" w:bidi="ar"/>
        </w:rPr>
        <w:t>，</w:t>
      </w:r>
      <w:r>
        <w:rPr>
          <w:rFonts w:hint="default" w:ascii="Times New Roman" w:hAnsi="Times New Roman" w:cs="Times New Roman"/>
          <w:color w:val="auto"/>
          <w:highlight w:val="none"/>
          <w:lang w:bidi="ar"/>
        </w:rPr>
        <w:t>同时石油烃满足《土壤环境质量建设用地土壤污染风险管控标准（试行）》（GB36600-2018）中表2第二类用地风险筛选值后，方可用于铺设通井路、铺垫井场基础材料</w:t>
      </w:r>
      <w:r>
        <w:rPr>
          <w:rFonts w:hint="default" w:ascii="Times New Roman" w:hAnsi="Times New Roman" w:cs="Times New Roman"/>
          <w:color w:val="auto"/>
          <w:highlight w:val="none"/>
        </w:rPr>
        <w:t>。</w:t>
      </w:r>
    </w:p>
    <w:p w14:paraId="65F6A67F">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（2）地面工程施工对土壤环境的影响</w:t>
      </w:r>
    </w:p>
    <w:p w14:paraId="6F7219CF">
      <w:pPr>
        <w:spacing w:line="360" w:lineRule="auto"/>
        <w:ind w:firstLine="496"/>
        <w:jc w:val="both"/>
        <w:rPr>
          <w:rFonts w:hint="default" w:ascii="Times New Roman" w:hAnsi="Times New Roman" w:cs="Times New Roman"/>
          <w:color w:val="auto"/>
          <w:spacing w:val="4"/>
          <w:kern w:val="24"/>
          <w:szCs w:val="22"/>
          <w:highlight w:val="none"/>
        </w:rPr>
      </w:pPr>
      <w:r>
        <w:rPr>
          <w:rFonts w:hint="default" w:ascii="Times New Roman" w:hAnsi="Times New Roman" w:cs="Times New Roman"/>
          <w:color w:val="auto"/>
          <w:spacing w:val="4"/>
          <w:kern w:val="24"/>
          <w:szCs w:val="22"/>
          <w:highlight w:val="none"/>
        </w:rPr>
        <w:t>油田开发过程中，不可避免地要对土壤进行人为扰动，主要是井场建设、管道敷设和道路建设过程中，车辆行驶和机械施工碾压和踩踏破坏土壤结构。</w:t>
      </w:r>
    </w:p>
    <w:p w14:paraId="03008995">
      <w:pPr>
        <w:spacing w:line="360" w:lineRule="auto"/>
        <w:ind w:firstLine="496"/>
        <w:jc w:val="both"/>
        <w:rPr>
          <w:rFonts w:hint="default" w:ascii="Times New Roman" w:hAnsi="Times New Roman" w:cs="Times New Roman"/>
          <w:color w:val="auto"/>
          <w:spacing w:val="4"/>
          <w:kern w:val="24"/>
          <w:szCs w:val="22"/>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管道工程管道施工作业带宽度控制在</w:t>
      </w:r>
      <w:r>
        <w:rPr>
          <w:rFonts w:hint="eastAsia" w:cs="Times New Roman"/>
          <w:color w:val="auto"/>
          <w:highlight w:val="none"/>
          <w:lang w:val="en-US" w:eastAsia="zh-CN"/>
        </w:rPr>
        <w:t>7</w:t>
      </w:r>
      <w:r>
        <w:rPr>
          <w:rFonts w:hint="default" w:ascii="Times New Roman" w:hAnsi="Times New Roman" w:cs="Times New Roman"/>
          <w:color w:val="auto"/>
          <w:highlight w:val="none"/>
        </w:rPr>
        <w:t>m范围内，施工带内的土壤均会受到严重扰动和破坏。在施工作业带以外的直接影响区域表现为施工活动中施工机械、车辆碾压、施工人员践踏等对土壤的扰动，改变土壤的紧密度和坚实度，可能造成土壤板结。由于植被被毁，土壤表面压实，土壤板结，通透性差，使土壤水量降低，同时加剧了土壤的蒸发作用，导致盐碱化加重。</w:t>
      </w:r>
      <w:r>
        <w:rPr>
          <w:rFonts w:hint="default" w:ascii="Times New Roman" w:hAnsi="Times New Roman" w:cs="Times New Roman"/>
          <w:color w:val="auto"/>
          <w:spacing w:val="4"/>
          <w:kern w:val="24"/>
          <w:szCs w:val="22"/>
          <w:highlight w:val="none"/>
        </w:rPr>
        <w:t>井场和管道的施工场地、临时施工营地等都存在这种影响。</w:t>
      </w:r>
    </w:p>
    <w:p w14:paraId="04FAC647">
      <w:pPr>
        <w:spacing w:line="360" w:lineRule="auto"/>
        <w:ind w:firstLine="496"/>
        <w:rPr>
          <w:rFonts w:hint="default" w:ascii="Times New Roman" w:hAnsi="Times New Roman" w:cs="Times New Roman"/>
          <w:color w:val="auto"/>
          <w:spacing w:val="4"/>
          <w:kern w:val="24"/>
          <w:szCs w:val="22"/>
          <w:highlight w:val="none"/>
        </w:rPr>
      </w:pPr>
      <w:r>
        <w:rPr>
          <w:rFonts w:hint="default" w:ascii="Times New Roman" w:hAnsi="Times New Roman" w:cs="Times New Roman"/>
          <w:color w:val="auto"/>
          <w:spacing w:val="4"/>
          <w:kern w:val="24"/>
          <w:szCs w:val="22"/>
          <w:highlight w:val="none"/>
        </w:rPr>
        <w:t>（3）水土流失影响分析</w:t>
      </w:r>
    </w:p>
    <w:p w14:paraId="0DDECCD9">
      <w:pPr>
        <w:pStyle w:val="12"/>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4"/>
          <w:kern w:val="24"/>
          <w:szCs w:val="22"/>
          <w:highlight w:val="none"/>
        </w:rPr>
        <w:t>油田工程建设对当地水土流失影响的方式包括扰动、损坏、破坏原地貌、地表土壤结构及植被。项目施工及占地呈点线状分布，所造成的水土流失因管线所经过的区域不同而不同。施工期施工车辆对地表的大面积碾压，使所经过地段的植被和地表结构遭到不同程度的破坏，使风蚀荒漠化的过程加剧；在地面构筑物建设中，最直接而且易引起水土流失的是施工过程中使影响范围内的地表保护层变得松散，增加风蚀量。</w:t>
      </w: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cs="Times New Roman"/>
          <w:color w:val="auto"/>
          <w:spacing w:val="4"/>
          <w:kern w:val="24"/>
          <w:szCs w:val="22"/>
          <w:highlight w:val="none"/>
        </w:rPr>
        <w:t>建设内容主要为钻井工程、管线等工程的建设等。临时占地范围内的土壤地表表层遭到破坏，下层的粉细物质暴露在地层表面，在风力的作用下，风蚀量会明显加大，这种影响在短时间内不会完全恢复。但随着时间的推移，风蚀量会随着地表新保护层的逐渐形成而减弱。永久占地范围内的地表彻底改变，地表经过砾石铺垫或者</w:t>
      </w:r>
      <w:r>
        <w:rPr>
          <w:rFonts w:hint="eastAsia" w:ascii="Times New Roman" w:hAnsi="Times New Roman" w:cs="Times New Roman"/>
          <w:color w:val="auto"/>
          <w:spacing w:val="4"/>
          <w:kern w:val="24"/>
          <w:szCs w:val="22"/>
          <w:highlight w:val="none"/>
          <w:lang w:eastAsia="zh-CN"/>
        </w:rPr>
        <w:t>其他</w:t>
      </w:r>
      <w:r>
        <w:rPr>
          <w:rFonts w:hint="default" w:ascii="Times New Roman" w:hAnsi="Times New Roman" w:cs="Times New Roman"/>
          <w:color w:val="auto"/>
          <w:spacing w:val="4"/>
          <w:kern w:val="24"/>
          <w:szCs w:val="22"/>
          <w:highlight w:val="none"/>
        </w:rPr>
        <w:t>硬化措施，风蚀量很少，不易发生水土流失</w:t>
      </w:r>
      <w:r>
        <w:rPr>
          <w:rFonts w:hint="default" w:ascii="Times New Roman" w:hAnsi="Times New Roman" w:cs="Times New Roman"/>
          <w:color w:val="auto"/>
          <w:highlight w:val="none"/>
        </w:rPr>
        <w:t>。</w:t>
      </w:r>
    </w:p>
    <w:p w14:paraId="5C1C8A13">
      <w:pPr>
        <w:pStyle w:val="6"/>
        <w:pageBreakBefore w:val="0"/>
        <w:kinsoku/>
        <w:wordWrap/>
        <w:overflowPunct/>
        <w:topLinePunct w:val="0"/>
        <w:autoSpaceDE/>
        <w:autoSpaceDN/>
        <w:bidi w:val="0"/>
        <w:adjustRightInd w:val="0"/>
        <w:snapToGrid w:val="0"/>
        <w:spacing w:beforeLines="0" w:afterLines="0"/>
        <w:rPr>
          <w:rFonts w:hint="eastAsia" w:ascii="Times New Roman" w:hAnsi="Times New Roman" w:eastAsia="宋体" w:cs="Times New Roman"/>
          <w:color w:val="auto"/>
          <w:highlight w:val="none"/>
          <w:lang w:eastAsia="zh-CN"/>
        </w:rPr>
      </w:pPr>
      <w:bookmarkStart w:id="541" w:name="_Toc8971"/>
      <w:bookmarkStart w:id="542" w:name="_Toc19903"/>
      <w:bookmarkStart w:id="543" w:name="_Toc13881"/>
      <w:r>
        <w:rPr>
          <w:rFonts w:hint="default" w:ascii="Times New Roman" w:hAnsi="Times New Roman" w:cs="Times New Roman"/>
          <w:color w:val="auto"/>
          <w:highlight w:val="none"/>
        </w:rPr>
        <w:t>5.6.2运营期土壤环境影响分析</w:t>
      </w:r>
      <w:bookmarkEnd w:id="541"/>
      <w:bookmarkEnd w:id="542"/>
      <w:bookmarkEnd w:id="543"/>
    </w:p>
    <w:p w14:paraId="099964F1">
      <w:pPr>
        <w:pStyle w:val="141"/>
        <w:shd w:val="clear" w:color="auto" w:fill="auto"/>
        <w:rPr>
          <w:rFonts w:hint="default" w:ascii="Times New Roman" w:hAnsi="Times New Roman" w:cs="Times New Roman"/>
          <w:color w:val="auto"/>
          <w:highlight w:val="none"/>
        </w:rPr>
      </w:pPr>
      <w:bookmarkStart w:id="544" w:name="_Toc26149"/>
      <w:r>
        <w:rPr>
          <w:rFonts w:hint="default" w:ascii="Times New Roman" w:hAnsi="Times New Roman" w:cs="Times New Roman"/>
          <w:color w:val="auto"/>
          <w:highlight w:val="none"/>
        </w:rPr>
        <w:t>5.6.2.1土壤环境影响识别</w:t>
      </w:r>
    </w:p>
    <w:p w14:paraId="0DBBA272">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rPr>
      </w:pPr>
      <w:r>
        <w:rPr>
          <w:rFonts w:hint="default" w:ascii="Times New Roman" w:hAnsi="Times New Roman" w:eastAsia="宋体" w:cs="Times New Roman"/>
          <w:b/>
          <w:bCs/>
          <w:color w:val="auto"/>
          <w:kern w:val="2"/>
          <w:sz w:val="24"/>
          <w:szCs w:val="22"/>
          <w:highlight w:val="none"/>
          <w:lang w:val="en-US" w:eastAsia="zh-CN"/>
        </w:rPr>
        <w:t>（1）</w:t>
      </w:r>
      <w:r>
        <w:rPr>
          <w:rFonts w:hint="default" w:ascii="Times New Roman" w:hAnsi="Times New Roman" w:eastAsia="宋体" w:cs="Times New Roman"/>
          <w:b/>
          <w:bCs/>
          <w:color w:val="auto"/>
          <w:kern w:val="2"/>
          <w:sz w:val="24"/>
          <w:szCs w:val="22"/>
          <w:highlight w:val="none"/>
        </w:rPr>
        <w:t>项目类型</w:t>
      </w:r>
    </w:p>
    <w:p w14:paraId="4CAC5507">
      <w:pPr>
        <w:widowControl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2"/>
          <w:highlight w:val="none"/>
          <w:lang w:val="en-US" w:eastAsia="zh-CN"/>
        </w:rPr>
      </w:pPr>
      <w:r>
        <w:rPr>
          <w:rFonts w:hint="default" w:ascii="Times New Roman" w:hAnsi="Times New Roman" w:eastAsia="宋体" w:cs="Times New Roman"/>
          <w:color w:val="auto"/>
          <w:kern w:val="2"/>
          <w:sz w:val="24"/>
          <w:szCs w:val="22"/>
          <w:highlight w:val="none"/>
          <w:lang w:val="en-US" w:eastAsia="zh-CN"/>
        </w:rPr>
        <w:t>本</w:t>
      </w:r>
      <w:r>
        <w:rPr>
          <w:rFonts w:hint="eastAsia" w:ascii="Times New Roman" w:hAnsi="Times New Roman" w:eastAsia="宋体" w:cs="Times New Roman"/>
          <w:color w:val="auto"/>
          <w:kern w:val="2"/>
          <w:sz w:val="24"/>
          <w:szCs w:val="22"/>
          <w:highlight w:val="none"/>
          <w:lang w:val="en-US" w:eastAsia="zh-CN"/>
        </w:rPr>
        <w:t>项目属于陆上石油开采项目</w:t>
      </w:r>
      <w:r>
        <w:rPr>
          <w:rFonts w:hint="default" w:ascii="Times New Roman" w:hAnsi="Times New Roman" w:eastAsia="宋体" w:cs="Times New Roman"/>
          <w:color w:val="auto"/>
          <w:kern w:val="2"/>
          <w:sz w:val="24"/>
          <w:szCs w:val="22"/>
          <w:highlight w:val="none"/>
          <w:lang w:val="en-US" w:eastAsia="zh-CN"/>
        </w:rPr>
        <w:t>，根据导则附表A.1，</w:t>
      </w:r>
      <w:r>
        <w:rPr>
          <w:rFonts w:hint="eastAsia" w:ascii="Times New Roman" w:hAnsi="Times New Roman" w:eastAsia="宋体" w:cs="Times New Roman"/>
          <w:color w:val="auto"/>
          <w:kern w:val="2"/>
          <w:sz w:val="24"/>
          <w:szCs w:val="22"/>
          <w:highlight w:val="none"/>
          <w:lang w:val="en-US" w:eastAsia="zh-CN"/>
        </w:rPr>
        <w:t>采油井场建设属于I类项目，单井采油管线建设属于Ⅱ类项目。</w:t>
      </w:r>
    </w:p>
    <w:p w14:paraId="41396A4D">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rPr>
      </w:pPr>
      <w:r>
        <w:rPr>
          <w:rFonts w:hint="default" w:ascii="Times New Roman" w:hAnsi="Times New Roman" w:eastAsia="宋体" w:cs="Times New Roman"/>
          <w:b/>
          <w:bCs/>
          <w:color w:val="auto"/>
          <w:kern w:val="2"/>
          <w:sz w:val="24"/>
          <w:szCs w:val="22"/>
          <w:highlight w:val="none"/>
          <w:lang w:val="en-US" w:eastAsia="zh-CN"/>
        </w:rPr>
        <w:t>（2）</w:t>
      </w:r>
      <w:r>
        <w:rPr>
          <w:rFonts w:hint="default" w:ascii="Times New Roman" w:hAnsi="Times New Roman" w:eastAsia="宋体" w:cs="Times New Roman"/>
          <w:b/>
          <w:bCs/>
          <w:color w:val="auto"/>
          <w:kern w:val="2"/>
          <w:sz w:val="24"/>
          <w:szCs w:val="22"/>
          <w:highlight w:val="none"/>
        </w:rPr>
        <w:t>影响类型及途径</w:t>
      </w:r>
    </w:p>
    <w:p w14:paraId="2AA5F258">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本项目所处区域属于盐化严重的区域，</w:t>
      </w:r>
      <w:r>
        <w:rPr>
          <w:rFonts w:hint="eastAsia" w:ascii="Times New Roman" w:hAnsi="Times New Roman" w:eastAsia="宋体" w:cs="Times New Roman"/>
          <w:color w:val="auto"/>
          <w:kern w:val="2"/>
          <w:sz w:val="24"/>
          <w:szCs w:val="22"/>
          <w:highlight w:val="none"/>
          <w:lang w:val="en-US" w:eastAsia="zh-CN"/>
        </w:rPr>
        <w:t>本</w:t>
      </w:r>
      <w:r>
        <w:rPr>
          <w:rFonts w:hint="default" w:ascii="Times New Roman" w:hAnsi="Times New Roman" w:eastAsia="宋体" w:cs="Times New Roman"/>
          <w:color w:val="auto"/>
          <w:kern w:val="2"/>
          <w:sz w:val="24"/>
          <w:szCs w:val="22"/>
          <w:highlight w:val="none"/>
        </w:rPr>
        <w:t>工程土壤影响类型同时属于污染影响型和生态影响型。</w:t>
      </w:r>
    </w:p>
    <w:p w14:paraId="42FC185C">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本项目废水主要为采出水和井下作业废水，未向外环境排放污水，不会造成废水地面漫流影响；非正常状况井场管线连接处出现泄漏，可能通过垂直入渗的形式对土壤造成影响。</w:t>
      </w:r>
    </w:p>
    <w:p w14:paraId="1AD24AE5">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本项目井场及管道敷设过程中，不会造成区域土壤盐化、酸化、碱化，但管沟开挖过程中会对区域局部土壤造成扰动，导致土壤中盐分含量与周边区域不一致，在后续的自然恢复过程中，扰动区域受雨水、风沙作用将逐步与周边区域土壤保持一致。同时，本项目集输管线中采出液盐分含量较高，当出现泄漏时，采出液中的盐分将进入表层土壤中，遗留在土壤中，造成区域土壤盐分含量升高。</w:t>
      </w:r>
    </w:p>
    <w:p w14:paraId="2D2B53A8">
      <w:pPr>
        <w:pStyle w:val="63"/>
        <w:shd w:val="clear" w:color="auto" w:fill="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土壤影响类型与途径见表5.6-1。</w:t>
      </w:r>
    </w:p>
    <w:p w14:paraId="4527C720">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b w:val="0"/>
          <w:bCs/>
          <w:color w:val="auto"/>
          <w:szCs w:val="18"/>
          <w:highlight w:val="none"/>
        </w:rPr>
      </w:pPr>
    </w:p>
    <w:p w14:paraId="7BEF51F6">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b w:val="0"/>
          <w:bCs/>
          <w:color w:val="auto"/>
          <w:szCs w:val="18"/>
          <w:highlight w:val="none"/>
        </w:rPr>
      </w:pPr>
      <w:r>
        <w:rPr>
          <w:rFonts w:hint="default" w:ascii="Times New Roman" w:hAnsi="Times New Roman" w:cs="Times New Roman"/>
          <w:b w:val="0"/>
          <w:bCs/>
          <w:color w:val="auto"/>
          <w:szCs w:val="18"/>
          <w:highlight w:val="none"/>
        </w:rPr>
        <w:t>表5.6-1建设项目土壤环境影响类型与影响途径表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072"/>
        <w:gridCol w:w="1107"/>
        <w:gridCol w:w="1109"/>
        <w:gridCol w:w="694"/>
        <w:gridCol w:w="878"/>
        <w:gridCol w:w="972"/>
        <w:gridCol w:w="972"/>
        <w:gridCol w:w="969"/>
      </w:tblGrid>
      <w:tr w14:paraId="360E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restart"/>
            <w:noWrap w:val="0"/>
            <w:vAlign w:val="center"/>
          </w:tcPr>
          <w:p w14:paraId="55D366D1">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不同</w:t>
            </w:r>
          </w:p>
          <w:p w14:paraId="4E8B7822">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时段</w:t>
            </w:r>
          </w:p>
        </w:tc>
        <w:tc>
          <w:tcPr>
            <w:tcW w:w="2277" w:type="pct"/>
            <w:gridSpan w:val="4"/>
            <w:noWrap w:val="0"/>
            <w:vAlign w:val="center"/>
          </w:tcPr>
          <w:p w14:paraId="26D35C7B">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污染影响型</w:t>
            </w:r>
          </w:p>
        </w:tc>
        <w:tc>
          <w:tcPr>
            <w:tcW w:w="2166" w:type="pct"/>
            <w:gridSpan w:val="4"/>
            <w:noWrap w:val="0"/>
            <w:vAlign w:val="center"/>
          </w:tcPr>
          <w:p w14:paraId="09E23D54">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生态影响型</w:t>
            </w:r>
          </w:p>
        </w:tc>
      </w:tr>
      <w:tr w14:paraId="068C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14:paraId="7C84ED23">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p>
        </w:tc>
        <w:tc>
          <w:tcPr>
            <w:tcW w:w="613" w:type="pct"/>
            <w:noWrap w:val="0"/>
            <w:vAlign w:val="center"/>
          </w:tcPr>
          <w:p w14:paraId="160D4E2E">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大气沉降</w:t>
            </w:r>
          </w:p>
        </w:tc>
        <w:tc>
          <w:tcPr>
            <w:tcW w:w="633" w:type="pct"/>
            <w:noWrap w:val="0"/>
            <w:vAlign w:val="center"/>
          </w:tcPr>
          <w:p w14:paraId="4F0E3EA5">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地面漫流</w:t>
            </w:r>
          </w:p>
        </w:tc>
        <w:tc>
          <w:tcPr>
            <w:tcW w:w="634" w:type="pct"/>
            <w:noWrap w:val="0"/>
            <w:vAlign w:val="center"/>
          </w:tcPr>
          <w:p w14:paraId="26EBA4ED">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垂直入渗</w:t>
            </w:r>
          </w:p>
        </w:tc>
        <w:tc>
          <w:tcPr>
            <w:tcW w:w="396" w:type="pct"/>
            <w:noWrap w:val="0"/>
            <w:vAlign w:val="center"/>
          </w:tcPr>
          <w:p w14:paraId="58EFC2F5">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w:t>
            </w:r>
          </w:p>
        </w:tc>
        <w:tc>
          <w:tcPr>
            <w:tcW w:w="502" w:type="pct"/>
            <w:noWrap w:val="0"/>
            <w:vAlign w:val="center"/>
          </w:tcPr>
          <w:p w14:paraId="79704BAC">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盐化</w:t>
            </w:r>
          </w:p>
        </w:tc>
        <w:tc>
          <w:tcPr>
            <w:tcW w:w="556" w:type="pct"/>
            <w:noWrap w:val="0"/>
            <w:vAlign w:val="center"/>
          </w:tcPr>
          <w:p w14:paraId="6ECB5245">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碱化</w:t>
            </w:r>
          </w:p>
        </w:tc>
        <w:tc>
          <w:tcPr>
            <w:tcW w:w="556" w:type="pct"/>
            <w:noWrap w:val="0"/>
            <w:vAlign w:val="center"/>
          </w:tcPr>
          <w:p w14:paraId="6E733875">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酸化</w:t>
            </w:r>
          </w:p>
        </w:tc>
        <w:tc>
          <w:tcPr>
            <w:tcW w:w="552" w:type="pct"/>
            <w:noWrap w:val="0"/>
            <w:vAlign w:val="center"/>
          </w:tcPr>
          <w:p w14:paraId="3D9E1EE4">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w:t>
            </w:r>
          </w:p>
        </w:tc>
      </w:tr>
      <w:tr w14:paraId="46FC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44713DF7">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建设期</w:t>
            </w:r>
          </w:p>
        </w:tc>
        <w:tc>
          <w:tcPr>
            <w:tcW w:w="1044" w:type="dxa"/>
            <w:noWrap w:val="0"/>
            <w:vAlign w:val="center"/>
          </w:tcPr>
          <w:p w14:paraId="45FC71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1079" w:type="dxa"/>
            <w:noWrap w:val="0"/>
            <w:vAlign w:val="center"/>
          </w:tcPr>
          <w:p w14:paraId="63F986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1081" w:type="dxa"/>
            <w:noWrap w:val="0"/>
            <w:vAlign w:val="center"/>
          </w:tcPr>
          <w:p w14:paraId="452C735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677" w:type="dxa"/>
            <w:noWrap w:val="0"/>
            <w:vAlign w:val="center"/>
          </w:tcPr>
          <w:p w14:paraId="25CD832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856" w:type="dxa"/>
            <w:noWrap w:val="0"/>
            <w:vAlign w:val="center"/>
          </w:tcPr>
          <w:p w14:paraId="28EE3B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8" w:type="dxa"/>
            <w:noWrap w:val="0"/>
            <w:vAlign w:val="center"/>
          </w:tcPr>
          <w:p w14:paraId="6D3C28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8" w:type="dxa"/>
            <w:noWrap w:val="0"/>
            <w:vAlign w:val="center"/>
          </w:tcPr>
          <w:p w14:paraId="72DA2E6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4" w:type="dxa"/>
            <w:noWrap w:val="0"/>
            <w:vAlign w:val="center"/>
          </w:tcPr>
          <w:p w14:paraId="594E2AA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r>
      <w:tr w14:paraId="55AF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595483B7">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运营期</w:t>
            </w:r>
          </w:p>
        </w:tc>
        <w:tc>
          <w:tcPr>
            <w:tcW w:w="1044" w:type="dxa"/>
            <w:noWrap w:val="0"/>
            <w:vAlign w:val="center"/>
          </w:tcPr>
          <w:p w14:paraId="52D746D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1079" w:type="dxa"/>
            <w:noWrap w:val="0"/>
            <w:vAlign w:val="center"/>
          </w:tcPr>
          <w:p w14:paraId="7F32C83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1081" w:type="dxa"/>
            <w:noWrap w:val="0"/>
            <w:vAlign w:val="center"/>
          </w:tcPr>
          <w:p w14:paraId="6AC84A1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677" w:type="dxa"/>
            <w:noWrap w:val="0"/>
            <w:vAlign w:val="center"/>
          </w:tcPr>
          <w:p w14:paraId="66DEB42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856" w:type="dxa"/>
            <w:noWrap w:val="0"/>
            <w:vAlign w:val="center"/>
          </w:tcPr>
          <w:p w14:paraId="3D9398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8" w:type="dxa"/>
            <w:noWrap w:val="0"/>
            <w:vAlign w:val="center"/>
          </w:tcPr>
          <w:p w14:paraId="45C428B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8" w:type="dxa"/>
            <w:noWrap w:val="0"/>
            <w:vAlign w:val="center"/>
          </w:tcPr>
          <w:p w14:paraId="2F673AF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4" w:type="dxa"/>
            <w:noWrap w:val="0"/>
            <w:vAlign w:val="center"/>
          </w:tcPr>
          <w:p w14:paraId="50418B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r>
      <w:tr w14:paraId="4B01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0A4CF16C">
            <w:pPr>
              <w:pStyle w:val="61"/>
              <w:keepNext w:val="0"/>
              <w:keepLines w:val="0"/>
              <w:pageBreakBefore w:val="0"/>
              <w:widowControl w:val="0"/>
              <w:shd w:val="clear" w:color="auto" w:fill="auto"/>
              <w:kinsoku/>
              <w:wordWrap w:val="0"/>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eastAsia="zh-CN"/>
              </w:rPr>
              <w:t>退役期</w:t>
            </w:r>
          </w:p>
        </w:tc>
        <w:tc>
          <w:tcPr>
            <w:tcW w:w="1044" w:type="dxa"/>
            <w:noWrap w:val="0"/>
            <w:vAlign w:val="center"/>
          </w:tcPr>
          <w:p w14:paraId="23FE5F6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1079" w:type="dxa"/>
            <w:noWrap w:val="0"/>
            <w:vAlign w:val="center"/>
          </w:tcPr>
          <w:p w14:paraId="326E490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1081" w:type="dxa"/>
            <w:noWrap w:val="0"/>
            <w:vAlign w:val="center"/>
          </w:tcPr>
          <w:p w14:paraId="46E7D78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677" w:type="dxa"/>
            <w:noWrap w:val="0"/>
            <w:vAlign w:val="center"/>
          </w:tcPr>
          <w:p w14:paraId="54CC96C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856" w:type="dxa"/>
            <w:noWrap w:val="0"/>
            <w:vAlign w:val="center"/>
          </w:tcPr>
          <w:p w14:paraId="5A0EDF3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8" w:type="dxa"/>
            <w:noWrap w:val="0"/>
            <w:vAlign w:val="center"/>
          </w:tcPr>
          <w:p w14:paraId="21EA69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8" w:type="dxa"/>
            <w:noWrap w:val="0"/>
            <w:vAlign w:val="center"/>
          </w:tcPr>
          <w:p w14:paraId="3C7DD16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c>
          <w:tcPr>
            <w:tcW w:w="944" w:type="dxa"/>
            <w:noWrap w:val="0"/>
            <w:vAlign w:val="center"/>
          </w:tcPr>
          <w:p w14:paraId="0FE42E9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w:t>
            </w:r>
          </w:p>
        </w:tc>
      </w:tr>
      <w:tr w14:paraId="317B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noWrap w:val="0"/>
            <w:vAlign w:val="center"/>
          </w:tcPr>
          <w:p w14:paraId="26C9B9E4">
            <w:pPr>
              <w:pStyle w:val="61"/>
              <w:keepNext w:val="0"/>
              <w:keepLines w:val="0"/>
              <w:pageBreakBefore w:val="0"/>
              <w:shd w:val="clear" w:color="auto" w:fill="auto"/>
              <w:kinsoku/>
              <w:overflowPunct/>
              <w:topLinePunct w:val="0"/>
              <w:bidi w:val="0"/>
              <w:spacing w:line="400" w:lineRule="exact"/>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注：在可能产生的土壤影响类型</w:t>
            </w:r>
            <w:r>
              <w:rPr>
                <w:rFonts w:hint="default" w:ascii="Times New Roman" w:hAnsi="Times New Roman" w:cs="Times New Roman"/>
                <w:color w:val="auto"/>
                <w:kern w:val="0"/>
                <w:sz w:val="21"/>
                <w:szCs w:val="21"/>
                <w:highlight w:val="none"/>
                <w:lang w:eastAsia="zh-CN"/>
              </w:rPr>
              <w:t>处</w:t>
            </w:r>
            <w:r>
              <w:rPr>
                <w:rFonts w:hint="default" w:ascii="Times New Roman" w:hAnsi="Times New Roman" w:cs="Times New Roman"/>
                <w:color w:val="auto"/>
                <w:kern w:val="0"/>
                <w:sz w:val="21"/>
                <w:szCs w:val="21"/>
                <w:highlight w:val="none"/>
              </w:rPr>
              <w:t>打“√”，列表未涵盖的可自行设计。</w:t>
            </w:r>
          </w:p>
        </w:tc>
      </w:tr>
    </w:tbl>
    <w:p w14:paraId="6289314C">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2" w:firstLineChars="200"/>
        <w:jc w:val="both"/>
        <w:textAlignment w:val="auto"/>
        <w:rPr>
          <w:rFonts w:hint="eastAsia" w:ascii="Times New Roman" w:hAnsi="Times New Roman" w:eastAsia="宋体" w:cs="Times New Roman"/>
          <w:b/>
          <w:bCs/>
          <w:color w:val="auto"/>
          <w:kern w:val="2"/>
          <w:sz w:val="24"/>
          <w:szCs w:val="22"/>
          <w:highlight w:val="none"/>
          <w:lang w:eastAsia="zh-CN"/>
        </w:rPr>
      </w:pPr>
      <w:r>
        <w:rPr>
          <w:rFonts w:hint="eastAsia" w:ascii="Times New Roman" w:hAnsi="Times New Roman" w:eastAsia="宋体" w:cs="Times New Roman"/>
          <w:b/>
          <w:bCs/>
          <w:color w:val="auto"/>
          <w:kern w:val="2"/>
          <w:sz w:val="24"/>
          <w:szCs w:val="22"/>
          <w:highlight w:val="none"/>
          <w:lang w:eastAsia="zh-CN"/>
        </w:rPr>
        <w:t>（</w:t>
      </w:r>
      <w:r>
        <w:rPr>
          <w:rFonts w:hint="eastAsia" w:ascii="Times New Roman" w:hAnsi="Times New Roman" w:eastAsia="宋体" w:cs="Times New Roman"/>
          <w:b/>
          <w:bCs/>
          <w:color w:val="auto"/>
          <w:kern w:val="2"/>
          <w:sz w:val="24"/>
          <w:szCs w:val="22"/>
          <w:highlight w:val="none"/>
          <w:lang w:val="en-US" w:eastAsia="zh-CN"/>
        </w:rPr>
        <w:t>3</w:t>
      </w:r>
      <w:r>
        <w:rPr>
          <w:rFonts w:hint="eastAsia" w:ascii="Times New Roman" w:hAnsi="Times New Roman" w:eastAsia="宋体" w:cs="Times New Roman"/>
          <w:b/>
          <w:bCs/>
          <w:color w:val="auto"/>
          <w:kern w:val="2"/>
          <w:sz w:val="24"/>
          <w:szCs w:val="22"/>
          <w:highlight w:val="none"/>
          <w:lang w:eastAsia="zh-CN"/>
        </w:rPr>
        <w:t>）影响源及影响因子</w:t>
      </w:r>
    </w:p>
    <w:p w14:paraId="7B42517C">
      <w:pPr>
        <w:spacing w:line="360" w:lineRule="auto"/>
        <w:ind w:firstLine="480" w:firstLineChars="200"/>
        <w:rPr>
          <w:rFonts w:hint="eastAsia"/>
          <w:color w:val="auto"/>
          <w:sz w:val="24"/>
          <w:szCs w:val="24"/>
          <w:highlight w:val="none"/>
          <w:lang w:val="en-US" w:eastAsia="zh-CN" w:bidi="ar"/>
        </w:rPr>
      </w:pPr>
      <w:r>
        <w:rPr>
          <w:rFonts w:hint="eastAsia"/>
          <w:color w:val="auto"/>
          <w:sz w:val="24"/>
          <w:szCs w:val="24"/>
          <w:highlight w:val="none"/>
          <w:lang w:val="en-US" w:eastAsia="zh-CN" w:bidi="ar"/>
        </w:rPr>
        <w:t>①污染影响型</w:t>
      </w:r>
    </w:p>
    <w:p w14:paraId="050C391D">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本</w:t>
      </w:r>
      <w:r>
        <w:rPr>
          <w:rFonts w:hint="eastAsia"/>
          <w:color w:val="auto"/>
          <w:sz w:val="24"/>
          <w:szCs w:val="24"/>
          <w:highlight w:val="none"/>
          <w:lang w:val="en-US" w:eastAsia="zh-CN" w:bidi="ar"/>
        </w:rPr>
        <w:t>工程</w:t>
      </w:r>
      <w:r>
        <w:rPr>
          <w:rFonts w:hint="default"/>
          <w:color w:val="auto"/>
          <w:sz w:val="24"/>
          <w:szCs w:val="24"/>
          <w:highlight w:val="none"/>
          <w:lang w:val="en-US" w:eastAsia="zh-CN" w:bidi="ar"/>
        </w:rPr>
        <w:t>输送介质为油气混合物，管线连接处破裂时，油类物质可能会下渗到土壤中，造成一定的影响。因此本评价选取石油烃作为代表性污染物进行预测。本</w:t>
      </w:r>
      <w:r>
        <w:rPr>
          <w:rFonts w:hint="eastAsia"/>
          <w:color w:val="auto"/>
          <w:sz w:val="24"/>
          <w:szCs w:val="24"/>
          <w:highlight w:val="none"/>
          <w:lang w:val="en-US" w:eastAsia="zh-CN" w:bidi="ar"/>
        </w:rPr>
        <w:t>工程</w:t>
      </w:r>
      <w:r>
        <w:rPr>
          <w:rFonts w:hint="default"/>
          <w:color w:val="auto"/>
          <w:sz w:val="24"/>
          <w:szCs w:val="24"/>
          <w:highlight w:val="none"/>
          <w:lang w:val="en-US" w:eastAsia="zh-CN" w:bidi="ar"/>
        </w:rPr>
        <w:t>土壤环境影响源及影响因子识别结果参见表5.6-2。</w:t>
      </w:r>
    </w:p>
    <w:p w14:paraId="6BAA6BC6">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b w:val="0"/>
          <w:bCs/>
          <w:color w:val="auto"/>
          <w:szCs w:val="18"/>
          <w:highlight w:val="none"/>
        </w:rPr>
      </w:pPr>
    </w:p>
    <w:p w14:paraId="518C9C16">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b w:val="0"/>
          <w:bCs/>
          <w:color w:val="auto"/>
          <w:szCs w:val="18"/>
          <w:highlight w:val="none"/>
        </w:rPr>
      </w:pPr>
      <w:r>
        <w:rPr>
          <w:rFonts w:hint="default" w:ascii="Times New Roman" w:hAnsi="Times New Roman" w:cs="Times New Roman"/>
          <w:b w:val="0"/>
          <w:bCs/>
          <w:color w:val="auto"/>
          <w:szCs w:val="18"/>
          <w:highlight w:val="none"/>
        </w:rPr>
        <w:t>表5.6-2</w:t>
      </w:r>
      <w:r>
        <w:rPr>
          <w:rFonts w:hint="eastAsia" w:cs="Times New Roman"/>
          <w:b w:val="0"/>
          <w:bCs/>
          <w:color w:val="auto"/>
          <w:szCs w:val="18"/>
          <w:highlight w:val="none"/>
          <w:lang w:val="en-US" w:eastAsia="zh-CN"/>
        </w:rPr>
        <w:t xml:space="preserve">  </w:t>
      </w:r>
      <w:r>
        <w:rPr>
          <w:rFonts w:hint="default" w:ascii="Times New Roman" w:hAnsi="Times New Roman" w:cs="Times New Roman"/>
          <w:b w:val="0"/>
          <w:bCs/>
          <w:color w:val="auto"/>
          <w:szCs w:val="18"/>
          <w:highlight w:val="none"/>
        </w:rPr>
        <w:t>污染影响型建设项目土壤环境影响源及影响因子识别表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748"/>
        <w:gridCol w:w="1749"/>
        <w:gridCol w:w="1749"/>
        <w:gridCol w:w="1750"/>
      </w:tblGrid>
      <w:tr w14:paraId="059C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noWrap w:val="0"/>
            <w:vAlign w:val="center"/>
          </w:tcPr>
          <w:p w14:paraId="7AC90E81">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污染源</w:t>
            </w:r>
          </w:p>
        </w:tc>
        <w:tc>
          <w:tcPr>
            <w:tcW w:w="1789" w:type="dxa"/>
            <w:noWrap w:val="0"/>
            <w:vAlign w:val="center"/>
          </w:tcPr>
          <w:p w14:paraId="0D6C7CFD">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工艺流程</w:t>
            </w:r>
          </w:p>
        </w:tc>
        <w:tc>
          <w:tcPr>
            <w:tcW w:w="1789" w:type="dxa"/>
            <w:noWrap w:val="0"/>
            <w:vAlign w:val="center"/>
          </w:tcPr>
          <w:p w14:paraId="2686207B">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污染途径</w:t>
            </w:r>
          </w:p>
        </w:tc>
        <w:tc>
          <w:tcPr>
            <w:tcW w:w="1789" w:type="dxa"/>
            <w:noWrap w:val="0"/>
            <w:vAlign w:val="center"/>
          </w:tcPr>
          <w:p w14:paraId="000CD5E5">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特征因子</w:t>
            </w:r>
          </w:p>
        </w:tc>
        <w:tc>
          <w:tcPr>
            <w:tcW w:w="1790" w:type="dxa"/>
            <w:noWrap w:val="0"/>
            <w:vAlign w:val="center"/>
          </w:tcPr>
          <w:p w14:paraId="3ABAC31A">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备注</w:t>
            </w:r>
          </w:p>
        </w:tc>
      </w:tr>
      <w:tr w14:paraId="091F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noWrap w:val="0"/>
            <w:vAlign w:val="center"/>
          </w:tcPr>
          <w:p w14:paraId="2DE1F80C">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输油管线</w:t>
            </w:r>
          </w:p>
        </w:tc>
        <w:tc>
          <w:tcPr>
            <w:tcW w:w="1789" w:type="dxa"/>
            <w:noWrap w:val="0"/>
            <w:vAlign w:val="center"/>
          </w:tcPr>
          <w:p w14:paraId="39A97AAD">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2"/>
                <w:sz w:val="21"/>
                <w:szCs w:val="20"/>
                <w:highlight w:val="none"/>
                <w:lang w:val="en-US" w:eastAsia="zh-CN"/>
              </w:rPr>
              <w:t>密闭集输</w:t>
            </w:r>
          </w:p>
        </w:tc>
        <w:tc>
          <w:tcPr>
            <w:tcW w:w="1789" w:type="dxa"/>
            <w:noWrap w:val="0"/>
            <w:vAlign w:val="center"/>
          </w:tcPr>
          <w:p w14:paraId="4AF58A1B">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垂直入渗</w:t>
            </w:r>
          </w:p>
        </w:tc>
        <w:tc>
          <w:tcPr>
            <w:tcW w:w="1789" w:type="dxa"/>
            <w:noWrap w:val="0"/>
            <w:vAlign w:val="center"/>
          </w:tcPr>
          <w:p w14:paraId="6112EE62">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石油类</w:t>
            </w:r>
          </w:p>
        </w:tc>
        <w:tc>
          <w:tcPr>
            <w:tcW w:w="1790" w:type="dxa"/>
            <w:noWrap w:val="0"/>
            <w:vAlign w:val="center"/>
          </w:tcPr>
          <w:p w14:paraId="57B266CE">
            <w:pPr>
              <w:pStyle w:val="61"/>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2"/>
                <w:sz w:val="21"/>
                <w:szCs w:val="20"/>
                <w:highlight w:val="none"/>
              </w:rPr>
              <w:t>事故工况</w:t>
            </w:r>
          </w:p>
        </w:tc>
      </w:tr>
    </w:tbl>
    <w:p w14:paraId="09D5D163">
      <w:pPr>
        <w:spacing w:line="360" w:lineRule="auto"/>
        <w:ind w:firstLine="480" w:firstLineChars="200"/>
        <w:rPr>
          <w:rFonts w:hint="eastAsia"/>
          <w:color w:val="auto"/>
          <w:sz w:val="24"/>
          <w:szCs w:val="24"/>
          <w:highlight w:val="none"/>
          <w:lang w:val="en-US" w:eastAsia="zh-CN" w:bidi="ar"/>
        </w:rPr>
      </w:pPr>
      <w:r>
        <w:rPr>
          <w:rFonts w:hint="eastAsia"/>
          <w:color w:val="auto"/>
          <w:sz w:val="24"/>
          <w:szCs w:val="24"/>
          <w:highlight w:val="none"/>
          <w:lang w:val="en-US" w:eastAsia="zh-CN" w:bidi="ar"/>
        </w:rPr>
        <w:t>②生态影响型</w:t>
      </w:r>
    </w:p>
    <w:p w14:paraId="6DC140D0">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考虑最不利情况，单井集输管道破裂导致其中高含盐液体进入表层土壤中，造成土壤中盐分含量有一定程度的升高。本次评价选择盐分含量作为代表性因子进行预测，见表5.6-3。</w:t>
      </w:r>
    </w:p>
    <w:p w14:paraId="4D7ECFC8">
      <w:pPr>
        <w:pStyle w:val="86"/>
        <w:keepNext w:val="0"/>
        <w:keepLines w:val="0"/>
        <w:pageBreakBefore w:val="0"/>
        <w:widowControl/>
        <w:shd w:val="clear" w:color="auto" w:fill="auto"/>
        <w:kinsoku/>
        <w:wordWrap/>
        <w:overflowPunct/>
        <w:topLinePunct w:val="0"/>
        <w:autoSpaceDE/>
        <w:autoSpaceDN/>
        <w:bidi w:val="0"/>
        <w:adjustRightInd/>
        <w:snapToGrid/>
        <w:spacing w:after="0"/>
        <w:textAlignment w:val="auto"/>
        <w:rPr>
          <w:rFonts w:hint="default" w:ascii="Times New Roman" w:hAnsi="Times New Roman" w:cs="Times New Roman"/>
          <w:b w:val="0"/>
          <w:bCs/>
          <w:color w:val="auto"/>
          <w:szCs w:val="18"/>
          <w:highlight w:val="none"/>
          <w:lang w:val="zh-CN" w:eastAsia="zh-CN"/>
        </w:rPr>
      </w:pPr>
      <w:r>
        <w:rPr>
          <w:rFonts w:hint="default" w:ascii="Times New Roman" w:hAnsi="Times New Roman" w:cs="Times New Roman"/>
          <w:b w:val="0"/>
          <w:bCs/>
          <w:color w:val="auto"/>
          <w:szCs w:val="18"/>
          <w:highlight w:val="none"/>
          <w:lang w:val="zh-CN" w:eastAsia="zh-CN"/>
        </w:rPr>
        <w:t>表5.</w:t>
      </w:r>
      <w:r>
        <w:rPr>
          <w:rFonts w:hint="default" w:ascii="Times New Roman" w:hAnsi="Times New Roman" w:cs="Times New Roman"/>
          <w:b w:val="0"/>
          <w:bCs/>
          <w:color w:val="auto"/>
          <w:szCs w:val="18"/>
          <w:highlight w:val="none"/>
          <w:lang w:val="en-US" w:eastAsia="zh-CN"/>
        </w:rPr>
        <w:t>6</w:t>
      </w:r>
      <w:r>
        <w:rPr>
          <w:rFonts w:hint="default" w:ascii="Times New Roman" w:hAnsi="Times New Roman" w:cs="Times New Roman"/>
          <w:b w:val="0"/>
          <w:bCs/>
          <w:color w:val="auto"/>
          <w:szCs w:val="18"/>
          <w:highlight w:val="none"/>
          <w:lang w:val="zh-CN" w:eastAsia="zh-CN"/>
        </w:rPr>
        <w:t>-</w:t>
      </w:r>
      <w:r>
        <w:rPr>
          <w:rFonts w:hint="default" w:ascii="Times New Roman" w:hAnsi="Times New Roman" w:cs="Times New Roman"/>
          <w:b w:val="0"/>
          <w:bCs/>
          <w:color w:val="auto"/>
          <w:szCs w:val="18"/>
          <w:highlight w:val="none"/>
          <w:lang w:val="en-US" w:eastAsia="zh-CN"/>
        </w:rPr>
        <w:t>3</w:t>
      </w:r>
      <w:r>
        <w:rPr>
          <w:rFonts w:hint="default" w:ascii="Times New Roman" w:hAnsi="Times New Roman" w:cs="Times New Roman"/>
          <w:b w:val="0"/>
          <w:bCs/>
          <w:color w:val="auto"/>
          <w:szCs w:val="18"/>
          <w:highlight w:val="none"/>
          <w:lang w:val="zh-CN" w:eastAsia="zh-CN"/>
        </w:rPr>
        <w:t>生态影响型建设项目土壤环境影响源及影响因子识别表</w:t>
      </w:r>
    </w:p>
    <w:tbl>
      <w:tblPr>
        <w:tblStyle w:val="35"/>
        <w:tblW w:w="48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748"/>
        <w:gridCol w:w="1748"/>
        <w:gridCol w:w="1749"/>
        <w:gridCol w:w="1457"/>
      </w:tblGrid>
      <w:tr w14:paraId="1C6E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34" w:type="pct"/>
            <w:noWrap w:val="0"/>
            <w:vAlign w:val="center"/>
          </w:tcPr>
          <w:p w14:paraId="23DA3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污染源</w:t>
            </w:r>
          </w:p>
        </w:tc>
        <w:tc>
          <w:tcPr>
            <w:tcW w:w="1034" w:type="pct"/>
            <w:noWrap w:val="0"/>
            <w:vAlign w:val="center"/>
          </w:tcPr>
          <w:p w14:paraId="60349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工艺流程</w:t>
            </w:r>
          </w:p>
        </w:tc>
        <w:tc>
          <w:tcPr>
            <w:tcW w:w="1034" w:type="pct"/>
            <w:noWrap w:val="0"/>
            <w:vAlign w:val="center"/>
          </w:tcPr>
          <w:p w14:paraId="5EDA10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污染途径</w:t>
            </w:r>
          </w:p>
        </w:tc>
        <w:tc>
          <w:tcPr>
            <w:tcW w:w="1034" w:type="pct"/>
            <w:noWrap w:val="0"/>
            <w:vAlign w:val="center"/>
          </w:tcPr>
          <w:p w14:paraId="254AA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特征因子</w:t>
            </w:r>
          </w:p>
        </w:tc>
        <w:tc>
          <w:tcPr>
            <w:tcW w:w="861" w:type="pct"/>
            <w:noWrap w:val="0"/>
            <w:vAlign w:val="center"/>
          </w:tcPr>
          <w:p w14:paraId="1DF0A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备注</w:t>
            </w:r>
          </w:p>
        </w:tc>
      </w:tr>
      <w:tr w14:paraId="5362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34" w:type="pct"/>
            <w:noWrap w:val="0"/>
            <w:vAlign w:val="center"/>
          </w:tcPr>
          <w:p w14:paraId="69378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单井集输管道</w:t>
            </w:r>
          </w:p>
        </w:tc>
        <w:tc>
          <w:tcPr>
            <w:tcW w:w="1034" w:type="pct"/>
            <w:noWrap w:val="0"/>
            <w:vAlign w:val="center"/>
          </w:tcPr>
          <w:p w14:paraId="23D83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eastAsia="zh-CN"/>
              </w:rPr>
            </w:pPr>
            <w:r>
              <w:rPr>
                <w:rFonts w:hint="default" w:ascii="Times New Roman" w:hAnsi="Times New Roman" w:eastAsia="宋体" w:cs="Times New Roman"/>
                <w:color w:val="auto"/>
                <w:kern w:val="2"/>
                <w:sz w:val="21"/>
                <w:szCs w:val="20"/>
                <w:highlight w:val="none"/>
                <w:lang w:val="en-US" w:eastAsia="zh-CN"/>
              </w:rPr>
              <w:t>密闭集输</w:t>
            </w:r>
          </w:p>
        </w:tc>
        <w:tc>
          <w:tcPr>
            <w:tcW w:w="1034" w:type="pct"/>
            <w:noWrap w:val="0"/>
            <w:vAlign w:val="center"/>
          </w:tcPr>
          <w:p w14:paraId="16CF8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漫流</w:t>
            </w:r>
          </w:p>
        </w:tc>
        <w:tc>
          <w:tcPr>
            <w:tcW w:w="1034" w:type="pct"/>
            <w:noWrap w:val="0"/>
            <w:vAlign w:val="center"/>
          </w:tcPr>
          <w:p w14:paraId="2A9A3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盐分含量</w:t>
            </w:r>
          </w:p>
        </w:tc>
        <w:tc>
          <w:tcPr>
            <w:tcW w:w="861" w:type="pct"/>
            <w:noWrap w:val="0"/>
            <w:vAlign w:val="center"/>
          </w:tcPr>
          <w:p w14:paraId="4C2A0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事故工况</w:t>
            </w:r>
          </w:p>
        </w:tc>
      </w:tr>
    </w:tbl>
    <w:p w14:paraId="276DEC66">
      <w:pPr>
        <w:pStyle w:val="141"/>
        <w:shd w:val="clear" w:color="auto" w:fil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5.6.2.2现状调查与评价</w:t>
      </w:r>
    </w:p>
    <w:p w14:paraId="7FDD77C9">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rPr>
      </w:pPr>
      <w:r>
        <w:rPr>
          <w:rFonts w:hint="default" w:ascii="Times New Roman" w:hAnsi="Times New Roman" w:eastAsia="宋体" w:cs="Times New Roman"/>
          <w:b/>
          <w:bCs/>
          <w:color w:val="auto"/>
          <w:kern w:val="2"/>
          <w:sz w:val="24"/>
          <w:szCs w:val="22"/>
          <w:highlight w:val="none"/>
          <w:lang w:val="en-US" w:eastAsia="zh-CN"/>
        </w:rPr>
        <w:t>（1）</w:t>
      </w:r>
      <w:r>
        <w:rPr>
          <w:rFonts w:hint="default" w:ascii="Times New Roman" w:hAnsi="Times New Roman" w:eastAsia="宋体" w:cs="Times New Roman"/>
          <w:b/>
          <w:bCs/>
          <w:color w:val="auto"/>
          <w:kern w:val="2"/>
          <w:sz w:val="24"/>
          <w:szCs w:val="22"/>
          <w:highlight w:val="none"/>
        </w:rPr>
        <w:t>调查范围</w:t>
      </w:r>
    </w:p>
    <w:p w14:paraId="37ACE46E">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根据《环境影响评价技术导则土壤环境</w:t>
      </w:r>
      <w:r>
        <w:rPr>
          <w:rFonts w:hint="default" w:ascii="Times New Roman" w:hAnsi="Times New Roman"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试行</w:t>
      </w:r>
      <w:r>
        <w:rPr>
          <w:rFonts w:hint="default" w:ascii="Times New Roman" w:hAnsi="Times New Roman"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》(HJ964-2018)，土壤污染影响型现状调查范围为各井场边界</w:t>
      </w:r>
      <w:r>
        <w:rPr>
          <w:rFonts w:hint="eastAsia" w:ascii="Times New Roman" w:hAnsi="Times New Roman" w:eastAsia="宋体" w:cs="Times New Roman"/>
          <w:color w:val="auto"/>
          <w:kern w:val="2"/>
          <w:sz w:val="24"/>
          <w:szCs w:val="22"/>
          <w:highlight w:val="none"/>
          <w:lang w:val="en-US" w:eastAsia="zh-CN"/>
        </w:rPr>
        <w:t>外扩1km</w:t>
      </w:r>
      <w:r>
        <w:rPr>
          <w:rFonts w:hint="default" w:ascii="Times New Roman" w:hAnsi="Times New Roman" w:eastAsia="宋体" w:cs="Times New Roman"/>
          <w:color w:val="auto"/>
          <w:kern w:val="2"/>
          <w:sz w:val="24"/>
          <w:szCs w:val="22"/>
          <w:highlight w:val="none"/>
        </w:rPr>
        <w:t>及管线边界两侧外扩200m范围</w:t>
      </w:r>
      <w:r>
        <w:rPr>
          <w:rFonts w:hint="default" w:ascii="Times New Roman" w:hAnsi="Times New Roman" w:eastAsia="宋体" w:cs="Times New Roman"/>
          <w:color w:val="auto"/>
          <w:kern w:val="2"/>
          <w:sz w:val="24"/>
          <w:szCs w:val="22"/>
          <w:highlight w:val="none"/>
          <w:lang w:eastAsia="zh-CN"/>
        </w:rPr>
        <w:t>；土壤生态影响型现状调查范围为各井场外</w:t>
      </w:r>
      <w:r>
        <w:rPr>
          <w:rFonts w:hint="eastAsia" w:ascii="Times New Roman" w:hAnsi="Times New Roman" w:eastAsia="宋体" w:cs="Times New Roman"/>
          <w:color w:val="auto"/>
          <w:kern w:val="2"/>
          <w:sz w:val="24"/>
          <w:szCs w:val="22"/>
          <w:highlight w:val="none"/>
          <w:lang w:val="en-US" w:eastAsia="zh-CN"/>
        </w:rPr>
        <w:t>5</w:t>
      </w:r>
      <w:r>
        <w:rPr>
          <w:rFonts w:hint="default" w:ascii="Times New Roman" w:hAnsi="Times New Roman" w:eastAsia="宋体" w:cs="Times New Roman"/>
          <w:color w:val="auto"/>
          <w:kern w:val="2"/>
          <w:sz w:val="24"/>
          <w:szCs w:val="22"/>
          <w:highlight w:val="none"/>
          <w:lang w:val="en-US" w:eastAsia="zh-CN"/>
        </w:rPr>
        <w:t>k</w:t>
      </w:r>
      <w:r>
        <w:rPr>
          <w:rFonts w:hint="default" w:ascii="Times New Roman" w:hAnsi="Times New Roman" w:eastAsia="宋体" w:cs="Times New Roman"/>
          <w:color w:val="auto"/>
          <w:kern w:val="2"/>
          <w:sz w:val="24"/>
          <w:szCs w:val="22"/>
          <w:highlight w:val="none"/>
          <w:lang w:eastAsia="zh-CN"/>
        </w:rPr>
        <w:t>m及管线边界两侧外扩200m范围</w:t>
      </w:r>
      <w:r>
        <w:rPr>
          <w:rFonts w:hint="default" w:ascii="Times New Roman" w:hAnsi="Times New Roman" w:eastAsia="宋体" w:cs="Times New Roman"/>
          <w:color w:val="auto"/>
          <w:kern w:val="2"/>
          <w:sz w:val="24"/>
          <w:szCs w:val="22"/>
          <w:highlight w:val="none"/>
        </w:rPr>
        <w:t>。</w:t>
      </w:r>
    </w:p>
    <w:p w14:paraId="700EA804">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rPr>
      </w:pPr>
      <w:r>
        <w:rPr>
          <w:rFonts w:hint="default" w:ascii="Times New Roman" w:hAnsi="Times New Roman" w:eastAsia="宋体" w:cs="Times New Roman"/>
          <w:b/>
          <w:bCs/>
          <w:color w:val="auto"/>
          <w:kern w:val="2"/>
          <w:sz w:val="24"/>
          <w:szCs w:val="22"/>
          <w:highlight w:val="none"/>
          <w:lang w:val="en-US" w:eastAsia="zh-CN"/>
        </w:rPr>
        <w:t>（2）</w:t>
      </w:r>
      <w:r>
        <w:rPr>
          <w:rFonts w:hint="default" w:ascii="Times New Roman" w:hAnsi="Times New Roman" w:eastAsia="宋体" w:cs="Times New Roman"/>
          <w:b/>
          <w:bCs/>
          <w:color w:val="auto"/>
          <w:kern w:val="2"/>
          <w:sz w:val="24"/>
          <w:szCs w:val="22"/>
          <w:highlight w:val="none"/>
        </w:rPr>
        <w:t>敏感目标</w:t>
      </w:r>
    </w:p>
    <w:p w14:paraId="51398C52">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lang w:eastAsia="zh-CN"/>
        </w:rPr>
      </w:pPr>
      <w:r>
        <w:rPr>
          <w:rFonts w:hint="default" w:ascii="Times New Roman" w:hAnsi="Times New Roman" w:eastAsia="宋体" w:cs="Times New Roman"/>
          <w:color w:val="auto"/>
          <w:kern w:val="2"/>
          <w:sz w:val="24"/>
          <w:szCs w:val="22"/>
          <w:highlight w:val="none"/>
        </w:rPr>
        <w:t>本项目将井场</w:t>
      </w:r>
      <w:r>
        <w:rPr>
          <w:rFonts w:hint="eastAsia" w:ascii="Times New Roman" w:hAnsi="Times New Roman" w:eastAsia="宋体" w:cs="Times New Roman"/>
          <w:color w:val="auto"/>
          <w:kern w:val="2"/>
          <w:sz w:val="24"/>
          <w:szCs w:val="22"/>
          <w:highlight w:val="none"/>
          <w:lang w:val="en-US" w:eastAsia="zh-CN"/>
        </w:rPr>
        <w:t>1k</w:t>
      </w:r>
      <w:r>
        <w:rPr>
          <w:rFonts w:hint="default" w:ascii="Times New Roman" w:hAnsi="Times New Roman" w:eastAsia="宋体" w:cs="Times New Roman"/>
          <w:color w:val="auto"/>
          <w:kern w:val="2"/>
          <w:sz w:val="24"/>
          <w:szCs w:val="22"/>
          <w:highlight w:val="none"/>
        </w:rPr>
        <w:t>m范围及管线两侧200m范围作为土壤环境</w:t>
      </w:r>
      <w:r>
        <w:rPr>
          <w:rFonts w:hint="default" w:ascii="Times New Roman" w:hAnsi="Times New Roman"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污染影响型</w:t>
      </w:r>
      <w:r>
        <w:rPr>
          <w:rFonts w:hint="default" w:ascii="Times New Roman" w:hAnsi="Times New Roman"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保护目标。工程所在区域土壤盐分含量较高，将井场外延</w:t>
      </w:r>
      <w:r>
        <w:rPr>
          <w:rFonts w:hint="eastAsia" w:ascii="Times New Roman" w:hAnsi="Times New Roman" w:eastAsia="宋体" w:cs="Times New Roman"/>
          <w:color w:val="auto"/>
          <w:kern w:val="2"/>
          <w:sz w:val="24"/>
          <w:szCs w:val="22"/>
          <w:highlight w:val="none"/>
          <w:lang w:val="en-US" w:eastAsia="zh-CN"/>
        </w:rPr>
        <w:t>5</w:t>
      </w:r>
      <w:r>
        <w:rPr>
          <w:rFonts w:hint="default" w:ascii="Times New Roman" w:hAnsi="Times New Roman" w:eastAsia="宋体" w:cs="Times New Roman"/>
          <w:color w:val="auto"/>
          <w:kern w:val="2"/>
          <w:sz w:val="24"/>
          <w:szCs w:val="22"/>
          <w:highlight w:val="none"/>
          <w:lang w:val="en-US" w:eastAsia="zh-CN"/>
        </w:rPr>
        <w:t>k</w:t>
      </w:r>
      <w:r>
        <w:rPr>
          <w:rFonts w:hint="default" w:ascii="Times New Roman" w:hAnsi="Times New Roman" w:eastAsia="宋体" w:cs="Times New Roman"/>
          <w:color w:val="auto"/>
          <w:kern w:val="2"/>
          <w:sz w:val="24"/>
          <w:szCs w:val="22"/>
          <w:highlight w:val="none"/>
        </w:rPr>
        <w:t>m范围及管线两侧200m范围的土壤作为土壤环境</w:t>
      </w:r>
      <w:r>
        <w:rPr>
          <w:rFonts w:hint="default" w:ascii="Times New Roman" w:hAnsi="Times New Roman"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生态影响型</w:t>
      </w:r>
      <w:r>
        <w:rPr>
          <w:rFonts w:hint="default" w:ascii="Times New Roman" w:hAnsi="Times New Roman"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保护目标</w:t>
      </w:r>
      <w:r>
        <w:rPr>
          <w:rFonts w:hint="default" w:ascii="Times New Roman" w:hAnsi="Times New Roman" w:eastAsia="宋体" w:cs="Times New Roman"/>
          <w:color w:val="auto"/>
          <w:kern w:val="2"/>
          <w:sz w:val="24"/>
          <w:szCs w:val="22"/>
          <w:highlight w:val="none"/>
          <w:lang w:eastAsia="zh-CN"/>
        </w:rPr>
        <w:t>。</w:t>
      </w:r>
    </w:p>
    <w:p w14:paraId="46FC68C6">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lang w:val="en-US" w:eastAsia="zh-CN"/>
        </w:rPr>
      </w:pPr>
      <w:r>
        <w:rPr>
          <w:rFonts w:hint="default" w:ascii="Times New Roman" w:hAnsi="Times New Roman" w:eastAsia="宋体" w:cs="Times New Roman"/>
          <w:b/>
          <w:bCs/>
          <w:color w:val="auto"/>
          <w:kern w:val="2"/>
          <w:sz w:val="24"/>
          <w:szCs w:val="22"/>
          <w:highlight w:val="none"/>
          <w:lang w:eastAsia="zh-CN"/>
        </w:rPr>
        <w:t>（</w:t>
      </w:r>
      <w:r>
        <w:rPr>
          <w:rFonts w:hint="default" w:ascii="Times New Roman" w:hAnsi="Times New Roman" w:eastAsia="宋体" w:cs="Times New Roman"/>
          <w:b/>
          <w:bCs/>
          <w:color w:val="auto"/>
          <w:kern w:val="2"/>
          <w:sz w:val="24"/>
          <w:szCs w:val="22"/>
          <w:highlight w:val="none"/>
          <w:lang w:val="en-US" w:eastAsia="zh-CN"/>
        </w:rPr>
        <w:t>3</w:t>
      </w:r>
      <w:r>
        <w:rPr>
          <w:rFonts w:hint="default" w:ascii="Times New Roman" w:hAnsi="Times New Roman" w:eastAsia="宋体" w:cs="Times New Roman"/>
          <w:b/>
          <w:bCs/>
          <w:color w:val="auto"/>
          <w:kern w:val="2"/>
          <w:sz w:val="24"/>
          <w:szCs w:val="22"/>
          <w:highlight w:val="none"/>
          <w:lang w:eastAsia="zh-CN"/>
        </w:rPr>
        <w:t>）</w:t>
      </w:r>
      <w:r>
        <w:rPr>
          <w:rFonts w:hint="default" w:ascii="Times New Roman" w:hAnsi="Times New Roman" w:eastAsia="宋体" w:cs="Times New Roman"/>
          <w:b/>
          <w:bCs/>
          <w:color w:val="auto"/>
          <w:kern w:val="2"/>
          <w:sz w:val="24"/>
          <w:szCs w:val="22"/>
          <w:highlight w:val="none"/>
          <w:lang w:val="en-US" w:eastAsia="zh-CN"/>
        </w:rPr>
        <w:t>土壤类型</w:t>
      </w:r>
    </w:p>
    <w:p w14:paraId="33E24018">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lang w:eastAsia="zh-CN"/>
        </w:rPr>
      </w:pPr>
      <w:r>
        <w:rPr>
          <w:rFonts w:hint="default" w:ascii="Times New Roman" w:hAnsi="Times New Roman" w:eastAsia="宋体" w:cs="Times New Roman"/>
          <w:color w:val="auto"/>
          <w:kern w:val="2"/>
          <w:sz w:val="24"/>
          <w:szCs w:val="22"/>
          <w:highlight w:val="none"/>
          <w:lang w:eastAsia="zh-CN"/>
        </w:rPr>
        <w:t>根据现场调查结果，</w:t>
      </w:r>
      <w:r>
        <w:rPr>
          <w:rFonts w:hint="default" w:ascii="Times New Roman" w:hAnsi="Times New Roman" w:eastAsia="宋体" w:cs="Times New Roman"/>
          <w:color w:val="auto"/>
          <w:kern w:val="2"/>
          <w:sz w:val="24"/>
          <w:szCs w:val="22"/>
          <w:highlight w:val="none"/>
          <w:lang w:val="en-US" w:eastAsia="zh-CN"/>
        </w:rPr>
        <w:t>项目</w:t>
      </w:r>
      <w:r>
        <w:rPr>
          <w:rFonts w:hint="eastAsia" w:cs="Times New Roman"/>
          <w:color w:val="auto"/>
          <w:kern w:val="2"/>
          <w:sz w:val="24"/>
          <w:szCs w:val="22"/>
          <w:highlight w:val="none"/>
          <w:lang w:val="en-US" w:eastAsia="zh-CN"/>
        </w:rPr>
        <w:t>占地范围内</w:t>
      </w:r>
      <w:r>
        <w:rPr>
          <w:rFonts w:hint="default" w:ascii="Times New Roman" w:hAnsi="Times New Roman" w:eastAsia="宋体" w:cs="Times New Roman"/>
          <w:color w:val="auto"/>
          <w:kern w:val="2"/>
          <w:sz w:val="24"/>
          <w:szCs w:val="22"/>
          <w:highlight w:val="none"/>
          <w:lang w:val="en-US" w:eastAsia="zh-CN"/>
        </w:rPr>
        <w:t>土壤类型主要为</w:t>
      </w:r>
      <w:r>
        <w:rPr>
          <w:rFonts w:hint="eastAsia" w:ascii="Times New Roman" w:hAnsi="Times New Roman" w:eastAsia="宋体" w:cs="Times New Roman"/>
          <w:color w:val="auto"/>
          <w:kern w:val="2"/>
          <w:sz w:val="24"/>
          <w:szCs w:val="22"/>
          <w:highlight w:val="none"/>
          <w:lang w:val="en-US" w:eastAsia="zh-CN"/>
        </w:rPr>
        <w:t>草甸土</w:t>
      </w:r>
      <w:r>
        <w:rPr>
          <w:rFonts w:hint="eastAsia" w:cs="Times New Roman"/>
          <w:color w:val="auto"/>
          <w:kern w:val="2"/>
          <w:sz w:val="24"/>
          <w:szCs w:val="22"/>
          <w:highlight w:val="none"/>
          <w:lang w:val="en-US" w:eastAsia="zh-CN"/>
        </w:rPr>
        <w:t>和风沙土</w:t>
      </w:r>
      <w:r>
        <w:rPr>
          <w:rFonts w:hint="default" w:ascii="Times New Roman" w:hAnsi="Times New Roman" w:eastAsia="宋体" w:cs="Times New Roman"/>
          <w:color w:val="auto"/>
          <w:kern w:val="2"/>
          <w:sz w:val="24"/>
          <w:szCs w:val="22"/>
          <w:highlight w:val="none"/>
          <w:lang w:val="en-US" w:eastAsia="zh-CN"/>
        </w:rPr>
        <w:t>。</w:t>
      </w:r>
    </w:p>
    <w:p w14:paraId="55C637DF">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lang w:eastAsia="zh-CN"/>
        </w:rPr>
      </w:pPr>
      <w:r>
        <w:rPr>
          <w:rFonts w:hint="default" w:ascii="Times New Roman" w:hAnsi="Times New Roman" w:eastAsia="宋体" w:cs="Times New Roman"/>
          <w:b/>
          <w:bCs/>
          <w:color w:val="auto"/>
          <w:kern w:val="2"/>
          <w:sz w:val="24"/>
          <w:szCs w:val="22"/>
          <w:highlight w:val="none"/>
          <w:lang w:eastAsia="zh-CN"/>
        </w:rPr>
        <w:t>（</w:t>
      </w:r>
      <w:r>
        <w:rPr>
          <w:rFonts w:hint="default" w:ascii="Times New Roman" w:hAnsi="Times New Roman" w:eastAsia="宋体" w:cs="Times New Roman"/>
          <w:b/>
          <w:bCs/>
          <w:color w:val="auto"/>
          <w:kern w:val="2"/>
          <w:sz w:val="24"/>
          <w:szCs w:val="22"/>
          <w:highlight w:val="none"/>
          <w:lang w:val="en-US" w:eastAsia="zh-CN"/>
        </w:rPr>
        <w:t>4</w:t>
      </w:r>
      <w:r>
        <w:rPr>
          <w:rFonts w:hint="default" w:ascii="Times New Roman" w:hAnsi="Times New Roman" w:eastAsia="宋体" w:cs="Times New Roman"/>
          <w:b/>
          <w:bCs/>
          <w:color w:val="auto"/>
          <w:kern w:val="2"/>
          <w:sz w:val="24"/>
          <w:szCs w:val="22"/>
          <w:highlight w:val="none"/>
          <w:lang w:eastAsia="zh-CN"/>
        </w:rPr>
        <w:t>）土地利用历史</w:t>
      </w:r>
    </w:p>
    <w:p w14:paraId="7CEB60A1">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lang w:eastAsia="zh-CN"/>
        </w:rPr>
      </w:pPr>
      <w:r>
        <w:rPr>
          <w:rFonts w:hint="default" w:ascii="Times New Roman" w:hAnsi="Times New Roman" w:eastAsia="宋体" w:cs="Times New Roman"/>
          <w:color w:val="auto"/>
          <w:kern w:val="2"/>
          <w:sz w:val="24"/>
          <w:szCs w:val="22"/>
          <w:highlight w:val="none"/>
          <w:lang w:eastAsia="zh-CN"/>
        </w:rPr>
        <w:t>根据调查，项目区域建设之前</w:t>
      </w:r>
      <w:r>
        <w:rPr>
          <w:rFonts w:hint="default" w:ascii="Times New Roman" w:hAnsi="Times New Roman" w:eastAsia="宋体" w:cs="Times New Roman"/>
          <w:color w:val="auto"/>
          <w:kern w:val="2"/>
          <w:sz w:val="24"/>
          <w:szCs w:val="22"/>
          <w:highlight w:val="none"/>
          <w:lang w:val="en-US" w:eastAsia="zh-CN"/>
        </w:rPr>
        <w:t>均为未利用地，目前</w:t>
      </w:r>
      <w:r>
        <w:rPr>
          <w:rFonts w:hint="default" w:ascii="Times New Roman" w:hAnsi="Times New Roman" w:eastAsia="宋体" w:cs="Times New Roman"/>
          <w:color w:val="auto"/>
          <w:kern w:val="2"/>
          <w:sz w:val="24"/>
          <w:szCs w:val="22"/>
          <w:highlight w:val="none"/>
          <w:lang w:eastAsia="zh-CN"/>
        </w:rPr>
        <w:t>局部区域已受到油田开发的扰动和影响</w:t>
      </w:r>
      <w:r>
        <w:rPr>
          <w:rFonts w:hint="default" w:ascii="Times New Roman" w:hAnsi="Times New Roman" w:eastAsia="宋体" w:cs="Times New Roman"/>
          <w:color w:val="auto"/>
          <w:kern w:val="2"/>
          <w:sz w:val="24"/>
          <w:szCs w:val="22"/>
          <w:highlight w:val="none"/>
          <w:lang w:val="en-US" w:eastAsia="zh-CN"/>
        </w:rPr>
        <w:t>逐步变更为以油气开采为主要功能的建设用地</w:t>
      </w:r>
      <w:r>
        <w:rPr>
          <w:rFonts w:hint="default" w:ascii="Times New Roman" w:hAnsi="Times New Roman" w:eastAsia="宋体" w:cs="Times New Roman"/>
          <w:color w:val="auto"/>
          <w:kern w:val="2"/>
          <w:sz w:val="24"/>
          <w:szCs w:val="22"/>
          <w:highlight w:val="none"/>
          <w:lang w:eastAsia="zh-CN"/>
        </w:rPr>
        <w:t>。</w:t>
      </w:r>
    </w:p>
    <w:p w14:paraId="5E37CAFD">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lang w:eastAsia="zh-CN"/>
        </w:rPr>
      </w:pPr>
      <w:r>
        <w:rPr>
          <w:rFonts w:hint="default" w:ascii="Times New Roman" w:hAnsi="Times New Roman" w:eastAsia="宋体" w:cs="Times New Roman"/>
          <w:b/>
          <w:bCs/>
          <w:color w:val="auto"/>
          <w:kern w:val="2"/>
          <w:sz w:val="24"/>
          <w:szCs w:val="22"/>
          <w:highlight w:val="none"/>
          <w:lang w:eastAsia="zh-CN"/>
        </w:rPr>
        <w:t>（</w:t>
      </w:r>
      <w:r>
        <w:rPr>
          <w:rFonts w:hint="eastAsia" w:ascii="Times New Roman" w:hAnsi="Times New Roman" w:eastAsia="宋体" w:cs="Times New Roman"/>
          <w:b/>
          <w:bCs/>
          <w:color w:val="auto"/>
          <w:kern w:val="2"/>
          <w:sz w:val="24"/>
          <w:szCs w:val="22"/>
          <w:highlight w:val="none"/>
          <w:lang w:val="en-US" w:eastAsia="zh-CN"/>
        </w:rPr>
        <w:t>5</w:t>
      </w:r>
      <w:r>
        <w:rPr>
          <w:rFonts w:hint="default" w:ascii="Times New Roman" w:hAnsi="Times New Roman" w:eastAsia="宋体" w:cs="Times New Roman"/>
          <w:b/>
          <w:bCs/>
          <w:color w:val="auto"/>
          <w:kern w:val="2"/>
          <w:sz w:val="24"/>
          <w:szCs w:val="22"/>
          <w:highlight w:val="none"/>
          <w:lang w:eastAsia="zh-CN"/>
        </w:rPr>
        <w:t>）土壤理化性质调查</w:t>
      </w:r>
    </w:p>
    <w:p w14:paraId="6F0A10CB">
      <w:pPr>
        <w:widowControl w:val="0"/>
        <w:adjustRightInd w:val="0"/>
        <w:snapToGrid w:val="0"/>
        <w:spacing w:line="360" w:lineRule="auto"/>
        <w:ind w:firstLine="480"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kern w:val="2"/>
          <w:sz w:val="24"/>
          <w:szCs w:val="22"/>
          <w:highlight w:val="none"/>
          <w:lang w:eastAsia="zh-CN"/>
        </w:rPr>
        <w:t>土壤理化性质调查</w:t>
      </w:r>
      <w:r>
        <w:rPr>
          <w:rFonts w:hint="default" w:ascii="Times New Roman" w:hAnsi="Times New Roman" w:eastAsia="宋体" w:cs="Times New Roman"/>
          <w:color w:val="auto"/>
          <w:kern w:val="2"/>
          <w:sz w:val="24"/>
          <w:szCs w:val="22"/>
          <w:highlight w:val="none"/>
          <w:lang w:val="en-US" w:eastAsia="zh-CN"/>
        </w:rPr>
        <w:t>详见4.</w:t>
      </w:r>
      <w:r>
        <w:rPr>
          <w:rFonts w:hint="eastAsia" w:ascii="Times New Roman" w:hAnsi="Times New Roman" w:eastAsia="宋体" w:cs="Times New Roman"/>
          <w:color w:val="auto"/>
          <w:kern w:val="2"/>
          <w:sz w:val="24"/>
          <w:szCs w:val="22"/>
          <w:highlight w:val="none"/>
          <w:lang w:val="en-US" w:eastAsia="zh-CN"/>
        </w:rPr>
        <w:t>4</w:t>
      </w:r>
      <w:r>
        <w:rPr>
          <w:rFonts w:hint="default" w:ascii="Times New Roman" w:hAnsi="Times New Roman" w:eastAsia="宋体" w:cs="Times New Roman"/>
          <w:color w:val="auto"/>
          <w:kern w:val="2"/>
          <w:sz w:val="24"/>
          <w:szCs w:val="22"/>
          <w:highlight w:val="none"/>
          <w:lang w:val="en-US" w:eastAsia="zh-CN"/>
        </w:rPr>
        <w:t>.2章节。</w:t>
      </w:r>
    </w:p>
    <w:p w14:paraId="6F2A2DA1">
      <w:pPr>
        <w:pStyle w:val="141"/>
        <w:shd w:val="clear" w:color="auto" w:fil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5.6.2.3土壤环境影响</w:t>
      </w:r>
      <w:r>
        <w:rPr>
          <w:rFonts w:hint="eastAsia" w:cs="Times New Roman"/>
          <w:color w:val="auto"/>
          <w:highlight w:val="none"/>
          <w:lang w:val="en-US" w:eastAsia="zh-CN"/>
        </w:rPr>
        <w:t>评价</w:t>
      </w:r>
    </w:p>
    <w:p w14:paraId="3FF352DF">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正常工况下土壤环境影响分析</w:t>
      </w:r>
    </w:p>
    <w:p w14:paraId="05F8148E">
      <w:pPr>
        <w:pStyle w:val="75"/>
        <w:keepNext w:val="0"/>
        <w:keepLines w:val="0"/>
        <w:pageBreakBefore w:val="0"/>
        <w:widowControl/>
        <w:shd w:val="clear" w:color="auto" w:fill="auto"/>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本</w:t>
      </w:r>
      <w:r>
        <w:rPr>
          <w:rFonts w:hint="eastAsia" w:ascii="Times New Roman" w:hAnsi="Times New Roman" w:eastAsia="宋体" w:cs="Times New Roman"/>
          <w:color w:val="auto"/>
          <w:spacing w:val="0"/>
          <w:sz w:val="24"/>
          <w:szCs w:val="24"/>
          <w:highlight w:val="none"/>
          <w:lang w:val="en-US" w:eastAsia="zh-CN"/>
        </w:rPr>
        <w:t>项目</w:t>
      </w:r>
      <w:r>
        <w:rPr>
          <w:rFonts w:hint="default" w:ascii="Times New Roman" w:hAnsi="Times New Roman" w:eastAsia="宋体" w:cs="Times New Roman"/>
          <w:color w:val="auto"/>
          <w:spacing w:val="0"/>
          <w:sz w:val="24"/>
          <w:szCs w:val="24"/>
          <w:highlight w:val="none"/>
          <w:lang w:eastAsia="zh-CN"/>
        </w:rPr>
        <w:t>污染土壤的途径主要为油气输送及处理过程中发生跑冒滴漏，渗入土壤对土壤产生影响。本</w:t>
      </w:r>
      <w:r>
        <w:rPr>
          <w:rFonts w:hint="eastAsia" w:ascii="Times New Roman" w:hAnsi="Times New Roman" w:eastAsia="宋体" w:cs="Times New Roman"/>
          <w:color w:val="auto"/>
          <w:spacing w:val="0"/>
          <w:sz w:val="24"/>
          <w:szCs w:val="24"/>
          <w:highlight w:val="none"/>
          <w:lang w:val="en-US" w:eastAsia="zh-CN"/>
        </w:rPr>
        <w:t>工程</w:t>
      </w:r>
      <w:r>
        <w:rPr>
          <w:rFonts w:hint="default" w:ascii="Times New Roman" w:hAnsi="Times New Roman" w:eastAsia="宋体" w:cs="Times New Roman"/>
          <w:color w:val="auto"/>
          <w:spacing w:val="0"/>
          <w:sz w:val="24"/>
          <w:szCs w:val="24"/>
          <w:highlight w:val="none"/>
          <w:lang w:eastAsia="zh-CN"/>
        </w:rPr>
        <w:t>生产过程中液体物料配置过程中均为全密闭管路连接，不会出现溢出和泄漏情况，实现可视可控，且在管线上做好标识，如若出现泄漏等事故情况，可及时发现，及时处理。</w:t>
      </w:r>
    </w:p>
    <w:p w14:paraId="3E9275B2">
      <w:pPr>
        <w:pStyle w:val="63"/>
        <w:keepNext w:val="0"/>
        <w:keepLines w:val="0"/>
        <w:pageBreakBefore w:val="0"/>
        <w:widowControl/>
        <w:shd w:val="clear" w:color="auto" w:fill="auto"/>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）非正常工况下土壤环境影响分析</w:t>
      </w:r>
    </w:p>
    <w:p w14:paraId="45C955C2">
      <w:pPr>
        <w:pStyle w:val="75"/>
        <w:keepNext w:val="0"/>
        <w:keepLines w:val="0"/>
        <w:pageBreakBefore w:val="0"/>
        <w:widowControl/>
        <w:shd w:val="clear" w:color="auto" w:fill="auto"/>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fldChar w:fldCharType="begin"/>
      </w:r>
      <w:r>
        <w:rPr>
          <w:rFonts w:hint="default" w:ascii="Times New Roman" w:hAnsi="Times New Roman" w:eastAsia="宋体" w:cs="Times New Roman"/>
          <w:b/>
          <w:bCs/>
          <w:color w:val="auto"/>
          <w:sz w:val="24"/>
          <w:szCs w:val="24"/>
          <w:highlight w:val="none"/>
          <w:lang w:val="en-US" w:eastAsia="zh-CN"/>
        </w:rPr>
        <w:instrText xml:space="preserve"> = 1 \* GB3 \* MERGEFORMAT </w:instrText>
      </w:r>
      <w:r>
        <w:rPr>
          <w:rFonts w:hint="default" w:ascii="Times New Roman" w:hAnsi="Times New Roman" w:eastAsia="宋体" w:cs="Times New Roman"/>
          <w:b/>
          <w:bCs/>
          <w:color w:val="auto"/>
          <w:sz w:val="24"/>
          <w:szCs w:val="24"/>
          <w:highlight w:val="none"/>
          <w:lang w:val="en-US" w:eastAsia="zh-CN"/>
        </w:rPr>
        <w:fldChar w:fldCharType="separate"/>
      </w:r>
      <w:r>
        <w:rPr>
          <w:b/>
          <w:bCs/>
          <w:color w:val="auto"/>
          <w:sz w:val="24"/>
          <w:szCs w:val="24"/>
          <w:highlight w:val="none"/>
        </w:rPr>
        <w:t>①</w:t>
      </w:r>
      <w:r>
        <w:rPr>
          <w:rFonts w:hint="default" w:ascii="Times New Roman" w:hAnsi="Times New Roman" w:eastAsia="宋体" w:cs="Times New Roman"/>
          <w:b/>
          <w:bCs/>
          <w:color w:val="auto"/>
          <w:sz w:val="24"/>
          <w:szCs w:val="24"/>
          <w:highlight w:val="none"/>
          <w:lang w:val="en-US" w:eastAsia="zh-CN"/>
        </w:rPr>
        <w:fldChar w:fldCharType="end"/>
      </w:r>
      <w:r>
        <w:rPr>
          <w:rFonts w:hint="default" w:ascii="Times New Roman" w:hAnsi="Times New Roman" w:eastAsia="宋体" w:cs="Times New Roman"/>
          <w:b/>
          <w:bCs/>
          <w:color w:val="auto"/>
          <w:sz w:val="24"/>
          <w:szCs w:val="24"/>
          <w:highlight w:val="none"/>
          <w:lang w:val="en-US" w:eastAsia="zh-CN"/>
        </w:rPr>
        <w:t>污染影响型</w:t>
      </w:r>
    </w:p>
    <w:p w14:paraId="264743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snapToGrid w:val="0"/>
          <w:color w:val="auto"/>
          <w:kern w:val="0"/>
          <w:sz w:val="24"/>
          <w:szCs w:val="24"/>
          <w:highlight w:val="none"/>
        </w:rPr>
        <w:t>综合考虑本工程</w:t>
      </w:r>
      <w:r>
        <w:rPr>
          <w:rFonts w:hint="eastAsia" w:hAnsi="宋体" w:cs="宋体"/>
          <w:snapToGrid w:val="0"/>
          <w:color w:val="auto"/>
          <w:kern w:val="0"/>
          <w:sz w:val="24"/>
          <w:szCs w:val="24"/>
          <w:highlight w:val="none"/>
          <w:lang w:val="en-US" w:eastAsia="zh-CN"/>
        </w:rPr>
        <w:t>土壤污染</w:t>
      </w:r>
      <w:r>
        <w:rPr>
          <w:rFonts w:hint="eastAsia" w:hAnsi="宋体" w:cs="宋体"/>
          <w:snapToGrid w:val="0"/>
          <w:color w:val="auto"/>
          <w:kern w:val="0"/>
          <w:sz w:val="24"/>
          <w:szCs w:val="24"/>
          <w:highlight w:val="none"/>
        </w:rPr>
        <w:t>特性及土壤特征，本次评价为事故状况下，</w:t>
      </w:r>
      <w:r>
        <w:rPr>
          <w:rFonts w:hint="eastAsia"/>
          <w:color w:val="auto"/>
          <w:sz w:val="24"/>
          <w:szCs w:val="24"/>
          <w:highlight w:val="none"/>
          <w:lang w:val="en-US" w:eastAsia="zh-CN"/>
        </w:rPr>
        <w:t>集输管线</w:t>
      </w:r>
      <w:r>
        <w:rPr>
          <w:rFonts w:hint="eastAsia" w:hAnsi="宋体" w:cs="宋体"/>
          <w:snapToGrid w:val="0"/>
          <w:color w:val="auto"/>
          <w:kern w:val="0"/>
          <w:sz w:val="24"/>
          <w:szCs w:val="24"/>
          <w:highlight w:val="none"/>
        </w:rPr>
        <w:t>出现破损泄漏的石油烃对土壤垂直下渗的污染</w:t>
      </w:r>
      <w:r>
        <w:rPr>
          <w:rFonts w:hint="eastAsia" w:hAnsi="宋体" w:cs="宋体"/>
          <w:color w:val="auto"/>
          <w:sz w:val="24"/>
          <w:szCs w:val="24"/>
          <w:highlight w:val="none"/>
        </w:rPr>
        <w:t>。</w:t>
      </w:r>
    </w:p>
    <w:p w14:paraId="5BB5E6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sz w:val="24"/>
          <w:szCs w:val="24"/>
          <w:highlight w:val="none"/>
        </w:rPr>
      </w:pPr>
      <w:r>
        <w:rPr>
          <w:rFonts w:hint="eastAsia" w:hAnsi="宋体" w:cs="宋体"/>
          <w:b/>
          <w:bCs/>
          <w:color w:val="auto"/>
          <w:sz w:val="24"/>
          <w:szCs w:val="24"/>
          <w:highlight w:val="none"/>
        </w:rPr>
        <w:t>a.垂直入渗土壤预测模型</w:t>
      </w:r>
    </w:p>
    <w:p w14:paraId="332B08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根据《环境影响评价技术导则土壤环境(试行)》(HJ964-2018)附录E中预测方法对本工程垂直入渗对区域土壤环境影响进行预测，预测公式如下：</w:t>
      </w:r>
    </w:p>
    <w:p w14:paraId="603519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(1)一维非饱和溶质垂向运移控制方程：</w:t>
      </w:r>
    </w:p>
    <w:p w14:paraId="60A18272">
      <w:pPr>
        <w:keepNext w:val="0"/>
        <w:keepLines w:val="0"/>
        <w:pageBreakBefore w:val="0"/>
        <w:widowControl w:val="0"/>
        <w:kinsoku/>
        <w:wordWrap/>
        <w:overflowPunct/>
        <w:topLinePunct w:val="0"/>
        <w:autoSpaceDE/>
        <w:autoSpaceDN/>
        <w:bidi w:val="0"/>
        <w:snapToGrid/>
        <w:spacing w:line="360" w:lineRule="auto"/>
        <w:ind w:firstLine="480" w:firstLineChars="200"/>
        <w:jc w:val="center"/>
        <w:textAlignment w:val="auto"/>
        <w:rPr>
          <w:rFonts w:hint="eastAsia" w:hAnsi="宋体" w:eastAsia="宋体"/>
          <w:color w:val="auto"/>
          <w:sz w:val="24"/>
          <w:szCs w:val="24"/>
          <w:highlight w:val="none"/>
          <w:lang w:eastAsia="zh-CN"/>
        </w:rPr>
      </w:pPr>
      <w:r>
        <w:rPr>
          <w:rFonts w:hAnsi="宋体"/>
          <w:color w:val="auto"/>
          <w:sz w:val="24"/>
          <w:szCs w:val="24"/>
          <w:highlight w:val="none"/>
        </w:rPr>
        <w:drawing>
          <wp:anchor distT="0" distB="0" distL="114300" distR="114300" simplePos="0" relativeHeight="251692032" behindDoc="0" locked="0" layoutInCell="1" allowOverlap="1">
            <wp:simplePos x="0" y="0"/>
            <wp:positionH relativeFrom="column">
              <wp:posOffset>1843405</wp:posOffset>
            </wp:positionH>
            <wp:positionV relativeFrom="paragraph">
              <wp:posOffset>102235</wp:posOffset>
            </wp:positionV>
            <wp:extent cx="1887220" cy="400685"/>
            <wp:effectExtent l="0" t="0" r="17780" b="18415"/>
            <wp:wrapNone/>
            <wp:docPr id="62" name="图片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56"/>
                    <pic:cNvPicPr>
                      <a:picLocks noChangeAspect="1"/>
                    </pic:cNvPicPr>
                  </pic:nvPicPr>
                  <pic:blipFill>
                    <a:blip r:embed="rId92"/>
                    <a:stretch>
                      <a:fillRect/>
                    </a:stretch>
                  </pic:blipFill>
                  <pic:spPr>
                    <a:xfrm>
                      <a:off x="0" y="0"/>
                      <a:ext cx="1887220" cy="400685"/>
                    </a:xfrm>
                    <a:prstGeom prst="rect">
                      <a:avLst/>
                    </a:prstGeom>
                    <a:noFill/>
                    <a:ln>
                      <a:noFill/>
                    </a:ln>
                  </pic:spPr>
                </pic:pic>
              </a:graphicData>
            </a:graphic>
          </wp:anchor>
        </w:drawing>
      </w:r>
    </w:p>
    <w:p w14:paraId="40607047">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eastAsia="黑体"/>
          <w:snapToGrid w:val="0"/>
          <w:color w:val="auto"/>
          <w:spacing w:val="0"/>
          <w:sz w:val="24"/>
          <w:szCs w:val="24"/>
          <w:highlight w:val="none"/>
        </w:rPr>
      </w:pPr>
    </w:p>
    <w:p w14:paraId="4D982BD2">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式中：c--污染物介质中的浓度，mg/L；</w:t>
      </w:r>
    </w:p>
    <w:p w14:paraId="15043E22">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D--弥散系数，m</w:t>
      </w:r>
      <w:r>
        <w:rPr>
          <w:rFonts w:hint="eastAsia" w:hAnsi="宋体" w:cs="宋体"/>
          <w:color w:val="auto"/>
          <w:sz w:val="24"/>
          <w:szCs w:val="24"/>
          <w:highlight w:val="none"/>
          <w:vertAlign w:val="superscript"/>
        </w:rPr>
        <w:t>2</w:t>
      </w:r>
      <w:r>
        <w:rPr>
          <w:rFonts w:hint="eastAsia" w:hAnsi="宋体" w:cs="宋体"/>
          <w:color w:val="auto"/>
          <w:sz w:val="24"/>
          <w:szCs w:val="24"/>
          <w:highlight w:val="none"/>
        </w:rPr>
        <w:t>/d；</w:t>
      </w:r>
    </w:p>
    <w:p w14:paraId="33630EA8">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q--渗流速度，m/d；</w:t>
      </w:r>
    </w:p>
    <w:p w14:paraId="745A0E0D">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z--沿z轴的距离，m；</w:t>
      </w:r>
    </w:p>
    <w:p w14:paraId="5C293338">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t--时间变量，d；</w:t>
      </w:r>
    </w:p>
    <w:p w14:paraId="3F841B80">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θ-土壤含水率，%。</w:t>
      </w:r>
    </w:p>
    <w:p w14:paraId="1E0550EE">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(2)初始条件</w:t>
      </w:r>
    </w:p>
    <w:p w14:paraId="11928D80">
      <w:pPr>
        <w:pStyle w:val="12"/>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eastAsia" w:hAnsi="宋体" w:eastAsia="宋体"/>
          <w:color w:val="auto"/>
          <w:sz w:val="24"/>
          <w:szCs w:val="24"/>
          <w:highlight w:val="none"/>
          <w:lang w:eastAsia="zh-CN"/>
        </w:rPr>
      </w:pPr>
      <w:r>
        <w:rPr>
          <w:rFonts w:hAnsi="宋体"/>
          <w:color w:val="auto"/>
          <w:sz w:val="24"/>
          <w:szCs w:val="24"/>
          <w:highlight w:val="none"/>
        </w:rPr>
        <w:drawing>
          <wp:anchor distT="0" distB="0" distL="114300" distR="114300" simplePos="0" relativeHeight="251693056" behindDoc="0" locked="0" layoutInCell="1" allowOverlap="1">
            <wp:simplePos x="0" y="0"/>
            <wp:positionH relativeFrom="column">
              <wp:posOffset>1152525</wp:posOffset>
            </wp:positionH>
            <wp:positionV relativeFrom="paragraph">
              <wp:posOffset>62865</wp:posOffset>
            </wp:positionV>
            <wp:extent cx="1980565" cy="200025"/>
            <wp:effectExtent l="0" t="0" r="635" b="9525"/>
            <wp:wrapNone/>
            <wp:docPr id="65" name="图片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57"/>
                    <pic:cNvPicPr>
                      <a:picLocks noChangeAspect="1"/>
                    </pic:cNvPicPr>
                  </pic:nvPicPr>
                  <pic:blipFill>
                    <a:blip r:embed="rId93"/>
                    <a:stretch>
                      <a:fillRect/>
                    </a:stretch>
                  </pic:blipFill>
                  <pic:spPr>
                    <a:xfrm>
                      <a:off x="0" y="0"/>
                      <a:ext cx="1980565" cy="200025"/>
                    </a:xfrm>
                    <a:prstGeom prst="rect">
                      <a:avLst/>
                    </a:prstGeom>
                    <a:noFill/>
                    <a:ln>
                      <a:noFill/>
                    </a:ln>
                  </pic:spPr>
                </pic:pic>
              </a:graphicData>
            </a:graphic>
          </wp:anchor>
        </w:drawing>
      </w:r>
    </w:p>
    <w:p w14:paraId="288D9BD7">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(3)边界条件</w:t>
      </w:r>
    </w:p>
    <w:p w14:paraId="362BAE5B">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第一类Dirichlet边界条件：</w:t>
      </w:r>
    </w:p>
    <w:p w14:paraId="2BA73EF6">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s="宋体"/>
          <w:color w:val="auto"/>
          <w:sz w:val="24"/>
          <w:szCs w:val="24"/>
          <w:highlight w:val="none"/>
        </w:rPr>
      </w:pPr>
      <w:r>
        <w:rPr>
          <w:rFonts w:hint="eastAsia" w:hAnsi="宋体" w:cs="宋体"/>
          <w:color w:val="auto"/>
          <w:sz w:val="24"/>
          <w:szCs w:val="24"/>
          <w:highlight w:val="none"/>
        </w:rPr>
        <w:t>①连续点源：</w:t>
      </w:r>
    </w:p>
    <w:p w14:paraId="1CD6E613">
      <w:pPr>
        <w:keepNext w:val="0"/>
        <w:keepLines w:val="0"/>
        <w:pageBreakBefore w:val="0"/>
        <w:widowControl w:val="0"/>
        <w:kinsoku/>
        <w:wordWrap/>
        <w:overflowPunct/>
        <w:topLinePunct w:val="0"/>
        <w:autoSpaceDE/>
        <w:autoSpaceDN/>
        <w:bidi w:val="0"/>
        <w:snapToGrid/>
        <w:spacing w:line="360" w:lineRule="auto"/>
        <w:ind w:firstLine="480" w:firstLineChars="200"/>
        <w:jc w:val="center"/>
        <w:textAlignment w:val="auto"/>
        <w:rPr>
          <w:rFonts w:hint="eastAsia" w:hAnsi="宋体" w:eastAsia="宋体"/>
          <w:color w:val="auto"/>
          <w:sz w:val="24"/>
          <w:szCs w:val="24"/>
          <w:highlight w:val="none"/>
          <w:lang w:eastAsia="zh-CN"/>
        </w:rPr>
      </w:pPr>
      <w:r>
        <w:rPr>
          <w:rFonts w:hAnsi="宋体"/>
          <w:color w:val="auto"/>
          <w:sz w:val="24"/>
          <w:szCs w:val="24"/>
          <w:highlight w:val="none"/>
        </w:rPr>
        <w:drawing>
          <wp:inline distT="0" distB="0" distL="114300" distR="114300">
            <wp:extent cx="1752600" cy="200025"/>
            <wp:effectExtent l="0" t="0" r="0" b="9525"/>
            <wp:docPr id="10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0"/>
                    <pic:cNvPicPr>
                      <a:picLocks noChangeAspect="1"/>
                    </pic:cNvPicPr>
                  </pic:nvPicPr>
                  <pic:blipFill>
                    <a:blip r:embed="rId94"/>
                    <a:stretch>
                      <a:fillRect/>
                    </a:stretch>
                  </pic:blipFill>
                  <pic:spPr>
                    <a:xfrm>
                      <a:off x="0" y="0"/>
                      <a:ext cx="1752600" cy="200025"/>
                    </a:xfrm>
                    <a:prstGeom prst="rect">
                      <a:avLst/>
                    </a:prstGeom>
                    <a:noFill/>
                    <a:ln>
                      <a:noFill/>
                    </a:ln>
                  </pic:spPr>
                </pic:pic>
              </a:graphicData>
            </a:graphic>
          </wp:inline>
        </w:drawing>
      </w:r>
    </w:p>
    <w:p w14:paraId="6EFFD98F">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color w:val="auto"/>
          <w:sz w:val="24"/>
          <w:szCs w:val="24"/>
          <w:highlight w:val="none"/>
        </w:rPr>
      </w:pPr>
      <w:r>
        <w:rPr>
          <w:rFonts w:hAnsi="宋体"/>
          <w:color w:val="auto"/>
          <w:sz w:val="24"/>
          <w:szCs w:val="24"/>
          <w:highlight w:val="none"/>
        </w:rPr>
        <w:drawing>
          <wp:anchor distT="0" distB="0" distL="114300" distR="114300" simplePos="0" relativeHeight="251694080" behindDoc="0" locked="0" layoutInCell="1" allowOverlap="1">
            <wp:simplePos x="0" y="0"/>
            <wp:positionH relativeFrom="column">
              <wp:posOffset>1740535</wp:posOffset>
            </wp:positionH>
            <wp:positionV relativeFrom="paragraph">
              <wp:posOffset>101600</wp:posOffset>
            </wp:positionV>
            <wp:extent cx="2030095" cy="400685"/>
            <wp:effectExtent l="0" t="0" r="8255" b="18415"/>
            <wp:wrapNone/>
            <wp:docPr id="5" name="图片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58"/>
                    <pic:cNvPicPr>
                      <a:picLocks noChangeAspect="1"/>
                    </pic:cNvPicPr>
                  </pic:nvPicPr>
                  <pic:blipFill>
                    <a:blip r:embed="rId95"/>
                    <a:stretch>
                      <a:fillRect/>
                    </a:stretch>
                  </pic:blipFill>
                  <pic:spPr>
                    <a:xfrm>
                      <a:off x="0" y="0"/>
                      <a:ext cx="2030095" cy="400685"/>
                    </a:xfrm>
                    <a:prstGeom prst="rect">
                      <a:avLst/>
                    </a:prstGeom>
                    <a:noFill/>
                    <a:ln>
                      <a:noFill/>
                    </a:ln>
                  </pic:spPr>
                </pic:pic>
              </a:graphicData>
            </a:graphic>
          </wp:anchor>
        </w:drawing>
      </w:r>
    </w:p>
    <w:p w14:paraId="5907A3D3">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hAnsi="宋体"/>
          <w:color w:val="auto"/>
          <w:sz w:val="24"/>
          <w:szCs w:val="24"/>
          <w:highlight w:val="none"/>
        </w:rPr>
      </w:pPr>
      <w:r>
        <w:rPr>
          <w:rFonts w:hint="eastAsia" w:hAnsi="宋体"/>
          <w:color w:val="auto"/>
          <w:sz w:val="24"/>
          <w:szCs w:val="24"/>
          <w:highlight w:val="none"/>
        </w:rPr>
        <w:t>②非连续点源：</w:t>
      </w:r>
    </w:p>
    <w:p w14:paraId="38218F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第二类Neumann零梯度边界条件：</w:t>
      </w:r>
    </w:p>
    <w:p w14:paraId="760F74F0">
      <w:pPr>
        <w:keepNext w:val="0"/>
        <w:keepLines w:val="0"/>
        <w:pageBreakBefore w:val="0"/>
        <w:widowControl w:val="0"/>
        <w:kinsoku/>
        <w:wordWrap/>
        <w:overflowPunct/>
        <w:topLinePunct w:val="0"/>
        <w:autoSpaceDE/>
        <w:autoSpaceDN/>
        <w:bidi w:val="0"/>
        <w:adjustRightInd/>
        <w:snapToGrid/>
        <w:spacing w:before="240" w:line="360" w:lineRule="auto"/>
        <w:ind w:firstLine="482" w:firstLineChars="200"/>
        <w:textAlignment w:val="auto"/>
        <w:rPr>
          <w:rFonts w:hint="eastAsia" w:hAnsi="宋体" w:cs="宋体"/>
          <w:b/>
          <w:bCs/>
          <w:color w:val="auto"/>
          <w:sz w:val="24"/>
          <w:szCs w:val="24"/>
          <w:highlight w:val="none"/>
        </w:rPr>
      </w:pPr>
    </w:p>
    <w:p w14:paraId="40F39829">
      <w:pPr>
        <w:keepNext w:val="0"/>
        <w:keepLines w:val="0"/>
        <w:pageBreakBefore w:val="0"/>
        <w:widowControl w:val="0"/>
        <w:kinsoku/>
        <w:wordWrap/>
        <w:overflowPunct/>
        <w:topLinePunct w:val="0"/>
        <w:autoSpaceDE/>
        <w:autoSpaceDN/>
        <w:bidi w:val="0"/>
        <w:adjustRightInd/>
        <w:snapToGrid/>
        <w:spacing w:before="240" w:line="360" w:lineRule="auto"/>
        <w:ind w:firstLine="482" w:firstLineChars="200"/>
        <w:textAlignment w:val="auto"/>
        <w:rPr>
          <w:rFonts w:hint="eastAsia" w:hAnsi="宋体" w:cs="宋体"/>
          <w:b/>
          <w:bCs/>
          <w:color w:val="auto"/>
          <w:sz w:val="24"/>
          <w:szCs w:val="24"/>
          <w:highlight w:val="none"/>
        </w:rPr>
      </w:pPr>
      <w:r>
        <w:rPr>
          <w:rFonts w:hAnsi="宋体"/>
          <w:b/>
          <w:bCs/>
          <w:color w:val="auto"/>
          <w:sz w:val="24"/>
          <w:szCs w:val="24"/>
          <w:highlight w:val="none"/>
        </w:rPr>
        <w:drawing>
          <wp:anchor distT="0" distB="0" distL="114300" distR="114300" simplePos="0" relativeHeight="251695104" behindDoc="0" locked="0" layoutInCell="1" allowOverlap="1">
            <wp:simplePos x="0" y="0"/>
            <wp:positionH relativeFrom="column">
              <wp:posOffset>1353185</wp:posOffset>
            </wp:positionH>
            <wp:positionV relativeFrom="paragraph">
              <wp:posOffset>-306070</wp:posOffset>
            </wp:positionV>
            <wp:extent cx="1868170" cy="400685"/>
            <wp:effectExtent l="0" t="0" r="17780" b="18415"/>
            <wp:wrapNone/>
            <wp:docPr id="8" name="图片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59"/>
                    <pic:cNvPicPr>
                      <a:picLocks noChangeAspect="1"/>
                    </pic:cNvPicPr>
                  </pic:nvPicPr>
                  <pic:blipFill>
                    <a:blip r:embed="rId96"/>
                    <a:stretch>
                      <a:fillRect/>
                    </a:stretch>
                  </pic:blipFill>
                  <pic:spPr>
                    <a:xfrm>
                      <a:off x="0" y="0"/>
                      <a:ext cx="1868170" cy="400685"/>
                    </a:xfrm>
                    <a:prstGeom prst="rect">
                      <a:avLst/>
                    </a:prstGeom>
                    <a:noFill/>
                    <a:ln>
                      <a:noFill/>
                    </a:ln>
                  </pic:spPr>
                </pic:pic>
              </a:graphicData>
            </a:graphic>
          </wp:anchor>
        </w:drawing>
      </w:r>
      <w:r>
        <w:rPr>
          <w:rFonts w:hint="eastAsia" w:hAnsi="宋体" w:cs="宋体"/>
          <w:b/>
          <w:bCs/>
          <w:color w:val="auto"/>
          <w:sz w:val="24"/>
          <w:szCs w:val="24"/>
          <w:highlight w:val="none"/>
        </w:rPr>
        <w:t>b.预测参数选取</w:t>
      </w:r>
    </w:p>
    <w:p w14:paraId="7A4A2A8D">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hAnsi="宋体"/>
          <w:color w:val="auto"/>
          <w:sz w:val="24"/>
          <w:szCs w:val="24"/>
          <w:highlight w:val="none"/>
        </w:rPr>
      </w:pPr>
      <w:r>
        <w:rPr>
          <w:rFonts w:hint="eastAsia" w:hAnsi="宋体" w:cs="宋体"/>
          <w:color w:val="auto"/>
          <w:sz w:val="24"/>
          <w:szCs w:val="24"/>
          <w:highlight w:val="none"/>
        </w:rPr>
        <w:t>根据现场土壤采样及水文地质调查结果，本</w:t>
      </w:r>
      <w:r>
        <w:rPr>
          <w:rFonts w:hint="eastAsia" w:hAnsi="宋体" w:cs="宋体"/>
          <w:color w:val="auto"/>
          <w:sz w:val="24"/>
          <w:szCs w:val="24"/>
          <w:highlight w:val="none"/>
          <w:lang w:val="en-US" w:eastAsia="zh-CN"/>
        </w:rPr>
        <w:t>项目</w:t>
      </w:r>
      <w:r>
        <w:rPr>
          <w:rFonts w:hint="eastAsia" w:hAnsi="宋体" w:cs="宋体"/>
          <w:color w:val="auto"/>
          <w:sz w:val="24"/>
          <w:szCs w:val="24"/>
          <w:highlight w:val="none"/>
        </w:rPr>
        <w:t>对</w:t>
      </w:r>
      <w:r>
        <w:rPr>
          <w:rFonts w:hint="eastAsia" w:hAnsi="宋体" w:cs="宋体"/>
          <w:color w:val="auto"/>
          <w:sz w:val="24"/>
          <w:szCs w:val="24"/>
          <w:highlight w:val="none"/>
          <w:lang w:val="en-US" w:eastAsia="zh-CN"/>
        </w:rPr>
        <w:t>TH10298CH井场</w:t>
      </w:r>
      <w:r>
        <w:rPr>
          <w:rFonts w:hint="eastAsia" w:hAnsi="宋体" w:cs="宋体"/>
          <w:color w:val="auto"/>
          <w:sz w:val="24"/>
          <w:szCs w:val="24"/>
          <w:highlight w:val="none"/>
        </w:rPr>
        <w:t>进行预测，预测模型参数取值见表5.</w:t>
      </w:r>
      <w:r>
        <w:rPr>
          <w:rFonts w:hint="eastAsia" w:hAnsi="宋体" w:cs="宋体"/>
          <w:color w:val="auto"/>
          <w:sz w:val="24"/>
          <w:szCs w:val="24"/>
          <w:highlight w:val="none"/>
          <w:lang w:val="en-US" w:eastAsia="zh-CN"/>
        </w:rPr>
        <w:t>6-4</w:t>
      </w:r>
      <w:r>
        <w:rPr>
          <w:rFonts w:hint="eastAsia" w:hAnsi="宋体" w:cs="宋体"/>
          <w:color w:val="auto"/>
          <w:sz w:val="24"/>
          <w:szCs w:val="24"/>
          <w:highlight w:val="none"/>
        </w:rPr>
        <w:t>。</w:t>
      </w:r>
    </w:p>
    <w:p w14:paraId="463D6593">
      <w:pPr>
        <w:widowControl w:val="0"/>
        <w:ind w:left="0" w:leftChars="0" w:right="0" w:rightChars="0" w:firstLine="0" w:firstLineChars="0"/>
        <w:jc w:val="center"/>
        <w:rPr>
          <w:rFonts w:hint="eastAsia" w:ascii="黑体" w:hAnsi="黑体" w:eastAsia="黑体" w:cs="黑体"/>
          <w:color w:val="auto"/>
          <w:spacing w:val="5"/>
          <w:kern w:val="2"/>
          <w:sz w:val="21"/>
          <w:szCs w:val="21"/>
          <w:highlight w:val="none"/>
          <w:lang w:val="zh-CN"/>
        </w:rPr>
      </w:pPr>
      <w:r>
        <w:rPr>
          <w:rFonts w:hint="eastAsia" w:ascii="黑体" w:hAnsi="黑体" w:eastAsia="黑体" w:cs="黑体"/>
          <w:color w:val="auto"/>
          <w:spacing w:val="5"/>
          <w:kern w:val="2"/>
          <w:sz w:val="21"/>
          <w:szCs w:val="21"/>
          <w:highlight w:val="none"/>
        </w:rPr>
        <w:t>表5.</w:t>
      </w:r>
      <w:r>
        <w:rPr>
          <w:rFonts w:hint="eastAsia" w:ascii="黑体" w:hAnsi="黑体" w:eastAsia="黑体" w:cs="黑体"/>
          <w:color w:val="auto"/>
          <w:spacing w:val="5"/>
          <w:kern w:val="2"/>
          <w:sz w:val="21"/>
          <w:szCs w:val="21"/>
          <w:highlight w:val="none"/>
          <w:lang w:val="en-US" w:eastAsia="zh-CN"/>
        </w:rPr>
        <w:t>6</w:t>
      </w:r>
      <w:r>
        <w:rPr>
          <w:rFonts w:hint="eastAsia" w:ascii="黑体" w:hAnsi="黑体" w:eastAsia="黑体" w:cs="黑体"/>
          <w:color w:val="auto"/>
          <w:spacing w:val="5"/>
          <w:kern w:val="2"/>
          <w:sz w:val="21"/>
          <w:szCs w:val="21"/>
          <w:highlight w:val="none"/>
        </w:rPr>
        <w:t xml:space="preserve">-4  </w:t>
      </w:r>
      <w:r>
        <w:rPr>
          <w:rFonts w:hint="eastAsia" w:ascii="黑体" w:hAnsi="黑体" w:eastAsia="黑体" w:cs="黑体"/>
          <w:color w:val="auto"/>
          <w:spacing w:val="5"/>
          <w:kern w:val="2"/>
          <w:sz w:val="21"/>
          <w:szCs w:val="21"/>
          <w:highlight w:val="none"/>
          <w:lang w:val="zh-CN"/>
        </w:rPr>
        <w:t xml:space="preserve"> </w:t>
      </w:r>
      <w:r>
        <w:rPr>
          <w:rFonts w:hint="eastAsia" w:ascii="黑体" w:hAnsi="黑体" w:eastAsia="黑体" w:cs="黑体"/>
          <w:color w:val="auto"/>
          <w:spacing w:val="5"/>
          <w:kern w:val="2"/>
          <w:sz w:val="21"/>
          <w:szCs w:val="21"/>
          <w:highlight w:val="none"/>
          <w:lang w:val="en-US" w:eastAsia="zh-CN"/>
        </w:rPr>
        <w:t xml:space="preserve"> </w:t>
      </w:r>
      <w:r>
        <w:rPr>
          <w:rFonts w:hint="eastAsia" w:ascii="黑体" w:hAnsi="黑体" w:eastAsia="黑体" w:cs="黑体"/>
          <w:color w:val="auto"/>
          <w:spacing w:val="5"/>
          <w:kern w:val="2"/>
          <w:sz w:val="21"/>
          <w:szCs w:val="21"/>
          <w:highlight w:val="none"/>
          <w:lang w:val="zh-CN"/>
        </w:rPr>
        <w:t>垂直入渗预测模型参数一览表</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975"/>
        <w:gridCol w:w="827"/>
        <w:gridCol w:w="1178"/>
        <w:gridCol w:w="901"/>
        <w:gridCol w:w="1452"/>
        <w:gridCol w:w="1468"/>
        <w:gridCol w:w="1780"/>
      </w:tblGrid>
      <w:tr w14:paraId="3851B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568" w:type="pct"/>
            <w:noWrap w:val="0"/>
            <w:vAlign w:val="center"/>
          </w:tcPr>
          <w:p w14:paraId="40A4F77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土壤质地</w:t>
            </w:r>
          </w:p>
        </w:tc>
        <w:tc>
          <w:tcPr>
            <w:tcW w:w="482" w:type="pct"/>
            <w:noWrap w:val="0"/>
            <w:vAlign w:val="center"/>
          </w:tcPr>
          <w:p w14:paraId="3FD9E5C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厚度</w:t>
            </w:r>
          </w:p>
          <w:p w14:paraId="4C3D1DFE">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color w:val="auto"/>
                <w:spacing w:val="-10"/>
                <w:kern w:val="2"/>
                <w:sz w:val="21"/>
                <w:szCs w:val="21"/>
                <w:highlight w:val="none"/>
                <w:lang w:eastAsia="zh-CN"/>
              </w:rPr>
            </w:pPr>
            <w:r>
              <w:rPr>
                <w:rFonts w:hint="eastAsia" w:cs="Times New Roman"/>
                <w:color w:val="auto"/>
                <w:spacing w:val="-10"/>
                <w:kern w:val="2"/>
                <w:sz w:val="21"/>
                <w:szCs w:val="21"/>
                <w:highlight w:val="none"/>
                <w:lang w:eastAsia="zh-CN"/>
              </w:rPr>
              <w:t>（</w:t>
            </w:r>
            <w:r>
              <w:rPr>
                <w:rFonts w:hint="default" w:ascii="Times New Roman" w:hAnsi="Times New Roman" w:eastAsia="宋体" w:cs="Times New Roman"/>
                <w:color w:val="auto"/>
                <w:spacing w:val="-10"/>
                <w:kern w:val="2"/>
                <w:sz w:val="21"/>
                <w:szCs w:val="21"/>
                <w:highlight w:val="none"/>
              </w:rPr>
              <w:t>m</w:t>
            </w:r>
            <w:r>
              <w:rPr>
                <w:rFonts w:hint="eastAsia" w:cs="Times New Roman"/>
                <w:color w:val="auto"/>
                <w:spacing w:val="-10"/>
                <w:kern w:val="2"/>
                <w:sz w:val="21"/>
                <w:szCs w:val="21"/>
                <w:highlight w:val="none"/>
                <w:lang w:eastAsia="zh-CN"/>
              </w:rPr>
              <w:t>）</w:t>
            </w:r>
          </w:p>
        </w:tc>
        <w:tc>
          <w:tcPr>
            <w:tcW w:w="686" w:type="pct"/>
            <w:noWrap w:val="0"/>
            <w:vAlign w:val="center"/>
          </w:tcPr>
          <w:p w14:paraId="359A8424">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渗透系数</w:t>
            </w:r>
          </w:p>
          <w:p w14:paraId="493C0D55">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color w:val="auto"/>
                <w:spacing w:val="-10"/>
                <w:kern w:val="2"/>
                <w:sz w:val="21"/>
                <w:szCs w:val="21"/>
                <w:highlight w:val="none"/>
                <w:lang w:eastAsia="zh-CN"/>
              </w:rPr>
            </w:pPr>
            <w:r>
              <w:rPr>
                <w:rFonts w:hint="eastAsia" w:cs="Times New Roman"/>
                <w:color w:val="auto"/>
                <w:spacing w:val="-10"/>
                <w:kern w:val="2"/>
                <w:sz w:val="21"/>
                <w:szCs w:val="21"/>
                <w:highlight w:val="none"/>
                <w:lang w:eastAsia="zh-CN"/>
              </w:rPr>
              <w:t>（</w:t>
            </w:r>
            <w:r>
              <w:rPr>
                <w:rFonts w:hint="default" w:ascii="Times New Roman" w:hAnsi="Times New Roman" w:eastAsia="宋体" w:cs="Times New Roman"/>
                <w:color w:val="auto"/>
                <w:spacing w:val="-10"/>
                <w:kern w:val="2"/>
                <w:sz w:val="21"/>
                <w:szCs w:val="21"/>
                <w:highlight w:val="none"/>
              </w:rPr>
              <w:t>m/d</w:t>
            </w:r>
            <w:r>
              <w:rPr>
                <w:rFonts w:hint="eastAsia" w:cs="Times New Roman"/>
                <w:color w:val="auto"/>
                <w:spacing w:val="-10"/>
                <w:kern w:val="2"/>
                <w:sz w:val="21"/>
                <w:szCs w:val="21"/>
                <w:highlight w:val="none"/>
                <w:lang w:eastAsia="zh-CN"/>
              </w:rPr>
              <w:t>）</w:t>
            </w:r>
          </w:p>
        </w:tc>
        <w:tc>
          <w:tcPr>
            <w:tcW w:w="525" w:type="pct"/>
            <w:noWrap w:val="0"/>
            <w:vAlign w:val="center"/>
          </w:tcPr>
          <w:p w14:paraId="2B6C313A">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孔隙度</w:t>
            </w:r>
          </w:p>
        </w:tc>
        <w:tc>
          <w:tcPr>
            <w:tcW w:w="846" w:type="pct"/>
            <w:noWrap w:val="0"/>
            <w:vAlign w:val="center"/>
          </w:tcPr>
          <w:p w14:paraId="203A15B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土壤含水量</w:t>
            </w:r>
          </w:p>
          <w:p w14:paraId="3B860F1D">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color w:val="auto"/>
                <w:spacing w:val="-10"/>
                <w:kern w:val="2"/>
                <w:sz w:val="21"/>
                <w:szCs w:val="21"/>
                <w:highlight w:val="none"/>
                <w:lang w:eastAsia="zh-CN"/>
              </w:rPr>
            </w:pPr>
            <w:r>
              <w:rPr>
                <w:rFonts w:hint="eastAsia" w:cs="Times New Roman"/>
                <w:color w:val="auto"/>
                <w:spacing w:val="-10"/>
                <w:kern w:val="2"/>
                <w:sz w:val="21"/>
                <w:szCs w:val="21"/>
                <w:highlight w:val="none"/>
                <w:lang w:eastAsia="zh-CN"/>
              </w:rPr>
              <w:t>（</w:t>
            </w:r>
            <w:r>
              <w:rPr>
                <w:rFonts w:hint="default" w:ascii="Times New Roman" w:hAnsi="Times New Roman" w:eastAsia="宋体" w:cs="Times New Roman"/>
                <w:color w:val="auto"/>
                <w:spacing w:val="-10"/>
                <w:kern w:val="2"/>
                <w:sz w:val="21"/>
                <w:szCs w:val="21"/>
                <w:highlight w:val="none"/>
              </w:rPr>
              <w:t>%</w:t>
            </w:r>
            <w:r>
              <w:rPr>
                <w:rFonts w:hint="eastAsia" w:cs="Times New Roman"/>
                <w:color w:val="auto"/>
                <w:spacing w:val="-10"/>
                <w:kern w:val="2"/>
                <w:sz w:val="21"/>
                <w:szCs w:val="21"/>
                <w:highlight w:val="none"/>
                <w:lang w:eastAsia="zh-CN"/>
              </w:rPr>
              <w:t>）</w:t>
            </w:r>
          </w:p>
        </w:tc>
        <w:tc>
          <w:tcPr>
            <w:tcW w:w="855" w:type="pct"/>
            <w:noWrap w:val="0"/>
            <w:vAlign w:val="center"/>
          </w:tcPr>
          <w:p w14:paraId="690E6EF9">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弥散系数</w:t>
            </w:r>
          </w:p>
          <w:p w14:paraId="657B9DCF">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color w:val="auto"/>
                <w:spacing w:val="-10"/>
                <w:kern w:val="2"/>
                <w:sz w:val="21"/>
                <w:szCs w:val="21"/>
                <w:highlight w:val="none"/>
                <w:lang w:eastAsia="zh-CN"/>
              </w:rPr>
            </w:pPr>
            <w:r>
              <w:rPr>
                <w:rFonts w:hint="eastAsia" w:cs="Times New Roman"/>
                <w:color w:val="auto"/>
                <w:spacing w:val="-10"/>
                <w:kern w:val="2"/>
                <w:sz w:val="21"/>
                <w:szCs w:val="21"/>
                <w:highlight w:val="none"/>
                <w:lang w:eastAsia="zh-CN"/>
              </w:rPr>
              <w:t>（</w:t>
            </w:r>
            <w:r>
              <w:rPr>
                <w:rFonts w:hint="default" w:ascii="Times New Roman" w:hAnsi="Times New Roman" w:eastAsia="宋体" w:cs="Times New Roman"/>
                <w:color w:val="auto"/>
                <w:spacing w:val="-10"/>
                <w:kern w:val="2"/>
                <w:sz w:val="21"/>
                <w:szCs w:val="21"/>
                <w:highlight w:val="none"/>
              </w:rPr>
              <w:t>m</w:t>
            </w:r>
            <w:r>
              <w:rPr>
                <w:rFonts w:hint="default" w:ascii="Times New Roman" w:hAnsi="Times New Roman" w:eastAsia="宋体" w:cs="Times New Roman"/>
                <w:color w:val="auto"/>
                <w:spacing w:val="-10"/>
                <w:kern w:val="2"/>
                <w:sz w:val="21"/>
                <w:szCs w:val="21"/>
                <w:highlight w:val="none"/>
                <w:vertAlign w:val="superscript"/>
              </w:rPr>
              <w:t>2</w:t>
            </w:r>
            <w:r>
              <w:rPr>
                <w:rFonts w:hint="default" w:ascii="Times New Roman" w:hAnsi="Times New Roman" w:eastAsia="宋体" w:cs="Times New Roman"/>
                <w:color w:val="auto"/>
                <w:spacing w:val="-10"/>
                <w:kern w:val="2"/>
                <w:sz w:val="21"/>
                <w:szCs w:val="21"/>
                <w:highlight w:val="none"/>
              </w:rPr>
              <w:t>/d</w:t>
            </w:r>
            <w:r>
              <w:rPr>
                <w:rFonts w:hint="eastAsia" w:cs="Times New Roman"/>
                <w:color w:val="auto"/>
                <w:spacing w:val="-10"/>
                <w:kern w:val="2"/>
                <w:sz w:val="21"/>
                <w:szCs w:val="21"/>
                <w:highlight w:val="none"/>
                <w:lang w:eastAsia="zh-CN"/>
              </w:rPr>
              <w:t>）</w:t>
            </w:r>
          </w:p>
        </w:tc>
        <w:tc>
          <w:tcPr>
            <w:tcW w:w="1036" w:type="pct"/>
            <w:noWrap w:val="0"/>
            <w:vAlign w:val="center"/>
          </w:tcPr>
          <w:p w14:paraId="4947645B">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土壤容重</w:t>
            </w:r>
            <w:r>
              <w:rPr>
                <w:rFonts w:hint="eastAsia" w:cs="Times New Roman"/>
                <w:color w:val="auto"/>
                <w:spacing w:val="-10"/>
                <w:kern w:val="2"/>
                <w:sz w:val="21"/>
                <w:szCs w:val="21"/>
                <w:highlight w:val="none"/>
                <w:lang w:eastAsia="zh-CN"/>
              </w:rPr>
              <w:t>（</w:t>
            </w:r>
            <w:r>
              <w:rPr>
                <w:rFonts w:hint="default" w:ascii="Times New Roman" w:hAnsi="Times New Roman" w:eastAsia="宋体" w:cs="Times New Roman"/>
                <w:color w:val="auto"/>
                <w:spacing w:val="-10"/>
                <w:kern w:val="2"/>
                <w:sz w:val="21"/>
                <w:szCs w:val="21"/>
                <w:highlight w:val="none"/>
              </w:rPr>
              <w:t>kg/m</w:t>
            </w:r>
            <w:r>
              <w:rPr>
                <w:rFonts w:hint="default" w:ascii="Times New Roman" w:hAnsi="Times New Roman" w:eastAsia="宋体" w:cs="Times New Roman"/>
                <w:color w:val="auto"/>
                <w:spacing w:val="-10"/>
                <w:kern w:val="2"/>
                <w:sz w:val="21"/>
                <w:szCs w:val="21"/>
                <w:highlight w:val="none"/>
                <w:vertAlign w:val="superscript"/>
              </w:rPr>
              <w:t>3</w:t>
            </w:r>
            <w:r>
              <w:rPr>
                <w:rFonts w:hint="eastAsia" w:cs="Times New Roman"/>
                <w:color w:val="auto"/>
                <w:spacing w:val="-10"/>
                <w:kern w:val="2"/>
                <w:sz w:val="21"/>
                <w:szCs w:val="21"/>
                <w:highlight w:val="none"/>
                <w:vertAlign w:val="baseline"/>
                <w:lang w:eastAsia="zh-CN"/>
              </w:rPr>
              <w:t>）</w:t>
            </w:r>
          </w:p>
        </w:tc>
      </w:tr>
      <w:tr w14:paraId="01D0D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8" w:type="pct"/>
            <w:noWrap w:val="0"/>
            <w:vAlign w:val="center"/>
          </w:tcPr>
          <w:p w14:paraId="7784FCD8">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砂土</w:t>
            </w:r>
          </w:p>
        </w:tc>
        <w:tc>
          <w:tcPr>
            <w:tcW w:w="482" w:type="pct"/>
            <w:noWrap w:val="0"/>
            <w:vAlign w:val="center"/>
          </w:tcPr>
          <w:p w14:paraId="6BF5B757">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color w:val="auto"/>
                <w:spacing w:val="-10"/>
                <w:kern w:val="2"/>
                <w:sz w:val="21"/>
                <w:szCs w:val="21"/>
                <w:highlight w:val="none"/>
                <w:lang w:eastAsia="zh-CN"/>
              </w:rPr>
            </w:pPr>
            <w:r>
              <w:rPr>
                <w:rFonts w:hint="default" w:ascii="Times New Roman" w:hAnsi="Times New Roman" w:eastAsia="宋体" w:cs="Times New Roman"/>
                <w:color w:val="auto"/>
                <w:spacing w:val="-10"/>
                <w:kern w:val="2"/>
                <w:sz w:val="21"/>
                <w:szCs w:val="21"/>
                <w:highlight w:val="none"/>
              </w:rPr>
              <w:t>1.</w:t>
            </w:r>
            <w:r>
              <w:rPr>
                <w:rFonts w:hint="eastAsia" w:ascii="Times New Roman" w:hAnsi="Times New Roman" w:eastAsia="宋体" w:cs="Times New Roman"/>
                <w:color w:val="auto"/>
                <w:spacing w:val="-10"/>
                <w:kern w:val="2"/>
                <w:sz w:val="21"/>
                <w:szCs w:val="21"/>
                <w:highlight w:val="none"/>
                <w:lang w:val="en-US" w:eastAsia="zh-CN"/>
              </w:rPr>
              <w:t>2</w:t>
            </w:r>
          </w:p>
        </w:tc>
        <w:tc>
          <w:tcPr>
            <w:tcW w:w="686" w:type="pct"/>
            <w:noWrap w:val="0"/>
            <w:vAlign w:val="center"/>
          </w:tcPr>
          <w:p w14:paraId="460EFD2F">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0.717</w:t>
            </w:r>
          </w:p>
        </w:tc>
        <w:tc>
          <w:tcPr>
            <w:tcW w:w="525" w:type="pct"/>
            <w:noWrap w:val="0"/>
            <w:vAlign w:val="center"/>
          </w:tcPr>
          <w:p w14:paraId="72AB3E4D">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lang w:val="en-US" w:eastAsia="zh-CN"/>
              </w:rPr>
            </w:pPr>
            <w:r>
              <w:rPr>
                <w:rFonts w:hint="default" w:ascii="Times New Roman" w:hAnsi="Times New Roman" w:eastAsia="宋体" w:cs="Times New Roman"/>
                <w:color w:val="auto"/>
                <w:spacing w:val="-10"/>
                <w:kern w:val="2"/>
                <w:sz w:val="21"/>
                <w:szCs w:val="21"/>
                <w:highlight w:val="none"/>
              </w:rPr>
              <w:t>0.</w:t>
            </w:r>
            <w:r>
              <w:rPr>
                <w:rFonts w:hint="eastAsia" w:ascii="Times New Roman" w:hAnsi="Times New Roman" w:eastAsia="宋体" w:cs="Times New Roman"/>
                <w:color w:val="auto"/>
                <w:spacing w:val="-10"/>
                <w:kern w:val="2"/>
                <w:sz w:val="21"/>
                <w:szCs w:val="21"/>
                <w:highlight w:val="none"/>
                <w:lang w:val="en-US" w:eastAsia="zh-CN"/>
              </w:rPr>
              <w:t>55</w:t>
            </w:r>
          </w:p>
        </w:tc>
        <w:tc>
          <w:tcPr>
            <w:tcW w:w="846" w:type="pct"/>
            <w:noWrap w:val="0"/>
            <w:vAlign w:val="center"/>
          </w:tcPr>
          <w:p w14:paraId="027CD545">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lang w:val="en-US" w:eastAsia="zh-CN"/>
              </w:rPr>
            </w:pPr>
            <w:r>
              <w:rPr>
                <w:rFonts w:hint="eastAsia" w:ascii="Times New Roman" w:hAnsi="Times New Roman" w:eastAsia="宋体" w:cs="Times New Roman"/>
                <w:color w:val="auto"/>
                <w:spacing w:val="-10"/>
                <w:kern w:val="2"/>
                <w:sz w:val="21"/>
                <w:szCs w:val="21"/>
                <w:highlight w:val="none"/>
                <w:lang w:val="en-US" w:eastAsia="zh-CN"/>
              </w:rPr>
              <w:t>11.6</w:t>
            </w:r>
          </w:p>
        </w:tc>
        <w:tc>
          <w:tcPr>
            <w:tcW w:w="855" w:type="pct"/>
            <w:noWrap w:val="0"/>
            <w:vAlign w:val="center"/>
          </w:tcPr>
          <w:p w14:paraId="3A5B1220">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1</w:t>
            </w:r>
          </w:p>
        </w:tc>
        <w:tc>
          <w:tcPr>
            <w:tcW w:w="1036" w:type="pct"/>
            <w:noWrap w:val="0"/>
            <w:vAlign w:val="center"/>
          </w:tcPr>
          <w:p w14:paraId="6F5E8472">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pacing w:val="-10"/>
                <w:kern w:val="2"/>
                <w:sz w:val="21"/>
                <w:szCs w:val="21"/>
                <w:highlight w:val="none"/>
              </w:rPr>
            </w:pPr>
            <w:r>
              <w:rPr>
                <w:rFonts w:hint="eastAsia" w:ascii="Times New Roman" w:hAnsi="Times New Roman" w:eastAsia="宋体" w:cs="Times New Roman"/>
                <w:color w:val="auto"/>
                <w:spacing w:val="-10"/>
                <w:kern w:val="2"/>
                <w:sz w:val="21"/>
                <w:szCs w:val="21"/>
                <w:highlight w:val="none"/>
                <w:lang w:val="en-US" w:eastAsia="zh-CN"/>
              </w:rPr>
              <w:t>1.2</w:t>
            </w:r>
            <w:r>
              <w:rPr>
                <w:rFonts w:hint="eastAsia" w:cs="Times New Roman"/>
                <w:color w:val="auto"/>
                <w:spacing w:val="-10"/>
                <w:kern w:val="2"/>
                <w:sz w:val="21"/>
                <w:szCs w:val="21"/>
                <w:highlight w:val="none"/>
                <w:lang w:val="en-US" w:eastAsia="zh-CN"/>
              </w:rPr>
              <w:t>×</w:t>
            </w:r>
            <w:r>
              <w:rPr>
                <w:rFonts w:hint="default" w:ascii="Times New Roman" w:hAnsi="Times New Roman" w:eastAsia="宋体" w:cs="Times New Roman"/>
                <w:color w:val="auto"/>
                <w:spacing w:val="-10"/>
                <w:kern w:val="2"/>
                <w:sz w:val="21"/>
                <w:szCs w:val="21"/>
                <w:highlight w:val="none"/>
              </w:rPr>
              <w:t>10</w:t>
            </w:r>
            <w:r>
              <w:rPr>
                <w:rFonts w:hint="default" w:ascii="Times New Roman" w:hAnsi="Times New Roman" w:eastAsia="宋体" w:cs="Times New Roman"/>
                <w:color w:val="auto"/>
                <w:spacing w:val="-10"/>
                <w:kern w:val="2"/>
                <w:sz w:val="21"/>
                <w:szCs w:val="21"/>
                <w:highlight w:val="none"/>
                <w:vertAlign w:val="superscript"/>
              </w:rPr>
              <w:t>3</w:t>
            </w:r>
          </w:p>
        </w:tc>
      </w:tr>
    </w:tbl>
    <w:p w14:paraId="4A9F2A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4"/>
          <w:highlight w:val="none"/>
        </w:rPr>
      </w:pPr>
      <w:r>
        <w:rPr>
          <w:rFonts w:hint="eastAsia" w:hAnsi="宋体"/>
          <w:color w:val="auto"/>
          <w:sz w:val="24"/>
          <w:szCs w:val="24"/>
          <w:highlight w:val="none"/>
        </w:rPr>
        <w:t>根据工程分析，本评价选取</w:t>
      </w:r>
      <w:r>
        <w:rPr>
          <w:rFonts w:hint="eastAsia"/>
          <w:color w:val="auto"/>
          <w:sz w:val="24"/>
          <w:szCs w:val="24"/>
          <w:highlight w:val="none"/>
          <w:lang w:val="en-US" w:eastAsia="zh-CN"/>
        </w:rPr>
        <w:t>集输管线</w:t>
      </w:r>
      <w:r>
        <w:rPr>
          <w:rFonts w:hint="eastAsia" w:hAnsi="宋体" w:cs="宋体"/>
          <w:snapToGrid w:val="0"/>
          <w:color w:val="auto"/>
          <w:kern w:val="0"/>
          <w:sz w:val="24"/>
          <w:szCs w:val="24"/>
          <w:highlight w:val="none"/>
        </w:rPr>
        <w:t>出现破损泄漏</w:t>
      </w:r>
      <w:r>
        <w:rPr>
          <w:rFonts w:hint="eastAsia" w:hAnsi="宋体"/>
          <w:color w:val="auto"/>
          <w:sz w:val="24"/>
          <w:szCs w:val="24"/>
          <w:highlight w:val="none"/>
        </w:rPr>
        <w:t>过程中，油品中的石油烃对土壤环境的影响。</w:t>
      </w:r>
    </w:p>
    <w:p w14:paraId="289B7C20">
      <w:pPr>
        <w:ind w:firstLine="539"/>
        <w:jc w:val="center"/>
        <w:rPr>
          <w:rFonts w:hint="eastAsia" w:ascii="黑体" w:hAnsi="黑体" w:eastAsia="黑体" w:cs="黑体"/>
          <w:color w:val="auto"/>
          <w:sz w:val="21"/>
          <w:szCs w:val="21"/>
          <w:highlight w:val="none"/>
          <w:lang w:val="zh-CN"/>
        </w:rPr>
      </w:pPr>
      <w:r>
        <w:rPr>
          <w:rFonts w:hint="eastAsia" w:ascii="黑体" w:hAnsi="黑体" w:eastAsia="黑体" w:cs="黑体"/>
          <w:color w:val="auto"/>
          <w:sz w:val="21"/>
          <w:szCs w:val="21"/>
          <w:highlight w:val="none"/>
        </w:rPr>
        <w:t>表5.</w:t>
      </w:r>
      <w:r>
        <w:rPr>
          <w:rFonts w:hint="eastAsia" w:ascii="黑体" w:hAnsi="黑体" w:eastAsia="黑体" w:cs="黑体"/>
          <w:color w:val="auto"/>
          <w:sz w:val="21"/>
          <w:szCs w:val="21"/>
          <w:highlight w:val="none"/>
          <w:lang w:val="en-US" w:eastAsia="zh-CN"/>
        </w:rPr>
        <w:t>6-5</w:t>
      </w:r>
      <w:r>
        <w:rPr>
          <w:rFonts w:hint="eastAsia" w:ascii="黑体" w:hAnsi="黑体" w:eastAsia="黑体" w:cs="黑体"/>
          <w:color w:val="auto"/>
          <w:sz w:val="21"/>
          <w:szCs w:val="21"/>
          <w:highlight w:val="none"/>
          <w:lang w:val="zh-CN"/>
        </w:rPr>
        <w:t>土壤预测源强表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622"/>
        <w:gridCol w:w="2388"/>
        <w:gridCol w:w="1724"/>
        <w:gridCol w:w="1851"/>
      </w:tblGrid>
      <w:tr w14:paraId="471CB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37" w:type="dxa"/>
            <w:noWrap w:val="0"/>
            <w:vAlign w:val="center"/>
          </w:tcPr>
          <w:p w14:paraId="77D39FC8">
            <w:pPr>
              <w:adjustRightInd w:val="0"/>
              <w:spacing w:line="0" w:lineRule="atLeast"/>
              <w:jc w:val="center"/>
              <w:rPr>
                <w:rFonts w:hint="eastAsia" w:hAnsi="宋体" w:cs="宋体"/>
                <w:color w:val="auto"/>
                <w:spacing w:val="-10"/>
                <w:kern w:val="0"/>
                <w:sz w:val="23"/>
                <w:szCs w:val="23"/>
                <w:highlight w:val="none"/>
              </w:rPr>
            </w:pPr>
            <w:r>
              <w:rPr>
                <w:rFonts w:hint="eastAsia" w:hAnsi="宋体" w:cs="宋体"/>
                <w:color w:val="auto"/>
                <w:spacing w:val="-10"/>
                <w:kern w:val="0"/>
                <w:sz w:val="23"/>
                <w:szCs w:val="23"/>
                <w:highlight w:val="none"/>
              </w:rPr>
              <w:t>渗漏点</w:t>
            </w:r>
          </w:p>
        </w:tc>
        <w:tc>
          <w:tcPr>
            <w:tcW w:w="2491" w:type="dxa"/>
            <w:noWrap w:val="0"/>
            <w:vAlign w:val="center"/>
          </w:tcPr>
          <w:p w14:paraId="0C2DC8CF">
            <w:pPr>
              <w:adjustRightInd w:val="0"/>
              <w:spacing w:line="0" w:lineRule="atLeast"/>
              <w:jc w:val="center"/>
              <w:rPr>
                <w:rFonts w:hint="eastAsia" w:hAnsi="宋体" w:cs="宋体"/>
                <w:color w:val="auto"/>
                <w:spacing w:val="-10"/>
                <w:kern w:val="0"/>
                <w:sz w:val="23"/>
                <w:szCs w:val="23"/>
                <w:highlight w:val="none"/>
              </w:rPr>
            </w:pPr>
            <w:r>
              <w:rPr>
                <w:rFonts w:hint="eastAsia" w:hAnsi="宋体" w:cs="宋体"/>
                <w:color w:val="auto"/>
                <w:spacing w:val="-10"/>
                <w:kern w:val="0"/>
                <w:sz w:val="23"/>
                <w:szCs w:val="23"/>
                <w:highlight w:val="none"/>
              </w:rPr>
              <w:t>污染物</w:t>
            </w:r>
          </w:p>
        </w:tc>
        <w:tc>
          <w:tcPr>
            <w:tcW w:w="1799" w:type="dxa"/>
            <w:noWrap w:val="0"/>
            <w:vAlign w:val="center"/>
          </w:tcPr>
          <w:p w14:paraId="6D493CF8">
            <w:pPr>
              <w:adjustRightInd w:val="0"/>
              <w:spacing w:line="0" w:lineRule="atLeast"/>
              <w:jc w:val="center"/>
              <w:rPr>
                <w:rFonts w:hint="eastAsia" w:hAnsi="宋体" w:cs="宋体"/>
                <w:color w:val="auto"/>
                <w:spacing w:val="-10"/>
                <w:kern w:val="0"/>
                <w:sz w:val="23"/>
                <w:szCs w:val="23"/>
                <w:highlight w:val="none"/>
              </w:rPr>
            </w:pPr>
            <w:r>
              <w:rPr>
                <w:rFonts w:hint="eastAsia" w:hAnsi="宋体" w:cs="宋体"/>
                <w:color w:val="auto"/>
                <w:spacing w:val="-10"/>
                <w:kern w:val="0"/>
                <w:sz w:val="23"/>
                <w:szCs w:val="23"/>
                <w:highlight w:val="none"/>
              </w:rPr>
              <w:t>浓度mg/L</w:t>
            </w:r>
          </w:p>
        </w:tc>
        <w:tc>
          <w:tcPr>
            <w:tcW w:w="1932" w:type="dxa"/>
            <w:noWrap w:val="0"/>
            <w:vAlign w:val="center"/>
          </w:tcPr>
          <w:p w14:paraId="31E7A691">
            <w:pPr>
              <w:adjustRightInd w:val="0"/>
              <w:spacing w:line="0" w:lineRule="atLeast"/>
              <w:jc w:val="center"/>
              <w:rPr>
                <w:rFonts w:hint="eastAsia" w:hAnsi="宋体" w:cs="宋体"/>
                <w:color w:val="auto"/>
                <w:spacing w:val="-10"/>
                <w:kern w:val="0"/>
                <w:sz w:val="23"/>
                <w:szCs w:val="23"/>
                <w:highlight w:val="none"/>
              </w:rPr>
            </w:pPr>
            <w:r>
              <w:rPr>
                <w:rFonts w:hint="eastAsia" w:hAnsi="宋体" w:cs="宋体"/>
                <w:color w:val="auto"/>
                <w:spacing w:val="-10"/>
                <w:kern w:val="0"/>
                <w:sz w:val="23"/>
                <w:szCs w:val="23"/>
                <w:highlight w:val="none"/>
              </w:rPr>
              <w:t>渗漏特征</w:t>
            </w:r>
          </w:p>
        </w:tc>
      </w:tr>
      <w:tr w14:paraId="7F9B8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37" w:type="dxa"/>
            <w:noWrap w:val="0"/>
            <w:vAlign w:val="center"/>
          </w:tcPr>
          <w:p w14:paraId="67E866F1">
            <w:pPr>
              <w:adjustRightInd w:val="0"/>
              <w:spacing w:line="0" w:lineRule="atLeast"/>
              <w:jc w:val="center"/>
              <w:rPr>
                <w:rFonts w:hint="eastAsia" w:hAnsi="宋体" w:cs="宋体"/>
                <w:color w:val="auto"/>
                <w:spacing w:val="-10"/>
                <w:kern w:val="0"/>
                <w:sz w:val="23"/>
                <w:szCs w:val="23"/>
                <w:highlight w:val="none"/>
              </w:rPr>
            </w:pPr>
            <w:r>
              <w:rPr>
                <w:rFonts w:hint="eastAsia" w:hAnsi="宋体" w:cs="宋体"/>
                <w:color w:val="auto"/>
                <w:spacing w:val="-10"/>
                <w:sz w:val="23"/>
                <w:szCs w:val="23"/>
                <w:highlight w:val="none"/>
              </w:rPr>
              <w:t>泄漏油品</w:t>
            </w:r>
          </w:p>
        </w:tc>
        <w:tc>
          <w:tcPr>
            <w:tcW w:w="2491" w:type="dxa"/>
            <w:noWrap w:val="0"/>
            <w:vAlign w:val="center"/>
          </w:tcPr>
          <w:p w14:paraId="181F0027">
            <w:pPr>
              <w:adjustRightInd w:val="0"/>
              <w:spacing w:line="0" w:lineRule="atLeast"/>
              <w:jc w:val="center"/>
              <w:rPr>
                <w:rFonts w:hint="eastAsia" w:hAnsi="宋体" w:cs="宋体"/>
                <w:color w:val="auto"/>
                <w:spacing w:val="-10"/>
                <w:kern w:val="0"/>
                <w:sz w:val="23"/>
                <w:szCs w:val="23"/>
                <w:highlight w:val="none"/>
              </w:rPr>
            </w:pPr>
            <w:r>
              <w:rPr>
                <w:rFonts w:hint="eastAsia" w:hAnsi="宋体" w:cs="宋体"/>
                <w:color w:val="auto"/>
                <w:spacing w:val="-10"/>
                <w:kern w:val="0"/>
                <w:sz w:val="23"/>
                <w:szCs w:val="23"/>
                <w:highlight w:val="none"/>
              </w:rPr>
              <w:t>石油烃</w:t>
            </w:r>
          </w:p>
        </w:tc>
        <w:tc>
          <w:tcPr>
            <w:tcW w:w="1799" w:type="dxa"/>
            <w:noWrap w:val="0"/>
            <w:vAlign w:val="center"/>
          </w:tcPr>
          <w:p w14:paraId="34910D3C">
            <w:pPr>
              <w:spacing w:line="0" w:lineRule="atLeast"/>
              <w:jc w:val="center"/>
              <w:rPr>
                <w:rFonts w:hAnsi="宋体" w:cs="宋体"/>
                <w:color w:val="auto"/>
                <w:spacing w:val="-10"/>
                <w:kern w:val="0"/>
                <w:sz w:val="23"/>
                <w:szCs w:val="23"/>
                <w:highlight w:val="none"/>
              </w:rPr>
            </w:pPr>
            <w:r>
              <w:rPr>
                <w:rFonts w:hint="default" w:ascii="Times New Roman" w:hAnsi="Times New Roman" w:eastAsia="宋体" w:cs="Times New Roman"/>
                <w:color w:val="auto"/>
                <w:spacing w:val="0"/>
                <w:kern w:val="2"/>
                <w:sz w:val="21"/>
                <w:szCs w:val="21"/>
                <w:highlight w:val="none"/>
              </w:rPr>
              <w:t>850000</w:t>
            </w:r>
          </w:p>
        </w:tc>
        <w:tc>
          <w:tcPr>
            <w:tcW w:w="1932" w:type="dxa"/>
            <w:noWrap w:val="0"/>
            <w:vAlign w:val="center"/>
          </w:tcPr>
          <w:p w14:paraId="453DDED8">
            <w:pPr>
              <w:adjustRightInd w:val="0"/>
              <w:spacing w:line="0" w:lineRule="atLeast"/>
              <w:jc w:val="center"/>
              <w:rPr>
                <w:rFonts w:hint="eastAsia" w:hAnsi="宋体" w:cs="宋体"/>
                <w:color w:val="auto"/>
                <w:spacing w:val="-10"/>
                <w:kern w:val="0"/>
                <w:sz w:val="23"/>
                <w:szCs w:val="23"/>
                <w:highlight w:val="none"/>
              </w:rPr>
            </w:pPr>
            <w:r>
              <w:rPr>
                <w:rFonts w:hint="eastAsia" w:hAnsi="宋体" w:cs="宋体"/>
                <w:color w:val="auto"/>
                <w:spacing w:val="-10"/>
                <w:kern w:val="0"/>
                <w:sz w:val="23"/>
                <w:szCs w:val="23"/>
                <w:highlight w:val="none"/>
              </w:rPr>
              <w:t>瞬时</w:t>
            </w:r>
          </w:p>
        </w:tc>
      </w:tr>
    </w:tbl>
    <w:p w14:paraId="4C6AAE49">
      <w:pPr>
        <w:keepNext w:val="0"/>
        <w:keepLines w:val="0"/>
        <w:pageBreakBefore w:val="0"/>
        <w:widowControl w:val="0"/>
        <w:kinsoku/>
        <w:wordWrap/>
        <w:overflowPunct/>
        <w:topLinePunct w:val="0"/>
        <w:autoSpaceDE/>
        <w:autoSpaceDN/>
        <w:bidi w:val="0"/>
        <w:adjustRightInd/>
        <w:snapToGrid/>
        <w:spacing w:before="164" w:beforeLines="50" w:line="360" w:lineRule="auto"/>
        <w:ind w:firstLine="482" w:firstLineChars="200"/>
        <w:textAlignment w:val="auto"/>
        <w:rPr>
          <w:rFonts w:hint="eastAsia" w:hAnsi="宋体" w:cs="宋体"/>
          <w:b/>
          <w:bCs/>
          <w:color w:val="auto"/>
          <w:sz w:val="24"/>
          <w:szCs w:val="24"/>
          <w:highlight w:val="none"/>
        </w:rPr>
      </w:pPr>
      <w:r>
        <w:rPr>
          <w:rFonts w:hint="eastAsia" w:hAnsi="宋体" w:cs="宋体"/>
          <w:b/>
          <w:bCs/>
          <w:color w:val="auto"/>
          <w:sz w:val="24"/>
          <w:szCs w:val="24"/>
          <w:highlight w:val="none"/>
        </w:rPr>
        <w:t>c.土壤污染预测结果</w:t>
      </w:r>
    </w:p>
    <w:p w14:paraId="6188851C">
      <w:pPr>
        <w:widowControl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2"/>
          <w:highlight w:val="none"/>
          <w:lang w:eastAsia="zh-CN"/>
        </w:rPr>
      </w:pPr>
      <w:r>
        <w:rPr>
          <w:rFonts w:hint="eastAsia" w:ascii="Times New Roman" w:hAnsi="Times New Roman" w:eastAsia="宋体" w:cs="Times New Roman"/>
          <w:color w:val="auto"/>
          <w:kern w:val="2"/>
          <w:sz w:val="24"/>
          <w:szCs w:val="22"/>
          <w:highlight w:val="none"/>
          <w:lang w:eastAsia="zh-CN"/>
        </w:rPr>
        <w:t>非正常工况</w:t>
      </w:r>
      <w:r>
        <w:rPr>
          <w:rFonts w:hint="eastAsia" w:cs="Times New Roman"/>
          <w:color w:val="auto"/>
          <w:kern w:val="2"/>
          <w:sz w:val="24"/>
          <w:szCs w:val="22"/>
          <w:highlight w:val="none"/>
          <w:lang w:val="en-US" w:eastAsia="zh-CN"/>
        </w:rPr>
        <w:t>下，</w:t>
      </w:r>
      <w:r>
        <w:rPr>
          <w:rFonts w:hint="eastAsia" w:ascii="Times New Roman" w:hAnsi="Times New Roman" w:eastAsia="宋体" w:cs="Times New Roman"/>
          <w:color w:val="auto"/>
          <w:kern w:val="2"/>
          <w:sz w:val="24"/>
          <w:szCs w:val="22"/>
          <w:highlight w:val="none"/>
          <w:lang w:eastAsia="zh-CN"/>
        </w:rPr>
        <w:t>采油树管线连接和阀门处出现破损泄漏</w:t>
      </w:r>
      <w:r>
        <w:rPr>
          <w:rFonts w:hint="eastAsia" w:cs="Times New Roman"/>
          <w:color w:val="auto"/>
          <w:kern w:val="2"/>
          <w:sz w:val="24"/>
          <w:szCs w:val="22"/>
          <w:highlight w:val="none"/>
          <w:lang w:eastAsia="zh-CN"/>
        </w:rPr>
        <w:t>、</w:t>
      </w:r>
      <w:r>
        <w:rPr>
          <w:rFonts w:hint="eastAsia" w:cs="Times New Roman"/>
          <w:color w:val="auto"/>
          <w:kern w:val="2"/>
          <w:sz w:val="24"/>
          <w:szCs w:val="22"/>
          <w:highlight w:val="none"/>
          <w:lang w:val="en-US" w:eastAsia="zh-CN"/>
        </w:rPr>
        <w:t>集输</w:t>
      </w:r>
      <w:r>
        <w:rPr>
          <w:rFonts w:hint="eastAsia" w:cs="Times New Roman"/>
          <w:color w:val="auto"/>
          <w:kern w:val="2"/>
          <w:sz w:val="24"/>
          <w:szCs w:val="22"/>
          <w:highlight w:val="none"/>
          <w:lang w:eastAsia="zh-CN"/>
        </w:rPr>
        <w:t>管线穿孔发生泄漏后，</w:t>
      </w:r>
      <w:r>
        <w:rPr>
          <w:rFonts w:hint="eastAsia" w:ascii="Times New Roman" w:hAnsi="Times New Roman" w:eastAsia="宋体" w:cs="Times New Roman"/>
          <w:color w:val="auto"/>
          <w:kern w:val="2"/>
          <w:sz w:val="24"/>
          <w:szCs w:val="22"/>
          <w:highlight w:val="none"/>
          <w:lang w:eastAsia="zh-CN"/>
        </w:rPr>
        <w:t>泄漏油品中石油烃以点源形式垂直进入土壤环境。初始浓度设定为850000mg/L</w:t>
      </w:r>
      <w:r>
        <w:rPr>
          <w:rFonts w:hint="eastAsia" w:cs="Times New Roman"/>
          <w:color w:val="auto"/>
          <w:kern w:val="2"/>
          <w:sz w:val="24"/>
          <w:szCs w:val="22"/>
          <w:highlight w:val="none"/>
          <w:lang w:eastAsia="zh-CN"/>
        </w:rPr>
        <w:t>（</w:t>
      </w:r>
      <w:r>
        <w:rPr>
          <w:rFonts w:hint="eastAsia" w:ascii="Times New Roman" w:hAnsi="Times New Roman" w:eastAsia="宋体" w:cs="Times New Roman"/>
          <w:color w:val="auto"/>
          <w:kern w:val="2"/>
          <w:sz w:val="24"/>
          <w:szCs w:val="22"/>
          <w:highlight w:val="none"/>
          <w:lang w:eastAsia="zh-CN"/>
        </w:rPr>
        <w:t>考虑泄漏初期采出液中含水率较低，按最不利情况考虑，以泄漏原油进行预测，即泄漏浓度为原油密度</w:t>
      </w:r>
      <w:r>
        <w:rPr>
          <w:rFonts w:hint="eastAsia" w:cs="Times New Roman"/>
          <w:color w:val="auto"/>
          <w:kern w:val="2"/>
          <w:sz w:val="24"/>
          <w:szCs w:val="22"/>
          <w:highlight w:val="none"/>
          <w:lang w:eastAsia="zh-CN"/>
        </w:rPr>
        <w:t>）</w:t>
      </w:r>
      <w:r>
        <w:rPr>
          <w:rFonts w:hint="eastAsia" w:ascii="Times New Roman" w:hAnsi="Times New Roman" w:eastAsia="宋体" w:cs="Times New Roman"/>
          <w:color w:val="auto"/>
          <w:kern w:val="2"/>
          <w:sz w:val="24"/>
          <w:szCs w:val="22"/>
          <w:highlight w:val="none"/>
          <w:lang w:eastAsia="zh-CN"/>
        </w:rPr>
        <w:t>，预测时间节点分别为，</w:t>
      </w:r>
      <w:r>
        <w:rPr>
          <w:rFonts w:hint="eastAsia" w:ascii="Times New Roman" w:hAnsi="Times New Roman" w:eastAsia="宋体" w:cs="Times New Roman"/>
          <w:i/>
          <w:iCs/>
          <w:color w:val="auto"/>
          <w:kern w:val="2"/>
          <w:sz w:val="24"/>
          <w:szCs w:val="22"/>
          <w:highlight w:val="none"/>
          <w:lang w:eastAsia="zh-CN"/>
        </w:rPr>
        <w:t>T</w:t>
      </w:r>
      <w:r>
        <w:rPr>
          <w:rFonts w:hint="eastAsia" w:ascii="Times New Roman" w:hAnsi="Times New Roman" w:eastAsia="宋体" w:cs="Times New Roman"/>
          <w:i/>
          <w:iCs/>
          <w:color w:val="auto"/>
          <w:kern w:val="2"/>
          <w:sz w:val="24"/>
          <w:szCs w:val="22"/>
          <w:highlight w:val="none"/>
          <w:vertAlign w:val="subscript"/>
          <w:lang w:eastAsia="zh-CN"/>
        </w:rPr>
        <w:t>1</w:t>
      </w:r>
      <w:r>
        <w:rPr>
          <w:rFonts w:hint="eastAsia" w:ascii="Times New Roman" w:hAnsi="Times New Roman" w:eastAsia="宋体" w:cs="Times New Roman"/>
          <w:color w:val="auto"/>
          <w:kern w:val="2"/>
          <w:sz w:val="24"/>
          <w:szCs w:val="22"/>
          <w:highlight w:val="none"/>
          <w:lang w:eastAsia="zh-CN"/>
        </w:rPr>
        <w:t>：1d，</w:t>
      </w:r>
      <w:r>
        <w:rPr>
          <w:rFonts w:hint="eastAsia" w:ascii="Times New Roman" w:hAnsi="Times New Roman" w:eastAsia="宋体" w:cs="Times New Roman"/>
          <w:i/>
          <w:iCs/>
          <w:color w:val="auto"/>
          <w:kern w:val="2"/>
          <w:sz w:val="24"/>
          <w:szCs w:val="22"/>
          <w:highlight w:val="none"/>
          <w:lang w:eastAsia="zh-CN"/>
        </w:rPr>
        <w:t>T</w:t>
      </w:r>
      <w:r>
        <w:rPr>
          <w:rFonts w:hint="eastAsia" w:ascii="Times New Roman" w:hAnsi="Times New Roman" w:eastAsia="宋体" w:cs="Times New Roman"/>
          <w:i/>
          <w:iCs/>
          <w:color w:val="auto"/>
          <w:kern w:val="2"/>
          <w:sz w:val="24"/>
          <w:szCs w:val="22"/>
          <w:highlight w:val="none"/>
          <w:vertAlign w:val="subscript"/>
          <w:lang w:eastAsia="zh-CN"/>
        </w:rPr>
        <w:t>2</w:t>
      </w:r>
      <w:r>
        <w:rPr>
          <w:rFonts w:hint="eastAsia" w:ascii="Times New Roman" w:hAnsi="Times New Roman" w:eastAsia="宋体" w:cs="Times New Roman"/>
          <w:color w:val="auto"/>
          <w:kern w:val="2"/>
          <w:sz w:val="24"/>
          <w:szCs w:val="22"/>
          <w:highlight w:val="none"/>
          <w:lang w:eastAsia="zh-CN"/>
        </w:rPr>
        <w:t>：3d，</w:t>
      </w:r>
      <w:r>
        <w:rPr>
          <w:rFonts w:hint="eastAsia" w:ascii="Times New Roman" w:hAnsi="Times New Roman" w:eastAsia="宋体" w:cs="Times New Roman"/>
          <w:i/>
          <w:iCs/>
          <w:color w:val="auto"/>
          <w:kern w:val="2"/>
          <w:sz w:val="24"/>
          <w:szCs w:val="22"/>
          <w:highlight w:val="none"/>
          <w:lang w:eastAsia="zh-CN"/>
        </w:rPr>
        <w:t>T</w:t>
      </w:r>
      <w:r>
        <w:rPr>
          <w:rFonts w:hint="eastAsia" w:ascii="Times New Roman" w:hAnsi="Times New Roman" w:eastAsia="宋体" w:cs="Times New Roman"/>
          <w:i/>
          <w:iCs/>
          <w:color w:val="auto"/>
          <w:kern w:val="2"/>
          <w:sz w:val="24"/>
          <w:szCs w:val="22"/>
          <w:highlight w:val="none"/>
          <w:vertAlign w:val="subscript"/>
          <w:lang w:eastAsia="zh-CN"/>
        </w:rPr>
        <w:t>3</w:t>
      </w:r>
      <w:r>
        <w:rPr>
          <w:rFonts w:hint="eastAsia" w:ascii="Times New Roman" w:hAnsi="Times New Roman" w:eastAsia="宋体" w:cs="Times New Roman"/>
          <w:color w:val="auto"/>
          <w:kern w:val="2"/>
          <w:sz w:val="24"/>
          <w:szCs w:val="22"/>
          <w:highlight w:val="none"/>
          <w:lang w:eastAsia="zh-CN"/>
        </w:rPr>
        <w:t>：10d，</w:t>
      </w:r>
      <w:r>
        <w:rPr>
          <w:rFonts w:hint="eastAsia" w:ascii="Times New Roman" w:hAnsi="Times New Roman" w:eastAsia="宋体" w:cs="Times New Roman"/>
          <w:i/>
          <w:iCs/>
          <w:color w:val="auto"/>
          <w:kern w:val="2"/>
          <w:sz w:val="24"/>
          <w:szCs w:val="22"/>
          <w:highlight w:val="none"/>
          <w:lang w:eastAsia="zh-CN"/>
        </w:rPr>
        <w:t>T</w:t>
      </w:r>
      <w:r>
        <w:rPr>
          <w:rFonts w:hint="eastAsia" w:ascii="Times New Roman" w:hAnsi="Times New Roman" w:eastAsia="宋体" w:cs="Times New Roman"/>
          <w:i/>
          <w:iCs/>
          <w:color w:val="auto"/>
          <w:kern w:val="2"/>
          <w:sz w:val="24"/>
          <w:szCs w:val="22"/>
          <w:highlight w:val="none"/>
          <w:vertAlign w:val="subscript"/>
          <w:lang w:eastAsia="zh-CN"/>
        </w:rPr>
        <w:t>4</w:t>
      </w:r>
      <w:r>
        <w:rPr>
          <w:rFonts w:hint="eastAsia" w:ascii="Times New Roman" w:hAnsi="Times New Roman" w:eastAsia="宋体" w:cs="Times New Roman"/>
          <w:color w:val="auto"/>
          <w:kern w:val="2"/>
          <w:sz w:val="24"/>
          <w:szCs w:val="22"/>
          <w:highlight w:val="none"/>
          <w:lang w:eastAsia="zh-CN"/>
        </w:rPr>
        <w:t>：20d。</w:t>
      </w:r>
    </w:p>
    <w:p w14:paraId="65C547D8">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lang w:val="en-US" w:eastAsia="zh-CN"/>
        </w:rPr>
      </w:pPr>
      <w:r>
        <w:rPr>
          <w:rFonts w:hint="eastAsia" w:ascii="Times New Roman" w:hAnsi="Times New Roman" w:eastAsia="宋体" w:cs="Times New Roman"/>
          <w:color w:val="auto"/>
          <w:kern w:val="2"/>
          <w:sz w:val="24"/>
          <w:szCs w:val="22"/>
          <w:highlight w:val="none"/>
          <w:lang w:eastAsia="zh-CN"/>
        </w:rPr>
        <w:t>石油烃沿土壤迁移模拟结果如图5.</w:t>
      </w:r>
      <w:r>
        <w:rPr>
          <w:rFonts w:hint="eastAsia" w:ascii="Times New Roman" w:hAnsi="Times New Roman" w:eastAsia="宋体" w:cs="Times New Roman"/>
          <w:color w:val="auto"/>
          <w:kern w:val="2"/>
          <w:sz w:val="24"/>
          <w:szCs w:val="22"/>
          <w:highlight w:val="none"/>
          <w:lang w:val="en-US" w:eastAsia="zh-CN"/>
        </w:rPr>
        <w:t>7-1</w:t>
      </w:r>
      <w:r>
        <w:rPr>
          <w:rFonts w:hint="eastAsia" w:ascii="Times New Roman" w:hAnsi="Times New Roman" w:eastAsia="宋体" w:cs="Times New Roman"/>
          <w:color w:val="auto"/>
          <w:kern w:val="2"/>
          <w:sz w:val="24"/>
          <w:szCs w:val="22"/>
          <w:highlight w:val="none"/>
          <w:lang w:eastAsia="zh-CN"/>
        </w:rPr>
        <w:t>所示，预测结果见表</w:t>
      </w:r>
      <w:r>
        <w:rPr>
          <w:rFonts w:hint="eastAsia" w:ascii="Times New Roman" w:hAnsi="Times New Roman" w:eastAsia="宋体" w:cs="Times New Roman"/>
          <w:color w:val="auto"/>
          <w:kern w:val="2"/>
          <w:sz w:val="24"/>
          <w:szCs w:val="22"/>
          <w:highlight w:val="none"/>
          <w:lang w:val="en-US" w:eastAsia="zh-CN"/>
        </w:rPr>
        <w:t>5.7-6。</w:t>
      </w:r>
    </w:p>
    <w:p w14:paraId="4E7B3DD4">
      <w:pPr>
        <w:widowControl w:val="0"/>
        <w:adjustRightInd w:val="0"/>
        <w:snapToGrid w:val="0"/>
        <w:spacing w:line="360" w:lineRule="auto"/>
        <w:ind w:left="0" w:leftChars="0" w:right="0" w:rightChars="0" w:firstLine="0" w:firstLineChars="0"/>
        <w:jc w:val="center"/>
        <w:rPr>
          <w:rFonts w:hint="eastAsia" w:ascii="Times New Roman" w:hAnsi="Times New Roman" w:eastAsia="宋体" w:cs="Times New Roman"/>
          <w:color w:val="auto"/>
          <w:kern w:val="2"/>
          <w:sz w:val="24"/>
          <w:szCs w:val="22"/>
          <w:highlight w:val="none"/>
          <w:lang w:eastAsia="zh-CN"/>
        </w:rPr>
      </w:pPr>
    </w:p>
    <w:p w14:paraId="11978BB2">
      <w:pPr>
        <w:pStyle w:val="2"/>
        <w:rPr>
          <w:rFonts w:hint="eastAsia" w:ascii="Times New Roman" w:hAnsi="Times New Roman" w:eastAsia="宋体" w:cs="Times New Roman"/>
          <w:color w:val="auto"/>
          <w:kern w:val="2"/>
          <w:sz w:val="24"/>
          <w:szCs w:val="22"/>
          <w:highlight w:val="none"/>
          <w:lang w:eastAsia="zh-CN"/>
        </w:rPr>
      </w:pPr>
    </w:p>
    <w:p w14:paraId="59BD9223">
      <w:pPr>
        <w:rPr>
          <w:rFonts w:hint="eastAsia" w:ascii="Times New Roman" w:hAnsi="Times New Roman" w:eastAsia="宋体" w:cs="Times New Roman"/>
          <w:color w:val="auto"/>
          <w:kern w:val="2"/>
          <w:sz w:val="24"/>
          <w:szCs w:val="22"/>
          <w:highlight w:val="none"/>
          <w:lang w:eastAsia="zh-CN"/>
        </w:rPr>
      </w:pPr>
    </w:p>
    <w:p w14:paraId="0C007288">
      <w:pPr>
        <w:pStyle w:val="2"/>
        <w:rPr>
          <w:rFonts w:hint="eastAsia" w:ascii="Times New Roman" w:hAnsi="Times New Roman" w:eastAsia="宋体" w:cs="Times New Roman"/>
          <w:color w:val="auto"/>
          <w:kern w:val="2"/>
          <w:sz w:val="24"/>
          <w:szCs w:val="22"/>
          <w:highlight w:val="none"/>
          <w:lang w:eastAsia="zh-CN"/>
        </w:rPr>
      </w:pPr>
    </w:p>
    <w:p w14:paraId="6C66960A">
      <w:pPr>
        <w:rPr>
          <w:rFonts w:hint="eastAsia" w:ascii="Times New Roman" w:hAnsi="Times New Roman" w:eastAsia="宋体" w:cs="Times New Roman"/>
          <w:color w:val="auto"/>
          <w:kern w:val="2"/>
          <w:sz w:val="24"/>
          <w:szCs w:val="22"/>
          <w:highlight w:val="none"/>
          <w:lang w:eastAsia="zh-CN"/>
        </w:rPr>
      </w:pPr>
    </w:p>
    <w:p w14:paraId="52A5903B">
      <w:pPr>
        <w:pStyle w:val="2"/>
        <w:rPr>
          <w:rFonts w:hint="eastAsia" w:ascii="Times New Roman" w:hAnsi="Times New Roman" w:eastAsia="宋体" w:cs="Times New Roman"/>
          <w:color w:val="auto"/>
          <w:kern w:val="2"/>
          <w:sz w:val="24"/>
          <w:szCs w:val="22"/>
          <w:highlight w:val="none"/>
          <w:lang w:eastAsia="zh-CN"/>
        </w:rPr>
      </w:pPr>
    </w:p>
    <w:p w14:paraId="0BB5C5B9">
      <w:pPr>
        <w:rPr>
          <w:rFonts w:hint="eastAsia" w:ascii="Times New Roman" w:hAnsi="Times New Roman" w:eastAsia="宋体" w:cs="Times New Roman"/>
          <w:color w:val="auto"/>
          <w:kern w:val="2"/>
          <w:sz w:val="24"/>
          <w:szCs w:val="22"/>
          <w:highlight w:val="none"/>
          <w:lang w:eastAsia="zh-CN"/>
        </w:rPr>
      </w:pPr>
    </w:p>
    <w:p w14:paraId="004DC14B">
      <w:pPr>
        <w:pStyle w:val="2"/>
        <w:rPr>
          <w:rFonts w:hint="eastAsia" w:ascii="Times New Roman" w:hAnsi="Times New Roman" w:eastAsia="宋体" w:cs="Times New Roman"/>
          <w:color w:val="auto"/>
          <w:kern w:val="2"/>
          <w:sz w:val="24"/>
          <w:szCs w:val="22"/>
          <w:highlight w:val="none"/>
          <w:lang w:eastAsia="zh-CN"/>
        </w:rPr>
      </w:pPr>
    </w:p>
    <w:p w14:paraId="51EFEA1B">
      <w:pPr>
        <w:rPr>
          <w:rFonts w:hint="eastAsia"/>
          <w:lang w:eastAsia="zh-CN"/>
        </w:rPr>
      </w:pPr>
    </w:p>
    <w:p w14:paraId="0234D1BD">
      <w:pPr>
        <w:widowControl w:val="0"/>
        <w:ind w:left="0" w:leftChars="0" w:right="0" w:rightChars="0" w:firstLine="0" w:firstLineChars="0"/>
        <w:jc w:val="center"/>
        <w:rPr>
          <w:rFonts w:hint="eastAsia" w:ascii="黑体" w:hAnsi="黑体" w:eastAsia="黑体" w:cs="黑体"/>
          <w:color w:val="auto"/>
          <w:spacing w:val="5"/>
          <w:kern w:val="2"/>
          <w:sz w:val="21"/>
          <w:szCs w:val="21"/>
          <w:highlight w:val="none"/>
          <w:lang w:eastAsia="zh-CN"/>
        </w:rPr>
      </w:pPr>
      <w:r>
        <w:rPr>
          <w:rFonts w:hint="eastAsia" w:ascii="黑体" w:hAnsi="黑体" w:eastAsia="黑体" w:cs="黑体"/>
          <w:color w:val="auto"/>
          <w:spacing w:val="5"/>
          <w:kern w:val="2"/>
          <w:sz w:val="21"/>
          <w:szCs w:val="21"/>
          <w:highlight w:val="none"/>
          <w:lang w:eastAsia="zh-CN"/>
        </w:rPr>
        <w:t>图5.</w:t>
      </w:r>
      <w:r>
        <w:rPr>
          <w:rFonts w:hint="eastAsia" w:ascii="黑体" w:hAnsi="黑体" w:eastAsia="黑体" w:cs="黑体"/>
          <w:color w:val="auto"/>
          <w:spacing w:val="5"/>
          <w:kern w:val="2"/>
          <w:sz w:val="21"/>
          <w:szCs w:val="21"/>
          <w:highlight w:val="none"/>
          <w:lang w:val="en-US" w:eastAsia="zh-CN"/>
        </w:rPr>
        <w:t>6-1</w:t>
      </w:r>
      <w:r>
        <w:rPr>
          <w:rFonts w:hint="eastAsia" w:ascii="黑体" w:hAnsi="黑体" w:eastAsia="黑体" w:cs="黑体"/>
          <w:color w:val="auto"/>
          <w:spacing w:val="5"/>
          <w:kern w:val="2"/>
          <w:sz w:val="21"/>
          <w:szCs w:val="21"/>
          <w:highlight w:val="none"/>
          <w:lang w:eastAsia="zh-CN"/>
        </w:rPr>
        <w:t xml:space="preserve">  石油烃在不同水平年沿土壤垂向迁移情况</w:t>
      </w:r>
    </w:p>
    <w:p w14:paraId="0FB9544D">
      <w:pPr>
        <w:widowControl w:val="0"/>
        <w:ind w:left="0" w:leftChars="0" w:right="0" w:rightChars="0" w:firstLine="0" w:firstLineChars="0"/>
        <w:jc w:val="center"/>
        <w:rPr>
          <w:rFonts w:hint="eastAsia" w:ascii="黑体" w:hAnsi="黑体" w:eastAsia="黑体" w:cs="黑体"/>
          <w:color w:val="auto"/>
          <w:spacing w:val="5"/>
          <w:kern w:val="2"/>
          <w:sz w:val="21"/>
          <w:szCs w:val="21"/>
          <w:highlight w:val="none"/>
          <w:lang w:val="en-US" w:eastAsia="zh-CN"/>
        </w:rPr>
      </w:pPr>
    </w:p>
    <w:p w14:paraId="2E1C4342">
      <w:pPr>
        <w:widowControl w:val="0"/>
        <w:ind w:left="0" w:leftChars="0" w:right="0" w:rightChars="0" w:firstLine="0" w:firstLineChars="0"/>
        <w:jc w:val="center"/>
        <w:rPr>
          <w:rFonts w:hint="eastAsia" w:ascii="黑体" w:hAnsi="黑体" w:eastAsia="黑体" w:cs="黑体"/>
          <w:color w:val="auto"/>
          <w:spacing w:val="5"/>
          <w:kern w:val="2"/>
          <w:sz w:val="21"/>
          <w:szCs w:val="21"/>
          <w:highlight w:val="none"/>
          <w:lang w:val="en-US" w:eastAsia="zh-CN"/>
        </w:rPr>
      </w:pPr>
      <w:r>
        <w:rPr>
          <w:rFonts w:hint="eastAsia" w:ascii="黑体" w:hAnsi="黑体" w:eastAsia="黑体" w:cs="黑体"/>
          <w:color w:val="auto"/>
          <w:spacing w:val="5"/>
          <w:kern w:val="2"/>
          <w:sz w:val="21"/>
          <w:szCs w:val="21"/>
          <w:highlight w:val="none"/>
          <w:lang w:val="en-US" w:eastAsia="zh-CN"/>
        </w:rPr>
        <w:t xml:space="preserve">表5.6-6  </w:t>
      </w:r>
      <w:r>
        <w:rPr>
          <w:rFonts w:hint="eastAsia" w:ascii="黑体" w:hAnsi="黑体" w:eastAsia="黑体" w:cs="黑体"/>
          <w:color w:val="auto"/>
          <w:spacing w:val="5"/>
          <w:kern w:val="2"/>
          <w:sz w:val="21"/>
          <w:szCs w:val="21"/>
          <w:highlight w:val="none"/>
          <w:lang w:val="zh-CN" w:eastAsia="zh-CN"/>
        </w:rPr>
        <w:t>土壤预测</w:t>
      </w:r>
      <w:r>
        <w:rPr>
          <w:rFonts w:hint="eastAsia" w:ascii="黑体" w:hAnsi="黑体" w:eastAsia="黑体" w:cs="黑体"/>
          <w:color w:val="auto"/>
          <w:spacing w:val="5"/>
          <w:kern w:val="2"/>
          <w:sz w:val="21"/>
          <w:szCs w:val="21"/>
          <w:highlight w:val="none"/>
          <w:lang w:val="en-US" w:eastAsia="zh-CN"/>
        </w:rPr>
        <w:t>情况</w:t>
      </w:r>
      <w:r>
        <w:rPr>
          <w:rFonts w:hint="eastAsia" w:ascii="黑体" w:hAnsi="黑体" w:eastAsia="黑体" w:cs="黑体"/>
          <w:color w:val="auto"/>
          <w:spacing w:val="5"/>
          <w:kern w:val="2"/>
          <w:sz w:val="21"/>
          <w:szCs w:val="21"/>
          <w:highlight w:val="none"/>
          <w:lang w:val="zh-CN" w:eastAsia="zh-CN"/>
        </w:rPr>
        <w:t>表</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001"/>
        <w:gridCol w:w="3080"/>
        <w:gridCol w:w="3500"/>
      </w:tblGrid>
      <w:tr w14:paraId="3F0E5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6" w:type="pct"/>
            <w:noWrap w:val="0"/>
            <w:vAlign w:val="center"/>
          </w:tcPr>
          <w:p w14:paraId="28A51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序号</w:t>
            </w:r>
          </w:p>
        </w:tc>
        <w:tc>
          <w:tcPr>
            <w:tcW w:w="1794" w:type="pct"/>
            <w:noWrap w:val="0"/>
            <w:vAlign w:val="center"/>
          </w:tcPr>
          <w:p w14:paraId="37DC1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预测时间/d</w:t>
            </w:r>
          </w:p>
        </w:tc>
        <w:tc>
          <w:tcPr>
            <w:tcW w:w="2039" w:type="pct"/>
            <w:noWrap w:val="0"/>
            <w:vAlign w:val="center"/>
          </w:tcPr>
          <w:p w14:paraId="3D6E2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污染深度/cm</w:t>
            </w:r>
          </w:p>
        </w:tc>
      </w:tr>
      <w:tr w14:paraId="15F74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6" w:type="pct"/>
            <w:noWrap w:val="0"/>
            <w:vAlign w:val="center"/>
          </w:tcPr>
          <w:p w14:paraId="4DD07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1</w:t>
            </w:r>
          </w:p>
        </w:tc>
        <w:tc>
          <w:tcPr>
            <w:tcW w:w="1794" w:type="pct"/>
            <w:noWrap w:val="0"/>
            <w:vAlign w:val="center"/>
          </w:tcPr>
          <w:p w14:paraId="2AFF9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1</w:t>
            </w:r>
          </w:p>
        </w:tc>
        <w:tc>
          <w:tcPr>
            <w:tcW w:w="2039" w:type="pct"/>
            <w:noWrap w:val="0"/>
            <w:vAlign w:val="center"/>
          </w:tcPr>
          <w:p w14:paraId="5E8A7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10</w:t>
            </w:r>
          </w:p>
        </w:tc>
      </w:tr>
      <w:tr w14:paraId="4674D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6" w:type="pct"/>
            <w:noWrap w:val="0"/>
            <w:vAlign w:val="center"/>
          </w:tcPr>
          <w:p w14:paraId="442B1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2</w:t>
            </w:r>
          </w:p>
        </w:tc>
        <w:tc>
          <w:tcPr>
            <w:tcW w:w="1794" w:type="pct"/>
            <w:noWrap w:val="0"/>
            <w:vAlign w:val="center"/>
          </w:tcPr>
          <w:p w14:paraId="2FCA1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3</w:t>
            </w:r>
          </w:p>
        </w:tc>
        <w:tc>
          <w:tcPr>
            <w:tcW w:w="2039" w:type="pct"/>
            <w:noWrap w:val="0"/>
            <w:vAlign w:val="center"/>
          </w:tcPr>
          <w:p w14:paraId="442A8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18</w:t>
            </w:r>
          </w:p>
        </w:tc>
      </w:tr>
      <w:tr w14:paraId="08796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6" w:type="pct"/>
            <w:noWrap w:val="0"/>
            <w:vAlign w:val="center"/>
          </w:tcPr>
          <w:p w14:paraId="0382A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3</w:t>
            </w:r>
          </w:p>
        </w:tc>
        <w:tc>
          <w:tcPr>
            <w:tcW w:w="1794" w:type="pct"/>
            <w:noWrap w:val="0"/>
            <w:vAlign w:val="center"/>
          </w:tcPr>
          <w:p w14:paraId="1392F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10</w:t>
            </w:r>
          </w:p>
        </w:tc>
        <w:tc>
          <w:tcPr>
            <w:tcW w:w="2039" w:type="pct"/>
            <w:noWrap w:val="0"/>
            <w:vAlign w:val="center"/>
          </w:tcPr>
          <w:p w14:paraId="19699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30</w:t>
            </w:r>
          </w:p>
        </w:tc>
      </w:tr>
      <w:tr w14:paraId="0CE05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6" w:type="pct"/>
            <w:noWrap w:val="0"/>
            <w:vAlign w:val="center"/>
          </w:tcPr>
          <w:p w14:paraId="48AB6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4</w:t>
            </w:r>
          </w:p>
        </w:tc>
        <w:tc>
          <w:tcPr>
            <w:tcW w:w="1794" w:type="pct"/>
            <w:noWrap w:val="0"/>
            <w:vAlign w:val="center"/>
          </w:tcPr>
          <w:p w14:paraId="02F80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20</w:t>
            </w:r>
          </w:p>
        </w:tc>
        <w:tc>
          <w:tcPr>
            <w:tcW w:w="2039" w:type="pct"/>
            <w:noWrap w:val="0"/>
            <w:vAlign w:val="center"/>
          </w:tcPr>
          <w:p w14:paraId="2C476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50</w:t>
            </w:r>
          </w:p>
        </w:tc>
      </w:tr>
    </w:tbl>
    <w:p w14:paraId="64B2FF95">
      <w:pPr>
        <w:widowControl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2"/>
          <w:highlight w:val="none"/>
          <w:lang w:eastAsia="zh-CN"/>
        </w:rPr>
      </w:pPr>
      <w:r>
        <w:rPr>
          <w:rFonts w:hint="eastAsia" w:ascii="Times New Roman" w:hAnsi="Times New Roman" w:eastAsia="宋体" w:cs="Times New Roman"/>
          <w:color w:val="auto"/>
          <w:kern w:val="2"/>
          <w:sz w:val="24"/>
          <w:szCs w:val="22"/>
          <w:highlight w:val="none"/>
          <w:lang w:eastAsia="zh-CN"/>
        </w:rPr>
        <w:t>由土壤模拟结果可知，入渗20天后，污染深度为50cm，整体渗漏速率较慢。根据调查可知，在纵向上石油的渗透力随土质有很大的差别，质地越粗，下渗力越强。落地油一般富集在0-20cm的土层中，石油在土表的蒸发量与时间呈负指数相关。落地油积存于表层会影响表层土壤通透性，影响土壤养分的释放，降低土壤动物及微生物的活性，使土壤的综合肥力下降，最终影响植物根系的呼吸作用和吸收作用。</w:t>
      </w:r>
    </w:p>
    <w:p w14:paraId="2DD813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宋体"/>
          <w:color w:val="auto"/>
          <w:sz w:val="24"/>
          <w:szCs w:val="24"/>
          <w:highlight w:val="none"/>
        </w:rPr>
      </w:pPr>
      <w:r>
        <w:rPr>
          <w:rFonts w:hint="eastAsia" w:ascii="Times New Roman" w:hAnsi="宋体" w:eastAsia="宋体" w:cs="宋体"/>
          <w:color w:val="auto"/>
          <w:sz w:val="24"/>
          <w:szCs w:val="24"/>
          <w:highlight w:val="none"/>
          <w:lang w:val="en-US" w:eastAsia="zh-CN"/>
        </w:rPr>
        <w:t>项目区</w:t>
      </w:r>
      <w:r>
        <w:rPr>
          <w:rFonts w:hint="eastAsia" w:ascii="Times New Roman" w:hAnsi="宋体" w:eastAsia="宋体" w:cs="宋体"/>
          <w:color w:val="auto"/>
          <w:sz w:val="24"/>
          <w:szCs w:val="24"/>
          <w:highlight w:val="none"/>
        </w:rPr>
        <w:t>土壤监测点各监测因子监测值均低于《土壤环境质量建设用地土壤污染风险管控标准(试行)》(GB36600-2018)中第二类用地土壤污染风险筛选值。同时根据土壤垂直入渗预测结果可知石油烃在土壤中随时间不断向下迁移，石油烃主要积聚在土壤表层</w:t>
      </w:r>
      <w:r>
        <w:rPr>
          <w:rFonts w:hint="eastAsia" w:hAnsi="宋体" w:cs="宋体"/>
          <w:color w:val="auto"/>
          <w:sz w:val="24"/>
          <w:szCs w:val="24"/>
          <w:highlight w:val="none"/>
          <w:lang w:val="en-US" w:eastAsia="zh-CN"/>
        </w:rPr>
        <w:t>50</w:t>
      </w:r>
      <w:r>
        <w:rPr>
          <w:rFonts w:hint="eastAsia" w:ascii="Times New Roman" w:hAnsi="宋体" w:eastAsia="宋体" w:cs="宋体"/>
          <w:color w:val="auto"/>
          <w:sz w:val="24"/>
          <w:szCs w:val="24"/>
          <w:highlight w:val="none"/>
        </w:rPr>
        <w:t>cm以内，其污染也主要限于地表，土壤底部石油烃浓度未检出。</w:t>
      </w:r>
    </w:p>
    <w:p w14:paraId="4F0476C3">
      <w:pPr>
        <w:pStyle w:val="75"/>
        <w:keepNext w:val="0"/>
        <w:keepLines w:val="0"/>
        <w:pageBreakBefore w:val="0"/>
        <w:widowControl/>
        <w:shd w:val="clear" w:color="auto" w:fill="auto"/>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营期须定期检查井场生产设备、集输管道的破损或破裂情况，若发现有破损或破裂部位须及时进行修补。故在项目运营期间，需加强管理和监督检查，杜绝非正常情况的发生，避免污染物进入土壤及地下水含水层中。在工程做好防渗、定期监测、严格执行本次环评提出的污染防治措施的前提下本工程对土壤环境影响可接受。</w:t>
      </w:r>
    </w:p>
    <w:p w14:paraId="66138111">
      <w:pPr>
        <w:pStyle w:val="75"/>
        <w:shd w:val="clear" w:color="auto" w:fill="auto"/>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fldChar w:fldCharType="begin"/>
      </w:r>
      <w:r>
        <w:rPr>
          <w:rFonts w:hint="default" w:ascii="Times New Roman" w:hAnsi="Times New Roman" w:eastAsia="宋体" w:cs="Times New Roman"/>
          <w:b/>
          <w:bCs/>
          <w:color w:val="auto"/>
          <w:highlight w:val="none"/>
          <w:lang w:val="en-US" w:eastAsia="zh-CN"/>
        </w:rPr>
        <w:instrText xml:space="preserve"> = 2 \* GB3 \* MERGEFORMAT </w:instrText>
      </w:r>
      <w:r>
        <w:rPr>
          <w:rFonts w:hint="default" w:ascii="Times New Roman" w:hAnsi="Times New Roman" w:eastAsia="宋体" w:cs="Times New Roman"/>
          <w:b/>
          <w:bCs/>
          <w:color w:val="auto"/>
          <w:highlight w:val="none"/>
          <w:lang w:val="en-US" w:eastAsia="zh-CN"/>
        </w:rPr>
        <w:fldChar w:fldCharType="separate"/>
      </w:r>
      <w:r>
        <w:rPr>
          <w:b/>
          <w:bCs/>
          <w:color w:val="auto"/>
          <w:highlight w:val="none"/>
        </w:rPr>
        <w:t>②</w:t>
      </w:r>
      <w:r>
        <w:rPr>
          <w:rFonts w:hint="default" w:ascii="Times New Roman" w:hAnsi="Times New Roman" w:eastAsia="宋体" w:cs="Times New Roman"/>
          <w:b/>
          <w:bCs/>
          <w:color w:val="auto"/>
          <w:highlight w:val="none"/>
          <w:lang w:val="en-US" w:eastAsia="zh-CN"/>
        </w:rPr>
        <w:fldChar w:fldCharType="end"/>
      </w:r>
      <w:r>
        <w:rPr>
          <w:rFonts w:hint="default" w:ascii="Times New Roman" w:hAnsi="Times New Roman" w:eastAsia="宋体" w:cs="Times New Roman"/>
          <w:b/>
          <w:bCs/>
          <w:color w:val="auto"/>
          <w:highlight w:val="none"/>
          <w:lang w:val="en-US" w:eastAsia="zh-CN"/>
        </w:rPr>
        <w:t>生态影响型</w:t>
      </w:r>
    </w:p>
    <w:p w14:paraId="458F270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2"/>
          <w:highlight w:val="none"/>
        </w:rPr>
        <w:t>考虑事故状态下，单井集输管道破裂后，采出液进入表层土壤中，单井集输管道在井场设置有压力和远传信号，当发生管道破裂时，可远程关闭井场，并在1h内排查到泄漏点并进行紧急封堵。</w:t>
      </w:r>
      <w:r>
        <w:rPr>
          <w:rFonts w:hint="default" w:ascii="Times New Roman" w:hAnsi="Times New Roman" w:eastAsia="宋体" w:cs="Times New Roman"/>
          <w:color w:val="auto"/>
          <w:sz w:val="24"/>
          <w:szCs w:val="24"/>
          <w:highlight w:val="none"/>
        </w:rPr>
        <w:t>初步估算，发生泄漏到封堵，预计从单井集输管道中泄漏的采出液量为</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vertAlign w:val="baseline"/>
          <w:lang w:val="en-US" w:eastAsia="zh-CN"/>
        </w:rPr>
        <w:t>根据区块地层水物性表可知，</w:t>
      </w:r>
      <w:r>
        <w:rPr>
          <w:rFonts w:hint="default" w:ascii="Times New Roman" w:hAnsi="Times New Roman" w:eastAsia="宋体" w:cs="Times New Roman"/>
          <w:color w:val="auto"/>
          <w:sz w:val="24"/>
          <w:szCs w:val="24"/>
          <w:highlight w:val="none"/>
        </w:rPr>
        <w:t>采出</w:t>
      </w:r>
      <w:r>
        <w:rPr>
          <w:rFonts w:hint="eastAsia" w:ascii="Times New Roman" w:hAnsi="Times New Roman" w:eastAsia="宋体" w:cs="Times New Roman"/>
          <w:color w:val="auto"/>
          <w:sz w:val="24"/>
          <w:szCs w:val="24"/>
          <w:highlight w:val="none"/>
          <w:lang w:val="en-US" w:eastAsia="zh-CN"/>
        </w:rPr>
        <w:t>水</w:t>
      </w:r>
      <w:r>
        <w:rPr>
          <w:rFonts w:hint="default" w:ascii="Times New Roman" w:hAnsi="Times New Roman" w:eastAsia="宋体" w:cs="Times New Roman"/>
          <w:color w:val="auto"/>
          <w:sz w:val="24"/>
          <w:szCs w:val="24"/>
          <w:highlight w:val="none"/>
        </w:rPr>
        <w:t>中的氯根</w:t>
      </w:r>
      <w:r>
        <w:rPr>
          <w:rFonts w:hint="eastAsia" w:ascii="Times New Roman" w:hAnsi="Times New Roman" w:eastAsia="宋体" w:cs="Times New Roman"/>
          <w:color w:val="auto"/>
          <w:sz w:val="24"/>
          <w:szCs w:val="24"/>
          <w:highlight w:val="none"/>
          <w:lang w:val="en-US" w:eastAsia="zh-CN"/>
        </w:rPr>
        <w:t>浓度为</w:t>
      </w:r>
      <w:r>
        <w:rPr>
          <w:rFonts w:hint="eastAsia" w:ascii="Times New Roman" w:hAnsi="Times New Roman" w:eastAsia="宋体" w:cs="Times New Roman"/>
          <w:color w:val="auto"/>
          <w:kern w:val="2"/>
          <w:sz w:val="24"/>
          <w:szCs w:val="24"/>
          <w:highlight w:val="none"/>
          <w:lang w:val="en-US" w:eastAsia="zh-CN"/>
        </w:rPr>
        <w:t>178950</w:t>
      </w:r>
      <w:r>
        <w:rPr>
          <w:rFonts w:hint="default" w:ascii="Times New Roman" w:hAnsi="Times New Roman" w:eastAsia="宋体" w:cs="Times New Roman"/>
          <w:color w:val="auto"/>
          <w:sz w:val="24"/>
          <w:szCs w:val="24"/>
          <w:highlight w:val="none"/>
        </w:rPr>
        <w:t>mg/L，则估算进入土壤中的盐分含量为=</w:t>
      </w:r>
      <w:r>
        <w:rPr>
          <w:rFonts w:hint="eastAsia" w:ascii="Times New Roman" w:hAnsi="Times New Roman" w:eastAsia="宋体" w:cs="Times New Roman"/>
          <w:color w:val="auto"/>
          <w:kern w:val="2"/>
          <w:sz w:val="24"/>
          <w:szCs w:val="24"/>
          <w:highlight w:val="none"/>
        </w:rPr>
        <w:t>5</w:t>
      </w:r>
      <w:r>
        <w:rPr>
          <w:rFonts w:hint="default"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178950</w:t>
      </w:r>
      <w:r>
        <w:rPr>
          <w:rFonts w:hint="default"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58.5</w:t>
      </w:r>
      <w:r>
        <w:rPr>
          <w:rFonts w:hint="default"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35.5=</w:t>
      </w:r>
      <w:r>
        <w:rPr>
          <w:rFonts w:hint="eastAsia" w:ascii="Times New Roman" w:hAnsi="Times New Roman" w:eastAsia="宋体" w:cs="Times New Roman"/>
          <w:color w:val="auto"/>
          <w:kern w:val="2"/>
          <w:sz w:val="24"/>
          <w:szCs w:val="24"/>
          <w:highlight w:val="none"/>
          <w:lang w:val="en-US" w:eastAsia="zh-CN"/>
        </w:rPr>
        <w:t>1474447.2</w:t>
      </w:r>
      <w:r>
        <w:rPr>
          <w:rFonts w:hint="eastAsia" w:ascii="Times New Roman" w:hAnsi="Times New Roman" w:eastAsia="宋体" w:cs="Times New Roman"/>
          <w:color w:val="auto"/>
          <w:kern w:val="2"/>
          <w:sz w:val="24"/>
          <w:szCs w:val="24"/>
          <w:highlight w:val="none"/>
        </w:rPr>
        <w:t>g</w:t>
      </w:r>
      <w:r>
        <w:rPr>
          <w:rFonts w:hint="default" w:ascii="Times New Roman" w:hAnsi="Times New Roman" w:eastAsia="宋体" w:cs="Times New Roman"/>
          <w:color w:val="auto"/>
          <w:sz w:val="24"/>
          <w:szCs w:val="24"/>
          <w:highlight w:val="none"/>
        </w:rPr>
        <w:t>。</w:t>
      </w:r>
    </w:p>
    <w:p w14:paraId="12A7CEA7">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本次预测采用HJ964-2018附录E.1.3中预测方法，预测公式如下：</w:t>
      </w:r>
    </w:p>
    <w:p w14:paraId="287F25B6">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rPr>
      </w:pPr>
      <w:r>
        <w:rPr>
          <w:rFonts w:hint="default" w:ascii="Times New Roman" w:hAnsi="Times New Roman" w:eastAsia="宋体" w:cs="Times New Roman"/>
          <w:b/>
          <w:bCs/>
          <w:color w:val="auto"/>
          <w:kern w:val="2"/>
          <w:sz w:val="24"/>
          <w:szCs w:val="22"/>
          <w:highlight w:val="none"/>
          <w:lang w:val="en-US" w:eastAsia="zh-CN"/>
        </w:rPr>
        <w:t>1）</w:t>
      </w:r>
      <w:r>
        <w:rPr>
          <w:rFonts w:hint="default" w:ascii="Times New Roman" w:hAnsi="Times New Roman" w:eastAsia="宋体" w:cs="Times New Roman"/>
          <w:b/>
          <w:bCs/>
          <w:color w:val="auto"/>
          <w:kern w:val="2"/>
          <w:sz w:val="24"/>
          <w:szCs w:val="22"/>
          <w:highlight w:val="none"/>
        </w:rPr>
        <w:t>单位质量土壤中某种物质的增量</w:t>
      </w:r>
    </w:p>
    <w:p w14:paraId="0396D596">
      <w:pPr>
        <w:widowControl w:val="0"/>
        <w:adjustRightInd w:val="0"/>
        <w:snapToGrid w:val="0"/>
        <w:spacing w:line="360" w:lineRule="auto"/>
        <w:ind w:left="0" w:leftChars="0" w:right="0" w:rightChars="0" w:firstLine="0" w:firstLineChars="0"/>
        <w:jc w:val="center"/>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1"/>
          <w:highlight w:val="none"/>
        </w:rPr>
        <w:drawing>
          <wp:inline distT="0" distB="0" distL="114300" distR="114300">
            <wp:extent cx="2524760" cy="273685"/>
            <wp:effectExtent l="0" t="0" r="8890" b="12065"/>
            <wp:docPr id="10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pic:cNvPicPr>
                      <a:picLocks noChangeAspect="1"/>
                    </pic:cNvPicPr>
                  </pic:nvPicPr>
                  <pic:blipFill>
                    <a:blip r:embed="rId97"/>
                    <a:stretch>
                      <a:fillRect/>
                    </a:stretch>
                  </pic:blipFill>
                  <pic:spPr>
                    <a:xfrm>
                      <a:off x="0" y="0"/>
                      <a:ext cx="2524760" cy="273685"/>
                    </a:xfrm>
                    <a:prstGeom prst="rect">
                      <a:avLst/>
                    </a:prstGeom>
                    <a:noFill/>
                    <a:ln>
                      <a:noFill/>
                    </a:ln>
                  </pic:spPr>
                </pic:pic>
              </a:graphicData>
            </a:graphic>
          </wp:inline>
        </w:drawing>
      </w:r>
    </w:p>
    <w:p w14:paraId="220349B4">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式中：</w:t>
      </w:r>
      <w:r>
        <w:rPr>
          <w:rFonts w:hint="default" w:ascii="Times New Roman" w:hAnsi="Times New Roman" w:eastAsia="宋体" w:cs="Times New Roman"/>
          <w:i/>
          <w:iCs/>
          <w:color w:val="auto"/>
          <w:kern w:val="2"/>
          <w:sz w:val="24"/>
          <w:szCs w:val="22"/>
          <w:highlight w:val="none"/>
        </w:rPr>
        <w:t>△S</w:t>
      </w:r>
      <w:r>
        <w:rPr>
          <w:rFonts w:hint="default" w:ascii="Times New Roman" w:hAnsi="Times New Roman" w:eastAsia="宋体" w:cs="Times New Roman"/>
          <w:color w:val="auto"/>
          <w:kern w:val="2"/>
          <w:sz w:val="24"/>
          <w:szCs w:val="22"/>
          <w:highlight w:val="none"/>
        </w:rPr>
        <w:t>-单位质量表层土壤中某种物质的增量，g/kg；</w:t>
      </w:r>
    </w:p>
    <w:p w14:paraId="48B86A96">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Is</w:t>
      </w:r>
      <w:r>
        <w:rPr>
          <w:rFonts w:hint="default" w:ascii="Times New Roman" w:hAnsi="Times New Roman" w:eastAsia="宋体" w:cs="Times New Roman"/>
          <w:color w:val="auto"/>
          <w:kern w:val="2"/>
          <w:sz w:val="24"/>
          <w:szCs w:val="22"/>
          <w:highlight w:val="none"/>
        </w:rPr>
        <w:t>-预测评价范围内单位年份表层土壤中某种物质的输入量，g；</w:t>
      </w:r>
    </w:p>
    <w:p w14:paraId="31BB4BCC">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Ls</w:t>
      </w:r>
      <w:r>
        <w:rPr>
          <w:rFonts w:hint="default" w:ascii="Times New Roman" w:hAnsi="Times New Roman" w:eastAsia="宋体" w:cs="Times New Roman"/>
          <w:color w:val="auto"/>
          <w:kern w:val="2"/>
          <w:sz w:val="24"/>
          <w:szCs w:val="22"/>
          <w:highlight w:val="none"/>
        </w:rPr>
        <w:t>-预测评价范围内单位年份表层土壤中某种物质经淋溶排出的量，g；</w:t>
      </w:r>
    </w:p>
    <w:p w14:paraId="53BF6AF7">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Rs</w:t>
      </w:r>
      <w:r>
        <w:rPr>
          <w:rFonts w:hint="default" w:ascii="Times New Roman" w:hAnsi="Times New Roman" w:eastAsia="宋体" w:cs="Times New Roman"/>
          <w:color w:val="auto"/>
          <w:kern w:val="2"/>
          <w:sz w:val="24"/>
          <w:szCs w:val="22"/>
          <w:highlight w:val="none"/>
        </w:rPr>
        <w:t>-预测评价范围内单位年份表层土壤中某种物质经径流排出的量，g；</w:t>
      </w:r>
    </w:p>
    <w:p w14:paraId="7C196BE1">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ρb</w:t>
      </w:r>
      <w:r>
        <w:rPr>
          <w:rFonts w:hint="default" w:ascii="Times New Roman" w:hAnsi="Times New Roman" w:eastAsia="宋体" w:cs="Times New Roman"/>
          <w:color w:val="auto"/>
          <w:kern w:val="2"/>
          <w:sz w:val="24"/>
          <w:szCs w:val="22"/>
          <w:highlight w:val="none"/>
        </w:rPr>
        <w:t>-表层土壤容重，kg/m</w:t>
      </w:r>
      <w:r>
        <w:rPr>
          <w:rFonts w:hint="default" w:ascii="Times New Roman" w:hAnsi="Times New Roman" w:eastAsia="宋体" w:cs="Times New Roman"/>
          <w:color w:val="auto"/>
          <w:kern w:val="2"/>
          <w:sz w:val="24"/>
          <w:szCs w:val="22"/>
          <w:highlight w:val="none"/>
          <w:vertAlign w:val="superscript"/>
        </w:rPr>
        <w:t>3</w:t>
      </w:r>
      <w:r>
        <w:rPr>
          <w:rFonts w:hint="default" w:ascii="Times New Roman" w:hAnsi="Times New Roman" w:eastAsia="宋体" w:cs="Times New Roman"/>
          <w:color w:val="auto"/>
          <w:kern w:val="2"/>
          <w:sz w:val="24"/>
          <w:szCs w:val="22"/>
          <w:highlight w:val="none"/>
        </w:rPr>
        <w:t>；</w:t>
      </w:r>
    </w:p>
    <w:p w14:paraId="4DFBF5E8">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A</w:t>
      </w:r>
      <w:r>
        <w:rPr>
          <w:rFonts w:hint="default" w:ascii="Times New Roman" w:hAnsi="Times New Roman" w:eastAsia="宋体" w:cs="Times New Roman"/>
          <w:color w:val="auto"/>
          <w:kern w:val="2"/>
          <w:sz w:val="24"/>
          <w:szCs w:val="22"/>
          <w:highlight w:val="none"/>
        </w:rPr>
        <w:t>-预测评价范围，m</w:t>
      </w:r>
      <w:r>
        <w:rPr>
          <w:rFonts w:hint="default" w:ascii="Times New Roman" w:hAnsi="Times New Roman" w:eastAsia="宋体" w:cs="Times New Roman"/>
          <w:color w:val="auto"/>
          <w:kern w:val="2"/>
          <w:sz w:val="24"/>
          <w:szCs w:val="22"/>
          <w:highlight w:val="none"/>
          <w:vertAlign w:val="superscript"/>
        </w:rPr>
        <w:t>2</w:t>
      </w:r>
      <w:r>
        <w:rPr>
          <w:rFonts w:hint="default" w:ascii="Times New Roman" w:hAnsi="Times New Roman" w:eastAsia="宋体" w:cs="Times New Roman"/>
          <w:color w:val="auto"/>
          <w:kern w:val="2"/>
          <w:sz w:val="24"/>
          <w:szCs w:val="22"/>
          <w:highlight w:val="none"/>
        </w:rPr>
        <w:t>；</w:t>
      </w:r>
    </w:p>
    <w:p w14:paraId="3B8DDA8C">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D</w:t>
      </w:r>
      <w:r>
        <w:rPr>
          <w:rFonts w:hint="default" w:ascii="Times New Roman" w:hAnsi="Times New Roman" w:eastAsia="宋体" w:cs="Times New Roman"/>
          <w:color w:val="auto"/>
          <w:kern w:val="2"/>
          <w:sz w:val="24"/>
          <w:szCs w:val="22"/>
          <w:highlight w:val="none"/>
        </w:rPr>
        <w:t>-表层土壤深度，一般取0.2m，可根据实际情况适当调整；</w:t>
      </w:r>
    </w:p>
    <w:p w14:paraId="1DA8DEDD">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n</w:t>
      </w:r>
      <w:r>
        <w:rPr>
          <w:rFonts w:hint="default" w:ascii="Times New Roman" w:hAnsi="Times New Roman" w:eastAsia="宋体" w:cs="Times New Roman"/>
          <w:color w:val="auto"/>
          <w:kern w:val="2"/>
          <w:sz w:val="24"/>
          <w:szCs w:val="22"/>
          <w:highlight w:val="none"/>
        </w:rPr>
        <w:t>-持续年份，a。</w:t>
      </w:r>
    </w:p>
    <w:p w14:paraId="34B880AB">
      <w:pPr>
        <w:widowControl w:val="0"/>
        <w:adjustRightInd w:val="0"/>
        <w:snapToGrid w:val="0"/>
        <w:spacing w:line="360" w:lineRule="auto"/>
        <w:ind w:firstLine="482" w:firstLineChars="200"/>
        <w:jc w:val="both"/>
        <w:rPr>
          <w:rFonts w:hint="default" w:ascii="Times New Roman" w:hAnsi="Times New Roman" w:eastAsia="宋体" w:cs="Times New Roman"/>
          <w:b/>
          <w:bCs/>
          <w:color w:val="auto"/>
          <w:kern w:val="2"/>
          <w:sz w:val="24"/>
          <w:szCs w:val="22"/>
          <w:highlight w:val="none"/>
        </w:rPr>
      </w:pPr>
      <w:r>
        <w:rPr>
          <w:rFonts w:hint="default" w:ascii="Times New Roman" w:hAnsi="Times New Roman" w:eastAsia="宋体" w:cs="Times New Roman"/>
          <w:b/>
          <w:bCs/>
          <w:color w:val="auto"/>
          <w:kern w:val="2"/>
          <w:sz w:val="24"/>
          <w:szCs w:val="22"/>
          <w:highlight w:val="none"/>
          <w:lang w:val="en-US" w:eastAsia="zh-CN"/>
        </w:rPr>
        <w:t>2）</w:t>
      </w:r>
      <w:r>
        <w:rPr>
          <w:rFonts w:hint="default" w:ascii="Times New Roman" w:hAnsi="Times New Roman" w:eastAsia="宋体" w:cs="Times New Roman"/>
          <w:b/>
          <w:bCs/>
          <w:color w:val="auto"/>
          <w:kern w:val="2"/>
          <w:sz w:val="24"/>
          <w:szCs w:val="22"/>
          <w:highlight w:val="none"/>
        </w:rPr>
        <w:t>单位质量土壤中某种物质的预测值</w:t>
      </w:r>
    </w:p>
    <w:p w14:paraId="38DB6100">
      <w:pPr>
        <w:widowControl w:val="0"/>
        <w:adjustRightInd w:val="0"/>
        <w:snapToGrid w:val="0"/>
        <w:spacing w:line="360" w:lineRule="auto"/>
        <w:ind w:left="0" w:leftChars="0" w:right="0" w:rightChars="0" w:firstLine="0" w:firstLineChars="0"/>
        <w:jc w:val="center"/>
        <w:rPr>
          <w:rFonts w:hint="default" w:ascii="Times New Roman" w:hAnsi="Times New Roman" w:eastAsia="宋体" w:cs="Times New Roman"/>
          <w:i/>
          <w:iCs/>
          <w:color w:val="auto"/>
          <w:kern w:val="2"/>
          <w:sz w:val="24"/>
          <w:szCs w:val="22"/>
          <w:highlight w:val="none"/>
        </w:rPr>
      </w:pPr>
      <w:r>
        <w:rPr>
          <w:rFonts w:hint="default" w:ascii="Times New Roman" w:hAnsi="Times New Roman" w:eastAsia="宋体" w:cs="Times New Roman"/>
          <w:i/>
          <w:iCs/>
          <w:color w:val="auto"/>
          <w:kern w:val="2"/>
          <w:sz w:val="24"/>
          <w:szCs w:val="22"/>
          <w:highlight w:val="none"/>
        </w:rPr>
        <w:t>S=Sb+△S</w:t>
      </w:r>
    </w:p>
    <w:p w14:paraId="692B5C12">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S</w:t>
      </w:r>
      <w:r>
        <w:rPr>
          <w:rFonts w:hint="default" w:ascii="Times New Roman" w:hAnsi="Times New Roman" w:eastAsia="宋体" w:cs="Times New Roman"/>
          <w:color w:val="auto"/>
          <w:kern w:val="2"/>
          <w:sz w:val="24"/>
          <w:szCs w:val="22"/>
          <w:highlight w:val="none"/>
        </w:rPr>
        <w:t>-单位质量土壤中某种物质的预测值，g/kg；</w:t>
      </w:r>
    </w:p>
    <w:p w14:paraId="37B8A32A">
      <w:pPr>
        <w:widowControl w:val="0"/>
        <w:adjustRightInd w:val="0"/>
        <w:snapToGrid w:val="0"/>
        <w:spacing w:line="360" w:lineRule="auto"/>
        <w:ind w:left="1210" w:leftChars="504" w:firstLine="0" w:firstLineChars="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i/>
          <w:iCs/>
          <w:color w:val="auto"/>
          <w:kern w:val="2"/>
          <w:sz w:val="24"/>
          <w:szCs w:val="22"/>
          <w:highlight w:val="none"/>
        </w:rPr>
        <w:t>Sb</w:t>
      </w:r>
      <w:r>
        <w:rPr>
          <w:rFonts w:hint="default" w:ascii="Times New Roman" w:hAnsi="Times New Roman" w:eastAsia="宋体" w:cs="Times New Roman"/>
          <w:color w:val="auto"/>
          <w:kern w:val="2"/>
          <w:sz w:val="24"/>
          <w:szCs w:val="22"/>
          <w:highlight w:val="none"/>
        </w:rPr>
        <w:t>-单位质量土壤中某种物质的现状值，g/kg。</w:t>
      </w:r>
    </w:p>
    <w:p w14:paraId="0C78D3D5">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项目所处区域气候干燥，年降雨量较小，项目考虑最不利情况，</w:t>
      </w:r>
      <w:r>
        <w:rPr>
          <w:rFonts w:hint="default" w:ascii="Times New Roman" w:hAnsi="Times New Roman" w:eastAsia="宋体" w:cs="Times New Roman"/>
          <w:i/>
          <w:iCs/>
          <w:color w:val="auto"/>
          <w:kern w:val="2"/>
          <w:sz w:val="24"/>
          <w:szCs w:val="22"/>
          <w:highlight w:val="none"/>
        </w:rPr>
        <w:t>Ls</w:t>
      </w:r>
      <w:r>
        <w:rPr>
          <w:rFonts w:hint="default" w:ascii="Times New Roman" w:hAnsi="Times New Roman" w:eastAsia="宋体" w:cs="Times New Roman"/>
          <w:color w:val="auto"/>
          <w:kern w:val="2"/>
          <w:sz w:val="24"/>
          <w:szCs w:val="22"/>
          <w:highlight w:val="none"/>
        </w:rPr>
        <w:t>和</w:t>
      </w:r>
      <w:r>
        <w:rPr>
          <w:rFonts w:hint="default" w:ascii="Times New Roman" w:hAnsi="Times New Roman" w:eastAsia="宋体" w:cs="Times New Roman"/>
          <w:i/>
          <w:iCs/>
          <w:color w:val="auto"/>
          <w:kern w:val="2"/>
          <w:sz w:val="24"/>
          <w:szCs w:val="22"/>
          <w:highlight w:val="none"/>
        </w:rPr>
        <w:t>Rs</w:t>
      </w:r>
      <w:r>
        <w:rPr>
          <w:rFonts w:hint="default" w:ascii="Times New Roman" w:hAnsi="Times New Roman" w:eastAsia="宋体" w:cs="Times New Roman"/>
          <w:color w:val="auto"/>
          <w:kern w:val="2"/>
          <w:sz w:val="24"/>
          <w:szCs w:val="22"/>
          <w:highlight w:val="none"/>
        </w:rPr>
        <w:t>取值均为0，预测评价范围为以泄漏点为中心</w:t>
      </w:r>
      <w:r>
        <w:rPr>
          <w:rFonts w:hint="eastAsia" w:ascii="Times New Roman" w:hAnsi="Times New Roman" w:eastAsia="宋体" w:cs="Times New Roman"/>
          <w:color w:val="auto"/>
          <w:kern w:val="2"/>
          <w:sz w:val="24"/>
          <w:szCs w:val="22"/>
          <w:highlight w:val="none"/>
          <w:lang w:val="en-US" w:eastAsia="zh-CN"/>
        </w:rPr>
        <w:t>100</w:t>
      </w:r>
      <w:r>
        <w:rPr>
          <w:rFonts w:hint="default" w:ascii="Times New Roman" w:hAnsi="Times New Roman" w:eastAsia="宋体" w:cs="Times New Roman"/>
          <w:color w:val="auto"/>
          <w:kern w:val="2"/>
          <w:sz w:val="24"/>
          <w:szCs w:val="22"/>
          <w:highlight w:val="none"/>
        </w:rPr>
        <w:t>m×</w:t>
      </w:r>
      <w:r>
        <w:rPr>
          <w:rFonts w:hint="eastAsia" w:ascii="Times New Roman" w:hAnsi="Times New Roman" w:eastAsia="宋体" w:cs="Times New Roman"/>
          <w:color w:val="auto"/>
          <w:kern w:val="2"/>
          <w:sz w:val="24"/>
          <w:szCs w:val="22"/>
          <w:highlight w:val="none"/>
          <w:lang w:val="en-US" w:eastAsia="zh-CN"/>
        </w:rPr>
        <w:t>100</w:t>
      </w:r>
      <w:r>
        <w:rPr>
          <w:rFonts w:hint="default" w:ascii="Times New Roman" w:hAnsi="Times New Roman" w:eastAsia="宋体" w:cs="Times New Roman"/>
          <w:color w:val="auto"/>
          <w:kern w:val="2"/>
          <w:sz w:val="24"/>
          <w:szCs w:val="22"/>
          <w:highlight w:val="none"/>
        </w:rPr>
        <w:t>m范围，表层土壤容重根据区域土壤理化特性调查取值为1.</w:t>
      </w:r>
      <w:r>
        <w:rPr>
          <w:rFonts w:hint="eastAsia" w:cs="Times New Roman"/>
          <w:color w:val="auto"/>
          <w:kern w:val="2"/>
          <w:sz w:val="24"/>
          <w:szCs w:val="22"/>
          <w:highlight w:val="none"/>
          <w:lang w:val="en-US" w:eastAsia="zh-CN"/>
        </w:rPr>
        <w:t>2</w:t>
      </w:r>
      <w:r>
        <w:rPr>
          <w:rFonts w:hint="default" w:ascii="Times New Roman" w:hAnsi="Times New Roman" w:eastAsia="宋体" w:cs="Times New Roman"/>
          <w:color w:val="auto"/>
          <w:kern w:val="2"/>
          <w:sz w:val="24"/>
          <w:szCs w:val="22"/>
          <w:highlight w:val="none"/>
        </w:rPr>
        <w:t>×10</w:t>
      </w:r>
      <w:r>
        <w:rPr>
          <w:rFonts w:hint="default" w:ascii="Times New Roman" w:hAnsi="Times New Roman" w:eastAsia="宋体" w:cs="Times New Roman"/>
          <w:color w:val="auto"/>
          <w:kern w:val="2"/>
          <w:sz w:val="24"/>
          <w:szCs w:val="22"/>
          <w:highlight w:val="none"/>
          <w:vertAlign w:val="superscript"/>
        </w:rPr>
        <w:t>3</w:t>
      </w:r>
      <w:r>
        <w:rPr>
          <w:rFonts w:hint="default" w:ascii="Times New Roman" w:hAnsi="Times New Roman" w:eastAsia="宋体" w:cs="Times New Roman"/>
          <w:color w:val="auto"/>
          <w:kern w:val="2"/>
          <w:sz w:val="24"/>
          <w:szCs w:val="22"/>
          <w:highlight w:val="none"/>
        </w:rPr>
        <w:t>kg/m</w:t>
      </w:r>
      <w:r>
        <w:rPr>
          <w:rFonts w:hint="default" w:ascii="Times New Roman" w:hAnsi="Times New Roman" w:eastAsia="宋体" w:cs="Times New Roman"/>
          <w:color w:val="auto"/>
          <w:kern w:val="2"/>
          <w:sz w:val="24"/>
          <w:szCs w:val="22"/>
          <w:highlight w:val="none"/>
          <w:vertAlign w:val="superscript"/>
        </w:rPr>
        <w:t>3</w:t>
      </w:r>
      <w:r>
        <w:rPr>
          <w:rFonts w:hint="default" w:ascii="Times New Roman" w:hAnsi="Times New Roman" w:eastAsia="宋体" w:cs="Times New Roman"/>
          <w:color w:val="auto"/>
          <w:kern w:val="2"/>
          <w:sz w:val="24"/>
          <w:szCs w:val="22"/>
          <w:highlight w:val="none"/>
        </w:rPr>
        <w:t>，根据区域土壤盐分监测结果，单位质量</w:t>
      </w:r>
      <w:r>
        <w:rPr>
          <w:rFonts w:hint="eastAsia" w:ascii="Times New Roman" w:hAnsi="Times New Roman" w:eastAsia="宋体" w:cs="Times New Roman"/>
          <w:color w:val="auto"/>
          <w:kern w:val="2"/>
          <w:sz w:val="24"/>
          <w:szCs w:val="22"/>
          <w:highlight w:val="none"/>
          <w:lang w:val="en-US" w:eastAsia="zh-CN"/>
        </w:rPr>
        <w:t>表层</w:t>
      </w:r>
      <w:r>
        <w:rPr>
          <w:rFonts w:hint="default" w:ascii="Times New Roman" w:hAnsi="Times New Roman" w:eastAsia="宋体" w:cs="Times New Roman"/>
          <w:color w:val="auto"/>
          <w:kern w:val="2"/>
          <w:sz w:val="24"/>
          <w:szCs w:val="22"/>
          <w:highlight w:val="none"/>
        </w:rPr>
        <w:t>土壤</w:t>
      </w:r>
      <w:r>
        <w:rPr>
          <w:rFonts w:hint="eastAsia" w:ascii="Times New Roman" w:hAnsi="Times New Roman" w:eastAsia="宋体" w:cs="Times New Roman"/>
          <w:color w:val="auto"/>
          <w:kern w:val="2"/>
          <w:sz w:val="24"/>
          <w:szCs w:val="22"/>
          <w:highlight w:val="none"/>
          <w:lang w:eastAsia="zh-CN"/>
        </w:rPr>
        <w:t>（</w:t>
      </w:r>
      <w:r>
        <w:rPr>
          <w:rFonts w:hint="eastAsia" w:ascii="Times New Roman" w:hAnsi="Times New Roman" w:eastAsia="宋体" w:cs="Times New Roman"/>
          <w:color w:val="auto"/>
          <w:kern w:val="2"/>
          <w:sz w:val="24"/>
          <w:szCs w:val="22"/>
          <w:highlight w:val="none"/>
          <w:lang w:val="en-US" w:eastAsia="zh-CN"/>
        </w:rPr>
        <w:t>0.2m</w:t>
      </w:r>
      <w:r>
        <w:rPr>
          <w:rFonts w:hint="eastAsia" w:ascii="Times New Roman" w:hAnsi="Times New Roman" w:eastAsia="宋体"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中盐分含量的现状值</w:t>
      </w:r>
      <w:r>
        <w:rPr>
          <w:rFonts w:hint="eastAsia" w:ascii="Times New Roman" w:hAnsi="Times New Roman" w:eastAsia="宋体" w:cs="Times New Roman"/>
          <w:color w:val="auto"/>
          <w:kern w:val="2"/>
          <w:sz w:val="24"/>
          <w:szCs w:val="22"/>
          <w:highlight w:val="none"/>
          <w:lang w:val="en-US" w:eastAsia="zh-CN"/>
        </w:rPr>
        <w:t>最大</w:t>
      </w:r>
      <w:r>
        <w:rPr>
          <w:rFonts w:hint="default" w:ascii="Times New Roman" w:hAnsi="Times New Roman" w:eastAsia="宋体" w:cs="Times New Roman"/>
          <w:color w:val="auto"/>
          <w:kern w:val="2"/>
          <w:sz w:val="24"/>
          <w:szCs w:val="22"/>
          <w:highlight w:val="none"/>
        </w:rPr>
        <w:t>为</w:t>
      </w:r>
      <w:r>
        <w:rPr>
          <w:rFonts w:hint="eastAsia" w:cs="Times New Roman"/>
          <w:color w:val="auto"/>
          <w:kern w:val="2"/>
          <w:sz w:val="24"/>
          <w:szCs w:val="22"/>
          <w:highlight w:val="none"/>
          <w:lang w:val="en-US" w:eastAsia="zh-CN"/>
        </w:rPr>
        <w:t>19.4</w:t>
      </w:r>
      <w:r>
        <w:rPr>
          <w:rFonts w:hint="default" w:ascii="Times New Roman" w:hAnsi="Times New Roman" w:eastAsia="宋体" w:cs="Times New Roman"/>
          <w:color w:val="auto"/>
          <w:kern w:val="2"/>
          <w:sz w:val="24"/>
          <w:szCs w:val="22"/>
          <w:highlight w:val="none"/>
        </w:rPr>
        <w:t>g/kg。预测年份为</w:t>
      </w:r>
      <w:r>
        <w:rPr>
          <w:rFonts w:hint="eastAsia" w:ascii="Times New Roman" w:hAnsi="Times New Roman" w:eastAsia="宋体" w:cs="Times New Roman"/>
          <w:color w:val="auto"/>
          <w:kern w:val="2"/>
          <w:sz w:val="24"/>
          <w:szCs w:val="22"/>
          <w:highlight w:val="none"/>
          <w:lang w:val="en-US" w:eastAsia="zh-CN"/>
        </w:rPr>
        <w:t>1</w:t>
      </w:r>
      <w:r>
        <w:rPr>
          <w:rFonts w:hint="default" w:ascii="Times New Roman" w:hAnsi="Times New Roman" w:eastAsia="宋体" w:cs="Times New Roman"/>
          <w:color w:val="auto"/>
          <w:kern w:val="2"/>
          <w:sz w:val="24"/>
          <w:szCs w:val="22"/>
          <w:highlight w:val="none"/>
        </w:rPr>
        <w:t>a</w:t>
      </w:r>
      <w:r>
        <w:rPr>
          <w:rFonts w:hint="default" w:ascii="Times New Roman" w:hAnsi="Times New Roman" w:cs="Times New Roman"/>
          <w:color w:val="auto"/>
          <w:kern w:val="2"/>
          <w:sz w:val="24"/>
          <w:szCs w:val="22"/>
          <w:highlight w:val="none"/>
          <w:lang w:eastAsia="zh-CN"/>
        </w:rPr>
        <w:t>（</w:t>
      </w:r>
      <w:r>
        <w:rPr>
          <w:rFonts w:hint="eastAsia" w:ascii="Times New Roman" w:hAnsi="Times New Roman" w:eastAsia="宋体" w:cs="Times New Roman"/>
          <w:color w:val="auto"/>
          <w:kern w:val="2"/>
          <w:sz w:val="24"/>
          <w:szCs w:val="22"/>
          <w:highlight w:val="none"/>
          <w:lang w:val="en-US" w:eastAsia="zh-CN"/>
        </w:rPr>
        <w:t>365</w:t>
      </w:r>
      <w:r>
        <w:rPr>
          <w:rFonts w:hint="default" w:ascii="Times New Roman" w:hAnsi="Times New Roman" w:eastAsia="宋体" w:cs="Times New Roman"/>
          <w:color w:val="auto"/>
          <w:kern w:val="2"/>
          <w:sz w:val="24"/>
          <w:szCs w:val="22"/>
          <w:highlight w:val="none"/>
        </w:rPr>
        <w:t>天</w:t>
      </w:r>
      <w:r>
        <w:rPr>
          <w:rFonts w:hint="default" w:ascii="Times New Roman" w:hAnsi="Times New Roman" w:cs="Times New Roman"/>
          <w:color w:val="auto"/>
          <w:kern w:val="2"/>
          <w:sz w:val="24"/>
          <w:szCs w:val="22"/>
          <w:highlight w:val="none"/>
          <w:lang w:eastAsia="zh-CN"/>
        </w:rPr>
        <w:t>）</w:t>
      </w:r>
      <w:r>
        <w:rPr>
          <w:rFonts w:hint="default" w:ascii="Times New Roman" w:hAnsi="Times New Roman" w:eastAsia="宋体" w:cs="Times New Roman"/>
          <w:color w:val="auto"/>
          <w:kern w:val="2"/>
          <w:sz w:val="24"/>
          <w:szCs w:val="22"/>
          <w:highlight w:val="none"/>
        </w:rPr>
        <w:t>。</w:t>
      </w:r>
    </w:p>
    <w:p w14:paraId="6FAB4E8E">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rPr>
      </w:pPr>
      <w:r>
        <w:rPr>
          <w:rFonts w:hint="default" w:ascii="Times New Roman" w:hAnsi="Times New Roman" w:eastAsia="宋体" w:cs="Times New Roman"/>
          <w:color w:val="auto"/>
          <w:kern w:val="2"/>
          <w:sz w:val="24"/>
          <w:szCs w:val="22"/>
          <w:highlight w:val="none"/>
        </w:rPr>
        <w:t>根据上述计算结果，在</w:t>
      </w:r>
      <w:r>
        <w:rPr>
          <w:rFonts w:hint="eastAsia" w:ascii="Times New Roman" w:hAnsi="Times New Roman" w:eastAsia="宋体" w:cs="Times New Roman"/>
          <w:color w:val="auto"/>
          <w:kern w:val="2"/>
          <w:sz w:val="24"/>
          <w:szCs w:val="22"/>
          <w:highlight w:val="none"/>
          <w:lang w:val="en-US" w:eastAsia="zh-CN"/>
        </w:rPr>
        <w:t>365</w:t>
      </w:r>
      <w:r>
        <w:rPr>
          <w:rFonts w:hint="default" w:ascii="Times New Roman" w:hAnsi="Times New Roman" w:eastAsia="宋体" w:cs="Times New Roman"/>
          <w:color w:val="auto"/>
          <w:kern w:val="2"/>
          <w:sz w:val="24"/>
          <w:szCs w:val="22"/>
          <w:highlight w:val="none"/>
        </w:rPr>
        <w:t>天内，单位质量土壤中盐分含量的增量为0.</w:t>
      </w:r>
      <w:r>
        <w:rPr>
          <w:rFonts w:hint="eastAsia" w:cs="Times New Roman"/>
          <w:color w:val="auto"/>
          <w:kern w:val="2"/>
          <w:sz w:val="24"/>
          <w:szCs w:val="22"/>
          <w:highlight w:val="none"/>
          <w:lang w:val="en-US" w:eastAsia="zh-CN"/>
        </w:rPr>
        <w:t>61</w:t>
      </w:r>
      <w:r>
        <w:rPr>
          <w:rFonts w:hint="default" w:ascii="Times New Roman" w:hAnsi="Times New Roman" w:eastAsia="宋体" w:cs="Times New Roman"/>
          <w:color w:val="auto"/>
          <w:kern w:val="2"/>
          <w:sz w:val="24"/>
          <w:szCs w:val="22"/>
          <w:highlight w:val="none"/>
        </w:rPr>
        <w:t>g/kg，叠加现状值后的预测值为</w:t>
      </w:r>
      <w:r>
        <w:rPr>
          <w:rFonts w:hint="eastAsia" w:cs="Times New Roman"/>
          <w:color w:val="auto"/>
          <w:kern w:val="2"/>
          <w:sz w:val="24"/>
          <w:szCs w:val="22"/>
          <w:highlight w:val="none"/>
          <w:lang w:val="en-US" w:eastAsia="zh-CN"/>
        </w:rPr>
        <w:t>20.01</w:t>
      </w:r>
      <w:r>
        <w:rPr>
          <w:rFonts w:hint="default" w:ascii="Times New Roman" w:hAnsi="Times New Roman" w:eastAsia="宋体" w:cs="Times New Roman"/>
          <w:color w:val="auto"/>
          <w:kern w:val="2"/>
          <w:sz w:val="24"/>
          <w:szCs w:val="22"/>
          <w:highlight w:val="none"/>
        </w:rPr>
        <w:t>g/kg。</w:t>
      </w:r>
    </w:p>
    <w:p w14:paraId="009F6F62">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2"/>
          <w:highlight w:val="none"/>
          <w:lang w:val="en-US" w:eastAsia="zh-CN"/>
        </w:rPr>
      </w:pPr>
      <w:r>
        <w:rPr>
          <w:rFonts w:hint="default" w:ascii="Times New Roman" w:hAnsi="Times New Roman" w:eastAsia="宋体" w:cs="Times New Roman"/>
          <w:color w:val="auto"/>
          <w:kern w:val="2"/>
          <w:sz w:val="24"/>
          <w:szCs w:val="22"/>
          <w:highlight w:val="none"/>
        </w:rPr>
        <w:t>从预测结果可知，发生泄漏后，导致泄漏点周边区域土壤中盐分含量有所升高，但在发生泄漏后，油田公司会按照要求将泄漏点周围区域土壤进行清理，且随着雨水淋溶，区域土壤中增加的盐分含量将逐渐降低直至恢复至平均水平</w:t>
      </w:r>
      <w:r>
        <w:rPr>
          <w:rFonts w:hint="default" w:ascii="Times New Roman" w:hAnsi="Times New Roman" w:eastAsia="宋体" w:cs="Times New Roman"/>
          <w:color w:val="auto"/>
          <w:kern w:val="2"/>
          <w:sz w:val="24"/>
          <w:szCs w:val="22"/>
          <w:highlight w:val="none"/>
          <w:lang w:eastAsia="zh-CN"/>
        </w:rPr>
        <w:t>。</w:t>
      </w:r>
    </w:p>
    <w:p w14:paraId="0C10AE30">
      <w:pPr>
        <w:widowControl w:val="0"/>
        <w:adjustRightInd w:val="0"/>
        <w:snapToGrid w:val="0"/>
        <w:spacing w:line="360" w:lineRule="auto"/>
        <w:ind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2"/>
          <w:highlight w:val="none"/>
        </w:rPr>
        <w:t>运营期</w:t>
      </w:r>
      <w:r>
        <w:rPr>
          <w:rFonts w:hint="eastAsia" w:cs="Times New Roman"/>
          <w:color w:val="auto"/>
          <w:kern w:val="2"/>
          <w:sz w:val="24"/>
          <w:szCs w:val="22"/>
          <w:highlight w:val="none"/>
          <w:lang w:eastAsia="zh-CN"/>
        </w:rPr>
        <w:t>需</w:t>
      </w:r>
      <w:r>
        <w:rPr>
          <w:rFonts w:hint="default" w:ascii="Times New Roman" w:hAnsi="Times New Roman" w:eastAsia="宋体" w:cs="Times New Roman"/>
          <w:color w:val="auto"/>
          <w:kern w:val="2"/>
          <w:sz w:val="24"/>
          <w:szCs w:val="22"/>
          <w:highlight w:val="none"/>
        </w:rPr>
        <w:t>定期检查管道的破损或破裂情况，若发现有破损或破裂部位须及时进行修补。故在项目运行期间，需加强管理和监督检查，杜绝非正常情况的发生，避免污染物进入土壤及地下水含水层中。在工程做好防渗、定期监测、严格执行本次环评提出的污染防治措施的前提下本项目对土壤环境影响可接受。</w:t>
      </w:r>
    </w:p>
    <w:p w14:paraId="45E0D62E">
      <w:pPr>
        <w:pStyle w:val="143"/>
        <w:shd w:val="clear" w:color="auto" w:fil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5.6.3小结</w:t>
      </w:r>
    </w:p>
    <w:p w14:paraId="0DBC7689">
      <w:pPr>
        <w:spacing w:line="360" w:lineRule="auto"/>
        <w:ind w:firstLine="480" w:firstLineChars="200"/>
        <w:rPr>
          <w:rFonts w:hint="default"/>
          <w:color w:val="auto"/>
          <w:sz w:val="24"/>
          <w:szCs w:val="24"/>
          <w:highlight w:val="none"/>
          <w:lang w:val="en-US" w:eastAsia="zh-CN" w:bidi="ar"/>
        </w:rPr>
      </w:pPr>
      <w:r>
        <w:rPr>
          <w:rFonts w:hint="default"/>
          <w:color w:val="auto"/>
          <w:sz w:val="24"/>
          <w:szCs w:val="24"/>
          <w:highlight w:val="none"/>
          <w:lang w:val="en-US" w:eastAsia="zh-CN" w:bidi="ar"/>
        </w:rPr>
        <w:t>本</w:t>
      </w:r>
      <w:r>
        <w:rPr>
          <w:rFonts w:hint="eastAsia"/>
          <w:color w:val="auto"/>
          <w:sz w:val="24"/>
          <w:szCs w:val="24"/>
          <w:highlight w:val="none"/>
          <w:lang w:val="en-US" w:eastAsia="zh-CN" w:bidi="ar"/>
        </w:rPr>
        <w:t>项目</w:t>
      </w:r>
      <w:r>
        <w:rPr>
          <w:rFonts w:hint="default"/>
          <w:color w:val="auto"/>
          <w:sz w:val="24"/>
          <w:szCs w:val="24"/>
          <w:highlight w:val="none"/>
          <w:lang w:val="en-US" w:eastAsia="zh-CN" w:bidi="ar"/>
        </w:rPr>
        <w:t>采用密闭集输的生产方式，一旦发生</w:t>
      </w:r>
      <w:r>
        <w:rPr>
          <w:rFonts w:hint="eastAsia"/>
          <w:color w:val="auto"/>
          <w:sz w:val="24"/>
          <w:szCs w:val="24"/>
          <w:highlight w:val="none"/>
          <w:lang w:val="en-US" w:eastAsia="zh-CN" w:bidi="ar"/>
        </w:rPr>
        <w:t>原油</w:t>
      </w:r>
      <w:r>
        <w:rPr>
          <w:rFonts w:hint="default"/>
          <w:color w:val="auto"/>
          <w:sz w:val="24"/>
          <w:szCs w:val="24"/>
          <w:highlight w:val="none"/>
          <w:lang w:val="en-US" w:eastAsia="zh-CN" w:bidi="ar"/>
        </w:rPr>
        <w:t>泄漏，均可及时发现并进行处理。正常工况下无废水及固废等污染物外排，不会造成土壤环境污染。如果发生</w:t>
      </w:r>
      <w:r>
        <w:rPr>
          <w:rFonts w:hint="eastAsia"/>
          <w:color w:val="auto"/>
          <w:sz w:val="24"/>
          <w:szCs w:val="24"/>
          <w:highlight w:val="none"/>
          <w:lang w:val="en-US" w:eastAsia="zh-CN" w:bidi="ar"/>
        </w:rPr>
        <w:t>原油</w:t>
      </w:r>
      <w:r>
        <w:rPr>
          <w:rFonts w:hint="default"/>
          <w:color w:val="auto"/>
          <w:sz w:val="24"/>
          <w:szCs w:val="24"/>
          <w:highlight w:val="none"/>
          <w:lang w:val="en-US" w:eastAsia="zh-CN" w:bidi="ar"/>
        </w:rPr>
        <w:t>泄漏等事故，泄漏的</w:t>
      </w:r>
      <w:r>
        <w:rPr>
          <w:rFonts w:hint="eastAsia"/>
          <w:color w:val="auto"/>
          <w:sz w:val="24"/>
          <w:szCs w:val="24"/>
          <w:highlight w:val="none"/>
          <w:lang w:val="en-US" w:eastAsia="zh-CN" w:bidi="ar"/>
        </w:rPr>
        <w:t>原油</w:t>
      </w:r>
      <w:r>
        <w:rPr>
          <w:rFonts w:hint="default"/>
          <w:color w:val="auto"/>
          <w:sz w:val="24"/>
          <w:szCs w:val="24"/>
          <w:highlight w:val="none"/>
          <w:lang w:val="en-US" w:eastAsia="zh-CN" w:bidi="ar"/>
        </w:rPr>
        <w:t>会对土壤环境产生一定的影响，泄漏的石油覆盖于地表可使土壤透气性下降、土壤理化性状发生变化。泄漏的油品如果进入土壤，从而使土壤质地、结构发生改变，影响到土地功能，进而影响地表植被的生长同时根据环境风险分析可知，本工程风险潜势很低，发生泄漏事故的可能性很小，在做好源头控制、过程防控等措施的前提下，对土壤环境影响可接受。</w:t>
      </w:r>
    </w:p>
    <w:p w14:paraId="2E2335C0">
      <w:pPr>
        <w:pStyle w:val="143"/>
        <w:shd w:val="clear" w:color="auto" w:fill="auto"/>
        <w:rPr>
          <w:rFonts w:hint="default" w:ascii="Times New Roman" w:hAnsi="Times New Roman" w:cs="Times New Roman"/>
          <w:color w:val="auto"/>
          <w:highlight w:val="none"/>
        </w:rPr>
      </w:pPr>
      <w:r>
        <w:rPr>
          <w:rFonts w:hint="default" w:ascii="Times New Roman" w:hAnsi="Times New Roman" w:cs="Times New Roman"/>
          <w:color w:val="auto"/>
          <w:highlight w:val="none"/>
        </w:rPr>
        <w:t>5.6.</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土壤环境影响自查表</w:t>
      </w:r>
    </w:p>
    <w:p w14:paraId="643DE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土</w:t>
      </w:r>
      <w:r>
        <w:rPr>
          <w:rFonts w:hint="default" w:ascii="Times New Roman" w:hAnsi="Times New Roman" w:cs="Times New Roman"/>
          <w:color w:val="auto"/>
          <w:highlight w:val="none"/>
        </w:rPr>
        <w:t>壤环境影响评价自查表，见表5.6-</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14:paraId="57F43ED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val="0"/>
          <w:bCs/>
          <w:color w:val="auto"/>
          <w:spacing w:val="4"/>
          <w:kern w:val="24"/>
          <w:sz w:val="21"/>
          <w:szCs w:val="21"/>
          <w:highlight w:val="none"/>
        </w:rPr>
      </w:pPr>
      <w:r>
        <w:rPr>
          <w:rFonts w:hint="default" w:ascii="Times New Roman" w:hAnsi="Times New Roman" w:eastAsia="黑体" w:cs="Times New Roman"/>
          <w:b w:val="0"/>
          <w:bCs/>
          <w:color w:val="auto"/>
          <w:kern w:val="21"/>
          <w:sz w:val="21"/>
          <w:szCs w:val="21"/>
          <w:highlight w:val="none"/>
        </w:rPr>
        <w:t>表</w:t>
      </w:r>
      <w:r>
        <w:rPr>
          <w:rFonts w:hint="default" w:ascii="Times New Roman" w:hAnsi="Times New Roman" w:eastAsia="黑体" w:cs="Times New Roman"/>
          <w:b w:val="0"/>
          <w:bCs/>
          <w:color w:val="auto"/>
          <w:spacing w:val="4"/>
          <w:kern w:val="24"/>
          <w:sz w:val="21"/>
          <w:szCs w:val="21"/>
          <w:highlight w:val="none"/>
        </w:rPr>
        <w:t>5.6-</w:t>
      </w:r>
      <w:r>
        <w:rPr>
          <w:rFonts w:hint="default" w:ascii="Times New Roman" w:hAnsi="Times New Roman" w:eastAsia="黑体" w:cs="Times New Roman"/>
          <w:b w:val="0"/>
          <w:bCs/>
          <w:color w:val="auto"/>
          <w:spacing w:val="4"/>
          <w:kern w:val="24"/>
          <w:sz w:val="21"/>
          <w:szCs w:val="21"/>
          <w:highlight w:val="none"/>
          <w:lang w:val="en-US" w:eastAsia="zh-CN"/>
        </w:rPr>
        <w:t>5</w:t>
      </w:r>
      <w:r>
        <w:rPr>
          <w:rFonts w:hint="default" w:ascii="Times New Roman" w:hAnsi="Times New Roman" w:eastAsia="黑体" w:cs="Times New Roman"/>
          <w:b w:val="0"/>
          <w:bCs/>
          <w:color w:val="auto"/>
          <w:kern w:val="21"/>
          <w:sz w:val="21"/>
          <w:szCs w:val="21"/>
          <w:highlight w:val="none"/>
        </w:rPr>
        <w:t>土壤环境影响评价自查表</w:t>
      </w:r>
    </w:p>
    <w:tbl>
      <w:tblPr>
        <w:tblStyle w:val="35"/>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725"/>
        <w:gridCol w:w="1436"/>
        <w:gridCol w:w="368"/>
        <w:gridCol w:w="967"/>
        <w:gridCol w:w="837"/>
        <w:gridCol w:w="513"/>
        <w:gridCol w:w="1292"/>
        <w:gridCol w:w="1230"/>
      </w:tblGrid>
      <w:tr w14:paraId="2F3D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tcBorders>
              <w:bottom w:val="single" w:color="auto" w:sz="6" w:space="0"/>
              <w:right w:val="single" w:color="auto" w:sz="6" w:space="0"/>
            </w:tcBorders>
          </w:tcPr>
          <w:p w14:paraId="32FB56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2"/>
                <w:szCs w:val="22"/>
                <w:highlight w:val="none"/>
              </w:rPr>
            </w:pPr>
          </w:p>
        </w:tc>
        <w:tc>
          <w:tcPr>
            <w:tcW w:w="1725" w:type="dxa"/>
            <w:tcBorders>
              <w:left w:val="single" w:color="auto" w:sz="6" w:space="0"/>
              <w:bottom w:val="single" w:color="auto" w:sz="6" w:space="0"/>
              <w:right w:val="single" w:color="auto" w:sz="6" w:space="0"/>
            </w:tcBorders>
            <w:vAlign w:val="center"/>
          </w:tcPr>
          <w:p w14:paraId="33DBD2E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工作内容</w:t>
            </w:r>
          </w:p>
        </w:tc>
        <w:tc>
          <w:tcPr>
            <w:tcW w:w="5413" w:type="dxa"/>
            <w:gridSpan w:val="6"/>
            <w:tcBorders>
              <w:left w:val="single" w:color="auto" w:sz="6" w:space="0"/>
              <w:bottom w:val="single" w:color="auto" w:sz="6" w:space="0"/>
              <w:right w:val="single" w:color="auto" w:sz="6" w:space="0"/>
            </w:tcBorders>
            <w:vAlign w:val="center"/>
          </w:tcPr>
          <w:p w14:paraId="781E02E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完成情况</w:t>
            </w:r>
          </w:p>
        </w:tc>
        <w:tc>
          <w:tcPr>
            <w:tcW w:w="1230" w:type="dxa"/>
            <w:tcBorders>
              <w:left w:val="single" w:color="auto" w:sz="6" w:space="0"/>
              <w:bottom w:val="single" w:color="auto" w:sz="6" w:space="0"/>
            </w:tcBorders>
            <w:vAlign w:val="center"/>
          </w:tcPr>
          <w:p w14:paraId="3E51B9B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备注</w:t>
            </w:r>
          </w:p>
        </w:tc>
      </w:tr>
      <w:tr w14:paraId="2C65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restart"/>
            <w:tcBorders>
              <w:top w:val="single" w:color="auto" w:sz="6" w:space="0"/>
              <w:bottom w:val="single" w:color="auto" w:sz="6" w:space="0"/>
              <w:right w:val="single" w:color="auto" w:sz="6" w:space="0"/>
            </w:tcBorders>
            <w:vAlign w:val="center"/>
          </w:tcPr>
          <w:p w14:paraId="54F53B04">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影响识别</w:t>
            </w:r>
          </w:p>
        </w:tc>
        <w:tc>
          <w:tcPr>
            <w:tcW w:w="1725" w:type="dxa"/>
            <w:tcBorders>
              <w:top w:val="single" w:color="auto" w:sz="6" w:space="0"/>
              <w:left w:val="single" w:color="auto" w:sz="6" w:space="0"/>
              <w:bottom w:val="single" w:color="auto" w:sz="6" w:space="0"/>
              <w:right w:val="single" w:color="auto" w:sz="6" w:space="0"/>
            </w:tcBorders>
            <w:vAlign w:val="center"/>
          </w:tcPr>
          <w:p w14:paraId="4D00D0BC">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影响类型</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3E1C89B8">
            <w:pPr>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sz w:val="22"/>
                <w:szCs w:val="22"/>
                <w:highlight w:val="none"/>
              </w:rPr>
              <w:t>污染影响型</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；生态影响型</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；两种兼有</w:t>
            </w:r>
            <w:r>
              <w:rPr>
                <w:rFonts w:hint="default" w:ascii="Times New Roman" w:hAnsi="Times New Roman" w:cs="Times New Roman"/>
                <w:color w:val="auto"/>
                <w:sz w:val="22"/>
                <w:szCs w:val="22"/>
                <w:highlight w:val="none"/>
                <w:lang w:eastAsia="zh-CN"/>
              </w:rPr>
              <w:t>☑</w:t>
            </w:r>
          </w:p>
        </w:tc>
        <w:tc>
          <w:tcPr>
            <w:tcW w:w="1230" w:type="dxa"/>
            <w:tcBorders>
              <w:top w:val="single" w:color="auto" w:sz="6" w:space="0"/>
              <w:left w:val="single" w:color="auto" w:sz="6" w:space="0"/>
              <w:bottom w:val="single" w:color="auto" w:sz="6" w:space="0"/>
            </w:tcBorders>
          </w:tcPr>
          <w:p w14:paraId="1D43A7BC">
            <w:pPr>
              <w:jc w:val="center"/>
              <w:rPr>
                <w:rFonts w:hint="default" w:ascii="Times New Roman" w:hAnsi="Times New Roman" w:cs="Times New Roman"/>
                <w:color w:val="auto"/>
                <w:sz w:val="22"/>
                <w:szCs w:val="22"/>
                <w:highlight w:val="none"/>
              </w:rPr>
            </w:pPr>
          </w:p>
        </w:tc>
      </w:tr>
      <w:tr w14:paraId="7D19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96" w:type="dxa"/>
            <w:vMerge w:val="continue"/>
            <w:tcBorders>
              <w:top w:val="single" w:color="auto" w:sz="6" w:space="0"/>
              <w:bottom w:val="single" w:color="auto" w:sz="6" w:space="0"/>
              <w:right w:val="single" w:color="auto" w:sz="6" w:space="0"/>
            </w:tcBorders>
            <w:vAlign w:val="center"/>
          </w:tcPr>
          <w:p w14:paraId="23D1CE09">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554E5F49">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土地利用类型</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0CEE6942">
            <w:pPr>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sz w:val="22"/>
                <w:szCs w:val="22"/>
                <w:highlight w:val="none"/>
              </w:rPr>
              <w:t>建设用地</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；农用地</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；未利用地</w:t>
            </w:r>
            <w:r>
              <w:rPr>
                <w:rFonts w:hint="default" w:ascii="Times New Roman" w:hAnsi="Times New Roman" w:cs="Times New Roman"/>
                <w:color w:val="auto"/>
                <w:sz w:val="22"/>
                <w:szCs w:val="22"/>
                <w:highlight w:val="none"/>
                <w:lang w:eastAsia="zh-CN"/>
              </w:rPr>
              <w:t>□</w:t>
            </w:r>
          </w:p>
        </w:tc>
        <w:tc>
          <w:tcPr>
            <w:tcW w:w="1230" w:type="dxa"/>
            <w:tcBorders>
              <w:top w:val="single" w:color="auto" w:sz="6" w:space="0"/>
              <w:left w:val="single" w:color="auto" w:sz="6" w:space="0"/>
              <w:bottom w:val="single" w:color="auto" w:sz="6" w:space="0"/>
            </w:tcBorders>
            <w:vAlign w:val="center"/>
          </w:tcPr>
          <w:p w14:paraId="0BF4BA86">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土地利用</w:t>
            </w:r>
          </w:p>
          <w:p w14:paraId="229893E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类型图</w:t>
            </w:r>
          </w:p>
        </w:tc>
      </w:tr>
      <w:tr w14:paraId="79CC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0734316B">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61D17608">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占地规模</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4C416671">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w:t>
            </w:r>
            <w:r>
              <w:rPr>
                <w:rFonts w:hint="eastAsia" w:cs="Times New Roman"/>
                <w:color w:val="auto"/>
                <w:sz w:val="22"/>
                <w:szCs w:val="22"/>
                <w:highlight w:val="none"/>
                <w:lang w:val="en-US" w:eastAsia="zh-CN"/>
              </w:rPr>
              <w:t>0</w:t>
            </w:r>
            <w:r>
              <w:rPr>
                <w:rFonts w:hint="default" w:ascii="Times New Roman" w:hAnsi="Times New Roman" w:cs="Times New Roman"/>
                <w:color w:val="auto"/>
                <w:sz w:val="22"/>
                <w:szCs w:val="22"/>
                <w:highlight w:val="none"/>
              </w:rPr>
              <w:t>）hm</w:t>
            </w:r>
            <w:r>
              <w:rPr>
                <w:rFonts w:hint="default" w:ascii="Times New Roman" w:hAnsi="Times New Roman" w:cs="Times New Roman"/>
                <w:color w:val="auto"/>
                <w:sz w:val="22"/>
                <w:szCs w:val="22"/>
                <w:highlight w:val="none"/>
                <w:vertAlign w:val="superscript"/>
              </w:rPr>
              <w:t>2</w:t>
            </w:r>
          </w:p>
        </w:tc>
        <w:tc>
          <w:tcPr>
            <w:tcW w:w="1230" w:type="dxa"/>
            <w:tcBorders>
              <w:top w:val="single" w:color="auto" w:sz="6" w:space="0"/>
              <w:left w:val="single" w:color="auto" w:sz="6" w:space="0"/>
              <w:bottom w:val="single" w:color="auto" w:sz="6" w:space="0"/>
            </w:tcBorders>
          </w:tcPr>
          <w:p w14:paraId="1FBBB193">
            <w:pPr>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不新增永久占地</w:t>
            </w:r>
          </w:p>
        </w:tc>
      </w:tr>
      <w:tr w14:paraId="34A9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41D3A5BB">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51556797">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敏感目标信息</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5357C368">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敏感目标（占用灌木林，属国家二级公益林）、方位（内）、距离（/）</w:t>
            </w:r>
          </w:p>
        </w:tc>
        <w:tc>
          <w:tcPr>
            <w:tcW w:w="1230" w:type="dxa"/>
            <w:tcBorders>
              <w:top w:val="single" w:color="auto" w:sz="6" w:space="0"/>
              <w:left w:val="single" w:color="auto" w:sz="6" w:space="0"/>
              <w:bottom w:val="single" w:color="auto" w:sz="6" w:space="0"/>
            </w:tcBorders>
          </w:tcPr>
          <w:p w14:paraId="310696C3">
            <w:pPr>
              <w:jc w:val="center"/>
              <w:rPr>
                <w:rFonts w:hint="default" w:ascii="Times New Roman" w:hAnsi="Times New Roman" w:cs="Times New Roman"/>
                <w:color w:val="auto"/>
                <w:sz w:val="22"/>
                <w:szCs w:val="22"/>
                <w:highlight w:val="none"/>
              </w:rPr>
            </w:pPr>
          </w:p>
        </w:tc>
      </w:tr>
      <w:tr w14:paraId="0A32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070ED71A">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084D8794">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影响途径</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5FB0DCFB">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大气沉降□；地面漫流</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；垂直入渗</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；地下水位□；其他</w:t>
            </w:r>
            <w:r>
              <w:rPr>
                <w:rFonts w:hint="default" w:ascii="Times New Roman" w:hAnsi="Times New Roman" w:cs="Times New Roman"/>
                <w:color w:val="auto"/>
                <w:sz w:val="22"/>
                <w:szCs w:val="22"/>
                <w:highlight w:val="none"/>
                <w:lang w:eastAsia="zh-CN"/>
              </w:rPr>
              <w:t>□</w:t>
            </w:r>
          </w:p>
        </w:tc>
        <w:tc>
          <w:tcPr>
            <w:tcW w:w="1230" w:type="dxa"/>
            <w:tcBorders>
              <w:top w:val="single" w:color="auto" w:sz="6" w:space="0"/>
              <w:left w:val="single" w:color="auto" w:sz="6" w:space="0"/>
              <w:bottom w:val="single" w:color="auto" w:sz="6" w:space="0"/>
            </w:tcBorders>
          </w:tcPr>
          <w:p w14:paraId="7B9E2FBD">
            <w:pPr>
              <w:jc w:val="center"/>
              <w:rPr>
                <w:rFonts w:hint="default" w:ascii="Times New Roman" w:hAnsi="Times New Roman" w:cs="Times New Roman"/>
                <w:color w:val="auto"/>
                <w:sz w:val="22"/>
                <w:szCs w:val="22"/>
                <w:highlight w:val="none"/>
              </w:rPr>
            </w:pPr>
          </w:p>
        </w:tc>
      </w:tr>
      <w:tr w14:paraId="7917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0B2A056F">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4876CF36">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全部污染物</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628FDC0">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石油类</w:t>
            </w:r>
          </w:p>
        </w:tc>
        <w:tc>
          <w:tcPr>
            <w:tcW w:w="1230" w:type="dxa"/>
            <w:tcBorders>
              <w:top w:val="single" w:color="auto" w:sz="6" w:space="0"/>
              <w:left w:val="single" w:color="auto" w:sz="6" w:space="0"/>
              <w:bottom w:val="single" w:color="auto" w:sz="6" w:space="0"/>
            </w:tcBorders>
          </w:tcPr>
          <w:p w14:paraId="207C9517">
            <w:pPr>
              <w:jc w:val="center"/>
              <w:rPr>
                <w:rFonts w:hint="default" w:ascii="Times New Roman" w:hAnsi="Times New Roman" w:cs="Times New Roman"/>
                <w:color w:val="auto"/>
                <w:sz w:val="22"/>
                <w:szCs w:val="22"/>
                <w:highlight w:val="none"/>
              </w:rPr>
            </w:pPr>
          </w:p>
        </w:tc>
      </w:tr>
      <w:tr w14:paraId="11CD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20DC4BC5">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0AD4820D">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特征因子</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5C319D33">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石油烃</w:t>
            </w:r>
          </w:p>
        </w:tc>
        <w:tc>
          <w:tcPr>
            <w:tcW w:w="1230" w:type="dxa"/>
            <w:tcBorders>
              <w:top w:val="single" w:color="auto" w:sz="6" w:space="0"/>
              <w:left w:val="single" w:color="auto" w:sz="6" w:space="0"/>
              <w:bottom w:val="single" w:color="auto" w:sz="6" w:space="0"/>
            </w:tcBorders>
          </w:tcPr>
          <w:p w14:paraId="1BE93225">
            <w:pPr>
              <w:jc w:val="center"/>
              <w:rPr>
                <w:rFonts w:hint="default" w:ascii="Times New Roman" w:hAnsi="Times New Roman" w:cs="Times New Roman"/>
                <w:color w:val="auto"/>
                <w:sz w:val="22"/>
                <w:szCs w:val="22"/>
                <w:highlight w:val="none"/>
              </w:rPr>
            </w:pPr>
          </w:p>
        </w:tc>
      </w:tr>
      <w:tr w14:paraId="3DD7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612755F9">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5F1881A7">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所属土壤环境影响评价项目类别</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46A5802B">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Ⅰ类</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；Ⅱ类□；Ⅲ类□；Ⅳ类□</w:t>
            </w:r>
          </w:p>
        </w:tc>
        <w:tc>
          <w:tcPr>
            <w:tcW w:w="1230" w:type="dxa"/>
            <w:tcBorders>
              <w:top w:val="single" w:color="auto" w:sz="6" w:space="0"/>
              <w:left w:val="single" w:color="auto" w:sz="6" w:space="0"/>
              <w:bottom w:val="single" w:color="auto" w:sz="6" w:space="0"/>
            </w:tcBorders>
          </w:tcPr>
          <w:p w14:paraId="465EDCA1">
            <w:pPr>
              <w:jc w:val="center"/>
              <w:rPr>
                <w:rFonts w:hint="default" w:ascii="Times New Roman" w:hAnsi="Times New Roman" w:cs="Times New Roman"/>
                <w:color w:val="auto"/>
                <w:sz w:val="22"/>
                <w:szCs w:val="22"/>
                <w:highlight w:val="none"/>
              </w:rPr>
            </w:pPr>
          </w:p>
        </w:tc>
      </w:tr>
      <w:tr w14:paraId="1B95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36F946B5">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04C6D75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敏感程度</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71B4016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Ⅰ类</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；Ⅱ类□；Ⅲ类□；Ⅳ类□</w:t>
            </w:r>
          </w:p>
        </w:tc>
        <w:tc>
          <w:tcPr>
            <w:tcW w:w="1230" w:type="dxa"/>
            <w:tcBorders>
              <w:top w:val="single" w:color="auto" w:sz="6" w:space="0"/>
              <w:left w:val="single" w:color="auto" w:sz="6" w:space="0"/>
              <w:bottom w:val="single" w:color="auto" w:sz="6" w:space="0"/>
            </w:tcBorders>
          </w:tcPr>
          <w:p w14:paraId="4979A1F7">
            <w:pPr>
              <w:jc w:val="center"/>
              <w:rPr>
                <w:rFonts w:hint="default" w:ascii="Times New Roman" w:hAnsi="Times New Roman" w:cs="Times New Roman"/>
                <w:color w:val="auto"/>
                <w:sz w:val="22"/>
                <w:szCs w:val="22"/>
                <w:highlight w:val="none"/>
              </w:rPr>
            </w:pPr>
          </w:p>
        </w:tc>
      </w:tr>
      <w:tr w14:paraId="106C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tcBorders>
              <w:top w:val="single" w:color="auto" w:sz="6" w:space="0"/>
              <w:bottom w:val="single" w:color="auto" w:sz="6" w:space="0"/>
              <w:right w:val="single" w:color="auto" w:sz="6" w:space="0"/>
            </w:tcBorders>
          </w:tcPr>
          <w:p w14:paraId="0EFE7455">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60E91A34">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评价工作等级</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50A95853">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敏感</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；较敏感□；不敏感□</w:t>
            </w:r>
          </w:p>
        </w:tc>
        <w:tc>
          <w:tcPr>
            <w:tcW w:w="1230" w:type="dxa"/>
            <w:tcBorders>
              <w:top w:val="single" w:color="auto" w:sz="6" w:space="0"/>
              <w:left w:val="single" w:color="auto" w:sz="6" w:space="0"/>
              <w:bottom w:val="single" w:color="auto" w:sz="6" w:space="0"/>
            </w:tcBorders>
          </w:tcPr>
          <w:p w14:paraId="7CEBBDFB">
            <w:pPr>
              <w:jc w:val="center"/>
              <w:rPr>
                <w:rFonts w:hint="default" w:ascii="Times New Roman" w:hAnsi="Times New Roman" w:cs="Times New Roman"/>
                <w:color w:val="auto"/>
                <w:sz w:val="22"/>
                <w:szCs w:val="22"/>
                <w:highlight w:val="none"/>
              </w:rPr>
            </w:pPr>
          </w:p>
        </w:tc>
      </w:tr>
      <w:tr w14:paraId="1842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restart"/>
            <w:tcBorders>
              <w:top w:val="single" w:color="auto" w:sz="6" w:space="0"/>
              <w:bottom w:val="single" w:color="auto" w:sz="6" w:space="0"/>
              <w:right w:val="single" w:color="auto" w:sz="6" w:space="0"/>
            </w:tcBorders>
          </w:tcPr>
          <w:p w14:paraId="1C8608AF">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现状调查内容</w:t>
            </w:r>
          </w:p>
        </w:tc>
        <w:tc>
          <w:tcPr>
            <w:tcW w:w="1725" w:type="dxa"/>
            <w:tcBorders>
              <w:top w:val="single" w:color="auto" w:sz="6" w:space="0"/>
              <w:left w:val="single" w:color="auto" w:sz="6" w:space="0"/>
              <w:bottom w:val="single" w:color="auto" w:sz="6" w:space="0"/>
              <w:right w:val="single" w:color="auto" w:sz="6" w:space="0"/>
            </w:tcBorders>
            <w:vAlign w:val="center"/>
          </w:tcPr>
          <w:p w14:paraId="6BD8C76B">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资料收集</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7F299ED">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一级</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；二级□；三级□</w:t>
            </w:r>
          </w:p>
        </w:tc>
        <w:tc>
          <w:tcPr>
            <w:tcW w:w="1230" w:type="dxa"/>
            <w:tcBorders>
              <w:top w:val="single" w:color="auto" w:sz="6" w:space="0"/>
              <w:left w:val="single" w:color="auto" w:sz="6" w:space="0"/>
              <w:bottom w:val="single" w:color="auto" w:sz="6" w:space="0"/>
            </w:tcBorders>
          </w:tcPr>
          <w:p w14:paraId="7099198D">
            <w:pPr>
              <w:jc w:val="center"/>
              <w:rPr>
                <w:rFonts w:hint="default" w:ascii="Times New Roman" w:hAnsi="Times New Roman" w:cs="Times New Roman"/>
                <w:color w:val="auto"/>
                <w:sz w:val="22"/>
                <w:szCs w:val="22"/>
                <w:highlight w:val="none"/>
              </w:rPr>
            </w:pPr>
          </w:p>
        </w:tc>
      </w:tr>
      <w:tr w14:paraId="67D2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tcPr>
          <w:p w14:paraId="3B1ECD5F">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369A9DC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理化特性</w:t>
            </w:r>
          </w:p>
        </w:tc>
        <w:tc>
          <w:tcPr>
            <w:tcW w:w="5413" w:type="dxa"/>
            <w:gridSpan w:val="6"/>
            <w:tcBorders>
              <w:top w:val="single" w:color="auto" w:sz="6" w:space="0"/>
              <w:left w:val="single" w:color="auto" w:sz="6" w:space="0"/>
              <w:bottom w:val="single" w:color="auto" w:sz="6" w:space="0"/>
              <w:right w:val="single" w:color="auto" w:sz="6" w:space="0"/>
            </w:tcBorders>
          </w:tcPr>
          <w:p w14:paraId="2D32B538">
            <w:pPr>
              <w:jc w:val="center"/>
              <w:rPr>
                <w:rFonts w:hint="default" w:ascii="Times New Roman" w:hAnsi="Times New Roman" w:cs="Times New Roman"/>
                <w:color w:val="auto"/>
                <w:sz w:val="22"/>
                <w:szCs w:val="22"/>
                <w:highlight w:val="none"/>
              </w:rPr>
            </w:pPr>
          </w:p>
        </w:tc>
        <w:tc>
          <w:tcPr>
            <w:tcW w:w="1230" w:type="dxa"/>
            <w:tcBorders>
              <w:top w:val="single" w:color="auto" w:sz="6" w:space="0"/>
              <w:left w:val="single" w:color="auto" w:sz="6" w:space="0"/>
              <w:bottom w:val="single" w:color="auto" w:sz="6" w:space="0"/>
            </w:tcBorders>
            <w:vAlign w:val="center"/>
          </w:tcPr>
          <w:p w14:paraId="32B01D53">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同附录C</w:t>
            </w:r>
          </w:p>
        </w:tc>
      </w:tr>
      <w:tr w14:paraId="2758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tcPr>
          <w:p w14:paraId="288B8664">
            <w:pPr>
              <w:jc w:val="center"/>
              <w:rPr>
                <w:rFonts w:hint="default" w:ascii="Times New Roman" w:hAnsi="Times New Roman" w:cs="Times New Roman"/>
                <w:color w:val="auto"/>
                <w:sz w:val="22"/>
                <w:szCs w:val="22"/>
                <w:highlight w:val="none"/>
              </w:rPr>
            </w:pPr>
          </w:p>
        </w:tc>
        <w:tc>
          <w:tcPr>
            <w:tcW w:w="1725" w:type="dxa"/>
            <w:vMerge w:val="restart"/>
            <w:tcBorders>
              <w:top w:val="single" w:color="auto" w:sz="6" w:space="0"/>
              <w:left w:val="single" w:color="auto" w:sz="6" w:space="0"/>
              <w:bottom w:val="single" w:color="auto" w:sz="6" w:space="0"/>
              <w:right w:val="single" w:color="auto" w:sz="6" w:space="0"/>
            </w:tcBorders>
            <w:vAlign w:val="center"/>
          </w:tcPr>
          <w:p w14:paraId="6FCE61F6">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现状监测点位</w:t>
            </w:r>
          </w:p>
        </w:tc>
        <w:tc>
          <w:tcPr>
            <w:tcW w:w="1436" w:type="dxa"/>
            <w:tcBorders>
              <w:top w:val="single" w:color="auto" w:sz="6" w:space="0"/>
              <w:left w:val="single" w:color="auto" w:sz="6" w:space="0"/>
              <w:bottom w:val="single" w:color="auto" w:sz="6" w:space="0"/>
              <w:right w:val="single" w:color="auto" w:sz="6" w:space="0"/>
            </w:tcBorders>
          </w:tcPr>
          <w:p w14:paraId="196A3176">
            <w:pPr>
              <w:jc w:val="center"/>
              <w:rPr>
                <w:rFonts w:hint="default" w:ascii="Times New Roman" w:hAnsi="Times New Roman" w:cs="Times New Roman"/>
                <w:color w:val="auto"/>
                <w:sz w:val="22"/>
                <w:szCs w:val="22"/>
                <w:highlight w:val="none"/>
              </w:rPr>
            </w:pPr>
          </w:p>
        </w:tc>
        <w:tc>
          <w:tcPr>
            <w:tcW w:w="1335" w:type="dxa"/>
            <w:gridSpan w:val="2"/>
            <w:tcBorders>
              <w:top w:val="single" w:color="auto" w:sz="6" w:space="0"/>
              <w:left w:val="single" w:color="auto" w:sz="6" w:space="0"/>
              <w:bottom w:val="single" w:color="auto" w:sz="6" w:space="0"/>
              <w:right w:val="single" w:color="auto" w:sz="6" w:space="0"/>
            </w:tcBorders>
            <w:vAlign w:val="center"/>
          </w:tcPr>
          <w:p w14:paraId="7FE0D511">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占地范围内</w:t>
            </w:r>
          </w:p>
        </w:tc>
        <w:tc>
          <w:tcPr>
            <w:tcW w:w="1350" w:type="dxa"/>
            <w:gridSpan w:val="2"/>
            <w:tcBorders>
              <w:top w:val="single" w:color="auto" w:sz="6" w:space="0"/>
              <w:left w:val="single" w:color="auto" w:sz="6" w:space="0"/>
              <w:bottom w:val="single" w:color="auto" w:sz="6" w:space="0"/>
              <w:right w:val="single" w:color="auto" w:sz="6" w:space="0"/>
            </w:tcBorders>
            <w:vAlign w:val="center"/>
          </w:tcPr>
          <w:p w14:paraId="31E7E3C7">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占地范围外</w:t>
            </w:r>
          </w:p>
        </w:tc>
        <w:tc>
          <w:tcPr>
            <w:tcW w:w="1292" w:type="dxa"/>
            <w:tcBorders>
              <w:top w:val="single" w:color="auto" w:sz="6" w:space="0"/>
              <w:left w:val="single" w:color="auto" w:sz="6" w:space="0"/>
              <w:bottom w:val="single" w:color="auto" w:sz="6" w:space="0"/>
              <w:right w:val="single" w:color="auto" w:sz="6" w:space="0"/>
            </w:tcBorders>
            <w:vAlign w:val="center"/>
          </w:tcPr>
          <w:p w14:paraId="4E8AFE4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深度</w:t>
            </w:r>
          </w:p>
        </w:tc>
        <w:tc>
          <w:tcPr>
            <w:tcW w:w="1230" w:type="dxa"/>
            <w:vMerge w:val="restart"/>
            <w:tcBorders>
              <w:top w:val="single" w:color="auto" w:sz="6" w:space="0"/>
              <w:left w:val="single" w:color="auto" w:sz="6" w:space="0"/>
              <w:bottom w:val="single" w:color="auto" w:sz="6" w:space="0"/>
            </w:tcBorders>
            <w:vAlign w:val="center"/>
          </w:tcPr>
          <w:p w14:paraId="47399FB7">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点位</w:t>
            </w:r>
          </w:p>
          <w:p w14:paraId="1F4501DF">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布置图</w:t>
            </w:r>
          </w:p>
        </w:tc>
      </w:tr>
      <w:tr w14:paraId="60D0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tcPr>
          <w:p w14:paraId="5656A62E">
            <w:pPr>
              <w:jc w:val="center"/>
              <w:rPr>
                <w:rFonts w:hint="default" w:ascii="Times New Roman" w:hAnsi="Times New Roman" w:cs="Times New Roman"/>
                <w:color w:val="auto"/>
                <w:sz w:val="22"/>
                <w:szCs w:val="22"/>
                <w:highlight w:val="none"/>
              </w:rPr>
            </w:pPr>
          </w:p>
        </w:tc>
        <w:tc>
          <w:tcPr>
            <w:tcW w:w="1725" w:type="dxa"/>
            <w:vMerge w:val="continue"/>
            <w:tcBorders>
              <w:top w:val="single" w:color="auto" w:sz="6" w:space="0"/>
              <w:left w:val="single" w:color="auto" w:sz="6" w:space="0"/>
              <w:bottom w:val="single" w:color="auto" w:sz="6" w:space="0"/>
              <w:right w:val="single" w:color="auto" w:sz="6" w:space="0"/>
            </w:tcBorders>
            <w:vAlign w:val="center"/>
          </w:tcPr>
          <w:p w14:paraId="366E30DB">
            <w:pPr>
              <w:jc w:val="center"/>
              <w:rPr>
                <w:rFonts w:hint="default" w:ascii="Times New Roman" w:hAnsi="Times New Roman" w:cs="Times New Roman"/>
                <w:color w:val="auto"/>
                <w:sz w:val="22"/>
                <w:szCs w:val="22"/>
                <w:highlight w:val="none"/>
              </w:rPr>
            </w:pPr>
          </w:p>
        </w:tc>
        <w:tc>
          <w:tcPr>
            <w:tcW w:w="1436" w:type="dxa"/>
            <w:tcBorders>
              <w:top w:val="single" w:color="auto" w:sz="6" w:space="0"/>
              <w:left w:val="single" w:color="auto" w:sz="6" w:space="0"/>
              <w:bottom w:val="single" w:color="auto" w:sz="6" w:space="0"/>
              <w:right w:val="single" w:color="auto" w:sz="6" w:space="0"/>
            </w:tcBorders>
            <w:vAlign w:val="center"/>
          </w:tcPr>
          <w:p w14:paraId="679258C6">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表层样点数</w:t>
            </w:r>
          </w:p>
        </w:tc>
        <w:tc>
          <w:tcPr>
            <w:tcW w:w="1335" w:type="dxa"/>
            <w:gridSpan w:val="2"/>
            <w:tcBorders>
              <w:top w:val="single" w:color="auto" w:sz="6" w:space="0"/>
              <w:left w:val="single" w:color="auto" w:sz="6" w:space="0"/>
              <w:bottom w:val="single" w:color="auto" w:sz="6" w:space="0"/>
              <w:right w:val="single" w:color="auto" w:sz="6" w:space="0"/>
            </w:tcBorders>
            <w:vAlign w:val="center"/>
          </w:tcPr>
          <w:p w14:paraId="3B0A1033">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w:t>
            </w:r>
          </w:p>
        </w:tc>
        <w:tc>
          <w:tcPr>
            <w:tcW w:w="1350" w:type="dxa"/>
            <w:gridSpan w:val="2"/>
            <w:tcBorders>
              <w:top w:val="single" w:color="auto" w:sz="6" w:space="0"/>
              <w:left w:val="single" w:color="auto" w:sz="6" w:space="0"/>
              <w:bottom w:val="single" w:color="auto" w:sz="6" w:space="0"/>
              <w:right w:val="single" w:color="auto" w:sz="6" w:space="0"/>
            </w:tcBorders>
            <w:vAlign w:val="center"/>
          </w:tcPr>
          <w:p w14:paraId="651C8FC7">
            <w:pPr>
              <w:jc w:val="center"/>
              <w:rPr>
                <w:rFonts w:hint="default" w:ascii="Times New Roman" w:hAnsi="Times New Roman" w:eastAsia="宋体" w:cs="Times New Roman"/>
                <w:color w:val="auto"/>
                <w:sz w:val="22"/>
                <w:szCs w:val="22"/>
                <w:highlight w:val="none"/>
                <w:lang w:eastAsia="zh-CN"/>
              </w:rPr>
            </w:pPr>
            <w:r>
              <w:rPr>
                <w:rFonts w:hint="eastAsia" w:cs="Times New Roman"/>
                <w:color w:val="auto"/>
                <w:sz w:val="22"/>
                <w:szCs w:val="22"/>
                <w:highlight w:val="none"/>
                <w:lang w:val="en-US" w:eastAsia="zh-CN"/>
              </w:rPr>
              <w:t>6</w:t>
            </w:r>
          </w:p>
        </w:tc>
        <w:tc>
          <w:tcPr>
            <w:tcW w:w="1292" w:type="dxa"/>
            <w:tcBorders>
              <w:top w:val="single" w:color="auto" w:sz="6" w:space="0"/>
              <w:left w:val="single" w:color="auto" w:sz="6" w:space="0"/>
              <w:bottom w:val="single" w:color="auto" w:sz="6" w:space="0"/>
              <w:right w:val="single" w:color="auto" w:sz="6" w:space="0"/>
            </w:tcBorders>
            <w:vAlign w:val="center"/>
          </w:tcPr>
          <w:p w14:paraId="65368B95">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20cm</w:t>
            </w:r>
          </w:p>
        </w:tc>
        <w:tc>
          <w:tcPr>
            <w:tcW w:w="1230" w:type="dxa"/>
            <w:vMerge w:val="continue"/>
            <w:tcBorders>
              <w:top w:val="single" w:color="auto" w:sz="6" w:space="0"/>
              <w:left w:val="single" w:color="auto" w:sz="6" w:space="0"/>
              <w:bottom w:val="single" w:color="auto" w:sz="6" w:space="0"/>
            </w:tcBorders>
            <w:vAlign w:val="center"/>
          </w:tcPr>
          <w:p w14:paraId="1E2B9117">
            <w:pPr>
              <w:jc w:val="center"/>
              <w:rPr>
                <w:rFonts w:hint="default" w:ascii="Times New Roman" w:hAnsi="Times New Roman" w:cs="Times New Roman"/>
                <w:color w:val="auto"/>
                <w:sz w:val="22"/>
                <w:szCs w:val="22"/>
                <w:highlight w:val="none"/>
              </w:rPr>
            </w:pPr>
          </w:p>
        </w:tc>
      </w:tr>
      <w:tr w14:paraId="147A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tcPr>
          <w:p w14:paraId="1530D615">
            <w:pPr>
              <w:jc w:val="center"/>
              <w:rPr>
                <w:rFonts w:hint="default" w:ascii="Times New Roman" w:hAnsi="Times New Roman" w:cs="Times New Roman"/>
                <w:color w:val="auto"/>
                <w:sz w:val="22"/>
                <w:szCs w:val="22"/>
                <w:highlight w:val="none"/>
              </w:rPr>
            </w:pPr>
          </w:p>
        </w:tc>
        <w:tc>
          <w:tcPr>
            <w:tcW w:w="1725" w:type="dxa"/>
            <w:vMerge w:val="continue"/>
            <w:tcBorders>
              <w:top w:val="single" w:color="auto" w:sz="6" w:space="0"/>
              <w:left w:val="single" w:color="auto" w:sz="6" w:space="0"/>
              <w:bottom w:val="single" w:color="auto" w:sz="6" w:space="0"/>
              <w:right w:val="single" w:color="auto" w:sz="6" w:space="0"/>
            </w:tcBorders>
            <w:vAlign w:val="center"/>
          </w:tcPr>
          <w:p w14:paraId="1FF04E51">
            <w:pPr>
              <w:jc w:val="center"/>
              <w:rPr>
                <w:rFonts w:hint="default" w:ascii="Times New Roman" w:hAnsi="Times New Roman" w:cs="Times New Roman"/>
                <w:color w:val="auto"/>
                <w:sz w:val="22"/>
                <w:szCs w:val="22"/>
                <w:highlight w:val="none"/>
              </w:rPr>
            </w:pPr>
          </w:p>
        </w:tc>
        <w:tc>
          <w:tcPr>
            <w:tcW w:w="1436" w:type="dxa"/>
            <w:tcBorders>
              <w:top w:val="single" w:color="auto" w:sz="6" w:space="0"/>
              <w:left w:val="single" w:color="auto" w:sz="6" w:space="0"/>
              <w:bottom w:val="single" w:color="auto" w:sz="6" w:space="0"/>
              <w:right w:val="single" w:color="auto" w:sz="6" w:space="0"/>
            </w:tcBorders>
            <w:vAlign w:val="center"/>
          </w:tcPr>
          <w:p w14:paraId="66FE939C">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柱状样点数</w:t>
            </w:r>
          </w:p>
        </w:tc>
        <w:tc>
          <w:tcPr>
            <w:tcW w:w="1335" w:type="dxa"/>
            <w:gridSpan w:val="2"/>
            <w:tcBorders>
              <w:top w:val="single" w:color="auto" w:sz="6" w:space="0"/>
              <w:left w:val="single" w:color="auto" w:sz="6" w:space="0"/>
              <w:bottom w:val="single" w:color="auto" w:sz="6" w:space="0"/>
              <w:right w:val="single" w:color="auto" w:sz="6" w:space="0"/>
            </w:tcBorders>
            <w:vAlign w:val="center"/>
          </w:tcPr>
          <w:p w14:paraId="0D9BFDE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w:t>
            </w:r>
          </w:p>
        </w:tc>
        <w:tc>
          <w:tcPr>
            <w:tcW w:w="1350" w:type="dxa"/>
            <w:gridSpan w:val="2"/>
            <w:tcBorders>
              <w:top w:val="single" w:color="auto" w:sz="6" w:space="0"/>
              <w:left w:val="single" w:color="auto" w:sz="6" w:space="0"/>
              <w:bottom w:val="single" w:color="auto" w:sz="6" w:space="0"/>
              <w:right w:val="single" w:color="auto" w:sz="6" w:space="0"/>
            </w:tcBorders>
            <w:vAlign w:val="center"/>
          </w:tcPr>
          <w:p w14:paraId="3CF44087">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w:t>
            </w:r>
          </w:p>
        </w:tc>
        <w:tc>
          <w:tcPr>
            <w:tcW w:w="1292" w:type="dxa"/>
            <w:tcBorders>
              <w:top w:val="single" w:color="auto" w:sz="6" w:space="0"/>
              <w:left w:val="single" w:color="auto" w:sz="6" w:space="0"/>
              <w:bottom w:val="single" w:color="auto" w:sz="6" w:space="0"/>
              <w:right w:val="single" w:color="auto" w:sz="6" w:space="0"/>
            </w:tcBorders>
            <w:vAlign w:val="center"/>
          </w:tcPr>
          <w:p w14:paraId="4E9F1351">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0~0.5m，0.5~1.5m，1.5~3m</w:t>
            </w:r>
          </w:p>
        </w:tc>
        <w:tc>
          <w:tcPr>
            <w:tcW w:w="1230" w:type="dxa"/>
            <w:vMerge w:val="continue"/>
            <w:tcBorders>
              <w:top w:val="single" w:color="auto" w:sz="6" w:space="0"/>
              <w:left w:val="single" w:color="auto" w:sz="6" w:space="0"/>
              <w:bottom w:val="single" w:color="auto" w:sz="6" w:space="0"/>
            </w:tcBorders>
            <w:vAlign w:val="center"/>
          </w:tcPr>
          <w:p w14:paraId="1F13C8D9">
            <w:pPr>
              <w:jc w:val="center"/>
              <w:rPr>
                <w:rFonts w:hint="default" w:ascii="Times New Roman" w:hAnsi="Times New Roman" w:cs="Times New Roman"/>
                <w:color w:val="auto"/>
                <w:sz w:val="22"/>
                <w:szCs w:val="22"/>
                <w:highlight w:val="none"/>
              </w:rPr>
            </w:pPr>
          </w:p>
        </w:tc>
      </w:tr>
      <w:tr w14:paraId="1151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tcPr>
          <w:p w14:paraId="23DC1F6F">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5AC81A51">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现状监测因子</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6867EFF8">
            <w:pPr>
              <w:jc w:val="both"/>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rPr>
              <w:t>《土壤环境质量建设用地土壤污染风险管控标准</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试行</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》（GB36600-2018）基</w:t>
            </w:r>
            <w:r>
              <w:rPr>
                <w:rFonts w:hint="default" w:ascii="Times New Roman" w:hAnsi="Times New Roman" w:cs="Times New Roman"/>
                <w:color w:val="auto"/>
                <w:sz w:val="22"/>
                <w:szCs w:val="22"/>
                <w:highlight w:val="none"/>
                <w:lang w:eastAsia="zh-CN"/>
              </w:rPr>
              <w:t>本项目</w:t>
            </w:r>
            <w:r>
              <w:rPr>
                <w:rFonts w:hint="default" w:ascii="Times New Roman" w:hAnsi="Times New Roman" w:cs="Times New Roman"/>
                <w:color w:val="auto"/>
                <w:sz w:val="22"/>
                <w:szCs w:val="22"/>
                <w:highlight w:val="none"/>
              </w:rPr>
              <w:t>45项和pH、</w:t>
            </w:r>
            <w:r>
              <w:rPr>
                <w:rFonts w:hint="default" w:ascii="Times New Roman" w:hAnsi="Times New Roman" w:cs="Times New Roman"/>
                <w:color w:val="auto"/>
                <w:sz w:val="22"/>
                <w:szCs w:val="22"/>
                <w:highlight w:val="none"/>
                <w:lang w:val="en-US" w:eastAsia="zh-CN"/>
              </w:rPr>
              <w:t>土壤盐分、</w:t>
            </w:r>
            <w:r>
              <w:rPr>
                <w:rFonts w:hint="default" w:ascii="Times New Roman" w:hAnsi="Times New Roman" w:cs="Times New Roman"/>
                <w:color w:val="auto"/>
                <w:sz w:val="22"/>
                <w:szCs w:val="22"/>
                <w:highlight w:val="none"/>
              </w:rPr>
              <w:t>石油烃；《土壤环境质量农用地土壤污染风险管控标准（试行）》（GB15618-2018）基</w:t>
            </w:r>
            <w:r>
              <w:rPr>
                <w:rFonts w:hint="default" w:ascii="Times New Roman" w:hAnsi="Times New Roman" w:cs="Times New Roman"/>
                <w:color w:val="auto"/>
                <w:sz w:val="22"/>
                <w:szCs w:val="22"/>
                <w:highlight w:val="none"/>
                <w:lang w:eastAsia="zh-CN"/>
              </w:rPr>
              <w:t>本项目</w:t>
            </w:r>
            <w:r>
              <w:rPr>
                <w:rFonts w:hint="default" w:ascii="Times New Roman" w:hAnsi="Times New Roman" w:cs="Times New Roman"/>
                <w:color w:val="auto"/>
                <w:sz w:val="22"/>
                <w:szCs w:val="22"/>
                <w:highlight w:val="none"/>
              </w:rPr>
              <w:t>8项和pH、石油烃</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lang w:val="en-US" w:eastAsia="zh-CN"/>
              </w:rPr>
              <w:t>土壤盐分</w:t>
            </w:r>
          </w:p>
        </w:tc>
        <w:tc>
          <w:tcPr>
            <w:tcW w:w="1230" w:type="dxa"/>
            <w:tcBorders>
              <w:top w:val="single" w:color="auto" w:sz="6" w:space="0"/>
              <w:left w:val="single" w:color="auto" w:sz="6" w:space="0"/>
              <w:bottom w:val="single" w:color="auto" w:sz="6" w:space="0"/>
            </w:tcBorders>
          </w:tcPr>
          <w:p w14:paraId="3791EA85">
            <w:pPr>
              <w:jc w:val="center"/>
              <w:rPr>
                <w:rFonts w:hint="default" w:ascii="Times New Roman" w:hAnsi="Times New Roman" w:cs="Times New Roman"/>
                <w:color w:val="auto"/>
                <w:sz w:val="22"/>
                <w:szCs w:val="22"/>
                <w:highlight w:val="none"/>
              </w:rPr>
            </w:pPr>
          </w:p>
        </w:tc>
      </w:tr>
      <w:tr w14:paraId="5F93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restart"/>
            <w:tcBorders>
              <w:top w:val="single" w:color="auto" w:sz="6" w:space="0"/>
              <w:bottom w:val="single" w:color="auto" w:sz="6" w:space="0"/>
              <w:right w:val="single" w:color="auto" w:sz="6" w:space="0"/>
            </w:tcBorders>
          </w:tcPr>
          <w:p w14:paraId="0CCE0C42">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现状评价</w:t>
            </w:r>
          </w:p>
        </w:tc>
        <w:tc>
          <w:tcPr>
            <w:tcW w:w="1725" w:type="dxa"/>
            <w:tcBorders>
              <w:top w:val="single" w:color="auto" w:sz="6" w:space="0"/>
              <w:left w:val="single" w:color="auto" w:sz="6" w:space="0"/>
              <w:bottom w:val="single" w:color="auto" w:sz="6" w:space="0"/>
              <w:right w:val="single" w:color="auto" w:sz="6" w:space="0"/>
            </w:tcBorders>
            <w:vAlign w:val="center"/>
          </w:tcPr>
          <w:p w14:paraId="6BF6C49C">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评价因子</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688CC64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石油烃等</w:t>
            </w:r>
          </w:p>
        </w:tc>
        <w:tc>
          <w:tcPr>
            <w:tcW w:w="1230" w:type="dxa"/>
            <w:tcBorders>
              <w:top w:val="single" w:color="auto" w:sz="6" w:space="0"/>
              <w:left w:val="single" w:color="auto" w:sz="6" w:space="0"/>
              <w:bottom w:val="single" w:color="auto" w:sz="6" w:space="0"/>
            </w:tcBorders>
          </w:tcPr>
          <w:p w14:paraId="78E1D9BE">
            <w:pPr>
              <w:jc w:val="center"/>
              <w:rPr>
                <w:rFonts w:hint="default" w:ascii="Times New Roman" w:hAnsi="Times New Roman" w:cs="Times New Roman"/>
                <w:color w:val="auto"/>
                <w:sz w:val="22"/>
                <w:szCs w:val="22"/>
                <w:highlight w:val="none"/>
              </w:rPr>
            </w:pPr>
          </w:p>
        </w:tc>
      </w:tr>
      <w:tr w14:paraId="0DD1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96" w:type="dxa"/>
            <w:vMerge w:val="continue"/>
            <w:tcBorders>
              <w:top w:val="single" w:color="auto" w:sz="6" w:space="0"/>
              <w:bottom w:val="single" w:color="auto" w:sz="6" w:space="0"/>
              <w:right w:val="single" w:color="auto" w:sz="6" w:space="0"/>
            </w:tcBorders>
          </w:tcPr>
          <w:p w14:paraId="42E970DE">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14D3BE40">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评价标准</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ACCE229">
            <w:pPr>
              <w:jc w:val="both"/>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GB15618</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；GB36600</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；表D.1□；表D.2□；其他</w:t>
            </w:r>
          </w:p>
        </w:tc>
        <w:tc>
          <w:tcPr>
            <w:tcW w:w="1230" w:type="dxa"/>
            <w:tcBorders>
              <w:top w:val="single" w:color="auto" w:sz="6" w:space="0"/>
              <w:left w:val="single" w:color="auto" w:sz="6" w:space="0"/>
              <w:bottom w:val="single" w:color="auto" w:sz="6" w:space="0"/>
            </w:tcBorders>
          </w:tcPr>
          <w:p w14:paraId="4B836329">
            <w:pPr>
              <w:jc w:val="center"/>
              <w:rPr>
                <w:rFonts w:hint="default" w:ascii="Times New Roman" w:hAnsi="Times New Roman" w:cs="Times New Roman"/>
                <w:color w:val="auto"/>
                <w:sz w:val="22"/>
                <w:szCs w:val="22"/>
                <w:highlight w:val="none"/>
              </w:rPr>
            </w:pPr>
          </w:p>
        </w:tc>
      </w:tr>
      <w:tr w14:paraId="0C2E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tcPr>
          <w:p w14:paraId="0F74F799">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52B73F79">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现状评价结论</w:t>
            </w:r>
          </w:p>
        </w:tc>
        <w:tc>
          <w:tcPr>
            <w:tcW w:w="5413" w:type="dxa"/>
            <w:gridSpan w:val="6"/>
            <w:tcBorders>
              <w:top w:val="single" w:color="auto" w:sz="6" w:space="0"/>
              <w:left w:val="single" w:color="auto" w:sz="6" w:space="0"/>
              <w:bottom w:val="single" w:color="auto" w:sz="6" w:space="0"/>
              <w:right w:val="single" w:color="auto" w:sz="6" w:space="0"/>
            </w:tcBorders>
          </w:tcPr>
          <w:p w14:paraId="405F3557">
            <w:pPr>
              <w:jc w:val="both"/>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土壤中各项监测因子满足《土壤环境质量建设用地土壤污染风险管控标准（试行）》（GB36600-2018）第二类用地风险筛选值要求、《土壤环境质量农用地土壤污染风险管控标准</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试行</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GB15618-2018</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筛选值标准要求</w:t>
            </w:r>
          </w:p>
        </w:tc>
        <w:tc>
          <w:tcPr>
            <w:tcW w:w="1230" w:type="dxa"/>
            <w:tcBorders>
              <w:top w:val="single" w:color="auto" w:sz="6" w:space="0"/>
              <w:left w:val="single" w:color="auto" w:sz="6" w:space="0"/>
              <w:bottom w:val="single" w:color="auto" w:sz="6" w:space="0"/>
            </w:tcBorders>
          </w:tcPr>
          <w:p w14:paraId="597CA737">
            <w:pPr>
              <w:jc w:val="center"/>
              <w:rPr>
                <w:rFonts w:hint="default" w:ascii="Times New Roman" w:hAnsi="Times New Roman" w:cs="Times New Roman"/>
                <w:color w:val="auto"/>
                <w:sz w:val="22"/>
                <w:szCs w:val="22"/>
                <w:highlight w:val="none"/>
              </w:rPr>
            </w:pPr>
          </w:p>
        </w:tc>
      </w:tr>
      <w:tr w14:paraId="4AC8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restart"/>
            <w:tcBorders>
              <w:top w:val="single" w:color="auto" w:sz="6" w:space="0"/>
              <w:bottom w:val="single" w:color="auto" w:sz="6" w:space="0"/>
              <w:right w:val="single" w:color="auto" w:sz="6" w:space="0"/>
            </w:tcBorders>
            <w:vAlign w:val="center"/>
          </w:tcPr>
          <w:p w14:paraId="2CF4BC71">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影响预测</w:t>
            </w:r>
          </w:p>
        </w:tc>
        <w:tc>
          <w:tcPr>
            <w:tcW w:w="1725" w:type="dxa"/>
            <w:tcBorders>
              <w:top w:val="single" w:color="auto" w:sz="6" w:space="0"/>
              <w:left w:val="single" w:color="auto" w:sz="6" w:space="0"/>
              <w:bottom w:val="single" w:color="auto" w:sz="6" w:space="0"/>
              <w:right w:val="single" w:color="auto" w:sz="6" w:space="0"/>
            </w:tcBorders>
            <w:vAlign w:val="center"/>
          </w:tcPr>
          <w:p w14:paraId="027E9927">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预测因子</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7092DAB4">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石油烃</w:t>
            </w:r>
          </w:p>
        </w:tc>
        <w:tc>
          <w:tcPr>
            <w:tcW w:w="1230" w:type="dxa"/>
            <w:tcBorders>
              <w:top w:val="single" w:color="auto" w:sz="6" w:space="0"/>
              <w:left w:val="single" w:color="auto" w:sz="6" w:space="0"/>
              <w:bottom w:val="single" w:color="auto" w:sz="6" w:space="0"/>
            </w:tcBorders>
          </w:tcPr>
          <w:p w14:paraId="1EC52E07">
            <w:pPr>
              <w:jc w:val="center"/>
              <w:rPr>
                <w:rFonts w:hint="default" w:ascii="Times New Roman" w:hAnsi="Times New Roman" w:cs="Times New Roman"/>
                <w:color w:val="auto"/>
                <w:sz w:val="22"/>
                <w:szCs w:val="22"/>
                <w:highlight w:val="none"/>
              </w:rPr>
            </w:pPr>
          </w:p>
        </w:tc>
      </w:tr>
      <w:tr w14:paraId="1903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055ABD04">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6989E19B">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预测方法</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D388F11">
            <w:pPr>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sz w:val="22"/>
                <w:szCs w:val="22"/>
                <w:highlight w:val="none"/>
              </w:rPr>
              <w:t>附录E</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；附录F□；其他</w:t>
            </w:r>
            <w:r>
              <w:rPr>
                <w:rFonts w:hint="default" w:ascii="Times New Roman" w:hAnsi="Times New Roman" w:cs="Times New Roman"/>
                <w:color w:val="auto"/>
                <w:sz w:val="22"/>
                <w:szCs w:val="22"/>
                <w:highlight w:val="none"/>
                <w:lang w:eastAsia="zh-CN"/>
              </w:rPr>
              <w:t>□</w:t>
            </w:r>
          </w:p>
        </w:tc>
        <w:tc>
          <w:tcPr>
            <w:tcW w:w="1230" w:type="dxa"/>
            <w:tcBorders>
              <w:top w:val="single" w:color="auto" w:sz="6" w:space="0"/>
              <w:left w:val="single" w:color="auto" w:sz="6" w:space="0"/>
              <w:bottom w:val="single" w:color="auto" w:sz="6" w:space="0"/>
            </w:tcBorders>
            <w:vAlign w:val="center"/>
          </w:tcPr>
          <w:p w14:paraId="71EBC6AD">
            <w:pPr>
              <w:jc w:val="center"/>
              <w:rPr>
                <w:rFonts w:hint="default" w:ascii="Times New Roman" w:hAnsi="Times New Roman" w:cs="Times New Roman"/>
                <w:color w:val="auto"/>
                <w:sz w:val="22"/>
                <w:szCs w:val="22"/>
                <w:highlight w:val="none"/>
              </w:rPr>
            </w:pPr>
          </w:p>
        </w:tc>
      </w:tr>
      <w:tr w14:paraId="5BBD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0121F0FA">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020178D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预测分析内容</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46920DF6">
            <w:pPr>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sz w:val="22"/>
                <w:szCs w:val="22"/>
                <w:highlight w:val="none"/>
              </w:rPr>
              <w:t>影响范围</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影响程度</w:t>
            </w:r>
            <w:r>
              <w:rPr>
                <w:rFonts w:hint="default" w:ascii="Times New Roman" w:hAnsi="Times New Roman" w:cs="Times New Roman"/>
                <w:color w:val="auto"/>
                <w:sz w:val="22"/>
                <w:szCs w:val="22"/>
                <w:highlight w:val="none"/>
                <w:lang w:eastAsia="zh-CN"/>
              </w:rPr>
              <w:t>☑</w:t>
            </w:r>
          </w:p>
        </w:tc>
        <w:tc>
          <w:tcPr>
            <w:tcW w:w="1230" w:type="dxa"/>
            <w:tcBorders>
              <w:top w:val="single" w:color="auto" w:sz="6" w:space="0"/>
              <w:left w:val="single" w:color="auto" w:sz="6" w:space="0"/>
              <w:bottom w:val="single" w:color="auto" w:sz="6" w:space="0"/>
            </w:tcBorders>
            <w:vAlign w:val="center"/>
          </w:tcPr>
          <w:p w14:paraId="0445FF6F">
            <w:pPr>
              <w:jc w:val="center"/>
              <w:rPr>
                <w:rFonts w:hint="default" w:ascii="Times New Roman" w:hAnsi="Times New Roman" w:cs="Times New Roman"/>
                <w:color w:val="auto"/>
                <w:sz w:val="22"/>
                <w:szCs w:val="22"/>
                <w:highlight w:val="none"/>
              </w:rPr>
            </w:pPr>
          </w:p>
        </w:tc>
      </w:tr>
      <w:tr w14:paraId="0A60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1DE8C6DC">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45B7175B">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预测结论</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078394AE">
            <w:pPr>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sz w:val="22"/>
                <w:szCs w:val="22"/>
                <w:highlight w:val="none"/>
              </w:rPr>
              <w:t>达标结论：a</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；b</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；c</w:t>
            </w:r>
            <w:r>
              <w:rPr>
                <w:rFonts w:hint="default" w:ascii="Times New Roman" w:hAnsi="Times New Roman" w:cs="Times New Roman"/>
                <w:color w:val="auto"/>
                <w:sz w:val="22"/>
                <w:szCs w:val="22"/>
                <w:highlight w:val="none"/>
                <w:lang w:eastAsia="zh-CN"/>
              </w:rPr>
              <w:t>□</w:t>
            </w:r>
          </w:p>
          <w:p w14:paraId="1EE04600">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不达标结论：a□；b□</w:t>
            </w:r>
          </w:p>
        </w:tc>
        <w:tc>
          <w:tcPr>
            <w:tcW w:w="1230" w:type="dxa"/>
            <w:tcBorders>
              <w:top w:val="single" w:color="auto" w:sz="6" w:space="0"/>
              <w:left w:val="single" w:color="auto" w:sz="6" w:space="0"/>
              <w:bottom w:val="single" w:color="auto" w:sz="6" w:space="0"/>
            </w:tcBorders>
            <w:vAlign w:val="center"/>
          </w:tcPr>
          <w:p w14:paraId="4733A6FD">
            <w:pPr>
              <w:jc w:val="center"/>
              <w:rPr>
                <w:rFonts w:hint="default" w:ascii="Times New Roman" w:hAnsi="Times New Roman" w:cs="Times New Roman"/>
                <w:color w:val="auto"/>
                <w:sz w:val="22"/>
                <w:szCs w:val="22"/>
                <w:highlight w:val="none"/>
              </w:rPr>
            </w:pPr>
          </w:p>
        </w:tc>
      </w:tr>
      <w:tr w14:paraId="1A88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restart"/>
            <w:tcBorders>
              <w:top w:val="single" w:color="auto" w:sz="6" w:space="0"/>
              <w:bottom w:val="single" w:color="auto" w:sz="6" w:space="0"/>
              <w:right w:val="single" w:color="auto" w:sz="6" w:space="0"/>
            </w:tcBorders>
            <w:vAlign w:val="center"/>
          </w:tcPr>
          <w:p w14:paraId="441F7226">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防治措施</w:t>
            </w:r>
          </w:p>
        </w:tc>
        <w:tc>
          <w:tcPr>
            <w:tcW w:w="1725" w:type="dxa"/>
            <w:tcBorders>
              <w:top w:val="single" w:color="auto" w:sz="6" w:space="0"/>
              <w:left w:val="single" w:color="auto" w:sz="6" w:space="0"/>
              <w:bottom w:val="single" w:color="auto" w:sz="6" w:space="0"/>
              <w:right w:val="single" w:color="auto" w:sz="6" w:space="0"/>
            </w:tcBorders>
            <w:vAlign w:val="center"/>
          </w:tcPr>
          <w:p w14:paraId="25BE417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防控措施</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53B92F9B">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土壤环境质量现状保障</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；源头控制</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；过程防控</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；其他</w:t>
            </w:r>
            <w:r>
              <w:rPr>
                <w:rFonts w:hint="default" w:ascii="Times New Roman" w:hAnsi="Times New Roman" w:cs="Times New Roman"/>
                <w:color w:val="auto"/>
                <w:sz w:val="22"/>
                <w:szCs w:val="22"/>
                <w:highlight w:val="none"/>
                <w:lang w:eastAsia="zh-CN"/>
              </w:rPr>
              <w:t>□</w:t>
            </w:r>
          </w:p>
        </w:tc>
        <w:tc>
          <w:tcPr>
            <w:tcW w:w="1230" w:type="dxa"/>
            <w:tcBorders>
              <w:top w:val="single" w:color="auto" w:sz="6" w:space="0"/>
              <w:left w:val="single" w:color="auto" w:sz="6" w:space="0"/>
              <w:bottom w:val="single" w:color="auto" w:sz="6" w:space="0"/>
            </w:tcBorders>
            <w:vAlign w:val="center"/>
          </w:tcPr>
          <w:p w14:paraId="2A1C835A">
            <w:pPr>
              <w:jc w:val="center"/>
              <w:rPr>
                <w:rFonts w:hint="default" w:ascii="Times New Roman" w:hAnsi="Times New Roman" w:cs="Times New Roman"/>
                <w:color w:val="auto"/>
                <w:sz w:val="22"/>
                <w:szCs w:val="22"/>
                <w:highlight w:val="none"/>
              </w:rPr>
            </w:pPr>
          </w:p>
        </w:tc>
      </w:tr>
      <w:tr w14:paraId="7E87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2F86271A">
            <w:pPr>
              <w:jc w:val="center"/>
              <w:rPr>
                <w:rFonts w:hint="default" w:ascii="Times New Roman" w:hAnsi="Times New Roman" w:cs="Times New Roman"/>
                <w:color w:val="auto"/>
                <w:sz w:val="22"/>
                <w:szCs w:val="22"/>
                <w:highlight w:val="none"/>
              </w:rPr>
            </w:pPr>
          </w:p>
        </w:tc>
        <w:tc>
          <w:tcPr>
            <w:tcW w:w="1725" w:type="dxa"/>
            <w:vMerge w:val="restart"/>
            <w:tcBorders>
              <w:top w:val="single" w:color="auto" w:sz="6" w:space="0"/>
              <w:left w:val="single" w:color="auto" w:sz="6" w:space="0"/>
              <w:bottom w:val="single" w:color="auto" w:sz="6" w:space="0"/>
              <w:right w:val="single" w:color="auto" w:sz="6" w:space="0"/>
            </w:tcBorders>
            <w:vAlign w:val="center"/>
          </w:tcPr>
          <w:p w14:paraId="4DBE42C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跟踪监测</w:t>
            </w:r>
          </w:p>
        </w:tc>
        <w:tc>
          <w:tcPr>
            <w:tcW w:w="1804" w:type="dxa"/>
            <w:gridSpan w:val="2"/>
            <w:tcBorders>
              <w:top w:val="single" w:color="auto" w:sz="6" w:space="0"/>
              <w:left w:val="single" w:color="auto" w:sz="6" w:space="0"/>
              <w:bottom w:val="single" w:color="auto" w:sz="6" w:space="0"/>
              <w:right w:val="single" w:color="auto" w:sz="6" w:space="0"/>
            </w:tcBorders>
            <w:vAlign w:val="center"/>
          </w:tcPr>
          <w:p w14:paraId="7186FD56">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监测点数</w:t>
            </w:r>
          </w:p>
        </w:tc>
        <w:tc>
          <w:tcPr>
            <w:tcW w:w="1804" w:type="dxa"/>
            <w:gridSpan w:val="2"/>
            <w:tcBorders>
              <w:top w:val="single" w:color="auto" w:sz="6" w:space="0"/>
              <w:left w:val="single" w:color="auto" w:sz="6" w:space="0"/>
              <w:bottom w:val="single" w:color="auto" w:sz="6" w:space="0"/>
              <w:right w:val="single" w:color="auto" w:sz="6" w:space="0"/>
            </w:tcBorders>
            <w:vAlign w:val="center"/>
          </w:tcPr>
          <w:p w14:paraId="3FE403BB">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监测指标</w:t>
            </w:r>
          </w:p>
        </w:tc>
        <w:tc>
          <w:tcPr>
            <w:tcW w:w="1805" w:type="dxa"/>
            <w:gridSpan w:val="2"/>
            <w:tcBorders>
              <w:top w:val="single" w:color="auto" w:sz="6" w:space="0"/>
              <w:left w:val="single" w:color="auto" w:sz="6" w:space="0"/>
              <w:bottom w:val="single" w:color="auto" w:sz="6" w:space="0"/>
              <w:right w:val="single" w:color="auto" w:sz="6" w:space="0"/>
            </w:tcBorders>
            <w:vAlign w:val="center"/>
          </w:tcPr>
          <w:p w14:paraId="64C54595">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监测频次</w:t>
            </w:r>
          </w:p>
        </w:tc>
        <w:tc>
          <w:tcPr>
            <w:tcW w:w="1230" w:type="dxa"/>
            <w:vMerge w:val="restart"/>
            <w:tcBorders>
              <w:top w:val="single" w:color="auto" w:sz="6" w:space="0"/>
              <w:left w:val="single" w:color="auto" w:sz="6" w:space="0"/>
              <w:bottom w:val="single" w:color="auto" w:sz="6" w:space="0"/>
            </w:tcBorders>
            <w:vAlign w:val="center"/>
          </w:tcPr>
          <w:p w14:paraId="269BD724">
            <w:pPr>
              <w:jc w:val="center"/>
              <w:rPr>
                <w:rFonts w:hint="default" w:ascii="Times New Roman" w:hAnsi="Times New Roman" w:cs="Times New Roman"/>
                <w:color w:val="auto"/>
                <w:sz w:val="22"/>
                <w:szCs w:val="22"/>
                <w:highlight w:val="none"/>
              </w:rPr>
            </w:pPr>
          </w:p>
        </w:tc>
      </w:tr>
      <w:tr w14:paraId="5CE4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dxa"/>
            <w:vMerge w:val="continue"/>
            <w:tcBorders>
              <w:top w:val="single" w:color="auto" w:sz="6" w:space="0"/>
              <w:bottom w:val="single" w:color="auto" w:sz="6" w:space="0"/>
              <w:right w:val="single" w:color="auto" w:sz="6" w:space="0"/>
            </w:tcBorders>
            <w:vAlign w:val="center"/>
          </w:tcPr>
          <w:p w14:paraId="0676DEB7">
            <w:pPr>
              <w:jc w:val="center"/>
              <w:rPr>
                <w:rFonts w:hint="default" w:ascii="Times New Roman" w:hAnsi="Times New Roman" w:cs="Times New Roman"/>
                <w:color w:val="auto"/>
                <w:sz w:val="22"/>
                <w:szCs w:val="22"/>
                <w:highlight w:val="none"/>
              </w:rPr>
            </w:pPr>
          </w:p>
        </w:tc>
        <w:tc>
          <w:tcPr>
            <w:tcW w:w="1725" w:type="dxa"/>
            <w:vMerge w:val="continue"/>
            <w:tcBorders>
              <w:top w:val="single" w:color="auto" w:sz="6" w:space="0"/>
              <w:left w:val="single" w:color="auto" w:sz="6" w:space="0"/>
              <w:bottom w:val="single" w:color="auto" w:sz="6" w:space="0"/>
              <w:right w:val="single" w:color="auto" w:sz="6" w:space="0"/>
            </w:tcBorders>
            <w:vAlign w:val="center"/>
          </w:tcPr>
          <w:p w14:paraId="1DB56181">
            <w:pPr>
              <w:jc w:val="center"/>
              <w:rPr>
                <w:rFonts w:hint="default" w:ascii="Times New Roman" w:hAnsi="Times New Roman" w:cs="Times New Roman"/>
                <w:color w:val="auto"/>
                <w:sz w:val="22"/>
                <w:szCs w:val="22"/>
                <w:highlight w:val="none"/>
              </w:rPr>
            </w:pPr>
          </w:p>
        </w:tc>
        <w:tc>
          <w:tcPr>
            <w:tcW w:w="1804" w:type="dxa"/>
            <w:gridSpan w:val="2"/>
            <w:tcBorders>
              <w:top w:val="single" w:color="auto" w:sz="6" w:space="0"/>
              <w:left w:val="single" w:color="auto" w:sz="6" w:space="0"/>
              <w:bottom w:val="single" w:color="auto" w:sz="6" w:space="0"/>
              <w:right w:val="single" w:color="auto" w:sz="6" w:space="0"/>
            </w:tcBorders>
            <w:vAlign w:val="center"/>
          </w:tcPr>
          <w:p w14:paraId="51C8DFFF">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1804" w:type="dxa"/>
            <w:gridSpan w:val="2"/>
            <w:tcBorders>
              <w:top w:val="single" w:color="auto" w:sz="6" w:space="0"/>
              <w:left w:val="single" w:color="auto" w:sz="6" w:space="0"/>
              <w:bottom w:val="single" w:color="auto" w:sz="6" w:space="0"/>
              <w:right w:val="single" w:color="auto" w:sz="6" w:space="0"/>
            </w:tcBorders>
            <w:vAlign w:val="center"/>
          </w:tcPr>
          <w:p w14:paraId="5861C91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石油烃（</w:t>
            </w:r>
            <w:r>
              <w:rPr>
                <w:rFonts w:hint="default" w:ascii="Times New Roman" w:hAnsi="Times New Roman" w:cs="Times New Roman"/>
                <w:color w:val="auto"/>
                <w:spacing w:val="-10"/>
                <w:sz w:val="21"/>
                <w:szCs w:val="21"/>
                <w:highlight w:val="none"/>
              </w:rPr>
              <w:t>C</w:t>
            </w:r>
            <w:r>
              <w:rPr>
                <w:rFonts w:hint="default" w:ascii="Times New Roman" w:hAnsi="Times New Roman" w:cs="Times New Roman"/>
                <w:color w:val="auto"/>
                <w:spacing w:val="-10"/>
                <w:sz w:val="21"/>
                <w:szCs w:val="21"/>
                <w:highlight w:val="none"/>
                <w:vertAlign w:val="subscript"/>
              </w:rPr>
              <w:t>10</w:t>
            </w:r>
            <w:r>
              <w:rPr>
                <w:rFonts w:hint="default" w:ascii="Times New Roman" w:hAnsi="Times New Roman" w:cs="Times New Roman"/>
                <w:color w:val="auto"/>
                <w:spacing w:val="-10"/>
                <w:sz w:val="21"/>
                <w:szCs w:val="21"/>
                <w:highlight w:val="none"/>
              </w:rPr>
              <w:t>-C</w:t>
            </w:r>
            <w:r>
              <w:rPr>
                <w:rFonts w:hint="default" w:ascii="Times New Roman" w:hAnsi="Times New Roman" w:cs="Times New Roman"/>
                <w:color w:val="auto"/>
                <w:spacing w:val="-10"/>
                <w:sz w:val="21"/>
                <w:szCs w:val="21"/>
                <w:highlight w:val="none"/>
                <w:vertAlign w:val="subscript"/>
              </w:rPr>
              <w:t>40</w:t>
            </w:r>
            <w:r>
              <w:rPr>
                <w:rFonts w:hint="default" w:ascii="Times New Roman" w:hAnsi="Times New Roman" w:cs="Times New Roman"/>
                <w:color w:val="auto"/>
                <w:kern w:val="0"/>
                <w:sz w:val="21"/>
                <w:szCs w:val="21"/>
                <w:highlight w:val="none"/>
              </w:rPr>
              <w:t>）</w:t>
            </w:r>
          </w:p>
        </w:tc>
        <w:tc>
          <w:tcPr>
            <w:tcW w:w="1805" w:type="dxa"/>
            <w:gridSpan w:val="2"/>
            <w:tcBorders>
              <w:top w:val="single" w:color="auto" w:sz="6" w:space="0"/>
              <w:left w:val="single" w:color="auto" w:sz="6" w:space="0"/>
              <w:bottom w:val="single" w:color="auto" w:sz="6" w:space="0"/>
              <w:right w:val="single" w:color="auto" w:sz="6" w:space="0"/>
            </w:tcBorders>
            <w:vAlign w:val="center"/>
          </w:tcPr>
          <w:p w14:paraId="7118000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c>
          <w:tcPr>
            <w:tcW w:w="1230" w:type="dxa"/>
            <w:vMerge w:val="continue"/>
            <w:tcBorders>
              <w:top w:val="single" w:color="auto" w:sz="6" w:space="0"/>
              <w:left w:val="single" w:color="auto" w:sz="6" w:space="0"/>
              <w:bottom w:val="single" w:color="auto" w:sz="6" w:space="0"/>
            </w:tcBorders>
            <w:vAlign w:val="center"/>
          </w:tcPr>
          <w:p w14:paraId="46460A66">
            <w:pPr>
              <w:jc w:val="center"/>
              <w:rPr>
                <w:rFonts w:hint="default" w:ascii="Times New Roman" w:hAnsi="Times New Roman" w:cs="Times New Roman"/>
                <w:color w:val="auto"/>
                <w:sz w:val="22"/>
                <w:szCs w:val="22"/>
                <w:highlight w:val="none"/>
              </w:rPr>
            </w:pPr>
          </w:p>
        </w:tc>
      </w:tr>
      <w:tr w14:paraId="63D4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6" w:type="dxa"/>
            <w:vMerge w:val="continue"/>
            <w:tcBorders>
              <w:top w:val="single" w:color="auto" w:sz="6" w:space="0"/>
              <w:bottom w:val="single" w:color="auto" w:sz="6" w:space="0"/>
              <w:right w:val="single" w:color="auto" w:sz="6" w:space="0"/>
            </w:tcBorders>
            <w:vAlign w:val="center"/>
          </w:tcPr>
          <w:p w14:paraId="1A47EB30">
            <w:pPr>
              <w:jc w:val="center"/>
              <w:rPr>
                <w:rFonts w:hint="default" w:ascii="Times New Roman" w:hAnsi="Times New Roman" w:cs="Times New Roman"/>
                <w:color w:val="auto"/>
                <w:sz w:val="22"/>
                <w:szCs w:val="22"/>
                <w:highlight w:val="none"/>
              </w:rPr>
            </w:pPr>
          </w:p>
        </w:tc>
        <w:tc>
          <w:tcPr>
            <w:tcW w:w="1725" w:type="dxa"/>
            <w:tcBorders>
              <w:top w:val="single" w:color="auto" w:sz="6" w:space="0"/>
              <w:left w:val="single" w:color="auto" w:sz="6" w:space="0"/>
              <w:bottom w:val="single" w:color="auto" w:sz="6" w:space="0"/>
              <w:right w:val="single" w:color="auto" w:sz="6" w:space="0"/>
            </w:tcBorders>
            <w:vAlign w:val="center"/>
          </w:tcPr>
          <w:p w14:paraId="740D0FEA">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信息公开指标</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0884C43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石油烃（</w:t>
            </w:r>
            <w:r>
              <w:rPr>
                <w:rFonts w:hint="default" w:ascii="Times New Roman" w:hAnsi="Times New Roman" w:cs="Times New Roman"/>
                <w:color w:val="auto"/>
                <w:spacing w:val="-10"/>
                <w:sz w:val="21"/>
                <w:szCs w:val="21"/>
                <w:highlight w:val="none"/>
              </w:rPr>
              <w:t>C</w:t>
            </w:r>
            <w:r>
              <w:rPr>
                <w:rFonts w:hint="default" w:ascii="Times New Roman" w:hAnsi="Times New Roman" w:cs="Times New Roman"/>
                <w:color w:val="auto"/>
                <w:spacing w:val="-10"/>
                <w:sz w:val="21"/>
                <w:szCs w:val="21"/>
                <w:highlight w:val="none"/>
                <w:vertAlign w:val="subscript"/>
              </w:rPr>
              <w:t>10</w:t>
            </w:r>
            <w:r>
              <w:rPr>
                <w:rFonts w:hint="default" w:ascii="Times New Roman" w:hAnsi="Times New Roman" w:cs="Times New Roman"/>
                <w:color w:val="auto"/>
                <w:spacing w:val="-10"/>
                <w:sz w:val="21"/>
                <w:szCs w:val="21"/>
                <w:highlight w:val="none"/>
              </w:rPr>
              <w:t>-C</w:t>
            </w:r>
            <w:r>
              <w:rPr>
                <w:rFonts w:hint="default" w:ascii="Times New Roman" w:hAnsi="Times New Roman" w:cs="Times New Roman"/>
                <w:color w:val="auto"/>
                <w:spacing w:val="-10"/>
                <w:sz w:val="21"/>
                <w:szCs w:val="21"/>
                <w:highlight w:val="none"/>
                <w:vertAlign w:val="subscript"/>
              </w:rPr>
              <w:t>40</w:t>
            </w:r>
            <w:r>
              <w:rPr>
                <w:rFonts w:hint="default" w:ascii="Times New Roman" w:hAnsi="Times New Roman" w:cs="Times New Roman"/>
                <w:color w:val="auto"/>
                <w:kern w:val="0"/>
                <w:sz w:val="21"/>
                <w:szCs w:val="21"/>
                <w:highlight w:val="none"/>
              </w:rPr>
              <w:t>）</w:t>
            </w:r>
          </w:p>
        </w:tc>
        <w:tc>
          <w:tcPr>
            <w:tcW w:w="1230" w:type="dxa"/>
            <w:vMerge w:val="continue"/>
            <w:tcBorders>
              <w:top w:val="single" w:color="auto" w:sz="6" w:space="0"/>
              <w:left w:val="single" w:color="auto" w:sz="6" w:space="0"/>
              <w:bottom w:val="single" w:color="auto" w:sz="6" w:space="0"/>
            </w:tcBorders>
            <w:vAlign w:val="center"/>
          </w:tcPr>
          <w:p w14:paraId="2D0E75BB">
            <w:pPr>
              <w:jc w:val="center"/>
              <w:rPr>
                <w:rFonts w:hint="default" w:ascii="Times New Roman" w:hAnsi="Times New Roman" w:cs="Times New Roman"/>
                <w:color w:val="auto"/>
                <w:sz w:val="22"/>
                <w:szCs w:val="22"/>
                <w:highlight w:val="none"/>
              </w:rPr>
            </w:pPr>
          </w:p>
        </w:tc>
      </w:tr>
      <w:tr w14:paraId="231B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121" w:type="dxa"/>
            <w:gridSpan w:val="2"/>
            <w:tcBorders>
              <w:top w:val="single" w:color="auto" w:sz="6" w:space="0"/>
              <w:bottom w:val="single" w:color="auto" w:sz="6" w:space="0"/>
              <w:right w:val="single" w:color="auto" w:sz="6" w:space="0"/>
            </w:tcBorders>
            <w:vAlign w:val="center"/>
          </w:tcPr>
          <w:p w14:paraId="18CE0ABC">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评价结论</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017E2D2B">
            <w:pPr>
              <w:jc w:val="both"/>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项目区占地范围主要土壤类型是</w:t>
            </w:r>
            <w:r>
              <w:rPr>
                <w:rFonts w:hint="eastAsia" w:cs="Times New Roman"/>
                <w:color w:val="auto"/>
                <w:sz w:val="22"/>
                <w:szCs w:val="22"/>
                <w:highlight w:val="none"/>
                <w:lang w:val="en-US" w:eastAsia="zh-CN"/>
              </w:rPr>
              <w:t>风沙土和草甸土</w:t>
            </w:r>
            <w:r>
              <w:rPr>
                <w:rFonts w:hint="default" w:ascii="Times New Roman" w:hAnsi="Times New Roman" w:cs="Times New Roman"/>
                <w:color w:val="auto"/>
                <w:sz w:val="22"/>
                <w:szCs w:val="22"/>
                <w:highlight w:val="none"/>
              </w:rPr>
              <w:t>。油田开发对土壤影响，呈点块状（如井场等）和线状（如集输管线）分布，影响范围明确。</w:t>
            </w:r>
            <w:r>
              <w:rPr>
                <w:rFonts w:hint="default" w:ascii="Times New Roman" w:hAnsi="Times New Roman" w:cs="Times New Roman"/>
                <w:color w:val="auto"/>
                <w:sz w:val="22"/>
                <w:szCs w:val="22"/>
                <w:highlight w:val="none"/>
                <w:lang w:eastAsia="zh-CN"/>
              </w:rPr>
              <w:t>本项目</w:t>
            </w:r>
            <w:r>
              <w:rPr>
                <w:rFonts w:hint="default" w:ascii="Times New Roman" w:hAnsi="Times New Roman" w:cs="Times New Roman"/>
                <w:color w:val="auto"/>
                <w:sz w:val="22"/>
                <w:szCs w:val="22"/>
                <w:highlight w:val="none"/>
              </w:rPr>
              <w:t>在施工期对土壤环境影响较大，运营期一般影响较小。</w:t>
            </w:r>
          </w:p>
        </w:tc>
        <w:tc>
          <w:tcPr>
            <w:tcW w:w="1230" w:type="dxa"/>
            <w:tcBorders>
              <w:top w:val="single" w:color="auto" w:sz="6" w:space="0"/>
              <w:left w:val="single" w:color="auto" w:sz="6" w:space="0"/>
              <w:bottom w:val="single" w:color="auto" w:sz="6" w:space="0"/>
            </w:tcBorders>
            <w:vAlign w:val="center"/>
          </w:tcPr>
          <w:p w14:paraId="693E2F6E">
            <w:pPr>
              <w:jc w:val="center"/>
              <w:rPr>
                <w:rFonts w:hint="default" w:ascii="Times New Roman" w:hAnsi="Times New Roman" w:cs="Times New Roman"/>
                <w:color w:val="auto"/>
                <w:sz w:val="22"/>
                <w:szCs w:val="22"/>
                <w:highlight w:val="none"/>
              </w:rPr>
            </w:pPr>
          </w:p>
        </w:tc>
      </w:tr>
      <w:tr w14:paraId="1F7F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64" w:type="dxa"/>
            <w:gridSpan w:val="9"/>
            <w:tcBorders>
              <w:top w:val="single" w:color="auto" w:sz="6" w:space="0"/>
            </w:tcBorders>
            <w:vAlign w:val="center"/>
          </w:tcPr>
          <w:p w14:paraId="00799ECA">
            <w:pPr>
              <w:jc w:val="both"/>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注1：“□”为勾选项，可√；“（）”为内容填写项；“备注”为其他补充内容。注2：需要分别开展土壤环境影响评级工作的，分别填写自查表。</w:t>
            </w:r>
          </w:p>
        </w:tc>
      </w:tr>
    </w:tbl>
    <w:p w14:paraId="73D5B913">
      <w:pPr>
        <w:pStyle w:val="5"/>
        <w:pageBreakBefore w:val="0"/>
        <w:kinsoku/>
        <w:wordWrap/>
        <w:overflowPunct/>
        <w:topLinePunct w:val="0"/>
        <w:autoSpaceDE/>
        <w:autoSpaceDN/>
        <w:bidi w:val="0"/>
        <w:adjustRightInd w:val="0"/>
        <w:snapToGrid w:val="0"/>
        <w:spacing w:beforeLines="0"/>
        <w:rPr>
          <w:rFonts w:hint="default" w:ascii="Times New Roman" w:hAnsi="Times New Roman" w:eastAsia="宋体" w:cs="Times New Roman"/>
          <w:color w:val="auto"/>
          <w:highlight w:val="none"/>
        </w:rPr>
      </w:pPr>
      <w:bookmarkStart w:id="545" w:name="_Toc24498"/>
      <w:bookmarkStart w:id="546" w:name="_Toc15042"/>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7环境风险评价</w:t>
      </w:r>
      <w:bookmarkEnd w:id="545"/>
      <w:bookmarkEnd w:id="546"/>
    </w:p>
    <w:p w14:paraId="3CC32AF7">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eastAsia="宋体" w:cs="Times New Roman"/>
          <w:color w:val="auto"/>
          <w:highlight w:val="none"/>
        </w:rPr>
      </w:pPr>
      <w:bookmarkStart w:id="547" w:name="_Toc420492381"/>
      <w:bookmarkStart w:id="548" w:name="_Toc508291898"/>
      <w:bookmarkStart w:id="549" w:name="_Toc29531"/>
      <w:bookmarkStart w:id="550" w:name="_Toc22400"/>
      <w:bookmarkStart w:id="551" w:name="_Toc5993"/>
      <w:bookmarkStart w:id="552" w:name="_Toc420492385"/>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7.1评价</w:t>
      </w:r>
      <w:bookmarkEnd w:id="547"/>
      <w:bookmarkEnd w:id="548"/>
      <w:r>
        <w:rPr>
          <w:rFonts w:hint="default" w:ascii="Times New Roman" w:hAnsi="Times New Roman" w:eastAsia="宋体" w:cs="Times New Roman"/>
          <w:color w:val="auto"/>
          <w:highlight w:val="none"/>
        </w:rPr>
        <w:t>依据</w:t>
      </w:r>
      <w:bookmarkEnd w:id="549"/>
      <w:bookmarkEnd w:id="550"/>
      <w:bookmarkEnd w:id="551"/>
    </w:p>
    <w:p w14:paraId="3561AD49">
      <w:pPr>
        <w:pStyle w:val="9"/>
        <w:keepNext w:val="0"/>
        <w:keepLines w:val="0"/>
        <w:pageBreakBefore w:val="0"/>
        <w:widowControl/>
        <w:kinsoku/>
        <w:wordWrap/>
        <w:overflowPunct/>
        <w:topLinePunct w:val="0"/>
        <w:autoSpaceDE/>
        <w:autoSpaceDN/>
        <w:bidi w:val="0"/>
        <w:adjustRightInd w:val="0"/>
        <w:snapToGrid w:val="0"/>
        <w:spacing w:before="157" w:beforeLines="50" w:line="360" w:lineRule="auto"/>
        <w:ind w:firstLine="420"/>
        <w:textAlignment w:val="auto"/>
        <w:rPr>
          <w:rFonts w:hint="default" w:ascii="Times New Roman" w:hAnsi="Times New Roman" w:eastAsia="宋体" w:cs="Times New Roman"/>
          <w:caps w:val="0"/>
          <w:color w:val="auto"/>
          <w:sz w:val="24"/>
          <w:szCs w:val="24"/>
          <w:highlight w:val="none"/>
          <w:lang w:val="en-US" w:eastAsia="zh-CN" w:bidi="ar-SA"/>
        </w:rPr>
      </w:pPr>
      <w:bookmarkStart w:id="553" w:name="_Toc5284"/>
      <w:bookmarkStart w:id="554" w:name="_Toc19266"/>
      <w:bookmarkStart w:id="555" w:name="_Hlk69381927"/>
      <w:r>
        <w:rPr>
          <w:rFonts w:hint="default" w:ascii="Times New Roman" w:hAnsi="Times New Roman" w:eastAsia="宋体" w:cs="Times New Roman"/>
          <w:caps w:val="0"/>
          <w:color w:val="auto"/>
          <w:sz w:val="24"/>
          <w:szCs w:val="24"/>
          <w:highlight w:val="none"/>
          <w:lang w:val="en-US" w:eastAsia="zh-CN" w:bidi="ar-SA"/>
        </w:rPr>
        <w:t>根据2.</w:t>
      </w:r>
      <w:r>
        <w:rPr>
          <w:rFonts w:hint="eastAsia" w:ascii="Times New Roman" w:hAnsi="Times New Roman" w:eastAsia="宋体" w:cs="Times New Roman"/>
          <w:caps w:val="0"/>
          <w:color w:val="auto"/>
          <w:sz w:val="24"/>
          <w:szCs w:val="24"/>
          <w:highlight w:val="none"/>
          <w:lang w:val="en-US" w:eastAsia="zh-CN" w:bidi="ar-SA"/>
        </w:rPr>
        <w:t>6.8</w:t>
      </w:r>
      <w:r>
        <w:rPr>
          <w:rFonts w:hint="default" w:ascii="Times New Roman" w:hAnsi="Times New Roman" w:eastAsia="宋体" w:cs="Times New Roman"/>
          <w:caps w:val="0"/>
          <w:color w:val="auto"/>
          <w:sz w:val="24"/>
          <w:szCs w:val="24"/>
          <w:highlight w:val="none"/>
          <w:lang w:val="en-US" w:eastAsia="zh-CN" w:bidi="ar-SA"/>
        </w:rPr>
        <w:t>章节关于环境风险评价等级的判定结果，本项目Q=0.</w:t>
      </w:r>
      <w:r>
        <w:rPr>
          <w:rFonts w:hint="eastAsia" w:ascii="Times New Roman" w:hAnsi="Times New Roman" w:eastAsia="宋体" w:cs="Times New Roman"/>
          <w:caps w:val="0"/>
          <w:color w:val="auto"/>
          <w:sz w:val="24"/>
          <w:szCs w:val="24"/>
          <w:highlight w:val="none"/>
          <w:lang w:val="en-US" w:eastAsia="zh-CN" w:bidi="ar-SA"/>
        </w:rPr>
        <w:t>3068</w:t>
      </w:r>
      <w:r>
        <w:rPr>
          <w:rFonts w:hint="default" w:ascii="Times New Roman" w:hAnsi="Times New Roman" w:eastAsia="宋体" w:cs="Times New Roman"/>
          <w:caps w:val="0"/>
          <w:color w:val="auto"/>
          <w:sz w:val="24"/>
          <w:szCs w:val="24"/>
          <w:highlight w:val="none"/>
          <w:lang w:val="en-US" w:eastAsia="zh-CN" w:bidi="ar-SA"/>
        </w:rPr>
        <w:t>，Q＜1，判断项目风险潜势为Ⅰ，根据《建设项目环境风险评价技术导则》（HJ169-2018）相关要求，本次评价仅对项目可能存在的环境风险进行简单分析。不设置环境风险评价范围。</w:t>
      </w:r>
    </w:p>
    <w:p w14:paraId="20387837">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eastAsia="宋体" w:cs="Times New Roman"/>
          <w:color w:val="auto"/>
          <w:highlight w:val="none"/>
        </w:rPr>
      </w:pPr>
      <w:bookmarkStart w:id="556" w:name="_Toc31144"/>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7.2环境敏感目标概况</w:t>
      </w:r>
      <w:bookmarkEnd w:id="553"/>
      <w:bookmarkEnd w:id="554"/>
      <w:bookmarkEnd w:id="556"/>
    </w:p>
    <w:p w14:paraId="231BA2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据现场调查，</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环境敏感目标见表2.8-1。</w:t>
      </w:r>
    </w:p>
    <w:bookmarkEnd w:id="555"/>
    <w:p w14:paraId="30D0D5CA">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eastAsia="宋体" w:cs="Times New Roman"/>
          <w:color w:val="auto"/>
          <w:highlight w:val="none"/>
        </w:rPr>
      </w:pPr>
      <w:bookmarkStart w:id="557" w:name="_Toc23830"/>
      <w:bookmarkStart w:id="558" w:name="_Toc15347"/>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7.3环境风险识别</w:t>
      </w:r>
      <w:bookmarkEnd w:id="557"/>
      <w:bookmarkEnd w:id="558"/>
    </w:p>
    <w:p w14:paraId="6A9CAD64">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7.3.1危险物质风险识别</w:t>
      </w:r>
    </w:p>
    <w:p w14:paraId="46FC7ED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涉及的主要风险物质为原油、</w:t>
      </w:r>
      <w:r>
        <w:rPr>
          <w:rFonts w:hint="default" w:ascii="Times New Roman" w:hAnsi="Times New Roman" w:cs="Times New Roman"/>
          <w:color w:val="auto"/>
          <w:highlight w:val="none"/>
          <w:lang w:eastAsia="zh-CN"/>
        </w:rPr>
        <w:t>伴生气</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硫化氢</w:t>
      </w:r>
      <w:r>
        <w:rPr>
          <w:rFonts w:hint="default" w:ascii="Times New Roman" w:hAnsi="Times New Roman" w:eastAsia="宋体" w:cs="Times New Roman"/>
          <w:color w:val="auto"/>
          <w:highlight w:val="none"/>
        </w:rPr>
        <w:t>，存在于集油管线、燃料气管线及掺稀管线内。风险物质危险</w:t>
      </w:r>
      <w:r>
        <w:rPr>
          <w:rFonts w:hint="default" w:ascii="Times New Roman" w:hAnsi="Times New Roman" w:cs="Times New Roman"/>
          <w:color w:val="auto"/>
          <w:highlight w:val="none"/>
        </w:rPr>
        <w:t>特性见表</w:t>
      </w:r>
      <w:r>
        <w:rPr>
          <w:rFonts w:hint="eastAsia" w:cs="Times New Roman"/>
          <w:color w:val="auto"/>
          <w:highlight w:val="none"/>
          <w:lang w:val="en-US" w:eastAsia="zh-CN"/>
        </w:rPr>
        <w:t>5.7</w:t>
      </w:r>
      <w:r>
        <w:rPr>
          <w:rFonts w:hint="default" w:ascii="Times New Roman" w:hAnsi="Times New Roman" w:cs="Times New Roman"/>
          <w:color w:val="auto"/>
          <w:highlight w:val="none"/>
        </w:rPr>
        <w:t>-1。</w:t>
      </w:r>
    </w:p>
    <w:p w14:paraId="4ED5F728">
      <w:pPr>
        <w:pStyle w:val="44"/>
        <w:bidi w:val="0"/>
        <w:outlineLvl w:val="9"/>
        <w:rPr>
          <w:rFonts w:hint="default" w:ascii="Times New Roman" w:hAnsi="Times New Roman" w:cs="Times New Roman"/>
          <w:color w:val="auto"/>
          <w:highlight w:val="none"/>
        </w:rPr>
      </w:pPr>
    </w:p>
    <w:p w14:paraId="33E7A598">
      <w:pPr>
        <w:pStyle w:val="44"/>
        <w:bidi w:val="0"/>
        <w:outlineLvl w:val="9"/>
        <w:rPr>
          <w:rFonts w:hint="default" w:ascii="Times New Roman" w:hAnsi="Times New Roman" w:cs="Times New Roman"/>
          <w:color w:val="auto"/>
          <w:highlight w:val="none"/>
        </w:rPr>
      </w:pPr>
    </w:p>
    <w:p w14:paraId="6405548D">
      <w:pPr>
        <w:pStyle w:val="44"/>
        <w:bidi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5.7</w:t>
      </w:r>
      <w:r>
        <w:rPr>
          <w:rFonts w:hint="default" w:ascii="Times New Roman" w:hAnsi="Times New Roman" w:cs="Times New Roman"/>
          <w:color w:val="auto"/>
          <w:highlight w:val="none"/>
        </w:rPr>
        <w:t>-1风险物质危险特性和分布一览表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01"/>
        <w:gridCol w:w="1516"/>
        <w:gridCol w:w="4084"/>
        <w:gridCol w:w="2283"/>
      </w:tblGrid>
      <w:tr w14:paraId="00A3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8" w:type="pct"/>
            <w:vAlign w:val="center"/>
          </w:tcPr>
          <w:p w14:paraId="2D8076EE">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883" w:type="pct"/>
            <w:vAlign w:val="center"/>
          </w:tcPr>
          <w:p w14:paraId="63690D71">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危险物质名称</w:t>
            </w:r>
          </w:p>
        </w:tc>
        <w:tc>
          <w:tcPr>
            <w:tcW w:w="2378" w:type="pct"/>
            <w:vAlign w:val="center"/>
          </w:tcPr>
          <w:p w14:paraId="751E8077">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危险特性</w:t>
            </w:r>
          </w:p>
        </w:tc>
        <w:tc>
          <w:tcPr>
            <w:tcW w:w="1329" w:type="pct"/>
            <w:vAlign w:val="center"/>
          </w:tcPr>
          <w:p w14:paraId="60439A60">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分布</w:t>
            </w:r>
          </w:p>
        </w:tc>
      </w:tr>
      <w:tr w14:paraId="6E34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8" w:type="pct"/>
            <w:vAlign w:val="center"/>
          </w:tcPr>
          <w:p w14:paraId="344C426A">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83" w:type="pct"/>
            <w:vAlign w:val="center"/>
          </w:tcPr>
          <w:p w14:paraId="79720F8C">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甲烷</w:t>
            </w:r>
          </w:p>
        </w:tc>
        <w:tc>
          <w:tcPr>
            <w:tcW w:w="2378" w:type="pct"/>
            <w:vAlign w:val="center"/>
          </w:tcPr>
          <w:p w14:paraId="09D09C28">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易燃气体</w:t>
            </w:r>
          </w:p>
        </w:tc>
        <w:tc>
          <w:tcPr>
            <w:tcW w:w="1329" w:type="pct"/>
            <w:vAlign w:val="center"/>
          </w:tcPr>
          <w:p w14:paraId="3AC281DD">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集油管线、燃料气管线</w:t>
            </w:r>
          </w:p>
        </w:tc>
      </w:tr>
      <w:tr w14:paraId="1DAF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8" w:type="pct"/>
            <w:vAlign w:val="center"/>
          </w:tcPr>
          <w:p w14:paraId="2F133941">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83" w:type="pct"/>
            <w:vAlign w:val="center"/>
          </w:tcPr>
          <w:p w14:paraId="545FF237">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硫化氢</w:t>
            </w:r>
          </w:p>
        </w:tc>
        <w:tc>
          <w:tcPr>
            <w:tcW w:w="2378" w:type="pct"/>
            <w:vAlign w:val="center"/>
          </w:tcPr>
          <w:p w14:paraId="3366F30B">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有毒气体，易燃气体</w:t>
            </w:r>
          </w:p>
        </w:tc>
        <w:tc>
          <w:tcPr>
            <w:tcW w:w="1329" w:type="pct"/>
            <w:vAlign w:val="center"/>
          </w:tcPr>
          <w:p w14:paraId="02F5BD10">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集油管线</w:t>
            </w:r>
          </w:p>
        </w:tc>
      </w:tr>
      <w:tr w14:paraId="27F8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8" w:type="pct"/>
            <w:vAlign w:val="center"/>
          </w:tcPr>
          <w:p w14:paraId="6EC5F831">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83" w:type="pct"/>
            <w:vAlign w:val="center"/>
          </w:tcPr>
          <w:p w14:paraId="5B59EF4D">
            <w:pPr>
              <w:pStyle w:val="52"/>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原油</w:t>
            </w:r>
          </w:p>
        </w:tc>
        <w:tc>
          <w:tcPr>
            <w:tcW w:w="2378" w:type="pct"/>
            <w:vAlign w:val="center"/>
          </w:tcPr>
          <w:p w14:paraId="5BA4369F">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可燃液体</w:t>
            </w:r>
          </w:p>
        </w:tc>
        <w:tc>
          <w:tcPr>
            <w:tcW w:w="1329" w:type="pct"/>
            <w:vAlign w:val="center"/>
          </w:tcPr>
          <w:p w14:paraId="263FF68D">
            <w:pPr>
              <w:pStyle w:val="52"/>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集油管线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掺稀管线</w:t>
            </w:r>
          </w:p>
        </w:tc>
      </w:tr>
    </w:tbl>
    <w:p w14:paraId="30A4F37A">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原油</w:t>
      </w:r>
    </w:p>
    <w:p w14:paraId="2087D76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原油理化性质及危险危害特性详见表</w:t>
      </w:r>
      <w:r>
        <w:rPr>
          <w:rFonts w:hint="eastAsia" w:cs="Times New Roman"/>
          <w:color w:val="auto"/>
          <w:highlight w:val="none"/>
          <w:lang w:val="en-US" w:eastAsia="zh-CN"/>
        </w:rPr>
        <w:t>5.7</w:t>
      </w:r>
      <w:r>
        <w:rPr>
          <w:rFonts w:hint="default" w:ascii="Times New Roman" w:hAnsi="Times New Roman" w:cs="Times New Roman"/>
          <w:color w:val="auto"/>
          <w:highlight w:val="none"/>
        </w:rPr>
        <w:t>-2。</w:t>
      </w:r>
    </w:p>
    <w:p w14:paraId="5BBDEB48">
      <w:pPr>
        <w:pStyle w:val="44"/>
        <w:bidi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5.7</w:t>
      </w:r>
      <w:r>
        <w:rPr>
          <w:rFonts w:hint="default" w:ascii="Times New Roman" w:hAnsi="Times New Roman" w:cs="Times New Roman"/>
          <w:color w:val="auto"/>
          <w:highlight w:val="none"/>
        </w:rPr>
        <w:t>-2原油理化性质、危险危害特性及防护措施表</w:t>
      </w:r>
    </w:p>
    <w:tbl>
      <w:tblPr>
        <w:tblStyle w:val="35"/>
        <w:tblW w:w="508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1" w:type="dxa"/>
          <w:bottom w:w="0" w:type="dxa"/>
          <w:right w:w="11" w:type="dxa"/>
        </w:tblCellMar>
      </w:tblPr>
      <w:tblGrid>
        <w:gridCol w:w="790"/>
        <w:gridCol w:w="2034"/>
        <w:gridCol w:w="2235"/>
        <w:gridCol w:w="1148"/>
        <w:gridCol w:w="2528"/>
      </w:tblGrid>
      <w:tr w14:paraId="73DFE6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vMerge w:val="restart"/>
            <w:tcBorders>
              <w:tl2br w:val="nil"/>
              <w:tr2bl w:val="nil"/>
            </w:tcBorders>
            <w:vAlign w:val="center"/>
          </w:tcPr>
          <w:p w14:paraId="34E9D0D8">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化学品</w:t>
            </w:r>
          </w:p>
          <w:p w14:paraId="5EDE9B40">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164" w:type="pct"/>
            <w:tcBorders>
              <w:tl2br w:val="nil"/>
              <w:tr2bl w:val="nil"/>
            </w:tcBorders>
            <w:tcMar>
              <w:top w:w="28" w:type="dxa"/>
              <w:left w:w="57" w:type="dxa"/>
              <w:bottom w:w="28" w:type="dxa"/>
              <w:right w:w="57" w:type="dxa"/>
            </w:tcMar>
            <w:vAlign w:val="center"/>
          </w:tcPr>
          <w:p w14:paraId="05571BD3">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化学品中文名称</w:t>
            </w:r>
          </w:p>
        </w:tc>
        <w:tc>
          <w:tcPr>
            <w:tcW w:w="3383" w:type="pct"/>
            <w:gridSpan w:val="3"/>
            <w:tcBorders>
              <w:tl2br w:val="nil"/>
              <w:tr2bl w:val="nil"/>
            </w:tcBorders>
            <w:tcMar>
              <w:top w:w="0" w:type="dxa"/>
              <w:left w:w="57" w:type="dxa"/>
              <w:bottom w:w="0" w:type="dxa"/>
              <w:right w:w="57" w:type="dxa"/>
            </w:tcMar>
            <w:vAlign w:val="center"/>
          </w:tcPr>
          <w:p w14:paraId="79A145F9">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原油</w:t>
            </w:r>
          </w:p>
        </w:tc>
      </w:tr>
      <w:tr w14:paraId="61B972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vMerge w:val="continue"/>
            <w:tcBorders>
              <w:tl2br w:val="nil"/>
              <w:tr2bl w:val="nil"/>
            </w:tcBorders>
            <w:vAlign w:val="center"/>
          </w:tcPr>
          <w:p w14:paraId="54DEAEA9">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p>
        </w:tc>
        <w:tc>
          <w:tcPr>
            <w:tcW w:w="1164" w:type="pct"/>
            <w:tcBorders>
              <w:tl2br w:val="nil"/>
              <w:tr2bl w:val="nil"/>
            </w:tcBorders>
            <w:tcMar>
              <w:top w:w="28" w:type="dxa"/>
              <w:left w:w="57" w:type="dxa"/>
              <w:bottom w:w="28" w:type="dxa"/>
              <w:right w:w="57" w:type="dxa"/>
            </w:tcMar>
            <w:vAlign w:val="center"/>
          </w:tcPr>
          <w:p w14:paraId="7DAAAD51">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化学品英文名称</w:t>
            </w:r>
          </w:p>
        </w:tc>
        <w:tc>
          <w:tcPr>
            <w:tcW w:w="3383" w:type="pct"/>
            <w:gridSpan w:val="3"/>
            <w:tcBorders>
              <w:tl2br w:val="nil"/>
              <w:tr2bl w:val="nil"/>
            </w:tcBorders>
            <w:tcMar>
              <w:top w:w="0" w:type="dxa"/>
              <w:left w:w="57" w:type="dxa"/>
              <w:bottom w:w="0" w:type="dxa"/>
              <w:right w:w="57" w:type="dxa"/>
            </w:tcMar>
            <w:vAlign w:val="center"/>
          </w:tcPr>
          <w:p w14:paraId="1048D5D7">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Grudloil</w:t>
            </w:r>
          </w:p>
        </w:tc>
      </w:tr>
      <w:tr w14:paraId="77CFC3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vAlign w:val="center"/>
          </w:tcPr>
          <w:p w14:paraId="49CFD6DE">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组成/组分信息</w:t>
            </w:r>
          </w:p>
        </w:tc>
        <w:tc>
          <w:tcPr>
            <w:tcW w:w="4547" w:type="pct"/>
            <w:gridSpan w:val="4"/>
            <w:tcBorders>
              <w:tl2br w:val="nil"/>
              <w:tr2bl w:val="nil"/>
            </w:tcBorders>
            <w:shd w:val="clear" w:color="auto" w:fill="auto"/>
            <w:tcMar>
              <w:top w:w="28" w:type="dxa"/>
              <w:left w:w="57" w:type="dxa"/>
              <w:bottom w:w="28" w:type="dxa"/>
              <w:right w:w="57" w:type="dxa"/>
            </w:tcMar>
            <w:vAlign w:val="center"/>
          </w:tcPr>
          <w:p w14:paraId="6852B879">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烷烃、环烷烃、芳香烃和烯烃等多种液态烃的混合物。主要成分是碳和氢两种元素，分别占83~87%和11~14%；还有少量的硫、氧、氮和微量的磷、砷、钾、钠、钙、镁、镍、铁、钒等元素。</w:t>
            </w:r>
          </w:p>
        </w:tc>
      </w:tr>
      <w:tr w14:paraId="51F4E4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73368074">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w:t>
            </w:r>
          </w:p>
          <w:p w14:paraId="63A54BF3">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特性</w:t>
            </w:r>
          </w:p>
        </w:tc>
        <w:tc>
          <w:tcPr>
            <w:tcW w:w="4547" w:type="pct"/>
            <w:gridSpan w:val="4"/>
            <w:tcBorders>
              <w:tl2br w:val="nil"/>
              <w:tr2bl w:val="nil"/>
            </w:tcBorders>
            <w:shd w:val="clear" w:color="auto" w:fill="auto"/>
            <w:tcMar>
              <w:top w:w="28" w:type="dxa"/>
              <w:left w:w="11" w:type="dxa"/>
              <w:bottom w:w="28" w:type="dxa"/>
              <w:right w:w="11" w:type="dxa"/>
            </w:tcMar>
            <w:vAlign w:val="center"/>
          </w:tcPr>
          <w:p w14:paraId="48E63051">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性类别：第3.2类中闪点液体。侵入途径：吸入、食入、经皮吸收。健康危害：液体有强烈刺激性。食入可引起恶心、疼痛和呕吐，引起黏膜水肿和溃疡症状，包括口腔和咽喉灼烧感；较大的剂量可引起恶心、呕吐、麻醉、无力、头晕、呼吸表浅、腹痛、抽搐和意识丧失；可引起心律失常、室颤和心电图改变；可发生中枢神经系统抑制。眼睛接触本品可引起刺激，长期接触引起炎症。皮肤长期或持续接触液体可引起脱脂，伴随干燥、破裂、刺激和皮炎。</w:t>
            </w:r>
            <w:r>
              <w:rPr>
                <w:rFonts w:hint="eastAsia" w:cs="Times New Roman"/>
                <w:color w:val="auto"/>
                <w:highlight w:val="none"/>
                <w:lang w:eastAsia="zh-CN"/>
              </w:rPr>
              <w:t>蒸汽</w:t>
            </w:r>
            <w:r>
              <w:rPr>
                <w:rFonts w:hint="default" w:ascii="Times New Roman" w:hAnsi="Times New Roman" w:cs="Times New Roman"/>
                <w:color w:val="auto"/>
                <w:highlight w:val="none"/>
              </w:rPr>
              <w:t>对上呼吸道有刺激性。高温时吸入伤害加重。吸入高浓度蒸气的急性影响是肺部刺激症状，包括咳嗽伴有恶心；中枢神经抑制表现为头痛、头晕、兴奋、视力模糊、反应迟钝、疲乏和共济失调。长时间暴露于高浓度蒸气中可导致麻醉、神志不清，甚至昏迷和死亡。吸入高浓度的油雾可引起油性肺炎。慢性影响：长时间接触可引起支气管炎和肺水肿。长期皮肤接触可造成皮肤干燥、皲裂和发红。影响神经系统、骨髓机能等。环境危害：造成大气，河流，湖泊，海洋，土壤等污染。燃爆危险：易燃。遇到高热，火星或火苗极易引起燃烧爆炸。</w:t>
            </w:r>
          </w:p>
        </w:tc>
      </w:tr>
      <w:tr w14:paraId="34DEF2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69C5111B">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急救</w:t>
            </w:r>
          </w:p>
          <w:p w14:paraId="042C88CC">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tc>
        <w:tc>
          <w:tcPr>
            <w:tcW w:w="4547" w:type="pct"/>
            <w:gridSpan w:val="4"/>
            <w:tcBorders>
              <w:tl2br w:val="nil"/>
              <w:tr2bl w:val="nil"/>
            </w:tcBorders>
            <w:tcMar>
              <w:top w:w="28" w:type="dxa"/>
              <w:left w:w="11" w:type="dxa"/>
              <w:bottom w:w="28" w:type="dxa"/>
              <w:right w:w="11" w:type="dxa"/>
            </w:tcMar>
            <w:vAlign w:val="center"/>
          </w:tcPr>
          <w:p w14:paraId="4E40F447">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皮肤接触：立即脱去污染的衣着，用肥皂水和清水彻底冲洗皮肤。如有不适感，就医。</w:t>
            </w:r>
          </w:p>
          <w:p w14:paraId="56400F3D">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眼睛接触：立即提起眼睑，用大量流动清水或生理盐水冲洗。如有不适感，就医。眼睛受伤后，应由专业人员取出隐形眼镜。</w:t>
            </w:r>
          </w:p>
          <w:p w14:paraId="4619C581">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吸入：迅速脱离现场至空气新鲜处。静卧、保暖。开始急救前，取出假牙等，防止阻塞气道。保持呼吸道通畅。如呼吸困难，给输氧。呼吸、心跳停止，立即进行心肺复苏术。就医。</w:t>
            </w:r>
          </w:p>
          <w:p w14:paraId="341ACD2A">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食入：饮水，禁止催吐。保持呼吸道通畅，防止吸入呕吐物。禁止给嗜睡症状或知觉降低即正在失去知觉的病人服用液体。如有不适感，就医。</w:t>
            </w:r>
          </w:p>
        </w:tc>
      </w:tr>
      <w:tr w14:paraId="4A57B7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250ABC77">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消防</w:t>
            </w:r>
          </w:p>
          <w:p w14:paraId="37A645BC">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tc>
        <w:tc>
          <w:tcPr>
            <w:tcW w:w="4547" w:type="pct"/>
            <w:gridSpan w:val="4"/>
            <w:tcBorders>
              <w:tl2br w:val="nil"/>
              <w:tr2bl w:val="nil"/>
            </w:tcBorders>
            <w:tcMar>
              <w:top w:w="28" w:type="dxa"/>
              <w:left w:w="11" w:type="dxa"/>
              <w:bottom w:w="28" w:type="dxa"/>
              <w:right w:w="11" w:type="dxa"/>
            </w:tcMar>
            <w:vAlign w:val="center"/>
          </w:tcPr>
          <w:p w14:paraId="044D8152">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特性：易燃，其蒸气与空气可形成爆炸性混合物，遇明火、高热极易燃烧爆炸。与氧化剂能发生强烈反应。流速过快，容易产生和积聚静电。其蒸气比空气重，沿地面扩散并易积存于低洼处，遇火源会着火回燃。</w:t>
            </w:r>
          </w:p>
          <w:p w14:paraId="79254DAF">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有害燃烧产物：一氧化碳、二氧化碳。</w:t>
            </w:r>
          </w:p>
          <w:p w14:paraId="197EA2DB">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灭火方法：用泡沫、干粉、二氧化碳、砂土灭火。</w:t>
            </w:r>
          </w:p>
        </w:tc>
      </w:tr>
      <w:tr w14:paraId="69F7C7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5462A70E">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泄漏应急处理</w:t>
            </w:r>
          </w:p>
        </w:tc>
        <w:tc>
          <w:tcPr>
            <w:tcW w:w="4547" w:type="pct"/>
            <w:gridSpan w:val="4"/>
            <w:tcBorders>
              <w:tl2br w:val="nil"/>
              <w:tr2bl w:val="nil"/>
            </w:tcBorders>
            <w:tcMar>
              <w:top w:w="28" w:type="dxa"/>
              <w:left w:w="11" w:type="dxa"/>
              <w:bottom w:w="28" w:type="dxa"/>
              <w:right w:w="11" w:type="dxa"/>
            </w:tcMar>
            <w:vAlign w:val="center"/>
          </w:tcPr>
          <w:p w14:paraId="041047E8">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消除所有点火源。根据液体流动和蒸气扩散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限制性空间。小量</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：用砂土或其他不燃材料吸收。使用洁净的无火花工具收集吸收材料。大量</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：构筑围堤或挖坑收容。用泡沫覆盖，减少蒸发。喷水雾能减少蒸发，但不能降低泄漏物在限制性空间内的易燃性。用防爆泵转移至槽车或专用收集器内。</w:t>
            </w:r>
          </w:p>
        </w:tc>
      </w:tr>
      <w:tr w14:paraId="2DC1A8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30188A07">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操作处置与储存</w:t>
            </w:r>
          </w:p>
        </w:tc>
        <w:tc>
          <w:tcPr>
            <w:tcW w:w="4547" w:type="pct"/>
            <w:gridSpan w:val="4"/>
            <w:tcBorders>
              <w:tl2br w:val="nil"/>
              <w:tr2bl w:val="nil"/>
            </w:tcBorders>
            <w:tcMar>
              <w:top w:w="28" w:type="dxa"/>
              <w:left w:w="11" w:type="dxa"/>
              <w:bottom w:w="28" w:type="dxa"/>
              <w:right w:w="11" w:type="dxa"/>
            </w:tcMar>
            <w:vAlign w:val="center"/>
          </w:tcPr>
          <w:p w14:paraId="10A1B6AC">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操作注意事项：密闭操作，注意通风。操作人员必须经过专门培训，严格遵守操作规程。建议操作人员佩戴过滤式防毒面具，穿防静电工作服。远离火种、热源。工作场所严禁吸烟。使用防爆型的通风系统和设备。防止蒸气泄漏到工作场所空气中。避免与氧化剂接触。灌装时应控制流速，且有接地装置，防止静电积聚。在清除液体和蒸气前不能进行焊接、切割等作业。搬运时要轻装轻卸，防止包装及容器损坏。配备相应品种和数量的消防器材和</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应急处理设备。倒空的容器可能残留有害物。</w:t>
            </w:r>
          </w:p>
          <w:p w14:paraId="16376B2D">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储存注意事项：储存于阴凉、通风的库房。远离火种、热源。库温不宜超过30℃，保持容器密封。应与氧化剂分开存放，切忌混储。采用防爆型照明、通风设备。禁止使用易产生火花的机械设备和工具。储区应备有</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应急处理设备和合适的收容材料。</w:t>
            </w:r>
          </w:p>
        </w:tc>
      </w:tr>
      <w:tr w14:paraId="05304E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7BF277F9">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接触控制/个体防护</w:t>
            </w:r>
          </w:p>
        </w:tc>
        <w:tc>
          <w:tcPr>
            <w:tcW w:w="4547" w:type="pct"/>
            <w:gridSpan w:val="4"/>
            <w:tcBorders>
              <w:tl2br w:val="nil"/>
              <w:tr2bl w:val="nil"/>
            </w:tcBorders>
            <w:tcMar>
              <w:top w:w="28" w:type="dxa"/>
              <w:left w:w="11" w:type="dxa"/>
              <w:bottom w:w="28" w:type="dxa"/>
              <w:right w:w="11" w:type="dxa"/>
            </w:tcMar>
            <w:vAlign w:val="center"/>
          </w:tcPr>
          <w:p w14:paraId="3518795F">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工程控制：工作现场严禁吸烟，避免长期反复接触，进入罐、限制性空间或其他</w:t>
            </w:r>
            <w:r>
              <w:rPr>
                <w:rFonts w:hint="eastAsia" w:cs="Times New Roman"/>
                <w:color w:val="auto"/>
                <w:highlight w:val="none"/>
                <w:lang w:eastAsia="zh-CN"/>
              </w:rPr>
              <w:t>区域</w:t>
            </w:r>
            <w:r>
              <w:rPr>
                <w:rFonts w:hint="default" w:ascii="Times New Roman" w:hAnsi="Times New Roman" w:cs="Times New Roman"/>
                <w:color w:val="auto"/>
                <w:highlight w:val="none"/>
              </w:rPr>
              <w:t>作业，须有人监护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生产过程密闭，加强通风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提供安全淋浴和洗眼设备。</w:t>
            </w:r>
          </w:p>
          <w:p w14:paraId="0659E422">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呼吸系统防护：一般不需要特殊防护，高浓度接触时可佩戴过滤式防毒面具（半面罩）。</w:t>
            </w:r>
          </w:p>
          <w:p w14:paraId="20183B2B">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眼睛防护：一般不需要特殊防护，但建议在特殊情况下，戴化学安全防护眼镜。</w:t>
            </w:r>
          </w:p>
          <w:p w14:paraId="59EA3CDF">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身体防护：穿防静电工作服。</w:t>
            </w:r>
          </w:p>
          <w:p w14:paraId="062602F4">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手防护：戴一般作业防护手套。</w:t>
            </w:r>
          </w:p>
          <w:p w14:paraId="46F6C18F">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其他防护：工作现场禁止吸烟、进食和饮水。工作完毕，淋浴更衣。</w:t>
            </w:r>
          </w:p>
        </w:tc>
      </w:tr>
      <w:tr w14:paraId="59748E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vMerge w:val="restart"/>
            <w:tcBorders>
              <w:tl2br w:val="nil"/>
              <w:tr2bl w:val="nil"/>
            </w:tcBorders>
            <w:tcMar>
              <w:top w:w="28" w:type="dxa"/>
              <w:left w:w="57" w:type="dxa"/>
              <w:bottom w:w="28" w:type="dxa"/>
              <w:right w:w="57" w:type="dxa"/>
            </w:tcMar>
            <w:vAlign w:val="center"/>
          </w:tcPr>
          <w:p w14:paraId="3C0137C6">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理化</w:t>
            </w:r>
          </w:p>
          <w:p w14:paraId="097E1DDC">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特性</w:t>
            </w:r>
          </w:p>
        </w:tc>
        <w:tc>
          <w:tcPr>
            <w:tcW w:w="1164" w:type="pct"/>
            <w:tcBorders>
              <w:tl2br w:val="nil"/>
              <w:tr2bl w:val="nil"/>
            </w:tcBorders>
            <w:tcMar>
              <w:top w:w="28" w:type="dxa"/>
              <w:left w:w="11" w:type="dxa"/>
              <w:bottom w:w="28" w:type="dxa"/>
              <w:right w:w="11" w:type="dxa"/>
            </w:tcMar>
            <w:vAlign w:val="center"/>
          </w:tcPr>
          <w:p w14:paraId="7ECB298A">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外观与性状</w:t>
            </w:r>
          </w:p>
        </w:tc>
        <w:tc>
          <w:tcPr>
            <w:tcW w:w="1279" w:type="pct"/>
            <w:tcBorders>
              <w:tl2br w:val="nil"/>
              <w:tr2bl w:val="nil"/>
            </w:tcBorders>
            <w:vAlign w:val="center"/>
          </w:tcPr>
          <w:p w14:paraId="20B9D66D">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黑色的可燃性黏稠液体</w:t>
            </w:r>
          </w:p>
        </w:tc>
        <w:tc>
          <w:tcPr>
            <w:tcW w:w="657" w:type="pct"/>
            <w:tcBorders>
              <w:tl2br w:val="nil"/>
              <w:tr2bl w:val="nil"/>
            </w:tcBorders>
            <w:vAlign w:val="center"/>
          </w:tcPr>
          <w:p w14:paraId="3C63F67D">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蒸气压</w:t>
            </w:r>
          </w:p>
        </w:tc>
        <w:tc>
          <w:tcPr>
            <w:tcW w:w="1446" w:type="pct"/>
            <w:tcBorders>
              <w:tl2br w:val="nil"/>
              <w:tr2bl w:val="nil"/>
            </w:tcBorders>
            <w:vAlign w:val="center"/>
          </w:tcPr>
          <w:p w14:paraId="1E146CBF">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无资料</w:t>
            </w:r>
          </w:p>
        </w:tc>
      </w:tr>
      <w:tr w14:paraId="73A20F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vMerge w:val="continue"/>
            <w:tcBorders>
              <w:tl2br w:val="nil"/>
              <w:tr2bl w:val="nil"/>
            </w:tcBorders>
            <w:vAlign w:val="center"/>
          </w:tcPr>
          <w:p w14:paraId="5C9B655A">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p>
        </w:tc>
        <w:tc>
          <w:tcPr>
            <w:tcW w:w="1164" w:type="pct"/>
            <w:tcBorders>
              <w:tl2br w:val="nil"/>
              <w:tr2bl w:val="nil"/>
            </w:tcBorders>
            <w:tcMar>
              <w:top w:w="28" w:type="dxa"/>
              <w:left w:w="11" w:type="dxa"/>
              <w:bottom w:w="28" w:type="dxa"/>
              <w:right w:w="11" w:type="dxa"/>
            </w:tcMar>
            <w:vAlign w:val="center"/>
          </w:tcPr>
          <w:p w14:paraId="5083C962">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沸点</w:t>
            </w:r>
          </w:p>
        </w:tc>
        <w:tc>
          <w:tcPr>
            <w:tcW w:w="1279" w:type="pct"/>
            <w:tcBorders>
              <w:tl2br w:val="nil"/>
              <w:tr2bl w:val="nil"/>
            </w:tcBorders>
            <w:vAlign w:val="center"/>
          </w:tcPr>
          <w:p w14:paraId="620AE1AB">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自常温至500℃以上</w:t>
            </w:r>
          </w:p>
        </w:tc>
        <w:tc>
          <w:tcPr>
            <w:tcW w:w="657" w:type="pct"/>
            <w:tcBorders>
              <w:tl2br w:val="nil"/>
              <w:tr2bl w:val="nil"/>
            </w:tcBorders>
            <w:vAlign w:val="center"/>
          </w:tcPr>
          <w:p w14:paraId="2A27622E">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闪点</w:t>
            </w:r>
          </w:p>
        </w:tc>
        <w:tc>
          <w:tcPr>
            <w:tcW w:w="1446" w:type="pct"/>
            <w:tcBorders>
              <w:tl2br w:val="nil"/>
              <w:tr2bl w:val="nil"/>
            </w:tcBorders>
            <w:vAlign w:val="center"/>
          </w:tcPr>
          <w:p w14:paraId="7EC6B883">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-6~155℃</w:t>
            </w:r>
          </w:p>
        </w:tc>
      </w:tr>
      <w:tr w14:paraId="5952F8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822" w:hRule="atLeast"/>
          <w:jc w:val="center"/>
        </w:trPr>
        <w:tc>
          <w:tcPr>
            <w:tcW w:w="452" w:type="pct"/>
            <w:vMerge w:val="continue"/>
            <w:tcBorders>
              <w:tl2br w:val="nil"/>
              <w:tr2bl w:val="nil"/>
            </w:tcBorders>
            <w:vAlign w:val="center"/>
          </w:tcPr>
          <w:p w14:paraId="42356CA8">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p>
        </w:tc>
        <w:tc>
          <w:tcPr>
            <w:tcW w:w="1164" w:type="pct"/>
            <w:tcBorders>
              <w:tl2br w:val="nil"/>
              <w:tr2bl w:val="nil"/>
            </w:tcBorders>
            <w:tcMar>
              <w:top w:w="28" w:type="dxa"/>
              <w:left w:w="11" w:type="dxa"/>
              <w:bottom w:w="28" w:type="dxa"/>
              <w:right w:w="11" w:type="dxa"/>
            </w:tcMar>
            <w:vAlign w:val="center"/>
          </w:tcPr>
          <w:p w14:paraId="238012EB">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熔点</w:t>
            </w:r>
          </w:p>
        </w:tc>
        <w:tc>
          <w:tcPr>
            <w:tcW w:w="1279" w:type="pct"/>
            <w:tcBorders>
              <w:tl2br w:val="nil"/>
              <w:tr2bl w:val="nil"/>
            </w:tcBorders>
            <w:vAlign w:val="center"/>
          </w:tcPr>
          <w:p w14:paraId="6C9F04E4">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657" w:type="pct"/>
            <w:tcBorders>
              <w:tl2br w:val="nil"/>
              <w:tr2bl w:val="nil"/>
            </w:tcBorders>
            <w:vAlign w:val="center"/>
          </w:tcPr>
          <w:p w14:paraId="613CC930">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溶解性</w:t>
            </w:r>
          </w:p>
        </w:tc>
        <w:tc>
          <w:tcPr>
            <w:tcW w:w="1446" w:type="pct"/>
            <w:tcBorders>
              <w:tl2br w:val="nil"/>
              <w:tr2bl w:val="nil"/>
            </w:tcBorders>
            <w:vAlign w:val="center"/>
          </w:tcPr>
          <w:p w14:paraId="29AF7BAD">
            <w:pPr>
              <w:pStyle w:val="52"/>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不溶于水，溶于苯、乙醚、三氯甲烷、四氯化碳等有机溶剂</w:t>
            </w:r>
          </w:p>
        </w:tc>
      </w:tr>
      <w:tr w14:paraId="03C108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vMerge w:val="continue"/>
            <w:tcBorders>
              <w:tl2br w:val="nil"/>
              <w:tr2bl w:val="nil"/>
            </w:tcBorders>
            <w:vAlign w:val="center"/>
          </w:tcPr>
          <w:p w14:paraId="6B3792C9">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p>
        </w:tc>
        <w:tc>
          <w:tcPr>
            <w:tcW w:w="1164" w:type="pct"/>
            <w:tcBorders>
              <w:tl2br w:val="nil"/>
              <w:tr2bl w:val="nil"/>
            </w:tcBorders>
            <w:tcMar>
              <w:top w:w="28" w:type="dxa"/>
              <w:left w:w="11" w:type="dxa"/>
              <w:bottom w:w="28" w:type="dxa"/>
              <w:right w:w="11" w:type="dxa"/>
            </w:tcMar>
            <w:vAlign w:val="center"/>
          </w:tcPr>
          <w:p w14:paraId="713CAD49">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密度</w:t>
            </w:r>
          </w:p>
        </w:tc>
        <w:tc>
          <w:tcPr>
            <w:tcW w:w="1279" w:type="pct"/>
            <w:tcBorders>
              <w:tl2br w:val="nil"/>
              <w:tr2bl w:val="nil"/>
            </w:tcBorders>
            <w:vAlign w:val="center"/>
          </w:tcPr>
          <w:p w14:paraId="625ADD01">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相对密度（水=1）0.7365-1.0724g/cm</w:t>
            </w:r>
            <w:r>
              <w:rPr>
                <w:rFonts w:hint="default" w:ascii="Times New Roman" w:hAnsi="Times New Roman" w:cs="Times New Roman"/>
                <w:color w:val="auto"/>
                <w:highlight w:val="none"/>
                <w:vertAlign w:val="superscript"/>
              </w:rPr>
              <w:t>3</w:t>
            </w:r>
          </w:p>
        </w:tc>
        <w:tc>
          <w:tcPr>
            <w:tcW w:w="657" w:type="pct"/>
            <w:tcBorders>
              <w:tl2br w:val="nil"/>
              <w:tr2bl w:val="nil"/>
            </w:tcBorders>
            <w:vAlign w:val="center"/>
          </w:tcPr>
          <w:p w14:paraId="448D82AD">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稳定性</w:t>
            </w:r>
          </w:p>
        </w:tc>
        <w:tc>
          <w:tcPr>
            <w:tcW w:w="1446" w:type="pct"/>
            <w:tcBorders>
              <w:tl2br w:val="nil"/>
              <w:tr2bl w:val="nil"/>
            </w:tcBorders>
            <w:vAlign w:val="center"/>
          </w:tcPr>
          <w:p w14:paraId="6332406C">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稳定</w:t>
            </w:r>
          </w:p>
        </w:tc>
      </w:tr>
      <w:tr w14:paraId="72BDC7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vMerge w:val="continue"/>
            <w:tcBorders>
              <w:tl2br w:val="nil"/>
              <w:tr2bl w:val="nil"/>
            </w:tcBorders>
            <w:vAlign w:val="center"/>
          </w:tcPr>
          <w:p w14:paraId="068CE9FD">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p>
        </w:tc>
        <w:tc>
          <w:tcPr>
            <w:tcW w:w="1164" w:type="pct"/>
            <w:tcBorders>
              <w:tl2br w:val="nil"/>
              <w:tr2bl w:val="nil"/>
            </w:tcBorders>
            <w:tcMar>
              <w:top w:w="28" w:type="dxa"/>
              <w:left w:w="11" w:type="dxa"/>
              <w:bottom w:w="28" w:type="dxa"/>
              <w:right w:w="11" w:type="dxa"/>
            </w:tcMar>
            <w:vAlign w:val="center"/>
          </w:tcPr>
          <w:p w14:paraId="54F1CC0C">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爆炸极限</w:t>
            </w:r>
          </w:p>
        </w:tc>
        <w:tc>
          <w:tcPr>
            <w:tcW w:w="1279" w:type="pct"/>
            <w:tcBorders>
              <w:tl2br w:val="nil"/>
              <w:tr2bl w:val="nil"/>
            </w:tcBorders>
            <w:vAlign w:val="center"/>
          </w:tcPr>
          <w:p w14:paraId="67CD1160">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1.1%~8.7%（V%）</w:t>
            </w:r>
          </w:p>
        </w:tc>
        <w:tc>
          <w:tcPr>
            <w:tcW w:w="657" w:type="pct"/>
            <w:tcBorders>
              <w:tl2br w:val="nil"/>
              <w:tr2bl w:val="nil"/>
            </w:tcBorders>
            <w:vAlign w:val="center"/>
          </w:tcPr>
          <w:p w14:paraId="4EDA6FA8">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自燃温度</w:t>
            </w:r>
          </w:p>
        </w:tc>
        <w:tc>
          <w:tcPr>
            <w:tcW w:w="1446" w:type="pct"/>
            <w:tcBorders>
              <w:tl2br w:val="nil"/>
              <w:tr2bl w:val="nil"/>
            </w:tcBorders>
            <w:vAlign w:val="center"/>
          </w:tcPr>
          <w:p w14:paraId="799D5B83">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280℃~380℃</w:t>
            </w:r>
          </w:p>
        </w:tc>
      </w:tr>
      <w:tr w14:paraId="3C7BA3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15B0B274">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稳定性和反应活性</w:t>
            </w:r>
          </w:p>
        </w:tc>
        <w:tc>
          <w:tcPr>
            <w:tcW w:w="4547" w:type="pct"/>
            <w:gridSpan w:val="4"/>
            <w:tcBorders>
              <w:tl2br w:val="nil"/>
              <w:tr2bl w:val="nil"/>
            </w:tcBorders>
            <w:tcMar>
              <w:top w:w="28" w:type="dxa"/>
              <w:left w:w="11" w:type="dxa"/>
              <w:bottom w:w="28" w:type="dxa"/>
              <w:right w:w="11" w:type="dxa"/>
            </w:tcMar>
            <w:vAlign w:val="center"/>
          </w:tcPr>
          <w:p w14:paraId="0AFB22FF">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稳定性：稳定。</w:t>
            </w:r>
          </w:p>
          <w:p w14:paraId="02290F67">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禁配物：氧化剂。</w:t>
            </w:r>
          </w:p>
          <w:p w14:paraId="15EBE9DF">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避免接触的条件：高热，火源和不相容物质。</w:t>
            </w:r>
          </w:p>
          <w:p w14:paraId="047C14A0">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聚合危害：不聚合。</w:t>
            </w:r>
          </w:p>
          <w:p w14:paraId="4B4BDD24">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分解产物：一氧化碳、二氧化碳、氮氧化物、硫氧化物等有毒烟雾。</w:t>
            </w:r>
          </w:p>
        </w:tc>
      </w:tr>
      <w:tr w14:paraId="43769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2E7A555F">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毒理学</w:t>
            </w:r>
          </w:p>
          <w:p w14:paraId="0A0F6E98">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资料</w:t>
            </w:r>
          </w:p>
        </w:tc>
        <w:tc>
          <w:tcPr>
            <w:tcW w:w="4547" w:type="pct"/>
            <w:gridSpan w:val="4"/>
            <w:tcBorders>
              <w:tl2br w:val="nil"/>
              <w:tr2bl w:val="nil"/>
            </w:tcBorders>
            <w:tcMar>
              <w:top w:w="28" w:type="dxa"/>
              <w:left w:w="11" w:type="dxa"/>
              <w:bottom w:w="28" w:type="dxa"/>
              <w:right w:w="11" w:type="dxa"/>
            </w:tcMar>
            <w:vAlign w:val="center"/>
          </w:tcPr>
          <w:p w14:paraId="195AB71D">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有毒。原油中芳香烃以及杂原子化合物具有一定的毒性。</w:t>
            </w:r>
          </w:p>
          <w:p w14:paraId="18603AED">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LD50：&gt;4300mg/kg</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大鼠经口</w:t>
            </w:r>
            <w:r>
              <w:rPr>
                <w:rFonts w:hint="default" w:ascii="Times New Roman" w:hAnsi="Times New Roman" w:cs="Times New Roman"/>
                <w:color w:val="auto"/>
                <w:highlight w:val="none"/>
                <w:lang w:eastAsia="zh-CN"/>
              </w:rPr>
              <w:t>）</w:t>
            </w:r>
          </w:p>
          <w:p w14:paraId="15D7D6BC">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LC50：无资料</w:t>
            </w:r>
          </w:p>
        </w:tc>
      </w:tr>
      <w:tr w14:paraId="536EA2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262EC36C">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生态学资料</w:t>
            </w:r>
          </w:p>
        </w:tc>
        <w:tc>
          <w:tcPr>
            <w:tcW w:w="4547" w:type="pct"/>
            <w:gridSpan w:val="4"/>
            <w:tcBorders>
              <w:tl2br w:val="nil"/>
              <w:tr2bl w:val="nil"/>
            </w:tcBorders>
            <w:tcMar>
              <w:top w:w="28" w:type="dxa"/>
              <w:left w:w="11" w:type="dxa"/>
              <w:bottom w:w="28" w:type="dxa"/>
              <w:right w:w="11" w:type="dxa"/>
            </w:tcMar>
            <w:vAlign w:val="center"/>
          </w:tcPr>
          <w:p w14:paraId="487C7897">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生态毒理毒性：原油中的芳香族化合物以及杂原子具有一定的毒性。</w:t>
            </w:r>
          </w:p>
          <w:p w14:paraId="5C022970">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生物降解性：自然界中的部分厌氧菌，硫化菌以及部分绿色植物能将原油的大部分物质降解。</w:t>
            </w:r>
          </w:p>
          <w:p w14:paraId="4A63B047">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非生物降解性：原油中的沥青质等高分子物质具有很难得生物降解性。</w:t>
            </w:r>
          </w:p>
          <w:p w14:paraId="312F30CA">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生物富集或生物积累性：/。</w:t>
            </w:r>
          </w:p>
          <w:p w14:paraId="3974DDB5">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eastAsia" w:cs="Times New Roman"/>
                <w:color w:val="auto"/>
                <w:highlight w:val="none"/>
                <w:lang w:eastAsia="zh-CN"/>
              </w:rPr>
              <w:t>其他有害</w:t>
            </w:r>
            <w:r>
              <w:rPr>
                <w:rFonts w:hint="default" w:ascii="Times New Roman" w:hAnsi="Times New Roman" w:cs="Times New Roman"/>
                <w:color w:val="auto"/>
                <w:highlight w:val="none"/>
              </w:rPr>
              <w:t>作用：温室气体。应特别注意对地表水、土壤、大气和饮用水的污染。</w:t>
            </w:r>
          </w:p>
        </w:tc>
      </w:tr>
      <w:tr w14:paraId="0FCDA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4F2DA3D2">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废弃</w:t>
            </w:r>
          </w:p>
          <w:p w14:paraId="18BABDE9">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处置</w:t>
            </w:r>
          </w:p>
        </w:tc>
        <w:tc>
          <w:tcPr>
            <w:tcW w:w="4547" w:type="pct"/>
            <w:gridSpan w:val="4"/>
            <w:tcBorders>
              <w:tl2br w:val="nil"/>
              <w:tr2bl w:val="nil"/>
            </w:tcBorders>
            <w:tcMar>
              <w:top w:w="28" w:type="dxa"/>
              <w:left w:w="11" w:type="dxa"/>
              <w:bottom w:w="28" w:type="dxa"/>
              <w:right w:w="11" w:type="dxa"/>
            </w:tcMar>
            <w:vAlign w:val="center"/>
          </w:tcPr>
          <w:p w14:paraId="45960783">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废弃物性质：危险废物。</w:t>
            </w:r>
          </w:p>
          <w:p w14:paraId="1ABCBF39">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废弃处置方法：若本产品成为废品，必须由取得许可证的专业工厂进行处理。</w:t>
            </w:r>
          </w:p>
          <w:p w14:paraId="65494BD4">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废弃注意事项：处置前应参阅国家和地方有关法规。本产品不可排放</w:t>
            </w:r>
            <w:r>
              <w:rPr>
                <w:rFonts w:hint="eastAsia" w:cs="Times New Roman"/>
                <w:color w:val="auto"/>
                <w:highlight w:val="none"/>
                <w:lang w:eastAsia="zh-CN"/>
              </w:rPr>
              <w:t>于</w:t>
            </w:r>
            <w:r>
              <w:rPr>
                <w:rFonts w:hint="default" w:ascii="Times New Roman" w:hAnsi="Times New Roman" w:cs="Times New Roman"/>
                <w:color w:val="auto"/>
                <w:highlight w:val="none"/>
              </w:rPr>
              <w:t>下水道，河流，湖泊，大海等。</w:t>
            </w:r>
          </w:p>
        </w:tc>
      </w:tr>
      <w:tr w14:paraId="6D5FE7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37E2E48B">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运输</w:t>
            </w:r>
          </w:p>
          <w:p w14:paraId="258CB076">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信息</w:t>
            </w:r>
          </w:p>
        </w:tc>
        <w:tc>
          <w:tcPr>
            <w:tcW w:w="4547" w:type="pct"/>
            <w:gridSpan w:val="4"/>
            <w:tcBorders>
              <w:tl2br w:val="nil"/>
              <w:tr2bl w:val="nil"/>
            </w:tcBorders>
            <w:tcMar>
              <w:top w:w="28" w:type="dxa"/>
              <w:left w:w="11" w:type="dxa"/>
              <w:bottom w:w="28" w:type="dxa"/>
              <w:right w:w="11" w:type="dxa"/>
            </w:tcMar>
            <w:vAlign w:val="center"/>
          </w:tcPr>
          <w:p w14:paraId="55C247DB">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运输注意事项：环境密封放置，</w:t>
            </w:r>
            <w:r>
              <w:rPr>
                <w:rFonts w:hint="eastAsia" w:cs="Times New Roman"/>
                <w:color w:val="auto"/>
                <w:highlight w:val="none"/>
                <w:lang w:eastAsia="zh-CN"/>
              </w:rPr>
              <w:t>防止</w:t>
            </w:r>
            <w:r>
              <w:rPr>
                <w:rFonts w:hint="default" w:ascii="Times New Roman" w:hAnsi="Times New Roman" w:cs="Times New Roman"/>
                <w:color w:val="auto"/>
                <w:highlight w:val="none"/>
              </w:rPr>
              <w:t>热源和日光暴晒，与强氧化剂隔离。</w:t>
            </w:r>
          </w:p>
        </w:tc>
      </w:tr>
      <w:tr w14:paraId="26E230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2418E659">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法规</w:t>
            </w:r>
          </w:p>
          <w:p w14:paraId="6400AE16">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信息</w:t>
            </w:r>
          </w:p>
        </w:tc>
        <w:tc>
          <w:tcPr>
            <w:tcW w:w="4547" w:type="pct"/>
            <w:gridSpan w:val="4"/>
            <w:tcBorders>
              <w:tl2br w:val="nil"/>
              <w:tr2bl w:val="nil"/>
            </w:tcBorders>
            <w:tcMar>
              <w:top w:w="28" w:type="dxa"/>
              <w:left w:w="11" w:type="dxa"/>
              <w:bottom w:w="28" w:type="dxa"/>
              <w:right w:w="11" w:type="dxa"/>
            </w:tcMar>
            <w:vAlign w:val="center"/>
          </w:tcPr>
          <w:p w14:paraId="123EE0F2">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《危险化学品安全管理条例》中华人民共和国国务院令第591号（自2011年12月1日起施行），中华人民共和国国务院令第645号修订（自2013年12月7日起施行）、《危险化学品目录（2015版）》（自2015年5月1日起施行）。</w:t>
            </w:r>
          </w:p>
        </w:tc>
      </w:tr>
      <w:tr w14:paraId="4450A1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452" w:type="pct"/>
            <w:tcBorders>
              <w:tl2br w:val="nil"/>
              <w:tr2bl w:val="nil"/>
            </w:tcBorders>
            <w:tcMar>
              <w:top w:w="28" w:type="dxa"/>
              <w:left w:w="57" w:type="dxa"/>
              <w:bottom w:w="28" w:type="dxa"/>
              <w:right w:w="57" w:type="dxa"/>
            </w:tcMar>
            <w:vAlign w:val="center"/>
          </w:tcPr>
          <w:p w14:paraId="133E4732">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p w14:paraId="3F0DE862">
            <w:pPr>
              <w:pStyle w:val="52"/>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信息</w:t>
            </w:r>
          </w:p>
        </w:tc>
        <w:tc>
          <w:tcPr>
            <w:tcW w:w="4547" w:type="pct"/>
            <w:gridSpan w:val="4"/>
            <w:tcBorders>
              <w:tl2br w:val="nil"/>
              <w:tr2bl w:val="nil"/>
            </w:tcBorders>
            <w:tcMar>
              <w:top w:w="28" w:type="dxa"/>
              <w:left w:w="11" w:type="dxa"/>
              <w:bottom w:w="28" w:type="dxa"/>
              <w:right w:w="11" w:type="dxa"/>
            </w:tcMar>
            <w:vAlign w:val="center"/>
          </w:tcPr>
          <w:p w14:paraId="58C9C871">
            <w:pPr>
              <w:pStyle w:val="121"/>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表格内数据来源于</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方案提供的物料特性数据、《危险化学品目录（2015版）》和《危险化学品安全技术全书》。</w:t>
            </w:r>
          </w:p>
        </w:tc>
      </w:tr>
    </w:tbl>
    <w:p w14:paraId="269DB830">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天然气</w:t>
      </w:r>
    </w:p>
    <w:p w14:paraId="6656FABD">
      <w:pPr>
        <w:spacing w:line="360" w:lineRule="auto"/>
        <w:ind w:firstLine="480" w:firstLineChars="200"/>
        <w:jc w:val="both"/>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按照《石油天然气工程设计防火规范》（GB50183-2015）标准，天然气属于甲B类火灾危险物质。具有易燃性、易爆性、低毒性。</w:t>
      </w:r>
    </w:p>
    <w:p w14:paraId="5E10A21B">
      <w:pPr>
        <w:spacing w:line="360" w:lineRule="auto"/>
        <w:ind w:firstLine="480" w:firstLineChars="200"/>
        <w:jc w:val="both"/>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易燃性：天然气属于甲类火灾危险物质。天然气常常在作业场所或储存区弥散、扩散或在低洼处聚集，在空气中只需较小的点燃能量就会燃烧，因此具有较大的火灾危险性。</w:t>
      </w:r>
    </w:p>
    <w:p w14:paraId="718BDD10">
      <w:pPr>
        <w:spacing w:line="360" w:lineRule="auto"/>
        <w:ind w:firstLine="480" w:firstLineChars="200"/>
        <w:jc w:val="both"/>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易爆性：天然气与空气组成混合气体，其浓度处于一定范围时，连火即发生爆炸。</w:t>
      </w:r>
      <w:r>
        <w:rPr>
          <w:rFonts w:hint="default" w:ascii="Times New Roman" w:hAnsi="Times New Roman" w:cs="Times New Roman"/>
          <w:snapToGrid w:val="0"/>
          <w:color w:val="auto"/>
          <w:highlight w:val="none"/>
          <w:lang w:eastAsia="zh-CN"/>
        </w:rPr>
        <w:t>伴生气</w:t>
      </w:r>
      <w:r>
        <w:rPr>
          <w:rFonts w:hint="default" w:ascii="Times New Roman" w:hAnsi="Times New Roman" w:cs="Times New Roman"/>
          <w:snapToGrid w:val="0"/>
          <w:color w:val="auto"/>
          <w:highlight w:val="none"/>
        </w:rPr>
        <w:t>的爆炸极限范围为5~15%，爆炸浓度极限范围愈宽，爆炸下限浓度值越低，物质爆炸危险性就越大。</w:t>
      </w:r>
    </w:p>
    <w:p w14:paraId="5165BC8A">
      <w:pPr>
        <w:spacing w:line="360" w:lineRule="auto"/>
        <w:ind w:firstLine="480" w:firstLineChars="200"/>
        <w:jc w:val="both"/>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毒性：天然气为烃类混合物，属低毒性物质，但长期接触可导致神经衰弱综合症。</w:t>
      </w:r>
    </w:p>
    <w:p w14:paraId="2FA715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A.甲烷</w:t>
      </w:r>
    </w:p>
    <w:p w14:paraId="42A4A3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天然气主要成分为甲烷，甲烷属</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单纯窒息性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气体，高浓度时因缺氧窒息而引起中毒，当空气中甲烷浓度达到10%时，就使人感到氧气不足；当空气中甲烷浓度达到25~30%时，可引起头痛、头晕、注意力不集中，呼吸和心跳加速、精细动作障碍等；当空气中甲烷浓度达30%以上时可能会因缺氧窒息、昏迷等。</w:t>
      </w:r>
    </w:p>
    <w:p w14:paraId="7D22F71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其危险性和危害特性见表</w:t>
      </w:r>
      <w:r>
        <w:rPr>
          <w:rFonts w:hint="eastAsia" w:cs="Times New Roman"/>
          <w:snapToGrid w:val="0"/>
          <w:color w:val="auto"/>
          <w:highlight w:val="none"/>
          <w:lang w:val="en-US" w:eastAsia="zh-CN"/>
        </w:rPr>
        <w:t>5.7</w:t>
      </w:r>
      <w:r>
        <w:rPr>
          <w:rFonts w:hint="default" w:ascii="Times New Roman" w:hAnsi="Times New Roman" w:cs="Times New Roman"/>
          <w:snapToGrid w:val="0"/>
          <w:color w:val="auto"/>
          <w:highlight w:val="none"/>
        </w:rPr>
        <w:t>-3。</w:t>
      </w:r>
    </w:p>
    <w:p w14:paraId="4A24C6ED">
      <w:pPr>
        <w:pStyle w:val="44"/>
        <w:bidi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5.7</w:t>
      </w:r>
      <w:r>
        <w:rPr>
          <w:rFonts w:hint="default" w:ascii="Times New Roman" w:hAnsi="Times New Roman" w:cs="Times New Roman"/>
          <w:color w:val="auto"/>
          <w:highlight w:val="none"/>
        </w:rPr>
        <w:t>-3</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甲烷的危险性和危害特性</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065"/>
        <w:gridCol w:w="2485"/>
        <w:gridCol w:w="2714"/>
        <w:gridCol w:w="856"/>
      </w:tblGrid>
      <w:tr w14:paraId="2B2E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restart"/>
            <w:vAlign w:val="center"/>
          </w:tcPr>
          <w:p w14:paraId="58C3ABF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bookmarkStart w:id="559" w:name="_Hlk69833141"/>
            <w:r>
              <w:rPr>
                <w:rFonts w:hint="default" w:ascii="Times New Roman" w:hAnsi="Times New Roman" w:cs="Times New Roman"/>
                <w:color w:val="auto"/>
                <w:highlight w:val="none"/>
              </w:rPr>
              <w:t>毒性及健康危害</w:t>
            </w:r>
          </w:p>
        </w:tc>
        <w:tc>
          <w:tcPr>
            <w:tcW w:w="1065" w:type="dxa"/>
            <w:vMerge w:val="restart"/>
            <w:vAlign w:val="center"/>
          </w:tcPr>
          <w:p w14:paraId="08276DC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接触限值</w:t>
            </w:r>
          </w:p>
        </w:tc>
        <w:tc>
          <w:tcPr>
            <w:tcW w:w="2485" w:type="dxa"/>
            <w:vAlign w:val="center"/>
          </w:tcPr>
          <w:p w14:paraId="546DE26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中国MAC</w:t>
            </w:r>
          </w:p>
        </w:tc>
        <w:tc>
          <w:tcPr>
            <w:tcW w:w="3570" w:type="dxa"/>
            <w:gridSpan w:val="2"/>
            <w:vAlign w:val="center"/>
          </w:tcPr>
          <w:p w14:paraId="66F68E03">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未制定标准</w:t>
            </w:r>
          </w:p>
        </w:tc>
      </w:tr>
      <w:tr w14:paraId="50D4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vAlign w:val="center"/>
          </w:tcPr>
          <w:p w14:paraId="206B7BA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065" w:type="dxa"/>
            <w:vMerge w:val="continue"/>
            <w:vAlign w:val="center"/>
          </w:tcPr>
          <w:p w14:paraId="61ACECB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2485" w:type="dxa"/>
            <w:vAlign w:val="center"/>
          </w:tcPr>
          <w:p w14:paraId="323FDBA8">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前苏联MAC</w:t>
            </w:r>
          </w:p>
        </w:tc>
        <w:tc>
          <w:tcPr>
            <w:tcW w:w="3570" w:type="dxa"/>
            <w:gridSpan w:val="2"/>
            <w:vAlign w:val="center"/>
          </w:tcPr>
          <w:p w14:paraId="1DAF1ED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300mg/m</w:t>
            </w:r>
            <w:r>
              <w:rPr>
                <w:rFonts w:hint="default" w:ascii="Times New Roman" w:hAnsi="Times New Roman" w:cs="Times New Roman"/>
                <w:color w:val="auto"/>
                <w:highlight w:val="none"/>
                <w:vertAlign w:val="superscript"/>
              </w:rPr>
              <w:t>3</w:t>
            </w:r>
          </w:p>
        </w:tc>
      </w:tr>
      <w:tr w14:paraId="5E77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vAlign w:val="center"/>
          </w:tcPr>
          <w:p w14:paraId="0348C9C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065" w:type="dxa"/>
            <w:vAlign w:val="center"/>
          </w:tcPr>
          <w:p w14:paraId="36D1BCA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侵入途径</w:t>
            </w:r>
          </w:p>
        </w:tc>
        <w:tc>
          <w:tcPr>
            <w:tcW w:w="6055" w:type="dxa"/>
            <w:gridSpan w:val="3"/>
            <w:vAlign w:val="center"/>
          </w:tcPr>
          <w:p w14:paraId="6ECF0DD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吸入</w:t>
            </w:r>
          </w:p>
        </w:tc>
      </w:tr>
      <w:tr w14:paraId="5D3B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vAlign w:val="center"/>
          </w:tcPr>
          <w:p w14:paraId="7136536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065" w:type="dxa"/>
            <w:vAlign w:val="center"/>
          </w:tcPr>
          <w:p w14:paraId="2C2B1C1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健康危害</w:t>
            </w:r>
          </w:p>
        </w:tc>
        <w:tc>
          <w:tcPr>
            <w:tcW w:w="6055" w:type="dxa"/>
            <w:gridSpan w:val="3"/>
            <w:vAlign w:val="center"/>
          </w:tcPr>
          <w:p w14:paraId="4C416A3E">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当空气中甲烷浓度达25~30%时，可引起头痛、头晕、乏力、注意力不集中、呼吸和心跳加速等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当甲烷浓度更高时，可能使人出现窒息、昏迷等</w:t>
            </w:r>
            <w:r>
              <w:rPr>
                <w:rFonts w:hint="default" w:ascii="Times New Roman" w:hAnsi="Times New Roman" w:cs="Times New Roman"/>
                <w:color w:val="auto"/>
                <w:highlight w:val="none"/>
                <w:lang w:eastAsia="zh-CN"/>
              </w:rPr>
              <w:t>。</w:t>
            </w:r>
          </w:p>
        </w:tc>
      </w:tr>
      <w:tr w14:paraId="67E0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restart"/>
            <w:vAlign w:val="center"/>
          </w:tcPr>
          <w:p w14:paraId="0388F5B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燃烧</w:t>
            </w:r>
          </w:p>
          <w:p w14:paraId="702A47E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爆炸</w:t>
            </w:r>
          </w:p>
          <w:p w14:paraId="5D13BF3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w:t>
            </w:r>
          </w:p>
          <w:p w14:paraId="0682625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性</w:t>
            </w:r>
          </w:p>
        </w:tc>
        <w:tc>
          <w:tcPr>
            <w:tcW w:w="1065" w:type="dxa"/>
            <w:vAlign w:val="center"/>
          </w:tcPr>
          <w:p w14:paraId="2AE85D5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燃烧性</w:t>
            </w:r>
          </w:p>
        </w:tc>
        <w:tc>
          <w:tcPr>
            <w:tcW w:w="2485" w:type="dxa"/>
            <w:vAlign w:val="center"/>
          </w:tcPr>
          <w:p w14:paraId="1E6CA6F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易燃</w:t>
            </w:r>
          </w:p>
        </w:tc>
        <w:tc>
          <w:tcPr>
            <w:tcW w:w="2714" w:type="dxa"/>
            <w:vAlign w:val="center"/>
          </w:tcPr>
          <w:p w14:paraId="072037E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eastAsia" w:cs="Times New Roman"/>
                <w:color w:val="auto"/>
                <w:highlight w:val="none"/>
                <w:lang w:eastAsia="zh-CN"/>
              </w:rPr>
              <w:t>建筑</w:t>
            </w:r>
            <w:r>
              <w:rPr>
                <w:rFonts w:hint="default" w:ascii="Times New Roman" w:hAnsi="Times New Roman" w:cs="Times New Roman"/>
                <w:color w:val="auto"/>
                <w:highlight w:val="none"/>
              </w:rPr>
              <w:t>火险等级</w:t>
            </w:r>
          </w:p>
        </w:tc>
        <w:tc>
          <w:tcPr>
            <w:tcW w:w="856" w:type="dxa"/>
            <w:vAlign w:val="center"/>
          </w:tcPr>
          <w:p w14:paraId="3744ECB3">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甲</w:t>
            </w:r>
          </w:p>
        </w:tc>
      </w:tr>
      <w:tr w14:paraId="477C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vAlign w:val="center"/>
          </w:tcPr>
          <w:p w14:paraId="426E8DE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065" w:type="dxa"/>
            <w:vAlign w:val="center"/>
          </w:tcPr>
          <w:p w14:paraId="4E9CE78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闪点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p>
        </w:tc>
        <w:tc>
          <w:tcPr>
            <w:tcW w:w="2485" w:type="dxa"/>
            <w:vAlign w:val="center"/>
          </w:tcPr>
          <w:p w14:paraId="52EF49D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-188</w:t>
            </w:r>
          </w:p>
        </w:tc>
        <w:tc>
          <w:tcPr>
            <w:tcW w:w="2714" w:type="dxa"/>
            <w:vAlign w:val="center"/>
          </w:tcPr>
          <w:p w14:paraId="2C29F2AB">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爆炸下限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V%</w:t>
            </w:r>
            <w:r>
              <w:rPr>
                <w:rFonts w:hint="default" w:ascii="Times New Roman" w:hAnsi="Times New Roman" w:cs="Times New Roman"/>
                <w:color w:val="auto"/>
                <w:highlight w:val="none"/>
                <w:lang w:eastAsia="zh-CN"/>
              </w:rPr>
              <w:t>）</w:t>
            </w:r>
          </w:p>
        </w:tc>
        <w:tc>
          <w:tcPr>
            <w:tcW w:w="856" w:type="dxa"/>
            <w:vAlign w:val="center"/>
          </w:tcPr>
          <w:p w14:paraId="4EBCEC3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r>
      <w:tr w14:paraId="6A6C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vAlign w:val="center"/>
          </w:tcPr>
          <w:p w14:paraId="595D378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065" w:type="dxa"/>
            <w:vAlign w:val="center"/>
          </w:tcPr>
          <w:p w14:paraId="469340D3">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自燃温度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p>
        </w:tc>
        <w:tc>
          <w:tcPr>
            <w:tcW w:w="2485" w:type="dxa"/>
            <w:vAlign w:val="center"/>
          </w:tcPr>
          <w:p w14:paraId="2DC53B9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538</w:t>
            </w:r>
          </w:p>
        </w:tc>
        <w:tc>
          <w:tcPr>
            <w:tcW w:w="2714" w:type="dxa"/>
            <w:vAlign w:val="center"/>
          </w:tcPr>
          <w:p w14:paraId="7276225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爆炸上限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V%</w:t>
            </w:r>
            <w:r>
              <w:rPr>
                <w:rFonts w:hint="default" w:ascii="Times New Roman" w:hAnsi="Times New Roman" w:cs="Times New Roman"/>
                <w:color w:val="auto"/>
                <w:highlight w:val="none"/>
                <w:lang w:eastAsia="zh-CN"/>
              </w:rPr>
              <w:t>）</w:t>
            </w:r>
          </w:p>
        </w:tc>
        <w:tc>
          <w:tcPr>
            <w:tcW w:w="856" w:type="dxa"/>
            <w:vAlign w:val="center"/>
          </w:tcPr>
          <w:p w14:paraId="13A3A71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14:paraId="6302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1176" w:type="dxa"/>
            <w:vMerge w:val="continue"/>
            <w:vAlign w:val="center"/>
          </w:tcPr>
          <w:p w14:paraId="300BCDE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065" w:type="dxa"/>
            <w:vAlign w:val="center"/>
          </w:tcPr>
          <w:p w14:paraId="7D6928D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危险特性</w:t>
            </w:r>
          </w:p>
        </w:tc>
        <w:tc>
          <w:tcPr>
            <w:tcW w:w="6055" w:type="dxa"/>
            <w:gridSpan w:val="3"/>
            <w:vAlign w:val="center"/>
          </w:tcPr>
          <w:p w14:paraId="05B948E4">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甲烷与空气混合能形成爆炸性混合物，当在爆炸极限范围内遇明火、高</w:t>
            </w:r>
            <w:r>
              <w:rPr>
                <w:rFonts w:hint="eastAsia" w:cs="Times New Roman"/>
                <w:color w:val="auto"/>
                <w:highlight w:val="none"/>
                <w:lang w:eastAsia="zh-CN"/>
              </w:rPr>
              <w:t>热</w:t>
            </w:r>
            <w:r>
              <w:rPr>
                <w:rFonts w:hint="default" w:ascii="Times New Roman" w:hAnsi="Times New Roman" w:cs="Times New Roman"/>
                <w:color w:val="auto"/>
                <w:highlight w:val="none"/>
              </w:rPr>
              <w:t>时引起燃烧爆炸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甲烷若遇高热，容器内压增大，有开裂和爆炸的危险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甲烷与氟、氯等发生剧烈的化学反应</w:t>
            </w:r>
          </w:p>
        </w:tc>
      </w:tr>
    </w:tbl>
    <w:p w14:paraId="340593E5">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硫化氢</w:t>
      </w:r>
    </w:p>
    <w:bookmarkEnd w:id="559"/>
    <w:p w14:paraId="4E7B9BB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硫化氢为无色、有臭鸡蛋气味的有毒气体，是强烈的神经性毒物，经人体</w:t>
      </w:r>
      <w:r>
        <w:rPr>
          <w:rFonts w:hint="eastAsia" w:cs="Times New Roman"/>
          <w:color w:val="auto"/>
          <w:highlight w:val="none"/>
          <w:lang w:eastAsia="zh-CN"/>
        </w:rPr>
        <w:t>黏膜</w:t>
      </w:r>
      <w:r>
        <w:rPr>
          <w:rFonts w:hint="default" w:ascii="Times New Roman" w:hAnsi="Times New Roman" w:eastAsia="宋体" w:cs="Times New Roman"/>
          <w:color w:val="auto"/>
          <w:highlight w:val="none"/>
        </w:rPr>
        <w:t>吸收比皮肤吸收造成的中毒更为迅速。根据硫化氢的毒理学特性可知，硫化氢并不是所有浓度都是瞬间致人死亡，其每个浓度致死时间是不同的。其危险性和危害特性见表</w:t>
      </w:r>
      <w:r>
        <w:rPr>
          <w:rFonts w:hint="eastAsia" w:cs="Times New Roman"/>
          <w:color w:val="auto"/>
          <w:highlight w:val="none"/>
          <w:lang w:val="en-US" w:eastAsia="zh-CN"/>
        </w:rPr>
        <w:t>5.7</w:t>
      </w:r>
      <w:r>
        <w:rPr>
          <w:rFonts w:hint="default" w:ascii="Times New Roman" w:hAnsi="Times New Roman" w:eastAsia="宋体" w:cs="Times New Roman"/>
          <w:color w:val="auto"/>
          <w:highlight w:val="none"/>
        </w:rPr>
        <w:t>-4。</w:t>
      </w:r>
    </w:p>
    <w:p w14:paraId="3069AE29">
      <w:pPr>
        <w:pStyle w:val="44"/>
        <w:bidi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5.7-</w:t>
      </w:r>
      <w:r>
        <w:rPr>
          <w:rFonts w:hint="default" w:ascii="Times New Roman" w:hAnsi="Times New Roman" w:cs="Times New Roman"/>
          <w:color w:val="auto"/>
          <w:highlight w:val="none"/>
        </w:rPr>
        <w:t>4</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硫化氢对人的生理影响及危害</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651"/>
        <w:gridCol w:w="320"/>
        <w:gridCol w:w="367"/>
        <w:gridCol w:w="411"/>
        <w:gridCol w:w="833"/>
        <w:gridCol w:w="131"/>
        <w:gridCol w:w="1100"/>
        <w:gridCol w:w="140"/>
        <w:gridCol w:w="138"/>
        <w:gridCol w:w="819"/>
        <w:gridCol w:w="140"/>
        <w:gridCol w:w="913"/>
        <w:gridCol w:w="989"/>
      </w:tblGrid>
      <w:tr w14:paraId="6A07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vAlign w:val="center"/>
          </w:tcPr>
          <w:p w14:paraId="45CB8CA3">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标识</w:t>
            </w:r>
          </w:p>
        </w:tc>
        <w:tc>
          <w:tcPr>
            <w:tcW w:w="2048" w:type="pct"/>
            <w:gridSpan w:val="5"/>
            <w:vAlign w:val="center"/>
          </w:tcPr>
          <w:p w14:paraId="20BE352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中文名称：硫化氢</w:t>
            </w:r>
          </w:p>
        </w:tc>
        <w:tc>
          <w:tcPr>
            <w:tcW w:w="2498" w:type="pct"/>
            <w:gridSpan w:val="8"/>
            <w:vAlign w:val="center"/>
          </w:tcPr>
          <w:p w14:paraId="7022B6F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英文名称：Hydrogensulfide</w:t>
            </w:r>
          </w:p>
        </w:tc>
      </w:tr>
      <w:tr w14:paraId="43E1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465B710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2048" w:type="pct"/>
            <w:gridSpan w:val="5"/>
            <w:vAlign w:val="center"/>
          </w:tcPr>
          <w:p w14:paraId="3C82908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危险性类别</w:t>
            </w:r>
          </w:p>
        </w:tc>
        <w:tc>
          <w:tcPr>
            <w:tcW w:w="2498" w:type="pct"/>
            <w:gridSpan w:val="8"/>
            <w:vAlign w:val="center"/>
          </w:tcPr>
          <w:p w14:paraId="6CB4AB8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易燃、有毒气体</w:t>
            </w:r>
          </w:p>
        </w:tc>
      </w:tr>
      <w:tr w14:paraId="1065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vAlign w:val="center"/>
          </w:tcPr>
          <w:p w14:paraId="61480673">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物化特性</w:t>
            </w:r>
          </w:p>
        </w:tc>
        <w:tc>
          <w:tcPr>
            <w:tcW w:w="944" w:type="pct"/>
            <w:vAlign w:val="center"/>
          </w:tcPr>
          <w:p w14:paraId="435F1B3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沸点（℃）</w:t>
            </w:r>
          </w:p>
        </w:tc>
        <w:tc>
          <w:tcPr>
            <w:tcW w:w="1103" w:type="pct"/>
            <w:gridSpan w:val="4"/>
            <w:vAlign w:val="center"/>
          </w:tcPr>
          <w:p w14:paraId="0860306D">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-61.8</w:t>
            </w:r>
          </w:p>
        </w:tc>
        <w:tc>
          <w:tcPr>
            <w:tcW w:w="863" w:type="pct"/>
            <w:gridSpan w:val="4"/>
            <w:vAlign w:val="center"/>
          </w:tcPr>
          <w:p w14:paraId="6561EAB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比重（水=1）</w:t>
            </w:r>
          </w:p>
        </w:tc>
        <w:tc>
          <w:tcPr>
            <w:tcW w:w="1634" w:type="pct"/>
            <w:gridSpan w:val="4"/>
            <w:vAlign w:val="center"/>
          </w:tcPr>
          <w:p w14:paraId="174E634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r>
      <w:tr w14:paraId="629A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001B1C8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5DF4932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eastAsia" w:cs="Times New Roman"/>
                <w:color w:val="auto"/>
                <w:highlight w:val="none"/>
                <w:lang w:eastAsia="zh-CN"/>
              </w:rPr>
              <w:t>饱和蒸汽压</w:t>
            </w:r>
            <w:r>
              <w:rPr>
                <w:rFonts w:hint="default" w:ascii="Times New Roman" w:hAnsi="Times New Roman" w:cs="Times New Roman"/>
                <w:color w:val="auto"/>
                <w:highlight w:val="none"/>
              </w:rPr>
              <w:t>（kPa）</w:t>
            </w:r>
          </w:p>
        </w:tc>
        <w:tc>
          <w:tcPr>
            <w:tcW w:w="1103" w:type="pct"/>
            <w:gridSpan w:val="4"/>
            <w:vAlign w:val="center"/>
          </w:tcPr>
          <w:p w14:paraId="0A2F9FD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无资料</w:t>
            </w:r>
          </w:p>
        </w:tc>
        <w:tc>
          <w:tcPr>
            <w:tcW w:w="863" w:type="pct"/>
            <w:gridSpan w:val="4"/>
            <w:vAlign w:val="center"/>
          </w:tcPr>
          <w:p w14:paraId="7008E85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熔点（℃）</w:t>
            </w:r>
          </w:p>
        </w:tc>
        <w:tc>
          <w:tcPr>
            <w:tcW w:w="1634" w:type="pct"/>
            <w:gridSpan w:val="4"/>
            <w:vAlign w:val="center"/>
          </w:tcPr>
          <w:p w14:paraId="09F8A61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-82.9</w:t>
            </w:r>
          </w:p>
        </w:tc>
      </w:tr>
      <w:tr w14:paraId="13C6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7DD4576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137FD4B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蒸气密度（空气=1）</w:t>
            </w:r>
          </w:p>
        </w:tc>
        <w:tc>
          <w:tcPr>
            <w:tcW w:w="1103" w:type="pct"/>
            <w:gridSpan w:val="4"/>
            <w:vAlign w:val="center"/>
          </w:tcPr>
          <w:p w14:paraId="0CF8FE3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无资料</w:t>
            </w:r>
          </w:p>
        </w:tc>
        <w:tc>
          <w:tcPr>
            <w:tcW w:w="863" w:type="pct"/>
            <w:gridSpan w:val="4"/>
            <w:vAlign w:val="center"/>
          </w:tcPr>
          <w:p w14:paraId="4D56CB3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溶解性</w:t>
            </w:r>
          </w:p>
        </w:tc>
        <w:tc>
          <w:tcPr>
            <w:tcW w:w="1634" w:type="pct"/>
            <w:gridSpan w:val="4"/>
            <w:vAlign w:val="center"/>
          </w:tcPr>
          <w:p w14:paraId="2CDBB8CD">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易溶于水，亦溶于醇类、石油溶剂和原油中</w:t>
            </w:r>
          </w:p>
        </w:tc>
      </w:tr>
      <w:tr w14:paraId="7315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635B875D">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6EABF75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外观与气味</w:t>
            </w:r>
          </w:p>
        </w:tc>
        <w:tc>
          <w:tcPr>
            <w:tcW w:w="3601" w:type="pct"/>
            <w:gridSpan w:val="12"/>
            <w:vAlign w:val="center"/>
          </w:tcPr>
          <w:p w14:paraId="1A86B7F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无色气体。具有臭蛋气味</w:t>
            </w:r>
          </w:p>
        </w:tc>
      </w:tr>
      <w:tr w14:paraId="78AC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vAlign w:val="center"/>
          </w:tcPr>
          <w:p w14:paraId="577F677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火灾爆炸危险数据</w:t>
            </w:r>
          </w:p>
        </w:tc>
        <w:tc>
          <w:tcPr>
            <w:tcW w:w="944" w:type="pct"/>
            <w:vAlign w:val="center"/>
          </w:tcPr>
          <w:p w14:paraId="3FA722B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闪点（℃）</w:t>
            </w:r>
          </w:p>
        </w:tc>
        <w:tc>
          <w:tcPr>
            <w:tcW w:w="393" w:type="pct"/>
            <w:gridSpan w:val="2"/>
            <w:vAlign w:val="center"/>
          </w:tcPr>
          <w:p w14:paraId="2F49493B">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710" w:type="pct"/>
            <w:gridSpan w:val="2"/>
            <w:vAlign w:val="center"/>
          </w:tcPr>
          <w:p w14:paraId="1EB10AAB">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爆炸极限</w:t>
            </w:r>
          </w:p>
        </w:tc>
        <w:tc>
          <w:tcPr>
            <w:tcW w:w="2498" w:type="pct"/>
            <w:gridSpan w:val="8"/>
            <w:vAlign w:val="center"/>
          </w:tcPr>
          <w:p w14:paraId="0B7B79F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爆炸上限%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V/V</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：46.0；爆炸下限%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V/V</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：4.0</w:t>
            </w:r>
          </w:p>
        </w:tc>
      </w:tr>
      <w:tr w14:paraId="361C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52E0CDDB">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38FB790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灭火剂</w:t>
            </w:r>
          </w:p>
        </w:tc>
        <w:tc>
          <w:tcPr>
            <w:tcW w:w="3601" w:type="pct"/>
            <w:gridSpan w:val="12"/>
            <w:vAlign w:val="center"/>
          </w:tcPr>
          <w:p w14:paraId="1AF83A9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抗溶性泡沫、干粉、二氧化碳、雾状水</w:t>
            </w:r>
          </w:p>
        </w:tc>
      </w:tr>
      <w:tr w14:paraId="733C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38E0D19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524F66C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灭火方法</w:t>
            </w:r>
          </w:p>
        </w:tc>
        <w:tc>
          <w:tcPr>
            <w:tcW w:w="3601" w:type="pct"/>
            <w:gridSpan w:val="12"/>
            <w:vAlign w:val="center"/>
          </w:tcPr>
          <w:p w14:paraId="537E41B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尽可能将容器从火场移至空旷处。上风向喷水保持火场容器冷却，直至灭火结束。</w:t>
            </w:r>
          </w:p>
        </w:tc>
      </w:tr>
      <w:tr w14:paraId="7D4E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3A360D0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36334A88">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危险特性</w:t>
            </w:r>
          </w:p>
        </w:tc>
        <w:tc>
          <w:tcPr>
            <w:tcW w:w="3601" w:type="pct"/>
            <w:gridSpan w:val="12"/>
            <w:vAlign w:val="center"/>
          </w:tcPr>
          <w:p w14:paraId="4A33B8CD">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易燃，其蒸气与空气可形成爆炸性混合物，遇明火、高热或与氧化剂接触，有引起危险特性燃烧爆炸的危险。与浓硝酸、</w:t>
            </w:r>
            <w:r>
              <w:rPr>
                <w:rFonts w:hint="eastAsia" w:cs="Times New Roman"/>
                <w:color w:val="auto"/>
                <w:highlight w:val="none"/>
                <w:lang w:eastAsia="zh-CN"/>
              </w:rPr>
              <w:t>发烟硝酸</w:t>
            </w:r>
            <w:r>
              <w:rPr>
                <w:rFonts w:hint="default" w:ascii="Times New Roman" w:hAnsi="Times New Roman" w:cs="Times New Roman"/>
                <w:color w:val="auto"/>
                <w:highlight w:val="none"/>
              </w:rPr>
              <w:t>发生剧烈反应，易爆炸。其蒸气比空气重，能在较低处扩散到相当远的地方，遇火源会着火回燃。</w:t>
            </w:r>
          </w:p>
        </w:tc>
      </w:tr>
      <w:tr w14:paraId="0660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53" w:type="pct"/>
            <w:vMerge w:val="restart"/>
            <w:vAlign w:val="center"/>
          </w:tcPr>
          <w:p w14:paraId="0DF898F3">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反应活性数据</w:t>
            </w:r>
          </w:p>
        </w:tc>
        <w:tc>
          <w:tcPr>
            <w:tcW w:w="944" w:type="pct"/>
            <w:vMerge w:val="restart"/>
            <w:vAlign w:val="center"/>
          </w:tcPr>
          <w:p w14:paraId="1F3268B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稳定性</w:t>
            </w:r>
          </w:p>
        </w:tc>
        <w:tc>
          <w:tcPr>
            <w:tcW w:w="628" w:type="pct"/>
            <w:gridSpan w:val="3"/>
            <w:vAlign w:val="center"/>
          </w:tcPr>
          <w:p w14:paraId="55C9F9D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不稳定</w:t>
            </w:r>
          </w:p>
        </w:tc>
        <w:tc>
          <w:tcPr>
            <w:tcW w:w="550" w:type="pct"/>
            <w:gridSpan w:val="2"/>
            <w:vAlign w:val="center"/>
          </w:tcPr>
          <w:p w14:paraId="19D0314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628" w:type="pct"/>
            <w:vAlign w:val="center"/>
          </w:tcPr>
          <w:p w14:paraId="1D81DF9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避免条件</w:t>
            </w:r>
          </w:p>
        </w:tc>
        <w:tc>
          <w:tcPr>
            <w:tcW w:w="1794" w:type="pct"/>
            <w:gridSpan w:val="6"/>
            <w:vAlign w:val="center"/>
          </w:tcPr>
          <w:p w14:paraId="05DD83F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r>
      <w:tr w14:paraId="6DB1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53" w:type="pct"/>
            <w:vMerge w:val="continue"/>
            <w:vAlign w:val="center"/>
          </w:tcPr>
          <w:p w14:paraId="62EE010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Merge w:val="continue"/>
            <w:vAlign w:val="center"/>
          </w:tcPr>
          <w:p w14:paraId="5499DEB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628" w:type="pct"/>
            <w:gridSpan w:val="3"/>
            <w:vAlign w:val="center"/>
          </w:tcPr>
          <w:p w14:paraId="1ABDAE5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稳定</w:t>
            </w:r>
          </w:p>
        </w:tc>
        <w:tc>
          <w:tcPr>
            <w:tcW w:w="550" w:type="pct"/>
            <w:gridSpan w:val="2"/>
            <w:vAlign w:val="center"/>
          </w:tcPr>
          <w:p w14:paraId="6EF7FBD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28" w:type="pct"/>
            <w:vAlign w:val="center"/>
          </w:tcPr>
          <w:p w14:paraId="5465D3F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794" w:type="pct"/>
            <w:gridSpan w:val="6"/>
            <w:vAlign w:val="center"/>
          </w:tcPr>
          <w:p w14:paraId="0DF8460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r>
      <w:tr w14:paraId="2546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pct"/>
            <w:vMerge w:val="continue"/>
            <w:vAlign w:val="center"/>
          </w:tcPr>
          <w:p w14:paraId="51D52E7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Merge w:val="restart"/>
            <w:vAlign w:val="center"/>
          </w:tcPr>
          <w:p w14:paraId="491905D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聚合危险性</w:t>
            </w:r>
          </w:p>
        </w:tc>
        <w:tc>
          <w:tcPr>
            <w:tcW w:w="628" w:type="pct"/>
            <w:gridSpan w:val="3"/>
            <w:vAlign w:val="center"/>
          </w:tcPr>
          <w:p w14:paraId="17AF0DB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可能存在</w:t>
            </w:r>
          </w:p>
        </w:tc>
        <w:tc>
          <w:tcPr>
            <w:tcW w:w="550" w:type="pct"/>
            <w:gridSpan w:val="2"/>
            <w:vAlign w:val="center"/>
          </w:tcPr>
          <w:p w14:paraId="468EA878">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628" w:type="pct"/>
            <w:vAlign w:val="center"/>
          </w:tcPr>
          <w:p w14:paraId="129D253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避免条件</w:t>
            </w:r>
          </w:p>
        </w:tc>
        <w:tc>
          <w:tcPr>
            <w:tcW w:w="1794" w:type="pct"/>
            <w:gridSpan w:val="6"/>
            <w:vAlign w:val="center"/>
          </w:tcPr>
          <w:p w14:paraId="0F4ECAF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r>
      <w:tr w14:paraId="0800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22AD43C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Merge w:val="continue"/>
            <w:vAlign w:val="center"/>
          </w:tcPr>
          <w:p w14:paraId="26CEDA1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628" w:type="pct"/>
            <w:gridSpan w:val="3"/>
            <w:vAlign w:val="center"/>
          </w:tcPr>
          <w:p w14:paraId="4284804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不存在</w:t>
            </w:r>
          </w:p>
        </w:tc>
        <w:tc>
          <w:tcPr>
            <w:tcW w:w="550" w:type="pct"/>
            <w:gridSpan w:val="2"/>
            <w:vAlign w:val="center"/>
          </w:tcPr>
          <w:p w14:paraId="5C88EC7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28" w:type="pct"/>
            <w:vAlign w:val="center"/>
          </w:tcPr>
          <w:p w14:paraId="3C59047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794" w:type="pct"/>
            <w:gridSpan w:val="6"/>
            <w:vAlign w:val="center"/>
          </w:tcPr>
          <w:p w14:paraId="72BACB0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r>
      <w:tr w14:paraId="2B55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3ACBE09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62EB8B7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禁忌物</w:t>
            </w:r>
          </w:p>
        </w:tc>
        <w:tc>
          <w:tcPr>
            <w:tcW w:w="628" w:type="pct"/>
            <w:gridSpan w:val="3"/>
            <w:vAlign w:val="center"/>
          </w:tcPr>
          <w:p w14:paraId="3F3BB20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强氧化剂</w:t>
            </w:r>
          </w:p>
        </w:tc>
        <w:tc>
          <w:tcPr>
            <w:tcW w:w="1179" w:type="pct"/>
            <w:gridSpan w:val="3"/>
            <w:vAlign w:val="center"/>
          </w:tcPr>
          <w:p w14:paraId="7BD90BB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燃烧（分解）产物</w:t>
            </w:r>
          </w:p>
        </w:tc>
        <w:tc>
          <w:tcPr>
            <w:tcW w:w="1794" w:type="pct"/>
            <w:gridSpan w:val="6"/>
            <w:vAlign w:val="center"/>
          </w:tcPr>
          <w:p w14:paraId="75C7979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无资料</w:t>
            </w:r>
          </w:p>
        </w:tc>
      </w:tr>
      <w:tr w14:paraId="6261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vAlign w:val="center"/>
          </w:tcPr>
          <w:p w14:paraId="3D978EB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健康危害数据</w:t>
            </w:r>
          </w:p>
        </w:tc>
        <w:tc>
          <w:tcPr>
            <w:tcW w:w="944" w:type="pct"/>
            <w:vAlign w:val="center"/>
          </w:tcPr>
          <w:p w14:paraId="3DE68868">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侵入途径</w:t>
            </w:r>
          </w:p>
        </w:tc>
        <w:tc>
          <w:tcPr>
            <w:tcW w:w="628" w:type="pct"/>
            <w:gridSpan w:val="3"/>
            <w:vAlign w:val="center"/>
          </w:tcPr>
          <w:p w14:paraId="4A129368">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吸入</w:t>
            </w:r>
          </w:p>
        </w:tc>
        <w:tc>
          <w:tcPr>
            <w:tcW w:w="550" w:type="pct"/>
            <w:gridSpan w:val="2"/>
            <w:vAlign w:val="center"/>
          </w:tcPr>
          <w:p w14:paraId="174F611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28" w:type="pct"/>
            <w:vAlign w:val="center"/>
          </w:tcPr>
          <w:p w14:paraId="4EEECFB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皮肤</w:t>
            </w:r>
          </w:p>
        </w:tc>
        <w:tc>
          <w:tcPr>
            <w:tcW w:w="627" w:type="pct"/>
            <w:gridSpan w:val="3"/>
            <w:vAlign w:val="center"/>
          </w:tcPr>
          <w:p w14:paraId="3D96990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02" w:type="pct"/>
            <w:gridSpan w:val="2"/>
            <w:vAlign w:val="center"/>
          </w:tcPr>
          <w:p w14:paraId="7E80385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口</w:t>
            </w:r>
          </w:p>
        </w:tc>
        <w:tc>
          <w:tcPr>
            <w:tcW w:w="564" w:type="pct"/>
            <w:vAlign w:val="center"/>
          </w:tcPr>
          <w:p w14:paraId="32C8608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74BA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vAlign w:val="center"/>
          </w:tcPr>
          <w:p w14:paraId="4EB1EE68">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944" w:type="pct"/>
            <w:vAlign w:val="center"/>
          </w:tcPr>
          <w:p w14:paraId="714A2D7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急性毒性</w:t>
            </w:r>
          </w:p>
        </w:tc>
        <w:tc>
          <w:tcPr>
            <w:tcW w:w="628" w:type="pct"/>
            <w:gridSpan w:val="3"/>
            <w:vAlign w:val="center"/>
          </w:tcPr>
          <w:p w14:paraId="063A9254">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550" w:type="pct"/>
            <w:gridSpan w:val="2"/>
            <w:vAlign w:val="center"/>
          </w:tcPr>
          <w:p w14:paraId="3D378AA2">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无资料</w:t>
            </w:r>
          </w:p>
        </w:tc>
        <w:tc>
          <w:tcPr>
            <w:tcW w:w="628" w:type="pct"/>
            <w:vAlign w:val="center"/>
          </w:tcPr>
          <w:p w14:paraId="0B5BA59D">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LC50</w:t>
            </w:r>
          </w:p>
        </w:tc>
        <w:tc>
          <w:tcPr>
            <w:tcW w:w="627" w:type="pct"/>
            <w:gridSpan w:val="3"/>
            <w:vAlign w:val="center"/>
          </w:tcPr>
          <w:p w14:paraId="43C1CE2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大鼠吸入</w:t>
            </w:r>
          </w:p>
        </w:tc>
        <w:tc>
          <w:tcPr>
            <w:tcW w:w="1166" w:type="pct"/>
            <w:gridSpan w:val="3"/>
            <w:vAlign w:val="center"/>
          </w:tcPr>
          <w:p w14:paraId="192679FF">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16000mg/m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，4小时</w:t>
            </w:r>
          </w:p>
        </w:tc>
      </w:tr>
      <w:tr w14:paraId="4726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14:paraId="01D10AF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急救措施</w:t>
            </w:r>
          </w:p>
        </w:tc>
        <w:tc>
          <w:tcPr>
            <w:tcW w:w="4546" w:type="pct"/>
            <w:gridSpan w:val="13"/>
            <w:vAlign w:val="center"/>
          </w:tcPr>
          <w:p w14:paraId="1A2231E7">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吸入：如果吸入本品</w:t>
            </w:r>
            <w:r>
              <w:rPr>
                <w:rFonts w:hint="eastAsia" w:cs="Times New Roman"/>
                <w:color w:val="auto"/>
                <w:highlight w:val="none"/>
                <w:lang w:eastAsia="zh-CN"/>
              </w:rPr>
              <w:t>蒸气</w:t>
            </w:r>
            <w:r>
              <w:rPr>
                <w:rFonts w:hint="default" w:ascii="Times New Roman" w:hAnsi="Times New Roman" w:cs="Times New Roman"/>
                <w:color w:val="auto"/>
                <w:highlight w:val="none"/>
              </w:rPr>
              <w:t>或其燃烧物，迅速脱离现场至空气新鲜处。保持呼吸道通畅。如呼吸困难，给输氧。如呼吸停止，立即进行人工呼吸</w:t>
            </w:r>
            <w:r>
              <w:rPr>
                <w:rFonts w:hint="default" w:ascii="Times New Roman" w:hAnsi="Times New Roman" w:cs="Times New Roman"/>
                <w:color w:val="auto"/>
                <w:highlight w:val="none"/>
                <w:lang w:eastAsia="zh-CN"/>
              </w:rPr>
              <w:t>，</w:t>
            </w:r>
            <w:r>
              <w:rPr>
                <w:rFonts w:hint="eastAsia" w:cs="Times New Roman"/>
                <w:color w:val="auto"/>
                <w:highlight w:val="none"/>
                <w:lang w:eastAsia="zh-CN"/>
              </w:rPr>
              <w:t>及时</w:t>
            </w:r>
            <w:r>
              <w:rPr>
                <w:rFonts w:hint="default" w:ascii="Times New Roman" w:hAnsi="Times New Roman" w:cs="Times New Roman"/>
                <w:color w:val="auto"/>
                <w:highlight w:val="none"/>
              </w:rPr>
              <w:t>就医。</w:t>
            </w:r>
          </w:p>
          <w:p w14:paraId="3C6A1943">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食入：饮水，禁止催吐。如有不适感，就医。</w:t>
            </w:r>
          </w:p>
          <w:p w14:paraId="6CC42FAB">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眼睛接触：立即提起眼睑，用流动清水或生理盐水冲洗15分钟，立即就医。眼睛受伤后，应由专业人员取出隐形眼镜。</w:t>
            </w:r>
          </w:p>
          <w:p w14:paraId="6F4482E6">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皮肤接触：立即脱去被污染的衣着，用肥皂水和清水彻底冲洗皮肤。就医。</w:t>
            </w:r>
          </w:p>
        </w:tc>
      </w:tr>
      <w:tr w14:paraId="6988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14:paraId="29E6D3DD">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急性中毒</w:t>
            </w:r>
          </w:p>
        </w:tc>
        <w:tc>
          <w:tcPr>
            <w:tcW w:w="4546" w:type="pct"/>
            <w:gridSpan w:val="13"/>
            <w:vAlign w:val="center"/>
          </w:tcPr>
          <w:p w14:paraId="6FED4C7E">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职业接触</w:t>
            </w:r>
          </w:p>
          <w:p w14:paraId="659935E1">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由于硫化氢可溶于水及油中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有时可随水或油流至远离发生源处,而引起意外中毒事故。硫化氢经</w:t>
            </w:r>
            <w:r>
              <w:rPr>
                <w:rFonts w:hint="eastAsia" w:cs="Times New Roman"/>
                <w:color w:val="auto"/>
                <w:highlight w:val="none"/>
                <w:lang w:eastAsia="zh-CN"/>
              </w:rPr>
              <w:t>黏膜</w:t>
            </w:r>
            <w:r>
              <w:rPr>
                <w:rFonts w:hint="default" w:ascii="Times New Roman" w:hAnsi="Times New Roman" w:cs="Times New Roman"/>
                <w:color w:val="auto"/>
                <w:highlight w:val="none"/>
              </w:rPr>
              <w:t>吸收快</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皮肤吸收甚少。误服含硫盐类与胃酸作用后产生硫化氢可经肠道吸收而引起中毒。</w:t>
            </w:r>
          </w:p>
          <w:p w14:paraId="1583244A">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中毒后的临床表现</w:t>
            </w:r>
          </w:p>
          <w:p w14:paraId="3B9CA4FC">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硫化氢是一种神经毒剂。亦为窒息性和刺激性气体。其毒作用的主要靶器是中枢神经系统和呼吸系统，亦可伴有心脏等多器官损害，对毒作用最敏感的组织是脑和</w:t>
            </w:r>
            <w:r>
              <w:rPr>
                <w:rFonts w:hint="eastAsia" w:cs="Times New Roman"/>
                <w:color w:val="auto"/>
                <w:highlight w:val="none"/>
                <w:lang w:eastAsia="zh-CN"/>
              </w:rPr>
              <w:t>黏膜</w:t>
            </w:r>
            <w:r>
              <w:rPr>
                <w:rFonts w:hint="default" w:ascii="Times New Roman" w:hAnsi="Times New Roman" w:cs="Times New Roman"/>
                <w:color w:val="auto"/>
                <w:highlight w:val="none"/>
              </w:rPr>
              <w:t>接触部位。</w:t>
            </w:r>
          </w:p>
          <w:p w14:paraId="3856DB1A">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硫化氢的急性毒作用靶器官和中毒机制可因其不同的浓度和接触时间而异。浓度越高则中枢神经抑制作用越明显，浓度相对较低时</w:t>
            </w:r>
            <w:r>
              <w:rPr>
                <w:rFonts w:hint="eastAsia" w:cs="Times New Roman"/>
                <w:color w:val="auto"/>
                <w:highlight w:val="none"/>
                <w:lang w:eastAsia="zh-CN"/>
              </w:rPr>
              <w:t>黏膜</w:t>
            </w:r>
            <w:r>
              <w:rPr>
                <w:rFonts w:hint="default" w:ascii="Times New Roman" w:hAnsi="Times New Roman" w:cs="Times New Roman"/>
                <w:color w:val="auto"/>
                <w:highlight w:val="none"/>
              </w:rPr>
              <w:t>刺激作用明显。人吸入70～150mg/m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/1～2小时，出现呼吸道及眼刺激症状，吸2～5分钟后嗅觉疲劳,不再闻到臭气。吸入300mg/m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/1小时，6～8分钟出现眼急性刺激症状，稍长时间接触引起肺水肿。吸入760mg/m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/15～60分钟，发生肺水肿、支气管炎及肺炎,头痛、头昏、步态不稳、恶心、呕吐。吸入1000mg/m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数秒钟，很快出现急性中毒,呼吸加快后呼吸麻痹而死亡。</w:t>
            </w:r>
          </w:p>
          <w:p w14:paraId="157A28A7">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急性硫化氢中毒一般发病迅速，出现以脑和（或）呼吸系统损害为主的中毒后的临床表现，亦可伴有心脏等器官功能障碍。中毒后的临床表现可因接触硫化氢的浓度等因素不同而有明显差异。</w:t>
            </w:r>
          </w:p>
        </w:tc>
      </w:tr>
      <w:tr w14:paraId="0052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atLeast"/>
          <w:jc w:val="center"/>
        </w:trPr>
        <w:tc>
          <w:tcPr>
            <w:tcW w:w="453" w:type="pct"/>
            <w:vAlign w:val="center"/>
          </w:tcPr>
          <w:p w14:paraId="27E59E11">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泄漏紧急处理</w:t>
            </w:r>
          </w:p>
        </w:tc>
        <w:tc>
          <w:tcPr>
            <w:tcW w:w="4546" w:type="pct"/>
            <w:gridSpan w:val="13"/>
            <w:vAlign w:val="center"/>
          </w:tcPr>
          <w:p w14:paraId="19D422E2">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撤离并进行隔离。根据扩散的影响区域划定警戒区，无关人员从侧风、上风向撤离至安全区。建议应急处理人员戴正压自给式呼吸器，穿防静电服。作业时使用的所有设备应接地。</w:t>
            </w:r>
          </w:p>
          <w:p w14:paraId="46D7D887">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禁止接触或跨越泄漏物。尽可能切断泄漏源。</w:t>
            </w:r>
          </w:p>
          <w:p w14:paraId="1F5854A1">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防止泄漏物进入水体、下水道、地下室或密闭性空间。</w:t>
            </w:r>
          </w:p>
          <w:p w14:paraId="22FAD906">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小量泄漏：用砂土或</w:t>
            </w:r>
            <w:r>
              <w:rPr>
                <w:rFonts w:hint="eastAsia" w:cs="Times New Roman"/>
                <w:color w:val="auto"/>
                <w:highlight w:val="none"/>
                <w:lang w:eastAsia="zh-CN"/>
              </w:rPr>
              <w:t>其他不</w:t>
            </w:r>
            <w:r>
              <w:rPr>
                <w:rFonts w:hint="default" w:ascii="Times New Roman" w:hAnsi="Times New Roman" w:cs="Times New Roman"/>
                <w:color w:val="auto"/>
                <w:highlight w:val="none"/>
              </w:rPr>
              <w:t>燃材料吸收。使用洁净的无火花工具收集吸收材料。</w:t>
            </w:r>
          </w:p>
          <w:p w14:paraId="6D35D66F">
            <w:pPr>
              <w:pStyle w:val="12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大量泄漏：构筑围堤或挖坑收容。用飞尘或石灰粉吸收大量液体。用泡沫覆盖，减少蒸发。喷水雾能减少蒸发，但不能降低泄漏物在受限制空间内的易燃性。用防爆泵转移至槽车或专用收集器内。</w:t>
            </w:r>
          </w:p>
        </w:tc>
      </w:tr>
      <w:tr w14:paraId="799C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53" w:type="pct"/>
            <w:vMerge w:val="restart"/>
            <w:vAlign w:val="center"/>
          </w:tcPr>
          <w:p w14:paraId="2E627076">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127" w:type="pct"/>
            <w:gridSpan w:val="2"/>
            <w:vAlign w:val="center"/>
          </w:tcPr>
          <w:p w14:paraId="6133C3DE">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工程控制</w:t>
            </w:r>
          </w:p>
        </w:tc>
        <w:tc>
          <w:tcPr>
            <w:tcW w:w="3419" w:type="pct"/>
            <w:gridSpan w:val="11"/>
            <w:vAlign w:val="center"/>
          </w:tcPr>
          <w:p w14:paraId="00121D7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生产过程密闭，全面通风。提供安全淋浴和洗眼设备。</w:t>
            </w:r>
          </w:p>
        </w:tc>
      </w:tr>
      <w:tr w14:paraId="5481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3" w:type="pct"/>
            <w:vMerge w:val="continue"/>
            <w:vAlign w:val="center"/>
          </w:tcPr>
          <w:p w14:paraId="21E8060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127" w:type="pct"/>
            <w:gridSpan w:val="2"/>
            <w:vAlign w:val="center"/>
          </w:tcPr>
          <w:p w14:paraId="1743BD3D">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呼吸系统防护</w:t>
            </w:r>
          </w:p>
        </w:tc>
        <w:tc>
          <w:tcPr>
            <w:tcW w:w="1705" w:type="pct"/>
            <w:gridSpan w:val="6"/>
            <w:vAlign w:val="center"/>
          </w:tcPr>
          <w:p w14:paraId="42F13937">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空气中浓度超标时，佩戴过滤式防毒面具（半面罩）</w:t>
            </w:r>
          </w:p>
        </w:tc>
        <w:tc>
          <w:tcPr>
            <w:tcW w:w="627" w:type="pct"/>
            <w:gridSpan w:val="3"/>
            <w:vAlign w:val="center"/>
          </w:tcPr>
          <w:p w14:paraId="732E22B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身体防护</w:t>
            </w:r>
          </w:p>
        </w:tc>
        <w:tc>
          <w:tcPr>
            <w:tcW w:w="1086" w:type="pct"/>
            <w:gridSpan w:val="2"/>
            <w:vAlign w:val="center"/>
          </w:tcPr>
          <w:p w14:paraId="31A5695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穿防静电工作服</w:t>
            </w:r>
          </w:p>
        </w:tc>
      </w:tr>
      <w:tr w14:paraId="4C7C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53" w:type="pct"/>
            <w:vMerge w:val="continue"/>
            <w:vAlign w:val="center"/>
          </w:tcPr>
          <w:p w14:paraId="2F6B19B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127" w:type="pct"/>
            <w:gridSpan w:val="2"/>
            <w:vAlign w:val="center"/>
          </w:tcPr>
          <w:p w14:paraId="6AC2741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手防护</w:t>
            </w:r>
          </w:p>
        </w:tc>
        <w:tc>
          <w:tcPr>
            <w:tcW w:w="1705" w:type="pct"/>
            <w:gridSpan w:val="6"/>
            <w:vAlign w:val="center"/>
          </w:tcPr>
          <w:p w14:paraId="250EE5F0">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戴橡胶耐油手套</w:t>
            </w:r>
          </w:p>
        </w:tc>
        <w:tc>
          <w:tcPr>
            <w:tcW w:w="627" w:type="pct"/>
            <w:gridSpan w:val="3"/>
            <w:vAlign w:val="center"/>
          </w:tcPr>
          <w:p w14:paraId="5D6FE7B5">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眼防护</w:t>
            </w:r>
          </w:p>
        </w:tc>
        <w:tc>
          <w:tcPr>
            <w:tcW w:w="1086" w:type="pct"/>
            <w:gridSpan w:val="2"/>
            <w:vAlign w:val="center"/>
          </w:tcPr>
          <w:p w14:paraId="1BF184CD">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戴安全防护眼镜</w:t>
            </w:r>
          </w:p>
        </w:tc>
      </w:tr>
      <w:tr w14:paraId="4825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3" w:type="pct"/>
            <w:vMerge w:val="continue"/>
            <w:vAlign w:val="center"/>
          </w:tcPr>
          <w:p w14:paraId="7D938459">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p>
        </w:tc>
        <w:tc>
          <w:tcPr>
            <w:tcW w:w="1127" w:type="pct"/>
            <w:gridSpan w:val="2"/>
            <w:vAlign w:val="center"/>
          </w:tcPr>
          <w:p w14:paraId="61EEB66A">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3419" w:type="pct"/>
            <w:gridSpan w:val="11"/>
            <w:vAlign w:val="center"/>
          </w:tcPr>
          <w:p w14:paraId="50B6E12C">
            <w:pPr>
              <w:pStyle w:val="5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工作现场严禁吸烟。工作完毕，淋浴更衣。注意个人清洁卫生。</w:t>
            </w:r>
          </w:p>
        </w:tc>
      </w:tr>
    </w:tbl>
    <w:p w14:paraId="26DADC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根据已掌握的资料，正常情况下，井场周围空气中硫化氢浓度低于我国规定对工作人员生命和健康产生不可逆转的或延迟性的影响的硫化氢浓度，不构成风险物质，但要注意防漏、防喷工作。</w:t>
      </w:r>
    </w:p>
    <w:p w14:paraId="48A36D5F">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7.3.2井场危险性识别</w:t>
      </w:r>
    </w:p>
    <w:p w14:paraId="557575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（1）井喷事故风险</w:t>
      </w:r>
    </w:p>
    <w:p w14:paraId="5ABDD1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喷为井场常见事故。钻井过程中遇到地下油、水层时，油或水窜进井内的钻井液里，加快了钻井液流动和循环的速度。如果井底压力小于地层压力，地层流体将进入井筒并推动钻井液外溢，即发生溢流。此时，如果对地下油、气压力平衡控制不当，不能及时控制溢流，会造成油、水或其他混合物迅速喷到地面，即发生井喷。井喷会引发油气泄漏及火灾爆炸，对空气环境、水环境及生态环境造成危害，致使人员伤亡、财产损失。</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主要为稠油开发，稠油</w:t>
      </w:r>
      <w:r>
        <w:rPr>
          <w:rFonts w:hint="eastAsia" w:cs="Times New Roman"/>
          <w:color w:val="auto"/>
          <w:highlight w:val="none"/>
          <w:lang w:eastAsia="zh-CN"/>
        </w:rPr>
        <w:t>黏性</w:t>
      </w:r>
      <w:r>
        <w:rPr>
          <w:rFonts w:hint="default" w:ascii="Times New Roman" w:hAnsi="Times New Roman" w:eastAsia="宋体" w:cs="Times New Roman"/>
          <w:color w:val="auto"/>
          <w:highlight w:val="none"/>
        </w:rPr>
        <w:t>大，需要掺稀、注水或注汽开发等，井喷的可能性很小，但</w:t>
      </w:r>
      <w:r>
        <w:rPr>
          <w:rFonts w:hint="eastAsia" w:cs="Times New Roman"/>
          <w:color w:val="auto"/>
          <w:highlight w:val="none"/>
          <w:lang w:eastAsia="zh-CN"/>
        </w:rPr>
        <w:t>也</w:t>
      </w:r>
      <w:r>
        <w:rPr>
          <w:rFonts w:hint="default" w:ascii="Times New Roman" w:hAnsi="Times New Roman" w:eastAsia="宋体" w:cs="Times New Roman"/>
          <w:color w:val="auto"/>
          <w:highlight w:val="none"/>
        </w:rPr>
        <w:t>并非绝对不可能，从最不利的角度，本次评价依然将其作为一种风险事故考虑。</w:t>
      </w:r>
    </w:p>
    <w:p w14:paraId="03E171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（2）井漏事故风险</w:t>
      </w:r>
    </w:p>
    <w:p w14:paraId="775F56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钻井施工表层套管下入深度不够或固井质量不好可能引发污染地下水事故，如油气上窜造成地下水污染，采出液漏失于地下水含水层中，采出液中含石油类，会造成地下含水层水质污染。</w:t>
      </w:r>
    </w:p>
    <w:p w14:paraId="788C3C09">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7.3.3管道危险性识别</w:t>
      </w:r>
    </w:p>
    <w:p w14:paraId="3EE3046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道输送是一种安全可行的输送方式，但存在于环境中的管道会受到各种环境因素的作用，同时管道本身的设计、管材制造、施工、操作运行和管理等各环节都可能存在着缺陷和失误，所有这些因素都可能导致事故的发生。发生的事故主要为管线破裂造成的原油泄漏，直接污染周围土壤，还可能对区域地下水造成污染。</w:t>
      </w:r>
    </w:p>
    <w:p w14:paraId="6BB4529A">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风险类型识别</w:t>
      </w:r>
    </w:p>
    <w:p w14:paraId="014660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w:t>
      </w:r>
      <w:r>
        <w:rPr>
          <w:rFonts w:hint="eastAsia" w:cs="Times New Roman"/>
          <w:color w:val="auto"/>
          <w:highlight w:val="none"/>
          <w:lang w:eastAsia="zh-CN"/>
        </w:rPr>
        <w:t>分析</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可能涉及的危险物质及危险场所及危险特性，</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可能发生的环境风险主要包括井喷、井漏、油气泄漏</w:t>
      </w:r>
      <w:r>
        <w:rPr>
          <w:rFonts w:hint="eastAsia" w:cs="Times New Roman"/>
          <w:color w:val="auto"/>
          <w:highlight w:val="none"/>
          <w:lang w:eastAsia="zh-CN"/>
        </w:rPr>
        <w:t>、</w:t>
      </w:r>
      <w:r>
        <w:rPr>
          <w:rFonts w:hint="default" w:ascii="Times New Roman" w:hAnsi="Times New Roman" w:eastAsia="宋体" w:cs="Times New Roman"/>
          <w:color w:val="auto"/>
          <w:highlight w:val="none"/>
        </w:rPr>
        <w:t>火灾、爆炸等引发的伴生/次生污染物排放。</w:t>
      </w:r>
    </w:p>
    <w:p w14:paraId="08E90D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运营期管线发生破损造成原油泄漏，会污染土壤和大气，泄漏原油有可能通过包气带渗漏进入地下含水层，污染地下水；泄漏的油气，引发周围人员中毒事件，若遇明火，发生火灾、爆炸，污染大气环境。</w:t>
      </w:r>
    </w:p>
    <w:p w14:paraId="213E0268">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eastAsia="宋体" w:cs="Times New Roman"/>
          <w:color w:val="auto"/>
          <w:highlight w:val="none"/>
        </w:rPr>
      </w:pPr>
      <w:bookmarkStart w:id="560" w:name="_Toc24890"/>
      <w:bookmarkStart w:id="561" w:name="_Toc22095"/>
      <w:bookmarkStart w:id="562" w:name="_Toc25345"/>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7.4环境风险分析</w:t>
      </w:r>
      <w:bookmarkEnd w:id="560"/>
      <w:bookmarkEnd w:id="561"/>
      <w:bookmarkEnd w:id="562"/>
    </w:p>
    <w:p w14:paraId="5E331850">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7.4.1井喷事故影响分析</w:t>
      </w:r>
    </w:p>
    <w:p w14:paraId="1CEA53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钻井和井下作业时都有可能发生井喷，井喷时的油气流可高达数十米，喷出气体可达几万到几十万立方米，原油可达数百至上千吨，极易发生火灾，造成灾难性的后果。井喷时最容易受到污染的是大气环境、土壤以及生态环境。</w:t>
      </w:r>
    </w:p>
    <w:p w14:paraId="3E8CC5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（1）对大气环境及人群监控的影响</w:t>
      </w:r>
    </w:p>
    <w:p w14:paraId="2022EF8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井喷时喷出大量气体，可使短时间内使局部大气环境中的轻烃含量激增，根据类比调查，井喷的影响范围可达到下风向4-5km，地面总烃的最大浓度可达到1300mg/Nm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，短时间内严重破坏了局部地区空气质量，另外</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为油气含油硫化氢，一旦发生井喷，可能会造成硫化氢中毒事件，作业人员应戴上防护用具，进入紧急状态，立即实施应急方案，并组织附近人员。由于井喷具有突发性、意外性和短暂性的特点，井喷会造成短期局部大气环境中污染物超标，但不会对整个评价区的大气环境质量造成长久的明显的恶化。</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距离由于项目区人烟稀少，区域地势平坦，扩散条件较好，所以井喷对人员的伤害有限。</w:t>
      </w:r>
    </w:p>
    <w:p w14:paraId="3F9D56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（2）对土壤、地下水的影响</w:t>
      </w:r>
    </w:p>
    <w:p w14:paraId="22A3494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井喷事故一旦发生，大量的油气喷出井口，散落于井场周围，造成大面积的土壤污染，井喷时大量泄漏的原油覆盖在地表层可使土壤透气性下降，抑制土壤中酶的活性，土壤</w:t>
      </w:r>
      <w:r>
        <w:rPr>
          <w:rFonts w:hint="eastAsia" w:cs="Times New Roman"/>
          <w:color w:val="auto"/>
          <w:highlight w:val="none"/>
          <w:lang w:eastAsia="zh-CN"/>
        </w:rPr>
        <w:t>理化性质</w:t>
      </w:r>
      <w:r>
        <w:rPr>
          <w:rFonts w:hint="default" w:ascii="Times New Roman" w:hAnsi="Times New Roman" w:eastAsia="宋体" w:cs="Times New Roman"/>
          <w:color w:val="auto"/>
          <w:highlight w:val="none"/>
        </w:rPr>
        <w:t>发生变化。原油泄漏区形成局部土壤污染，根据前面土壤专题的分析，原油影响深度一般为0～20cm，同时油田区域气候干旱少雨，不存在大量降水的淋滤作用。因此，井喷事故中的泄漏原油不会进入地下含水层污染地下水。</w:t>
      </w:r>
    </w:p>
    <w:p w14:paraId="556BC7D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（3）对植被的影响</w:t>
      </w:r>
    </w:p>
    <w:p w14:paraId="6745120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井喷事故一旦发生，大量的油气喷出井口，散落于井场周围，</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部分井周边存在</w:t>
      </w:r>
      <w:r>
        <w:rPr>
          <w:rFonts w:hint="default" w:ascii="Times New Roman" w:hAnsi="Times New Roman" w:cs="Times New Roman"/>
          <w:color w:val="auto"/>
          <w:highlight w:val="none"/>
          <w:lang w:val="en-US" w:eastAsia="zh-CN"/>
        </w:rPr>
        <w:t>灌丛</w:t>
      </w:r>
      <w:r>
        <w:rPr>
          <w:rFonts w:hint="default" w:ascii="Times New Roman" w:hAnsi="Times New Roman" w:eastAsia="宋体" w:cs="Times New Roman"/>
          <w:color w:val="auto"/>
          <w:highlight w:val="none"/>
        </w:rPr>
        <w:t>等生态系统，大量原油泄漏可对井场周边的</w:t>
      </w:r>
      <w:r>
        <w:rPr>
          <w:rFonts w:hint="default" w:ascii="Times New Roman" w:hAnsi="Times New Roman" w:cs="Times New Roman"/>
          <w:color w:val="auto"/>
          <w:highlight w:val="none"/>
          <w:lang w:val="en-US" w:eastAsia="zh-CN"/>
        </w:rPr>
        <w:t>灌木、林地</w:t>
      </w:r>
      <w:r>
        <w:rPr>
          <w:rFonts w:hint="default" w:ascii="Times New Roman" w:hAnsi="Times New Roman" w:eastAsia="宋体" w:cs="Times New Roman"/>
          <w:color w:val="auto"/>
          <w:highlight w:val="none"/>
        </w:rPr>
        <w:t>等产生影响。大量油、水喷溅到植物上或散落到土壤中，就会影响植物的光合作用，并通过根系吸收，同时石油类将在植物体内富集，影响其品质，使其生产力下降，严重时会导致植物死亡。另外井喷时极易发生火灾，一旦发生火灾，一旦发生火灾应及时采取相应的措施，应立即阻断引火源，并组织灭火，减少对林地等生态系统的影响。</w:t>
      </w:r>
    </w:p>
    <w:p w14:paraId="21336A17">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7.4.2井漏事故影响分析</w:t>
      </w:r>
    </w:p>
    <w:p w14:paraId="6705EF3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井漏事故主要为钻井过程中钻井液漏失和运营期油水窜层。</w:t>
      </w:r>
    </w:p>
    <w:p w14:paraId="0B4C4B2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井漏事故对地下水的污染是钻井液或者采出液漏失于地下水含水层中，由于钻井液中含Ca</w:t>
      </w:r>
      <w:r>
        <w:rPr>
          <w:rFonts w:hint="default" w:ascii="Times New Roman" w:hAnsi="Times New Roman" w:cs="Times New Roman"/>
          <w:color w:val="auto"/>
          <w:highlight w:val="none"/>
          <w:vertAlign w:val="superscript"/>
          <w:lang w:val="en-US" w:eastAsia="zh-CN"/>
        </w:rPr>
        <w:t>2+</w:t>
      </w:r>
      <w:r>
        <w:rPr>
          <w:rFonts w:hint="default" w:ascii="Times New Roman" w:hAnsi="Times New Roman" w:eastAsia="宋体" w:cs="Times New Roman"/>
          <w:color w:val="auto"/>
          <w:highlight w:val="none"/>
        </w:rPr>
        <w:t>、Na</w:t>
      </w:r>
      <w:r>
        <w:rPr>
          <w:rFonts w:hint="default" w:ascii="Times New Roman" w:hAnsi="Times New Roman" w:cs="Times New Roman"/>
          <w:color w:val="auto"/>
          <w:highlight w:val="none"/>
          <w:vertAlign w:val="superscript"/>
          <w:lang w:val="en-US" w:eastAsia="zh-CN"/>
        </w:rPr>
        <w:t>+</w:t>
      </w:r>
      <w:r>
        <w:rPr>
          <w:rFonts w:hint="default" w:ascii="Times New Roman" w:hAnsi="Times New Roman" w:eastAsia="宋体" w:cs="Times New Roman"/>
          <w:color w:val="auto"/>
          <w:highlight w:val="none"/>
        </w:rPr>
        <w:t>等离子，且pH、盐分都很多，采出液中含石油类，均会造成地下含水层水质污染。</w:t>
      </w:r>
    </w:p>
    <w:p w14:paraId="053F16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采用多层套管，表层套管完全封闭各含水层，固井水泥均上返地面，这样，在各含水层与井筒间形成多层套管、水泥环的保护措施，将事故风险降低到最低。</w:t>
      </w:r>
    </w:p>
    <w:p w14:paraId="3C14B97A">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7.4.3对大气环境的影响分析</w:t>
      </w:r>
    </w:p>
    <w:p w14:paraId="2B7F79B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管道压力下，加压集输油品泄漏时，油品从裂口流出后遇明火燃烧，发生火灾爆炸事故，燃烧产生的次生CO引发周围人员CO中毒事件。采出液中硫化氢气体扩散至环境空气中，硫化氢可通过吸入、食入、经皮吸收等方式</w:t>
      </w:r>
      <w:r>
        <w:rPr>
          <w:rFonts w:hint="eastAsia" w:cs="Times New Roman"/>
          <w:color w:val="auto"/>
          <w:highlight w:val="none"/>
          <w:lang w:eastAsia="zh-CN"/>
        </w:rPr>
        <w:t>进入</w:t>
      </w:r>
      <w:r>
        <w:rPr>
          <w:rFonts w:hint="default" w:ascii="Times New Roman" w:hAnsi="Times New Roman" w:eastAsia="宋体" w:cs="Times New Roman"/>
          <w:color w:val="auto"/>
          <w:highlight w:val="none"/>
        </w:rPr>
        <w:t>体内，对中枢神经系统有麻醉作用。轻度中毒症状有头晕、头痛、恶心、呕吐、步态不稳、共济失调。高浓度吸入出现中毒性脑病。极高浓度吸入引起意识突然丧失、反射性呼吸停止，进而可能引发员工硫化氢中毒事件。一旦管道发生泄漏事故，井场内设置有流量控制仪及压力变送器，当检测到压力降速率超0.15MPa/min时，由SCADA系统发出指令，远程自动关闭阀门。由于井场及管道位于灌木林和未利用地，对大气环境影响较小，但如果出现不完全燃烧，则会产生一定量的一氧化碳，污染大气环境。</w:t>
      </w:r>
    </w:p>
    <w:p w14:paraId="65E8935B">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7.4.4对地下水的环境影响分析</w:t>
      </w:r>
    </w:p>
    <w:p w14:paraId="68C60F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运营期在正常情况下对地下水无影响，只有在发生事故时才有可能影响到地下水。</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环境风险最大可信事故为输油管线泄漏事故。输油管道发生事故时，漏油能否对地下水环境产生影响，取决于油在土壤中的迁移转化、地面污染程度以及泄漏点的地质构造。</w:t>
      </w:r>
    </w:p>
    <w:p w14:paraId="30E5812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发生泄漏事故后，若及时维修处理，即使有少量的污染物泄漏，也很难通过防渗层渗入包气带。故在正常工况下，加强检修力度，发生泄漏事故及时找到泄漏点，及时维修，并将受污染的土壤全部集中收集，交由有资质的单位进行处理，污染物从源头和末端均得到控制，阻断了污染地下水的通道，污染物不会渗入地下污染地下水体。</w:t>
      </w:r>
    </w:p>
    <w:p w14:paraId="12D01AE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泄漏事故不可控时，泄漏的油品经土层渗漏，通过包气带进入含水层。根据《采油废水中石油类污染物在土壤中的迁移规律研究》（岳占林文）中结论：风沙土尽管颗粒较粗、结构较松散、孔隙比较大，但对石油类物质的截留作用是非常显著的，石油类很难在土壤剖面中随水下渗迁移，基本上被截留在0cm～10cm或0cm～20cm表层土壤中，其中表层0cm～5cm土壤截留了90%以上的泄漏原油。因此，即使发生输油管线泄漏事故，做到及时发现及时处理，彻底清除泄漏油品、被污染的土壤，不会对地下水体环境质量产生大的影响。</w:t>
      </w:r>
    </w:p>
    <w:p w14:paraId="2A0CEC45">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7.4.5对土壤环境的影响分析</w:t>
      </w:r>
    </w:p>
    <w:p w14:paraId="0501515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原油泄漏对土壤环境的影响是比较显著的，泄漏的原油可使土壤透气性下降、土壤理化性状发生变化。泄漏的油品如果进入土壤，从而使土壤质地、结构发生改变，影响到土地功能，进而影响荒漠植被的生长，并可影响局部的生态环境。</w:t>
      </w:r>
    </w:p>
    <w:p w14:paraId="6018A2E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原油发生泄漏时，相当于向土壤中直接注入原油，泄漏的原油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14:paraId="6E6C06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运营期管线破裂，将能回收的原油回收，送塔河油田三号联合站原油处理系统处理，不能回收的以及受污染的土壤集中收集后交由有相应处置资质的单位进行处理。</w:t>
      </w:r>
    </w:p>
    <w:p w14:paraId="5B2D4CA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综上所述，</w:t>
      </w:r>
      <w:r>
        <w:rPr>
          <w:rFonts w:hint="default" w:ascii="Times New Roman" w:hAnsi="Times New Roman" w:cs="Times New Roman"/>
          <w:color w:val="auto"/>
          <w:highlight w:val="none"/>
          <w:lang w:eastAsia="zh-CN"/>
        </w:rPr>
        <w:t>本项目</w:t>
      </w:r>
      <w:r>
        <w:rPr>
          <w:rFonts w:hint="default" w:ascii="Times New Roman" w:hAnsi="Times New Roman" w:eastAsia="宋体" w:cs="Times New Roman"/>
          <w:color w:val="auto"/>
          <w:highlight w:val="none"/>
        </w:rPr>
        <w:t>施工期和运营期发生事故后，及时采取相应的措施，不会对周围土壤环境产生明显影响。</w:t>
      </w:r>
    </w:p>
    <w:p w14:paraId="3F15CA8C">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7.4.6对植被的影响</w:t>
      </w:r>
    </w:p>
    <w:p w14:paraId="225936E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油品泄漏对植被的影响主要分为三种途径，一是泄漏石油直接</w:t>
      </w:r>
      <w:r>
        <w:rPr>
          <w:rFonts w:hint="eastAsia" w:cs="Times New Roman"/>
          <w:color w:val="auto"/>
          <w:highlight w:val="none"/>
          <w:lang w:eastAsia="zh-CN"/>
        </w:rPr>
        <w:t>黏附</w:t>
      </w:r>
      <w:r>
        <w:rPr>
          <w:rFonts w:hint="default" w:ascii="Times New Roman" w:hAnsi="Times New Roman" w:cs="Times New Roman"/>
          <w:color w:val="auto"/>
          <w:highlight w:val="none"/>
        </w:rPr>
        <w:t>于植物体阻断植物的光合作用，使植物枯萎、死亡；二是原油污染土壤造成的土壤理性化性状变化间接影响植物生长，严重时会导致植物死亡；三是泄漏的原油中的轻组分挥发，在对空气环境产生影响的同时，也对周围植物产生影响；三是油品遇明火，发生火灾、爆炸对植被的影响，</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szCs w:val="21"/>
          <w:highlight w:val="none"/>
        </w:rPr>
        <w:t>分布有公益林、草地，</w:t>
      </w:r>
      <w:r>
        <w:rPr>
          <w:rFonts w:hint="default" w:ascii="Times New Roman" w:hAnsi="Times New Roman" w:cs="Times New Roman"/>
          <w:color w:val="auto"/>
          <w:highlight w:val="none"/>
        </w:rPr>
        <w:t>应注意防火，一旦发生火灾应及时采取相应的措施，应立即阻断引火源，并组织灭火。</w:t>
      </w:r>
    </w:p>
    <w:p w14:paraId="5EDF2113">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eastAsia="宋体" w:cs="Times New Roman"/>
          <w:color w:val="auto"/>
          <w:highlight w:val="none"/>
        </w:rPr>
      </w:pPr>
      <w:bookmarkStart w:id="563" w:name="_Toc13751"/>
      <w:bookmarkStart w:id="564" w:name="_Toc21810"/>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7.5环境风险</w:t>
      </w:r>
      <w:r>
        <w:rPr>
          <w:rFonts w:hint="eastAsia" w:ascii="Times New Roman" w:hAnsi="Times New Roman" w:eastAsia="宋体" w:cs="Times New Roman"/>
          <w:color w:val="auto"/>
          <w:highlight w:val="none"/>
          <w:lang w:val="en-US" w:eastAsia="zh-CN"/>
        </w:rPr>
        <w:t>防范</w:t>
      </w:r>
      <w:r>
        <w:rPr>
          <w:rFonts w:hint="default" w:ascii="Times New Roman" w:hAnsi="Times New Roman" w:eastAsia="宋体" w:cs="Times New Roman"/>
          <w:color w:val="auto"/>
          <w:highlight w:val="none"/>
        </w:rPr>
        <w:t>措施</w:t>
      </w:r>
      <w:bookmarkEnd w:id="563"/>
      <w:bookmarkEnd w:id="564"/>
    </w:p>
    <w:p w14:paraId="089EAD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隶属于塔河油田采油</w:t>
      </w:r>
      <w:r>
        <w:rPr>
          <w:rFonts w:hint="default"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厂管辖。</w:t>
      </w:r>
    </w:p>
    <w:p w14:paraId="00E530A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对于重大或不可接受的风险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主要是物料严重泄漏、火灾爆炸造成重大人员伤害等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定应急响应方案，建立应急反应体系，当事故一旦发生时可迅速加以控制，使危害和损失降低到尽可能低的程度。定期按照应急预案内容进行应急演练，应急物资配备齐全，出现风险事故时能够及时应对。采油三厂分别于2021年12月23日和2021年12月28日取得《中国石化西北油田分公司采油三厂突发环境事件应急预案》的备案证明，备案编号为652924-2021-146（沙雅县）、652923-2021-196-L（库车市）。突发环境事件应急预案适用范围包括：</w:t>
      </w:r>
    </w:p>
    <w:p w14:paraId="62256DB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适用范围是</w:t>
      </w:r>
      <w:r>
        <w:rPr>
          <w:rFonts w:hint="default" w:ascii="Times New Roman" w:hAnsi="Times New Roman" w:cs="Times New Roman"/>
          <w:color w:val="auto"/>
          <w:highlight w:val="none"/>
          <w:lang w:eastAsia="zh-CN"/>
        </w:rPr>
        <w:t>中国石油化工股份有限公司西北油田分公司</w:t>
      </w:r>
      <w:r>
        <w:rPr>
          <w:rFonts w:hint="default" w:ascii="Times New Roman" w:hAnsi="Times New Roman" w:cs="Times New Roman"/>
          <w:color w:val="auto"/>
          <w:highlight w:val="none"/>
        </w:rPr>
        <w:t>采油三厂管辖的在内的所有油气设施。</w:t>
      </w:r>
    </w:p>
    <w:p w14:paraId="2DF9C1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在油气生产区内发生人为或不可抗力造成的废气、废水、固废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包括危险废物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、危险化学品、有毒化学品等环境污染破坏事件</w:t>
      </w:r>
      <w:r>
        <w:rPr>
          <w:rFonts w:hint="default" w:ascii="Times New Roman" w:hAnsi="Times New Roman" w:cs="Times New Roman"/>
          <w:color w:val="auto"/>
          <w:highlight w:val="none"/>
          <w:lang w:eastAsia="zh-CN"/>
        </w:rPr>
        <w:t>。</w:t>
      </w:r>
    </w:p>
    <w:p w14:paraId="690667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油气生产区在生产、经营、贮存、运输、使用和处置过程中因有毒有害化学品的泄漏、扩散所造成的突发性环境污染事件</w:t>
      </w:r>
      <w:r>
        <w:rPr>
          <w:rFonts w:hint="default" w:ascii="Times New Roman" w:hAnsi="Times New Roman" w:cs="Times New Roman"/>
          <w:color w:val="auto"/>
          <w:highlight w:val="none"/>
          <w:lang w:eastAsia="zh-CN"/>
        </w:rPr>
        <w:t>。</w:t>
      </w:r>
    </w:p>
    <w:p w14:paraId="1E24F4A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易燃易爆化学品外泄造成爆炸而产生的突发性环境污染事件</w:t>
      </w:r>
      <w:r>
        <w:rPr>
          <w:rFonts w:hint="default" w:ascii="Times New Roman" w:hAnsi="Times New Roman" w:cs="Times New Roman"/>
          <w:color w:val="auto"/>
          <w:highlight w:val="none"/>
          <w:lang w:eastAsia="zh-CN"/>
        </w:rPr>
        <w:t>。</w:t>
      </w:r>
    </w:p>
    <w:p w14:paraId="03882DB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油气生产区生产过程中因生产装置、污染防治措施、设备等因素发生意外事故造成的突发性环境污染事故</w:t>
      </w:r>
      <w:r>
        <w:rPr>
          <w:rFonts w:hint="default" w:ascii="Times New Roman" w:hAnsi="Times New Roman" w:cs="Times New Roman"/>
          <w:color w:val="auto"/>
          <w:highlight w:val="none"/>
          <w:lang w:eastAsia="zh-CN"/>
        </w:rPr>
        <w:t>。</w:t>
      </w:r>
    </w:p>
    <w:p w14:paraId="2714890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因遭受自然灾害而造成的可能危及人体健康的环境污染事件。</w:t>
      </w:r>
    </w:p>
    <w:p w14:paraId="03F9F5F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本评价建议将本次建设内容纳入</w:t>
      </w:r>
      <w:r>
        <w:rPr>
          <w:rFonts w:hint="default" w:ascii="Times New Roman" w:hAnsi="Times New Roman" w:cs="Times New Roman"/>
          <w:color w:val="auto"/>
          <w:highlight w:val="none"/>
          <w:lang w:eastAsia="zh-CN"/>
        </w:rPr>
        <w:t>中国石油化工股份有限公司西北油田分公司</w:t>
      </w:r>
      <w:r>
        <w:rPr>
          <w:rFonts w:hint="default" w:ascii="Times New Roman" w:hAnsi="Times New Roman" w:cs="Times New Roman"/>
          <w:color w:val="auto"/>
          <w:highlight w:val="none"/>
        </w:rPr>
        <w:t>采油三厂现有突发环境事件应急预案中，对现有突发环境事件应急预案进行必要的完善和补充。</w:t>
      </w:r>
    </w:p>
    <w:p w14:paraId="50CD26A9">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7.5.1钻井、井下作业事故风险预防措施</w:t>
      </w:r>
    </w:p>
    <w:p w14:paraId="7EFCF517">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（1）设计、生产中采取有效预防措施，严格遵守钻井、井下作业的安全规定，在井口安装防喷器和控制装置，杜绝井喷的发生。</w:t>
      </w:r>
    </w:p>
    <w:p w14:paraId="4B9DF98A">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抓好井场建设，根据气候特点，做好井场的防护规划，钻井泥浆、岩屑一同进入不落地处理系统处理，处理后的液相全部回用于配备钻井液，不外排。待钻井工程结束后由供应商回收或带至下一个钻井井场继续使用。处理后的岩屑满足《油气田钻井固体废物综合利用污染控制要求》（DB65/T3997-2017）中综合利用污染物限值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同时石油烃满足《土壤环境质量建设用地土壤污染风险管控标准（试行）》（GB36600-2018）中表2第二类用地风险筛选值后，方可综合利用。</w:t>
      </w:r>
    </w:p>
    <w:p w14:paraId="2215143A">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（3）使用的泥浆参数必须符合钻井地质技术的规定要求。</w:t>
      </w:r>
    </w:p>
    <w:p w14:paraId="4B2647E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（4）在钻开油气层前必须加重泥浆的密度，使泥浆的液柱压力大于地层压力约3MPa～5MPa，井场的重泥浆储备量必须为井筒容积的1.5～2倍，并且还应储备足够量的泥浆加重剂。</w:t>
      </w:r>
    </w:p>
    <w:p w14:paraId="0766CBB5">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（5）井控操作实行持证上岗，各岗位的钻井人员有明确的分工，并且应经过井控专业培训。在油气层中钻进，每班进行一次防喷操作演习。</w:t>
      </w:r>
    </w:p>
    <w:p w14:paraId="0F4DEFF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（6）井场设置明显的禁止烟火标志；井场钻井设备及电器设备、照明灯具符合防火防爆的安全要求，井场安装探照灯，以备井喷时钻台照明。</w:t>
      </w:r>
    </w:p>
    <w:p w14:paraId="4FF4AA57">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（7）井下作业之前，在井场周围划分高压区和低压区，高压泵、高压汇管、井口装置等高压设备均布置于高压区内，施工过程中，高压区无关人员全部撤离，并设置安全警戒岗。</w:t>
      </w:r>
    </w:p>
    <w:p w14:paraId="440B460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（8）每一次井下作业施工前，必须对高压汇管进行试压，试压压力大于施工压力5MPa，施工后必须探伤，更换不符合要求的汇管。</w:t>
      </w:r>
    </w:p>
    <w:p w14:paraId="0C06B2A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（9）钻井井位的确定尽可能避开冲蚀沟、河床等洪水危险性大的区域。</w:t>
      </w:r>
    </w:p>
    <w:p w14:paraId="51587A81">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7.5.2井喷事故的风险防范措施</w:t>
      </w:r>
    </w:p>
    <w:p w14:paraId="08373AB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主要为稠油开发，稠油粘性大，需要掺稀开发，虽然井喷的可能性很小，但也不并非绝对不可能，因此必须高度重视安全生产，要积极采取预防井喷发生的措施：</w:t>
      </w:r>
    </w:p>
    <w:p w14:paraId="3041823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（1）由于硫化氢气体的特殊性质，含硫化氢的油田的钻井应</w:t>
      </w:r>
      <w:r>
        <w:rPr>
          <w:rFonts w:hint="eastAsia" w:cs="Times New Roman"/>
          <w:color w:val="auto"/>
          <w:highlight w:val="none"/>
          <w:lang w:eastAsia="zh-CN"/>
        </w:rPr>
        <w:t>做好</w:t>
      </w:r>
      <w:r>
        <w:rPr>
          <w:rFonts w:hint="default" w:ascii="Times New Roman" w:hAnsi="Times New Roman" w:cs="Times New Roman"/>
          <w:color w:val="auto"/>
          <w:highlight w:val="none"/>
        </w:rPr>
        <w:t>地质、钻井工程设计中和空气中硫化氢含量的监测，及时得到井喷的预警信息，采取必要手段预防井喷，只要安全钻井才是最好的井喷预防措施。</w:t>
      </w:r>
    </w:p>
    <w:p w14:paraId="5ED2358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（2）在井场醒目处悬挂一份井场周边环境的地图和表格，列示离开井场不同距离范围内的居民点及办公点的地址和联系方式以及公路等其他公共设施。</w:t>
      </w:r>
    </w:p>
    <w:p w14:paraId="4407AF2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（3）建立一份紧急电话联系表，其中应包括钻井队负责人、技术人员或安全管理人员以及上级主管</w:t>
      </w:r>
      <w:r>
        <w:rPr>
          <w:rFonts w:hint="eastAsia" w:cs="Times New Roman"/>
          <w:color w:val="auto"/>
          <w:highlight w:val="none"/>
          <w:lang w:val="en-US" w:eastAsia="zh-CN"/>
        </w:rPr>
        <w:t>部门</w:t>
      </w:r>
      <w:r>
        <w:rPr>
          <w:rFonts w:hint="default" w:ascii="Times New Roman" w:hAnsi="Times New Roman" w:cs="Times New Roman"/>
          <w:color w:val="auto"/>
          <w:highlight w:val="none"/>
        </w:rPr>
        <w:t>应急指挥人和当地管理部门协调人、医院、消防、环境部门的联系电话。</w:t>
      </w:r>
    </w:p>
    <w:p w14:paraId="54BFA7C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（4）制定一份</w:t>
      </w:r>
      <w:r>
        <w:rPr>
          <w:rFonts w:hint="eastAsia" w:cs="Times New Roman"/>
          <w:color w:val="auto"/>
          <w:highlight w:val="none"/>
          <w:lang w:eastAsia="zh-CN"/>
        </w:rPr>
        <w:t>翔实的</w:t>
      </w:r>
      <w:r>
        <w:rPr>
          <w:rFonts w:hint="default" w:ascii="Times New Roman" w:hAnsi="Times New Roman" w:cs="Times New Roman"/>
          <w:color w:val="auto"/>
          <w:highlight w:val="none"/>
        </w:rPr>
        <w:t>可操作的应急预案，包括医疗保健措施、个人保护设备、人员培训要求、监测、警报与人员撤离等一系列工作详细地列出具体要求，以此保证井场作业人员的生命安全，特别应明确井口喷出的H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S浓度计距井口下风向不同距离监测的H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S浓度，来确定井场周边群众、工作人员的撤离范围。</w:t>
      </w:r>
    </w:p>
    <w:p w14:paraId="58A9DD3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（5）应对钻井员工和周边一定范围内的居民或工作人员普及预防H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S中毒，避免伤亡的个人防护知识，以防止事故发生后的人员伤亡。</w:t>
      </w:r>
    </w:p>
    <w:p w14:paraId="3EFA44D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项目区周边为公益林，在发生井喷后，无法实施点火，在确保施工人员安全的条件下，可用消防车对天然气防喷口处进行雨喷淋，使天然气中所含的H2S溶解于水中并转变为氢硫酸，降低其毒性，并对氢硫酸进行及时处理，以免污染周边水体。</w:t>
      </w:r>
    </w:p>
    <w:p w14:paraId="5092E1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（7）发生事故时，要求井场排放清水及处理水全部进入现场事故池，不得随意外排，并立即启动重大环境事件环境应急监测预案，在应急监测人员不受H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S危害影响的前提下，对井场周边大气中的H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S及甲烷浓度进行监控，随时掌握扩散分布情况，以指导对井场周边人员的撤离工作</w:t>
      </w:r>
      <w:r>
        <w:rPr>
          <w:rFonts w:hint="eastAsia" w:cs="Times New Roman"/>
          <w:color w:val="auto"/>
          <w:highlight w:val="none"/>
          <w:lang w:eastAsia="zh-CN"/>
        </w:rPr>
        <w:t>以及</w:t>
      </w:r>
      <w:r>
        <w:rPr>
          <w:rFonts w:hint="default" w:ascii="Times New Roman" w:hAnsi="Times New Roman" w:cs="Times New Roman"/>
          <w:color w:val="auto"/>
          <w:highlight w:val="none"/>
        </w:rPr>
        <w:t>安全线的划定工作，同时对周边水系上下游水质设点进行监控（测试项目可确定为：pH、COD、石油类、硫化物和氯化物等主要指示性污染物），掌握水系可能受到污染影响的程度，以便为后续可能的污染赔偿提供参考，在事件处理过程中，应及时将井场排放清水及处理水全部清运至西北油田分公司油田工程服务中心绿色环保工作站进行处理。</w:t>
      </w:r>
    </w:p>
    <w:p w14:paraId="3DDD896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（8）在人员不受H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危害影响的前提下，组织人员对井喷喷出的钻井液进行封堵，可截留至现场事故池内，防止其流入井场周边环境敏感区，尽可能减少其危害和影响，在事件处理过程中，应及时将钻井液全部清运至西北油田分公司油田工程服务中心绿色环保工作站进行处理。</w:t>
      </w:r>
    </w:p>
    <w:p w14:paraId="7493AA6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由于井喷和处理井喷的过程中（井喷、压井及恢复正常钻井）产生的污水量较多，为确保事故池能储存所产生的污水，应及时对事故池储存的污水进行处理。若废水产生量较大，又无法对污水进行及时处理，可能造成污水池装满而外溢污染环境时，应及时启动备用事故池，防止污染物的扩散。</w:t>
      </w:r>
    </w:p>
    <w:p w14:paraId="40C931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（10）如发生井喷后，大量废水进入河流中，并且废水中油含量较高，应在河流下游处采取措施进行隔除浮油。</w:t>
      </w:r>
    </w:p>
    <w:p w14:paraId="660488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（11）事件处理过程中须执行重大环境事件应急监测预案，重点对井场周边居民区或办公区内的空气中的H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及甲烷浓度进行监控，如果已达到空气质量标准，则可上报相关决策部门下达返回指令，对周边水体及地下水水质进行监测，持续对周边水系上下游水质设点进行监控，掌握水质变化情况，若井场周边水系上下游水质</w:t>
      </w:r>
      <w:r>
        <w:rPr>
          <w:rFonts w:hint="eastAsia" w:cs="Times New Roman"/>
          <w:color w:val="auto"/>
          <w:highlight w:val="none"/>
          <w:lang w:eastAsia="zh-CN"/>
        </w:rPr>
        <w:t>无差异</w:t>
      </w:r>
      <w:r>
        <w:rPr>
          <w:rFonts w:hint="default" w:ascii="Times New Roman" w:hAnsi="Times New Roman" w:cs="Times New Roman"/>
          <w:color w:val="auto"/>
          <w:highlight w:val="none"/>
        </w:rPr>
        <w:t>，则可停止此项监测。</w:t>
      </w:r>
    </w:p>
    <w:p w14:paraId="32ABE1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（12）清理井场的各种环境污染物，按分级堆放处理原则进行处置、恢复正常的废水处理工作。</w:t>
      </w:r>
    </w:p>
    <w:p w14:paraId="1860076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（13）完成环境应急监测工作报告，对相关环境污染情况</w:t>
      </w:r>
      <w:r>
        <w:rPr>
          <w:rFonts w:hint="eastAsia" w:cs="Times New Roman"/>
          <w:color w:val="auto"/>
          <w:highlight w:val="none"/>
          <w:lang w:eastAsia="zh-CN"/>
        </w:rPr>
        <w:t>进行</w:t>
      </w:r>
      <w:r>
        <w:rPr>
          <w:rFonts w:hint="default" w:ascii="Times New Roman" w:hAnsi="Times New Roman" w:cs="Times New Roman"/>
          <w:color w:val="auto"/>
          <w:highlight w:val="none"/>
        </w:rPr>
        <w:t>评估。</w:t>
      </w:r>
    </w:p>
    <w:p w14:paraId="1CE5B61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（14）在相关</w:t>
      </w:r>
      <w:r>
        <w:rPr>
          <w:rFonts w:hint="eastAsia" w:cs="Times New Roman"/>
          <w:color w:val="auto"/>
          <w:highlight w:val="none"/>
          <w:lang w:eastAsia="zh-CN"/>
        </w:rPr>
        <w:t>部门</w:t>
      </w:r>
      <w:r>
        <w:rPr>
          <w:rFonts w:hint="default" w:ascii="Times New Roman" w:hAnsi="Times New Roman" w:cs="Times New Roman"/>
          <w:color w:val="auto"/>
          <w:highlight w:val="none"/>
        </w:rPr>
        <w:t>的指导下，对相关环境污染损失情况进行赔偿。</w:t>
      </w:r>
    </w:p>
    <w:p w14:paraId="3DDCFA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（15）对井喷的环境污染防治工作进行总结。</w:t>
      </w:r>
    </w:p>
    <w:p w14:paraId="3497742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（16）日常工作中严格遵守钻井的安全规定，在井口安装有效的井控装置，杜绝井喷的发生；随时观察、定期记录，及时发现溢流、</w:t>
      </w:r>
      <w:r>
        <w:rPr>
          <w:rFonts w:hint="eastAsia" w:cs="Times New Roman"/>
          <w:color w:val="auto"/>
          <w:highlight w:val="none"/>
          <w:lang w:eastAsia="zh-CN"/>
        </w:rPr>
        <w:t>泄漏</w:t>
      </w:r>
      <w:r>
        <w:rPr>
          <w:rFonts w:hint="default" w:ascii="Times New Roman" w:hAnsi="Times New Roman" w:cs="Times New Roman"/>
          <w:color w:val="auto"/>
          <w:highlight w:val="none"/>
        </w:rPr>
        <w:t>，并根据多年井喷事故井控装置失灵经验总结，并控作业中的一些错误做法，应尽量避免，杜绝井喷的发生；井场设置明显的禁止烟火标志；井场设备及电器设备、照明灯具符合防火防爆的安全要求，安装探照灯，以备井喷时钻台照明；按消防规定配备泡沫灭火器、干粉灭火器、消防铁锹和</w:t>
      </w:r>
      <w:r>
        <w:rPr>
          <w:rFonts w:hint="eastAsia" w:cs="Times New Roman"/>
          <w:color w:val="auto"/>
          <w:highlight w:val="none"/>
          <w:lang w:eastAsia="zh-CN"/>
        </w:rPr>
        <w:t>其他</w:t>
      </w:r>
      <w:r>
        <w:rPr>
          <w:rFonts w:hint="default" w:ascii="Times New Roman" w:hAnsi="Times New Roman" w:cs="Times New Roman"/>
          <w:color w:val="auto"/>
          <w:highlight w:val="none"/>
        </w:rPr>
        <w:t>消防器材；制订应急操作规程，在规程中说明发生井喷事故时应采取的操作步骤；井场设置事故池，按照最大可能性设计，降低环境风险。</w:t>
      </w:r>
    </w:p>
    <w:p w14:paraId="1910A4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井喷及井喷失控事故一旦发生，特别是含H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气井的井喷及失控，不仅将会造成巨大的经济损失，而且将会造成较严重的环境污染和危害及一定的社会负面影响。须认真贯彻集团公司《石油与天然气钻井井控规定》是十分重要的，特别应按要求执行在发生井喷事故后的抢险方案制订及实施，要把环境保护同时考虑，同时实施，防止出现次生环境事故。</w:t>
      </w:r>
    </w:p>
    <w:p w14:paraId="55FF2EA2">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7.5.3硫化氢泄漏的监控与预防措施</w:t>
      </w:r>
    </w:p>
    <w:p w14:paraId="5A20B66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（1）硫化氢监测与安全防护</w:t>
      </w:r>
    </w:p>
    <w:p w14:paraId="551788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硫化氢监测与安全防护应按照《含硫油气田硫化氢监测与人身安全防护规程》（SY6277-2005）和《含硫化氢的油气生产和天然气处理装置作业的推荐</w:t>
      </w:r>
      <w:r>
        <w:rPr>
          <w:rFonts w:hint="eastAsia" w:cs="Times New Roman"/>
          <w:color w:val="auto"/>
          <w:highlight w:val="none"/>
          <w:lang w:eastAsia="zh-CN"/>
        </w:rPr>
        <w:t>做法</w:t>
      </w:r>
      <w:r>
        <w:rPr>
          <w:rFonts w:hint="default" w:ascii="Times New Roman" w:hAnsi="Times New Roman" w:cs="Times New Roman"/>
          <w:color w:val="auto"/>
          <w:highlight w:val="none"/>
        </w:rPr>
        <w:t>》（SY/T6137-2005）要求进行。</w:t>
      </w:r>
    </w:p>
    <w:p w14:paraId="06D0E5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①作业人员巡检时应携带硫化氢</w:t>
      </w:r>
      <w:r>
        <w:rPr>
          <w:rFonts w:hint="eastAsia" w:cs="Times New Roman"/>
          <w:color w:val="auto"/>
          <w:highlight w:val="none"/>
          <w:lang w:eastAsia="zh-CN"/>
        </w:rPr>
        <w:t>检测仪</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第1级预警阈值应设置为15mg/m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或10ppm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，第2级报警阈值应设置为30mg/m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或20ppm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，进入上述区域应注意是否有报警信号。</w:t>
      </w:r>
    </w:p>
    <w:p w14:paraId="2E180F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②作业人员在检修和抢险作业时应携硫化氢</w:t>
      </w:r>
      <w:r>
        <w:rPr>
          <w:rFonts w:hint="eastAsia" w:cs="Times New Roman"/>
          <w:color w:val="auto"/>
          <w:highlight w:val="none"/>
          <w:lang w:eastAsia="zh-CN"/>
        </w:rPr>
        <w:t>检测仪</w:t>
      </w:r>
      <w:r>
        <w:rPr>
          <w:rFonts w:hint="default" w:ascii="Times New Roman" w:hAnsi="Times New Roman" w:cs="Times New Roman"/>
          <w:color w:val="auto"/>
          <w:highlight w:val="none"/>
        </w:rPr>
        <w:t>和正压式空气呼吸器。</w:t>
      </w:r>
    </w:p>
    <w:p w14:paraId="694663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③当监测到空气中硫化氢的浓度达到15mg/m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或10ppm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时，作业人员应检查泄漏点，准备防护用具，迅速打开排风扇，实施应急程序。</w:t>
      </w:r>
    </w:p>
    <w:p w14:paraId="1D324A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④当监测到空气中硫化氢的浓度达到30mg/m³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或20ppm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时，作业人员应该迅速打开排风扇，疏散人员。作业人员应戴上防护用具，进入紧急状态，立即实施应急方案。</w:t>
      </w:r>
    </w:p>
    <w:p w14:paraId="2BC0A95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⑤当监测到空气中硫化氢浓度达到150mg/m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或100ppm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时，应组织周边危险区域内的作业人员有秩序地迅速向上风向撤离到安全区域。</w:t>
      </w:r>
    </w:p>
    <w:p w14:paraId="3AD4BCD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（2）预防措施</w:t>
      </w:r>
    </w:p>
    <w:p w14:paraId="665EB62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在含硫化氢环境中的作业人员上岗前都应接受H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S危害及人身防护措施的培训，经考核合格后方能持证上岗。</w:t>
      </w:r>
    </w:p>
    <w:p w14:paraId="36C03CE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①在钻井作业期间，比如放喷、拆卸井口设备和起下管柱、循环钻井液等，应采取特别预防措施，以避免残存其中的硫化氢释放出来造成危害。</w:t>
      </w:r>
    </w:p>
    <w:p w14:paraId="56BC78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②为避免无风和微风情况下硫化氢的积聚，可以使用防爆通风设备将有毒气体吹往期望的方向。</w:t>
      </w:r>
    </w:p>
    <w:p w14:paraId="4F5167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③应特别注意低洼的工作区域，比如井口方井，由于较重的硫化氢或二氧化硫在这些地点的沉积，可能会达到有害的浓度。</w:t>
      </w:r>
    </w:p>
    <w:p w14:paraId="02BED21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④当人员在达到硫化氢危险临界浓度150mg/m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（100ppm）</w:t>
      </w:r>
      <w:r>
        <w:rPr>
          <w:rFonts w:hint="default" w:ascii="Times New Roman" w:hAnsi="Times New Roman" w:eastAsia="宋体" w:cs="Times New Roman"/>
          <w:color w:val="auto"/>
          <w:highlight w:val="none"/>
        </w:rPr>
        <w:t>的大气环境中执行任务时，应有接受过救护技术培训的值班救护人员，同时应备有必要的救护设备，包括适用的呼吸器具。</w:t>
      </w:r>
    </w:p>
    <w:p w14:paraId="08C64387">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7.5.4窜层污染事故的防范措施</w:t>
      </w:r>
    </w:p>
    <w:p w14:paraId="43E77F8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采用双层套管，表层套管完全封闭各含水层，固井水泥均上返地面，这样，在各含水层与井筒间形成双层套管、单层水泥环的保护措施，将事故风险降低到最低。</w:t>
      </w:r>
    </w:p>
    <w:p w14:paraId="5ADF7B36">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7.5.5管线事故风险预防措施</w:t>
      </w:r>
    </w:p>
    <w:p w14:paraId="501F1A56">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（1）严格按照管道施工、验收等规范进行设计、施工和验收。集输管线敷设前，应加强对管材和焊接质量的检查．严禁使用不合格产品。对焊接质量严格检验，防止焊接缺陷造成泄漏事故的发生。</w:t>
      </w:r>
    </w:p>
    <w:p w14:paraId="6DEF76A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（2）在集输管线的敷设线路上应设置永久性标志，包括里程桩、转角桩、交叉标志和警示牌等。</w:t>
      </w:r>
    </w:p>
    <w:p w14:paraId="75D202C5">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（3）按规定进行设备维修、保养，及时更换易损及老化部件，防止油气泄漏事故的发生。</w:t>
      </w:r>
    </w:p>
    <w:p w14:paraId="4AE7FEF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（4）加强自动控制系统的管理和控制，严格控制压力平衡。</w:t>
      </w:r>
    </w:p>
    <w:p w14:paraId="508A79B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（5）完善各站场的环境保护工程，及时清除、处理各种污染物，保持安全设施的完好，杜绝火灾的发生。</w:t>
      </w:r>
    </w:p>
    <w:p w14:paraId="7DB51F1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（6）在集输系统运营期间，严格控制输送油气的性质，定期清管，排除管内的积水和污物，以减轻管道内腐蚀；定期对管线进行</w:t>
      </w:r>
      <w:r>
        <w:rPr>
          <w:rFonts w:hint="eastAsia" w:cs="Times New Roman"/>
          <w:color w:val="auto"/>
          <w:highlight w:val="none"/>
          <w:lang w:eastAsia="zh-CN"/>
        </w:rPr>
        <w:t>超声检查</w:t>
      </w:r>
      <w:r>
        <w:rPr>
          <w:rFonts w:hint="default" w:ascii="Times New Roman" w:hAnsi="Times New Roman" w:cs="Times New Roman"/>
          <w:color w:val="auto"/>
          <w:highlight w:val="none"/>
        </w:rPr>
        <w:t>，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14:paraId="43E750C9">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（7）定期对管线进行巡视，加强管线和</w:t>
      </w:r>
      <w:r>
        <w:rPr>
          <w:rFonts w:hint="eastAsia" w:cs="Times New Roman"/>
          <w:color w:val="auto"/>
          <w:highlight w:val="none"/>
          <w:lang w:eastAsia="zh-CN"/>
        </w:rPr>
        <w:t>警示标志</w:t>
      </w:r>
      <w:r>
        <w:rPr>
          <w:rFonts w:hint="default" w:ascii="Times New Roman" w:hAnsi="Times New Roman" w:cs="Times New Roman"/>
          <w:color w:val="auto"/>
          <w:highlight w:val="none"/>
        </w:rPr>
        <w:t>的管理工作。</w:t>
      </w:r>
    </w:p>
    <w:p w14:paraId="3A7099D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（8）严禁在管线两侧各50m范围内修筑工程，在管线上方及近旁严禁动土开挖和修建超过管道负荷的建筑物。</w:t>
      </w:r>
    </w:p>
    <w:p w14:paraId="5D9A1049">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（9）加强对集输管线沿线重点敏感地段的环保管理，定期进行环境监测。</w:t>
      </w:r>
    </w:p>
    <w:p w14:paraId="2F9F392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（10）建立腐蚀监测系统，随时监测介质的腐蚀状况，了解和掌握区域系统的腐蚀原因，有针对性地制定、调整和优化腐蚀控制措施。</w:t>
      </w:r>
    </w:p>
    <w:p w14:paraId="46A1FBC9">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7.5.6危险废物运输风险防范措施</w:t>
      </w:r>
    </w:p>
    <w:p w14:paraId="4993F8AD">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危险废物交由第三方</w:t>
      </w:r>
      <w:r>
        <w:rPr>
          <w:rFonts w:hint="default" w:ascii="Times New Roman" w:hAnsi="Times New Roman" w:cs="Times New Roman"/>
          <w:color w:val="auto"/>
          <w:highlight w:val="none"/>
          <w:lang w:val="en-US" w:eastAsia="zh-CN"/>
        </w:rPr>
        <w:t>持有危险废物经营许可证</w:t>
      </w:r>
      <w:r>
        <w:rPr>
          <w:rFonts w:hint="default" w:ascii="Times New Roman" w:hAnsi="Times New Roman" w:cs="Times New Roman"/>
          <w:color w:val="auto"/>
          <w:highlight w:val="none"/>
        </w:rPr>
        <w:t>的单位进行运输和处置。</w:t>
      </w:r>
    </w:p>
    <w:p w14:paraId="74F90C8D">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危险废物运输的事故隐患主要是从泄漏开始的。因此，行车途中要勤于检查。当行驶一定时间后要查看一下</w:t>
      </w:r>
      <w:r>
        <w:rPr>
          <w:rFonts w:hint="eastAsia" w:cs="Times New Roman"/>
          <w:color w:val="auto"/>
          <w:highlight w:val="none"/>
          <w:lang w:eastAsia="zh-CN"/>
        </w:rPr>
        <w:t>车厢</w:t>
      </w:r>
      <w:r>
        <w:rPr>
          <w:rFonts w:hint="default" w:ascii="Times New Roman" w:hAnsi="Times New Roman" w:cs="Times New Roman"/>
          <w:color w:val="auto"/>
          <w:highlight w:val="none"/>
        </w:rPr>
        <w:t>底部四周有无泄漏液体，若有液体泄漏，应查找泄漏点，采取相应的应急措施，防止液体继续泄漏，将受到污染的土壤要全部回收，送至具备相应危废处理资质的单位进行无害化处理。</w:t>
      </w:r>
    </w:p>
    <w:p w14:paraId="2562A79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危险废物运输过程中主要风险防范措施如下：</w:t>
      </w:r>
    </w:p>
    <w:p w14:paraId="5DA6008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①运输时应当采取密闭、遮盖措施防止渗漏。</w:t>
      </w:r>
    </w:p>
    <w:p w14:paraId="50C106BF">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②对运输危险废物的设施和设备应当加强管理和维护，保证其正常运行和使用。</w:t>
      </w:r>
    </w:p>
    <w:p w14:paraId="666CFF45">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③不能混合运输性质不相容而又未经安全性处置的危险废物。</w:t>
      </w:r>
    </w:p>
    <w:p w14:paraId="12BFEF44">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④转移危险废物时，必须按照规定填危险废物转移联单，并向危险废物移出地和</w:t>
      </w:r>
      <w:r>
        <w:rPr>
          <w:rFonts w:hint="eastAsia" w:cs="Times New Roman"/>
          <w:color w:val="auto"/>
          <w:highlight w:val="none"/>
          <w:lang w:eastAsia="zh-CN"/>
        </w:rPr>
        <w:t>接收</w:t>
      </w:r>
      <w:r>
        <w:rPr>
          <w:rFonts w:hint="default" w:ascii="Times New Roman" w:hAnsi="Times New Roman" w:cs="Times New Roman"/>
          <w:color w:val="auto"/>
          <w:highlight w:val="none"/>
        </w:rPr>
        <w:t>地的县级以上地方人民政府环境保护行政主管部门报告。</w:t>
      </w:r>
    </w:p>
    <w:p w14:paraId="05E5FD56">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⑤禁止将危险废物与旅客在同一运输工具上载运；</w:t>
      </w:r>
    </w:p>
    <w:p w14:paraId="62773BDF">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⑥运输危险废物的设施和设备在转作他用时，必须经过消除污染的处理，方可使用。</w:t>
      </w:r>
    </w:p>
    <w:p w14:paraId="23D2FBDC">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⑦运输危险废物的人员，应当接受专业培训；经考核合格后，方可从事运输危险废物的工作。</w:t>
      </w:r>
    </w:p>
    <w:p w14:paraId="445FA40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⑧运输危险废物的单位应当制定在发生意外事故时采取的应急措施和防范措施。</w:t>
      </w:r>
    </w:p>
    <w:p w14:paraId="12616B84">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⑨运输时，发生突发性事故必须立即采取措施消除或者减轻对环境的污染危害，及时通报给附近的单位和居民，并向事故发生地县级以上人民政府环境保护行政主管部门和有关部门报告，接受调查处理。</w:t>
      </w:r>
    </w:p>
    <w:p w14:paraId="523107D7">
      <w:pPr>
        <w:pStyle w:val="141"/>
        <w:shd w:val="clear" w:color="auto" w:fill="auto"/>
        <w:rPr>
          <w:rFonts w:hint="default" w:ascii="Times New Roman" w:hAnsi="Times New Roman" w:eastAsia="宋体" w:cs="Times New Roman"/>
          <w:color w:val="auto"/>
          <w:highlight w:val="none"/>
          <w:lang w:val="en-US" w:eastAsia="zh-CN"/>
        </w:rPr>
      </w:pPr>
      <w:bookmarkStart w:id="565" w:name="_Hlk96007374"/>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w:t>
      </w:r>
      <w:bookmarkEnd w:id="565"/>
      <w:r>
        <w:rPr>
          <w:rFonts w:hint="default" w:ascii="Times New Roman" w:hAnsi="Times New Roman" w:eastAsia="宋体" w:cs="Times New Roman"/>
          <w:color w:val="auto"/>
          <w:highlight w:val="none"/>
          <w:lang w:val="en-US" w:eastAsia="zh-CN"/>
        </w:rPr>
        <w:t>7公益林防火措施</w:t>
      </w:r>
    </w:p>
    <w:p w14:paraId="0C4CFC7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本项目新建管线占用国家二级公益林，针对公益林提出以下防火措施：</w:t>
      </w:r>
    </w:p>
    <w:p w14:paraId="01AF760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①强化责任，实行森林防火领导负责制。西北油田分公司领导应制定防火操作规程，奖罚分明，提高工作人员森林防火责任意识。</w:t>
      </w:r>
    </w:p>
    <w:p w14:paraId="3109D34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②大力开展宣传教育。西北油田分公司应普遍开展宣传周、宣传月、举办知识竞赛，利用报纸、电视、广播、黑板报、张贴标语等多种形式在各种场合不厌其烦地进行宣传。</w:t>
      </w:r>
    </w:p>
    <w:p w14:paraId="17CAC43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③强化野外火源管理，制定办法，严格要求，加强对工作人员管理，严禁携带火种进入公益林区。</w:t>
      </w:r>
    </w:p>
    <w:p w14:paraId="28AF146A">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7.5.8重视和加强管理</w:t>
      </w:r>
    </w:p>
    <w:p w14:paraId="3EE98DA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除采取上述安全预防措施外，还应通过提高人员素质，加强责任心教育，完善有关操作条例等方法来防止人为因素引发的事故。</w:t>
      </w:r>
    </w:p>
    <w:p w14:paraId="6F7156D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①对生产操作的工人必须培训经考核后上岗，使其了解工艺过程，熟悉操作规程，对各种情况能进行正确判断。</w:t>
      </w:r>
    </w:p>
    <w:p w14:paraId="194ACD0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②加强干部、职工的风险意识和环境意识教育，增强安全、环保意识。建立健全各种规章制度、规程，使制度</w:t>
      </w:r>
      <w:r>
        <w:rPr>
          <w:rFonts w:hint="eastAsia" w:cs="Times New Roman"/>
          <w:color w:val="auto"/>
          <w:highlight w:val="none"/>
          <w:lang w:eastAsia="zh-CN"/>
        </w:rPr>
        <w:t>落到实处</w:t>
      </w:r>
      <w:r>
        <w:rPr>
          <w:rFonts w:hint="default" w:ascii="Times New Roman" w:hAnsi="Times New Roman" w:cs="Times New Roman"/>
          <w:color w:val="auto"/>
          <w:highlight w:val="none"/>
        </w:rPr>
        <w:t>，严格遵守，杜绝违章作业。</w:t>
      </w:r>
    </w:p>
    <w:p w14:paraId="3394522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③经常对职工进行爱岗教育，使职工安心本职工作，遵守劳动纪律，避免因责任心不强、操作中疏忽大意、擅离职守等原因造成的事故。</w:t>
      </w:r>
    </w:p>
    <w:p w14:paraId="22539ACA">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实施后，将</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相关工程纳入采油三厂环境风险应急预案。</w:t>
      </w:r>
    </w:p>
    <w:p w14:paraId="5C90704F">
      <w:pPr>
        <w:pStyle w:val="124"/>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5.7.6</w:t>
      </w:r>
      <w:r>
        <w:rPr>
          <w:rFonts w:hint="default" w:ascii="Times New Roman" w:hAnsi="Times New Roman" w:cs="Times New Roman"/>
          <w:color w:val="auto"/>
          <w:highlight w:val="none"/>
        </w:rPr>
        <w:t>环境风险应急处置措施</w:t>
      </w:r>
    </w:p>
    <w:p w14:paraId="0BD9CA27">
      <w:pPr>
        <w:pStyle w:val="141"/>
        <w:shd w:val="clear" w:color="auto" w:fill="auto"/>
        <w:rPr>
          <w:rFonts w:hint="default" w:ascii="Times New Roman" w:hAnsi="Times New Roman" w:eastAsia="宋体" w:cs="Times New Roman"/>
          <w:color w:val="auto"/>
          <w:highlight w:val="none"/>
          <w:lang w:val="en-US" w:eastAsia="zh-CN"/>
        </w:rPr>
      </w:pPr>
      <w:bookmarkStart w:id="566" w:name="_Toc3764"/>
      <w:r>
        <w:rPr>
          <w:rFonts w:hint="eastAsia" w:ascii="Times New Roman" w:hAnsi="Times New Roman" w:eastAsia="宋体" w:cs="Times New Roman"/>
          <w:color w:val="auto"/>
          <w:highlight w:val="none"/>
          <w:lang w:val="en-US" w:eastAsia="zh-CN"/>
        </w:rPr>
        <w:t>5.7.6</w:t>
      </w:r>
      <w:r>
        <w:rPr>
          <w:rFonts w:hint="default" w:ascii="Times New Roman" w:hAnsi="Times New Roman" w:eastAsia="宋体" w:cs="Times New Roman"/>
          <w:color w:val="auto"/>
          <w:highlight w:val="none"/>
          <w:lang w:val="en-US" w:eastAsia="zh-CN"/>
        </w:rPr>
        <w:t>.1井喷失控事故应急措施</w:t>
      </w:r>
      <w:bookmarkEnd w:id="566"/>
    </w:p>
    <w:p w14:paraId="4B3E84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lang w:eastAsia="zh-CN"/>
        </w:rPr>
      </w:pPr>
      <w:bookmarkStart w:id="567" w:name="_Toc31203"/>
      <w:r>
        <w:rPr>
          <w:rFonts w:hint="default" w:ascii="Times New Roman" w:hAnsi="Times New Roman" w:cs="Times New Roman"/>
          <w:color w:val="auto"/>
          <w:highlight w:val="none"/>
        </w:rPr>
        <w:t>（1）伴有硫化氢、甲烷等有毒有害气体逸散时：</w:t>
      </w:r>
      <w:bookmarkEnd w:id="567"/>
    </w:p>
    <w:p w14:paraId="7DAA50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①应迅速封闭事故现场，抢救现场窒息人员，发出硫化氢、甲烷报警信号，进行交通管制，禁止外人进入现场，控制事态发展；</w:t>
      </w:r>
    </w:p>
    <w:p w14:paraId="451C186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②监测有毒有害气体浓度，根据现场风向，协同当地政府疏散现场及周边无关人员；</w:t>
      </w:r>
    </w:p>
    <w:p w14:paraId="174CBF3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③现场人员生命受到威胁、井口失控、撤离现场无望时，现场应急指挥应立即发出点火指令；</w:t>
      </w:r>
    </w:p>
    <w:p w14:paraId="48AAB12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④条件允许时，迅速组织应急救援队伍抢装井口和实施压井作业。</w:t>
      </w:r>
    </w:p>
    <w:p w14:paraId="29D3FE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lang w:eastAsia="zh-CN"/>
        </w:rPr>
      </w:pPr>
      <w:bookmarkStart w:id="568" w:name="_Toc2050"/>
      <w:r>
        <w:rPr>
          <w:rFonts w:hint="default" w:ascii="Times New Roman" w:hAnsi="Times New Roman" w:cs="Times New Roman"/>
          <w:color w:val="auto"/>
          <w:highlight w:val="none"/>
        </w:rPr>
        <w:t>（2）引发火灾、爆炸时：</w:t>
      </w:r>
      <w:bookmarkEnd w:id="568"/>
    </w:p>
    <w:p w14:paraId="2C40AFF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①现场发生火灾、爆炸，应立即阻断引火源，并组织灭火；</w:t>
      </w:r>
    </w:p>
    <w:p w14:paraId="5FAA6A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②条件允许时，迅速组织抢装井口和压井作业；</w:t>
      </w:r>
    </w:p>
    <w:p w14:paraId="6F87802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③井场四周设置围堤，防止喷出物污染环境；</w:t>
      </w:r>
    </w:p>
    <w:p w14:paraId="0BEC749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④依据井喷事件程度确定警戒范围，撤离无关人员。</w:t>
      </w:r>
    </w:p>
    <w:p w14:paraId="158D841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rPr>
      </w:pPr>
      <w:bookmarkStart w:id="569" w:name="_Toc13900"/>
      <w:r>
        <w:rPr>
          <w:rFonts w:hint="default" w:ascii="Times New Roman" w:hAnsi="Times New Roman" w:cs="Times New Roman"/>
          <w:color w:val="auto"/>
          <w:highlight w:val="none"/>
        </w:rPr>
        <w:t>（3）遇险人员应急撤离条件：</w:t>
      </w:r>
      <w:bookmarkEnd w:id="569"/>
    </w:p>
    <w:p w14:paraId="3CBB9DF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①井喷失控后，经采取措施无效，危及设施及人员生命安全或引起重大火灾无法控制时；</w:t>
      </w:r>
    </w:p>
    <w:p w14:paraId="7F096FC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②空气中硫化氢、甲烷浓度较高，且无法有效控制时；</w:t>
      </w:r>
    </w:p>
    <w:p w14:paraId="4AC73AC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③由于各种原因（如油气泄漏）导致设施发生火灾，经采取措施无效，危及设施及人员生命安全时；</w:t>
      </w:r>
    </w:p>
    <w:p w14:paraId="0BDB42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④由于各种原因导致设施发生爆炸，危及整个设施和人员生命安全时。</w:t>
      </w:r>
    </w:p>
    <w:p w14:paraId="15699B02">
      <w:pPr>
        <w:pageBreakBefore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7</w:t>
      </w: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6</w:t>
      </w: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eastAsia="zh-CN"/>
        </w:rPr>
        <w:t>泄漏</w:t>
      </w:r>
      <w:r>
        <w:rPr>
          <w:rFonts w:hint="default" w:ascii="Times New Roman" w:hAnsi="Times New Roman" w:cs="Times New Roman"/>
          <w:b/>
          <w:bCs/>
          <w:color w:val="auto"/>
          <w:highlight w:val="none"/>
        </w:rPr>
        <w:t>的应急措施</w:t>
      </w:r>
    </w:p>
    <w:p w14:paraId="6D9C4B2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rPr>
      </w:pPr>
      <w:bookmarkStart w:id="570" w:name="_Toc2670"/>
      <w:r>
        <w:rPr>
          <w:rFonts w:hint="default" w:ascii="Times New Roman" w:hAnsi="Times New Roman" w:cs="Times New Roman"/>
          <w:color w:val="auto"/>
          <w:highlight w:val="none"/>
        </w:rPr>
        <w:t>（1）井场泄漏处置</w:t>
      </w:r>
      <w:bookmarkEnd w:id="570"/>
    </w:p>
    <w:p w14:paraId="64A2C01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伴有硫化氢、甲烷等有害气体逸散时：</w:t>
      </w:r>
    </w:p>
    <w:p w14:paraId="6D311F9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①应迅速封闭事故现场，抢救现场窒息人员，发出硫化氢、甲烷报警信号，进行交通管制，禁止外人进入现场，控制事态发展；</w:t>
      </w:r>
    </w:p>
    <w:p w14:paraId="121DE6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②监测有害气体浓度，根据现场风向，协调当地政府部门疏散现场及周边无关人员；</w:t>
      </w:r>
    </w:p>
    <w:p w14:paraId="59359EA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③现场人员生命受到威胁、撤离现场无望时，现场应急指挥应立即发出点火指令。</w:t>
      </w:r>
    </w:p>
    <w:p w14:paraId="12A301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引发火灾、爆炸时：</w:t>
      </w:r>
    </w:p>
    <w:p w14:paraId="4CE69E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①现场发生火灾、爆炸，应立即阻断引火源，并组织灭火；</w:t>
      </w:r>
    </w:p>
    <w:p w14:paraId="0B3D1F1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②确定警戒范围，撤离无关人员。</w:t>
      </w:r>
    </w:p>
    <w:p w14:paraId="0AC8E9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bookmarkStart w:id="571" w:name="_Toc30265"/>
      <w:r>
        <w:rPr>
          <w:rFonts w:hint="default" w:ascii="Times New Roman" w:hAnsi="Times New Roman" w:cs="Times New Roman"/>
          <w:color w:val="auto"/>
          <w:highlight w:val="none"/>
        </w:rPr>
        <w:t>（2）站场泄漏处置</w:t>
      </w:r>
      <w:bookmarkEnd w:id="571"/>
    </w:p>
    <w:p w14:paraId="321C79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站场设备泄漏：</w:t>
      </w:r>
    </w:p>
    <w:p w14:paraId="1699F03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①若站场设备出现泄漏，确定泄漏源的位置；</w:t>
      </w:r>
    </w:p>
    <w:p w14:paraId="7E50CEE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②关断泄漏处两端阀门或关停设备，对泄漏处进行紧急堵漏处理；</w:t>
      </w:r>
    </w:p>
    <w:p w14:paraId="03F4699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③对于泄漏的原油进行有效防护或</w:t>
      </w:r>
      <w:r>
        <w:rPr>
          <w:rFonts w:hint="eastAsia" w:cs="Times New Roman"/>
          <w:color w:val="auto"/>
          <w:highlight w:val="none"/>
          <w:lang w:eastAsia="zh-CN"/>
        </w:rPr>
        <w:t>转移至</w:t>
      </w:r>
      <w:r>
        <w:rPr>
          <w:rFonts w:hint="default" w:ascii="Times New Roman" w:hAnsi="Times New Roman" w:cs="Times New Roman"/>
          <w:color w:val="auto"/>
          <w:highlight w:val="none"/>
        </w:rPr>
        <w:t>安全处，防止发生火灾、爆炸事故；</w:t>
      </w:r>
    </w:p>
    <w:p w14:paraId="425E5DE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④采取围堰堵截的方式，使泄漏物不外流，防止污染物扩散，确保总排口阀门处于关闭状态，如果发生大型泄漏或火灾事故，启用事故应急池导流设施将物料或消防水引</w:t>
      </w:r>
      <w:r>
        <w:rPr>
          <w:rFonts w:hint="eastAsia" w:cs="Times New Roman"/>
          <w:color w:val="auto"/>
          <w:highlight w:val="none"/>
          <w:lang w:eastAsia="zh-CN"/>
        </w:rPr>
        <w:t>至</w:t>
      </w:r>
      <w:r>
        <w:rPr>
          <w:rFonts w:hint="default" w:ascii="Times New Roman" w:hAnsi="Times New Roman" w:cs="Times New Roman"/>
          <w:color w:val="auto"/>
          <w:highlight w:val="none"/>
        </w:rPr>
        <w:t>应急池或应急罐；</w:t>
      </w:r>
    </w:p>
    <w:p w14:paraId="01E45B1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⑤现场密切监测泄漏物、泄漏点状况，当泄漏无法控制时，人员在切断泄漏点与生产系统等的连接后，根据风向标的指示，紧急撤离至安全区域；</w:t>
      </w:r>
    </w:p>
    <w:p w14:paraId="0008B7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⑥如果少量泄漏，采取用</w:t>
      </w:r>
      <w:r>
        <w:rPr>
          <w:rFonts w:hint="eastAsia" w:cs="Times New Roman"/>
          <w:color w:val="auto"/>
          <w:highlight w:val="none"/>
          <w:lang w:eastAsia="zh-CN"/>
        </w:rPr>
        <w:t>砂石</w:t>
      </w:r>
      <w:r>
        <w:rPr>
          <w:rFonts w:hint="default" w:ascii="Times New Roman" w:hAnsi="Times New Roman" w:cs="Times New Roman"/>
          <w:color w:val="auto"/>
          <w:highlight w:val="none"/>
        </w:rPr>
        <w:t>填埋、泡沫覆盖的方式处理，杜绝泄漏物流入雨排管网；如果量大，则用工具进行收集；</w:t>
      </w:r>
    </w:p>
    <w:p w14:paraId="6612297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⑦确定是否已有泄漏物质进入大气、附近水体、下水道等场所；</w:t>
      </w:r>
    </w:p>
    <w:p w14:paraId="174D21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⑧事件发生后，应急监测小组对周围大气污染物浓度进行监测，及时、准确地确定超标的项目及超标量，立即向应急指挥中心汇报监测结果。</w:t>
      </w:r>
    </w:p>
    <w:p w14:paraId="16EF014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伴有硫化氢、甲烷等有毒有害气体逸散时：</w:t>
      </w:r>
    </w:p>
    <w:p w14:paraId="312B58A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①应迅速封闭事故现场，抢救现场窒息人员，发出硫化氢、甲烷报警信号，进行交通管制，禁止外人进入现场，控制事态发展；</w:t>
      </w:r>
    </w:p>
    <w:p w14:paraId="49DF49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②监测有害气体浓度，根据现场风向，协同当地政府部门疏散现场及周边无关人员；</w:t>
      </w:r>
    </w:p>
    <w:p w14:paraId="0945582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③现场人员生命受到威胁、撤离现场无望时，现场应急指挥应立即发出点火指令。</w:t>
      </w:r>
    </w:p>
    <w:p w14:paraId="7A0BEA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C.</w:t>
      </w:r>
      <w:r>
        <w:rPr>
          <w:rFonts w:hint="default" w:ascii="Times New Roman" w:hAnsi="Times New Roman" w:cs="Times New Roman"/>
          <w:color w:val="auto"/>
          <w:highlight w:val="none"/>
        </w:rPr>
        <w:t>引发火灾、爆炸时：</w:t>
      </w:r>
    </w:p>
    <w:p w14:paraId="7945704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①现场发生火灾、爆炸，应立即阻断引火源，并组织灭火；</w:t>
      </w:r>
    </w:p>
    <w:p w14:paraId="3BDABD4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②确定警戒范围，撤离无关人员。</w:t>
      </w:r>
    </w:p>
    <w:p w14:paraId="113327C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rPr>
      </w:pPr>
      <w:bookmarkStart w:id="572" w:name="_Toc10933"/>
      <w:r>
        <w:rPr>
          <w:rFonts w:hint="default" w:ascii="Times New Roman" w:hAnsi="Times New Roman" w:cs="Times New Roman"/>
          <w:color w:val="auto"/>
          <w:highlight w:val="none"/>
        </w:rPr>
        <w:t>（3）管道泄漏处置</w:t>
      </w:r>
      <w:bookmarkEnd w:id="572"/>
    </w:p>
    <w:p w14:paraId="4674509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输油管道破裂泄漏时：</w:t>
      </w:r>
    </w:p>
    <w:p w14:paraId="1450F1F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①如出现人员伤亡，在确保安全前提下先组织力量抢救受伤人员；</w:t>
      </w:r>
    </w:p>
    <w:p w14:paraId="11B41C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②切断管道泄漏源，封闭事件现场和危险区域，周边设置警示标识，同时组织人员切断周边着火源，防止事态扩大和引发次生事故；</w:t>
      </w:r>
    </w:p>
    <w:p w14:paraId="4E3EA2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③配合地方政府有关部门设置警戒线，划定安全区域，组织撤离、疏散周边居民、群众；</w:t>
      </w:r>
    </w:p>
    <w:p w14:paraId="7FB40F4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④组织输油管道泄漏的围控、处置；</w:t>
      </w:r>
    </w:p>
    <w:p w14:paraId="00FDC7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⑤原油管道泄漏原油回收并妥善处理；</w:t>
      </w:r>
    </w:p>
    <w:p w14:paraId="6FC6F2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⑥对污染现场进行清理，并确保达到环境保护要求。</w:t>
      </w:r>
    </w:p>
    <w:p w14:paraId="2F9BCFB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输气管道破裂泄漏时：</w:t>
      </w:r>
    </w:p>
    <w:p w14:paraId="34E4245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①应迅速停运泄漏管道，必要时实行紧急放空。同时，封闭事故现场，发出天然气泄漏报警；</w:t>
      </w:r>
    </w:p>
    <w:p w14:paraId="6E2CA7E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②组织专业医疗救护小组抢救现场中毒人员和受伤人员；</w:t>
      </w:r>
    </w:p>
    <w:p w14:paraId="48CD7F1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③监测有害气体浓度，根据现场风向，加强现场人员的个人防护，疏散现场及周边无关人员和公众；</w:t>
      </w:r>
    </w:p>
    <w:p w14:paraId="3E6166E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④条件允许时，迅速组织力量对泄漏管道进行封堵、抢修作业；</w:t>
      </w:r>
    </w:p>
    <w:p w14:paraId="3220A49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⑤放空的天然气应通过放空火炬点燃烧掉，当火炬高度小于1m时应立即关闭放空阀门。</w:t>
      </w:r>
    </w:p>
    <w:p w14:paraId="35A7CF1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C.</w:t>
      </w:r>
      <w:r>
        <w:rPr>
          <w:rFonts w:hint="default" w:ascii="Times New Roman" w:hAnsi="Times New Roman" w:cs="Times New Roman"/>
          <w:color w:val="auto"/>
          <w:highlight w:val="none"/>
        </w:rPr>
        <w:t>油气管道泄漏引发火灾、爆炸时：</w:t>
      </w:r>
    </w:p>
    <w:p w14:paraId="4038385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①立即切断泄漏源，封闭泄漏现场；</w:t>
      </w:r>
    </w:p>
    <w:p w14:paraId="7254F4F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②组织专业医疗救护小组抢救现场受伤人员；</w:t>
      </w:r>
    </w:p>
    <w:p w14:paraId="62FEC60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③组织现场消防力量进行灭火；</w:t>
      </w:r>
    </w:p>
    <w:p w14:paraId="519434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④组织力量对泄漏管道进行封堵、抢修；</w:t>
      </w:r>
    </w:p>
    <w:p w14:paraId="6F9A9F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⑤对污染物进行隔离，并组织清理；</w:t>
      </w:r>
    </w:p>
    <w:p w14:paraId="2F55D9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⑥采取隔离、警戒和疏散措施，避免无关人员进入事发区域，并合理布置消防和救援力量；</w:t>
      </w:r>
    </w:p>
    <w:p w14:paraId="0B2A674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⑦当重点要害部位存在有毒有害气体泄漏时，应进行有毒有害</w:t>
      </w:r>
      <w:r>
        <w:rPr>
          <w:rFonts w:hint="eastAsia" w:cs="Times New Roman"/>
          <w:color w:val="auto"/>
          <w:highlight w:val="none"/>
          <w:lang w:eastAsia="zh-CN"/>
        </w:rPr>
        <w:t>气体检测</w:t>
      </w:r>
      <w:r>
        <w:rPr>
          <w:rFonts w:hint="default" w:ascii="Times New Roman" w:hAnsi="Times New Roman" w:cs="Times New Roman"/>
          <w:color w:val="auto"/>
          <w:highlight w:val="none"/>
        </w:rPr>
        <w:t>；</w:t>
      </w:r>
    </w:p>
    <w:p w14:paraId="7E02229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⑧迅速将受伤、中毒人员送医院抢救，并根据需要配备医疗救护人员、治疗药物和器材；</w:t>
      </w:r>
    </w:p>
    <w:p w14:paraId="75CBF3E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⑨当重点要害部位可燃物料存量较多时，尽量采取工艺处理措施，转移可燃物料，切断危险区与外界装置、设施的连通，组织专家组和相关技术人员制定方案；</w:t>
      </w:r>
    </w:p>
    <w:p w14:paraId="3746EE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⑩火灾扑救过程中，专家组应根据危险区的危害因素和火灾发展趋势进行动态评估，及时提出灭火指导意见；</w:t>
      </w:r>
    </w:p>
    <w:p w14:paraId="2C20D5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⑪灭火完毕后，立即清理火灾现场，组织力量对泄漏点封堵抢险。</w:t>
      </w:r>
    </w:p>
    <w:p w14:paraId="12E75F5A">
      <w:pPr>
        <w:pageBreakBefore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bCs/>
          <w:color w:val="auto"/>
          <w:highlight w:val="none"/>
        </w:rPr>
      </w:pPr>
      <w:r>
        <w:rPr>
          <w:rFonts w:hint="eastAsia" w:cs="Times New Roman"/>
          <w:b/>
          <w:bCs/>
          <w:color w:val="auto"/>
          <w:highlight w:val="none"/>
          <w:lang w:val="en-US" w:eastAsia="zh-CN"/>
        </w:rPr>
        <w:t>5.7.6</w:t>
      </w:r>
      <w:r>
        <w:rPr>
          <w:rFonts w:hint="default" w:ascii="Times New Roman" w:hAnsi="Times New Roman" w:cs="Times New Roman"/>
          <w:b/>
          <w:bCs/>
          <w:color w:val="auto"/>
          <w:highlight w:val="none"/>
        </w:rPr>
        <w:t>.3火灾应急处置措施</w:t>
      </w:r>
    </w:p>
    <w:p w14:paraId="1018471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（1）立即阻断火源，并组织灭火；</w:t>
      </w:r>
    </w:p>
    <w:p w14:paraId="61256A1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（2）确定警戒范围，撤离无关人员。</w:t>
      </w:r>
    </w:p>
    <w:p w14:paraId="0884682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（3）火灾扑救过程中，专家组应根据危险区的危害因素和火灾发展趋势进行动态评估，及时提出灭火指导意见；</w:t>
      </w:r>
    </w:p>
    <w:p w14:paraId="50D8847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rPr>
      </w:pPr>
      <w:bookmarkStart w:id="573" w:name="_Toc21596"/>
      <w:r>
        <w:rPr>
          <w:rFonts w:hint="default" w:ascii="Times New Roman" w:hAnsi="Times New Roman" w:cs="Times New Roman"/>
          <w:color w:val="auto"/>
          <w:highlight w:val="none"/>
        </w:rPr>
        <w:t>（4）灭火完毕后，立即清理火灾现场。</w:t>
      </w:r>
      <w:bookmarkEnd w:id="573"/>
    </w:p>
    <w:p w14:paraId="2155FF4B">
      <w:pPr>
        <w:pageBreakBefore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b/>
          <w:bCs/>
          <w:color w:val="auto"/>
          <w:highlight w:val="none"/>
          <w:lang w:eastAsia="zh-CN"/>
        </w:rPr>
      </w:pPr>
      <w:r>
        <w:rPr>
          <w:rFonts w:hint="eastAsia" w:cs="Times New Roman"/>
          <w:b/>
          <w:bCs/>
          <w:color w:val="auto"/>
          <w:highlight w:val="none"/>
          <w:lang w:val="en-US" w:eastAsia="zh-CN"/>
        </w:rPr>
        <w:t>5.7.6</w:t>
      </w:r>
      <w:r>
        <w:rPr>
          <w:rFonts w:hint="default" w:ascii="Times New Roman" w:hAnsi="Times New Roman" w:cs="Times New Roman"/>
          <w:b/>
          <w:bCs/>
          <w:color w:val="auto"/>
          <w:highlight w:val="none"/>
        </w:rPr>
        <w:t>.4危险废物泄漏造成的环境突发事件应急处置</w:t>
      </w:r>
    </w:p>
    <w:p w14:paraId="78A1859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涉及的危险废物主要为油泥砂等，委托有危废处置资质单位进行及时清运，泄漏事故率较低。井场、站场人员对危险废物存放点进行巡查，每班1~2次，当发现危险废物泄漏时应通知站场负责人，按以下方法进行处置：</w:t>
      </w:r>
    </w:p>
    <w:p w14:paraId="124312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rPr>
      </w:pPr>
      <w:bookmarkStart w:id="574" w:name="_Toc13825"/>
      <w:r>
        <w:rPr>
          <w:rFonts w:hint="default" w:ascii="Times New Roman" w:hAnsi="Times New Roman" w:cs="Times New Roman"/>
          <w:color w:val="auto"/>
          <w:highlight w:val="none"/>
        </w:rPr>
        <w:t>（1）消除火源；</w:t>
      </w:r>
      <w:bookmarkEnd w:id="574"/>
    </w:p>
    <w:p w14:paraId="6DB5B5F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（2）根据液体流动和蒸气扩散的影响区域划定警戒区，无关人员从侧风、上风向撤离至安全区；</w:t>
      </w:r>
    </w:p>
    <w:p w14:paraId="0C4F55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highlight w:val="none"/>
        </w:rPr>
      </w:pPr>
      <w:bookmarkStart w:id="575" w:name="_Toc6513"/>
      <w:r>
        <w:rPr>
          <w:rFonts w:hint="default" w:ascii="Times New Roman" w:hAnsi="Times New Roman" w:cs="Times New Roman"/>
          <w:color w:val="auto"/>
          <w:highlight w:val="none"/>
        </w:rPr>
        <w:t>（3）应急处理人员戴好防护口罩；</w:t>
      </w:r>
      <w:bookmarkEnd w:id="575"/>
    </w:p>
    <w:p w14:paraId="6F0B0D1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（4）作业时使用的所有设备应接地，禁止接触或跨越泄漏物，尽可能切断泄漏源。防止泄漏物进入水体、下水道、地下室或密闭性空间；</w:t>
      </w:r>
    </w:p>
    <w:p w14:paraId="02D6A3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小量泄漏：用砂土或</w:t>
      </w:r>
      <w:r>
        <w:rPr>
          <w:rFonts w:hint="eastAsia" w:cs="Times New Roman"/>
          <w:color w:val="auto"/>
          <w:highlight w:val="none"/>
          <w:lang w:eastAsia="zh-CN"/>
        </w:rPr>
        <w:t>其他</w:t>
      </w:r>
      <w:r>
        <w:rPr>
          <w:rFonts w:hint="default" w:ascii="Times New Roman" w:hAnsi="Times New Roman" w:cs="Times New Roman"/>
          <w:color w:val="auto"/>
          <w:highlight w:val="none"/>
        </w:rPr>
        <w:t>无火花工具收集吸收材料。</w:t>
      </w:r>
    </w:p>
    <w:p w14:paraId="6E8E43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大量泄漏：构筑围堤或挖坑收容。用泡沫覆盖，减少蒸发，用防爆泵转移至槽车或专用收集器内。</w:t>
      </w:r>
    </w:p>
    <w:p w14:paraId="2B1694EF">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lang w:val="en-US" w:eastAsia="zh-CN"/>
        </w:rPr>
        <w:t>环境风险应急预案</w:t>
      </w:r>
      <w:r>
        <w:rPr>
          <w:rFonts w:hint="eastAsia" w:ascii="Times New Roman" w:hAnsi="Times New Roman" w:eastAsia="宋体" w:cs="Times New Roman"/>
          <w:color w:val="auto"/>
          <w:highlight w:val="none"/>
          <w:lang w:val="en-US" w:eastAsia="zh-CN"/>
        </w:rPr>
        <w:t>及</w:t>
      </w:r>
      <w:r>
        <w:rPr>
          <w:rFonts w:hint="default" w:ascii="Times New Roman" w:hAnsi="Times New Roman" w:eastAsia="宋体" w:cs="Times New Roman"/>
          <w:color w:val="auto"/>
          <w:highlight w:val="none"/>
          <w:lang w:val="en-US" w:eastAsia="zh-CN"/>
        </w:rPr>
        <w:t>现有环境风险防范措施的有效性</w:t>
      </w:r>
    </w:p>
    <w:p w14:paraId="78CCE037">
      <w:pPr>
        <w:pStyle w:val="141"/>
        <w:shd w:val="clear" w:color="auto" w:fil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5.7.7</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环境风险应急预案</w:t>
      </w:r>
    </w:p>
    <w:p w14:paraId="68D3EF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位于阿克苏地区库车市境内，</w:t>
      </w:r>
      <w:r>
        <w:rPr>
          <w:rFonts w:hint="default" w:ascii="Times New Roman" w:hAnsi="Times New Roman" w:cs="Times New Roman"/>
          <w:color w:val="auto"/>
          <w:highlight w:val="none"/>
          <w:lang w:val="en-US" w:eastAsia="zh-CN"/>
        </w:rPr>
        <w:t>由</w:t>
      </w:r>
      <w:r>
        <w:rPr>
          <w:rFonts w:hint="eastAsia" w:cs="Times New Roman"/>
          <w:color w:val="auto"/>
          <w:highlight w:val="none"/>
          <w:lang w:val="en-US" w:eastAsia="zh-CN"/>
        </w:rPr>
        <w:t>西北油田分公司</w:t>
      </w:r>
      <w:r>
        <w:rPr>
          <w:rFonts w:hint="default" w:ascii="Times New Roman" w:hAnsi="Times New Roman" w:cs="Times New Roman"/>
          <w:color w:val="auto"/>
          <w:highlight w:val="none"/>
          <w:lang w:val="en-US" w:eastAsia="zh-CN"/>
        </w:rPr>
        <w:t>采油三厂管理。</w:t>
      </w:r>
    </w:p>
    <w:p w14:paraId="5DE803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采油三厂</w:t>
      </w:r>
      <w:r>
        <w:rPr>
          <w:rFonts w:hint="default" w:ascii="Times New Roman" w:hAnsi="Times New Roman" w:cs="Times New Roman"/>
          <w:color w:val="auto"/>
          <w:highlight w:val="none"/>
        </w:rPr>
        <w:t>于202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月取得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中国石化西北油田分公司采油三厂突发环境事件应急预案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的备案证明，备案编号为652923-2021-196-L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库车市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采油三厂</w:t>
      </w:r>
      <w:r>
        <w:rPr>
          <w:rFonts w:hint="default" w:ascii="Times New Roman" w:hAnsi="Times New Roman" w:eastAsia="宋体" w:cs="Times New Roman"/>
          <w:color w:val="auto"/>
          <w:highlight w:val="none"/>
        </w:rPr>
        <w:t>配备有应急物资，定期开展应急演练，因此，在严格执行应急预案和应急处置的基础上，现有环境风险防范措施是有效的。</w:t>
      </w:r>
    </w:p>
    <w:p w14:paraId="678FAF8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本评价建议将本次建设内</w:t>
      </w:r>
      <w:r>
        <w:rPr>
          <w:rFonts w:hint="eastAsia" w:cs="Times New Roman"/>
          <w:color w:val="auto"/>
          <w:highlight w:val="none"/>
          <w:lang w:eastAsia="zh-CN"/>
        </w:rPr>
        <w:t>容的</w:t>
      </w:r>
      <w:r>
        <w:rPr>
          <w:rFonts w:hint="default" w:ascii="Times New Roman" w:hAnsi="Times New Roman" w:eastAsia="宋体" w:cs="Times New Roman"/>
          <w:color w:val="auto"/>
          <w:highlight w:val="none"/>
        </w:rPr>
        <w:t>突发环境事件应急预案纳入西北油田分公司</w:t>
      </w:r>
      <w:r>
        <w:rPr>
          <w:rFonts w:hint="default" w:ascii="Times New Roman" w:hAnsi="Times New Roman" w:cs="Times New Roman"/>
          <w:color w:val="auto"/>
          <w:highlight w:val="none"/>
          <w:lang w:val="en-US" w:eastAsia="zh-CN"/>
        </w:rPr>
        <w:t>采油三厂</w:t>
      </w:r>
      <w:r>
        <w:rPr>
          <w:rFonts w:hint="default" w:ascii="Times New Roman" w:hAnsi="Times New Roman" w:eastAsia="宋体" w:cs="Times New Roman"/>
          <w:color w:val="auto"/>
          <w:highlight w:val="none"/>
        </w:rPr>
        <w:t>现有突发环境事件应急预案中，对现有突发环境事件应急预案进行必要的完善和补充。</w:t>
      </w:r>
    </w:p>
    <w:p w14:paraId="5223292E">
      <w:pPr>
        <w:pStyle w:val="141"/>
        <w:shd w:val="clear" w:color="auto" w:fil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5.7.7.2 现有风险防范措施的有效性</w:t>
      </w:r>
    </w:p>
    <w:p w14:paraId="7C0D11E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(1)环境风险防控措施有效性</w:t>
      </w:r>
    </w:p>
    <w:p w14:paraId="050540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对照《中国石化突发环境事件风险评估指南》关于陆上油气田环境风险评估中环境风险防控措</w:t>
      </w:r>
      <w:r>
        <w:rPr>
          <w:rFonts w:hint="eastAsia" w:cs="Times New Roman"/>
          <w:color w:val="auto"/>
          <w:highlight w:val="none"/>
          <w:lang w:eastAsia="zh-CN"/>
        </w:rPr>
        <w:t>施的</w:t>
      </w:r>
      <w:r>
        <w:rPr>
          <w:rFonts w:hint="eastAsia" w:ascii="Times New Roman" w:hAnsi="Times New Roman" w:eastAsia="宋体" w:cs="Times New Roman"/>
          <w:color w:val="auto"/>
          <w:highlight w:val="none"/>
        </w:rPr>
        <w:t>有效性评估依据，目前西北油田分公司已建</w:t>
      </w:r>
      <w:r>
        <w:rPr>
          <w:rFonts w:hint="eastAsia" w:cs="Times New Roman"/>
          <w:color w:val="auto"/>
          <w:highlight w:val="none"/>
          <w:lang w:eastAsia="zh-CN"/>
        </w:rPr>
        <w:t>立了</w:t>
      </w:r>
      <w:r>
        <w:rPr>
          <w:rFonts w:hint="eastAsia" w:ascii="Times New Roman" w:hAnsi="Times New Roman" w:eastAsia="宋体" w:cs="Times New Roman"/>
          <w:color w:val="auto"/>
          <w:highlight w:val="none"/>
        </w:rPr>
        <w:t>完善的应急管理体系，配备有专业的应急管理队伍，同时配备有充足的应急物资。西北油田分公司已针对油田常见的生产设备泄漏、管线爆管泄漏等情景提出了相关防范措施，并制定了相应的应急预案。类比同类管道发生刺漏事故时，采取应急预案中相应应急措施可确保事故发生时，最大程度降低对周围环境空气、地下水、土壤的影响。同时为确保人员熟悉应急措施，定期对相关人员开展应急演练工作，针对演练过程中发现的问题及时修改现有应急预案的不足。现有风险防范措施可靠有效，可有效降低事故状态下对环境空气、地下水的影响。</w:t>
      </w:r>
    </w:p>
    <w:p w14:paraId="3ED8332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(2)建设项目环境风险防控要求落实</w:t>
      </w:r>
    </w:p>
    <w:p w14:paraId="3CC019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对照《中国石化突发环境事件风险评估指南》关于陆上油气田井场环境风险评估中建设项目环境风险防控要求落实评估依据，油气田井场均落实了建设项目环境影响评价及其批复提出的环境风险防控措施。</w:t>
      </w:r>
    </w:p>
    <w:p w14:paraId="59F2990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(3)环境风险源现场处置方案</w:t>
      </w:r>
    </w:p>
    <w:p w14:paraId="1FAA830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对照《中国石化突发环境事件风险评估指南》关于陆上油气田井场环境风险评估中环境风险源现场处置方案评估依据，各采油厂编制了应急预案，按照要求开展了演练并记录，且按要求进行了备案。</w:t>
      </w:r>
    </w:p>
    <w:p w14:paraId="0FD3A4DB">
      <w:pPr>
        <w:pStyle w:val="6"/>
        <w:pageBreakBefore w:val="0"/>
        <w:kinsoku/>
        <w:wordWrap/>
        <w:overflowPunct/>
        <w:topLinePunct w:val="0"/>
        <w:autoSpaceDE/>
        <w:autoSpaceDN/>
        <w:bidi w:val="0"/>
        <w:adjustRightInd w:val="0"/>
        <w:snapToGrid w:val="0"/>
        <w:spacing w:beforeLines="0" w:afterLines="0"/>
        <w:rPr>
          <w:rFonts w:hint="default" w:ascii="Times New Roman" w:hAnsi="Times New Roman" w:eastAsia="宋体" w:cs="Times New Roman"/>
          <w:color w:val="auto"/>
          <w:highlight w:val="none"/>
        </w:rPr>
      </w:pPr>
      <w:bookmarkStart w:id="576" w:name="_Toc28837"/>
      <w:bookmarkStart w:id="577" w:name="_Toc7294"/>
      <w:bookmarkStart w:id="578" w:name="_Toc5394"/>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7.</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风险评价结论</w:t>
      </w:r>
      <w:bookmarkEnd w:id="576"/>
      <w:bookmarkEnd w:id="577"/>
      <w:bookmarkEnd w:id="578"/>
    </w:p>
    <w:p w14:paraId="5B12C6F5">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auto"/>
          <w:highlight w:val="none"/>
          <w:lang w:bidi="ar"/>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所涉及的危险物质包括原油、</w:t>
      </w:r>
      <w:r>
        <w:rPr>
          <w:rFonts w:hint="default" w:ascii="Times New Roman" w:hAnsi="Times New Roman" w:cs="Times New Roman"/>
          <w:color w:val="auto"/>
          <w:highlight w:val="none"/>
          <w:lang w:eastAsia="zh-CN"/>
        </w:rPr>
        <w:t>伴生气</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S，分布于</w:t>
      </w:r>
      <w:r>
        <w:rPr>
          <w:rFonts w:hint="default" w:ascii="Times New Roman" w:hAnsi="Times New Roman" w:cs="Times New Roman"/>
          <w:snapToGrid w:val="0"/>
          <w:color w:val="auto"/>
          <w:highlight w:val="none"/>
        </w:rPr>
        <w:t>可能发集油和稀油以及燃料气管线内，可能发生的风险事故包括井喷、井漏、油气管线</w:t>
      </w:r>
      <w:r>
        <w:rPr>
          <w:rFonts w:hint="default" w:ascii="Times New Roman" w:hAnsi="Times New Roman" w:cs="Times New Roman"/>
          <w:snapToGrid w:val="0"/>
          <w:color w:val="auto"/>
          <w:highlight w:val="none"/>
          <w:lang w:eastAsia="zh-CN"/>
        </w:rPr>
        <w:t>泄漏</w:t>
      </w:r>
      <w:r>
        <w:rPr>
          <w:rFonts w:hint="default" w:ascii="Times New Roman" w:hAnsi="Times New Roman" w:cs="Times New Roman"/>
          <w:snapToGrid w:val="0"/>
          <w:color w:val="auto"/>
          <w:highlight w:val="none"/>
        </w:rPr>
        <w:t>。井喷、集油和稀油管线泄漏会对大气、土壤、地下水产生的直接影响以及火灾、爆炸等引发的伴生/次生污染物排放；燃料气管线泄漏会对大气产生的直接影响以及火灾、爆炸等引发的伴生/次生污染物排放；原油</w:t>
      </w:r>
      <w:r>
        <w:rPr>
          <w:rFonts w:hint="default" w:ascii="Times New Roman" w:hAnsi="Times New Roman" w:cs="Times New Roman"/>
          <w:snapToGrid w:val="0"/>
          <w:color w:val="auto"/>
          <w:highlight w:val="none"/>
          <w:lang w:eastAsia="zh-CN"/>
        </w:rPr>
        <w:t>泄漏</w:t>
      </w:r>
      <w:r>
        <w:rPr>
          <w:rFonts w:hint="default" w:ascii="Times New Roman" w:hAnsi="Times New Roman" w:cs="Times New Roman"/>
          <w:snapToGrid w:val="0"/>
          <w:color w:val="auto"/>
          <w:highlight w:val="none"/>
        </w:rPr>
        <w:t>对土壤造成影响。</w:t>
      </w:r>
      <w:r>
        <w:rPr>
          <w:rFonts w:hint="default" w:ascii="Times New Roman" w:hAnsi="Times New Roman" w:cs="Times New Roman"/>
          <w:snapToGrid w:val="0"/>
          <w:color w:val="auto"/>
          <w:highlight w:val="none"/>
          <w:lang w:eastAsia="zh-CN" w:bidi="ar"/>
        </w:rPr>
        <w:t>本项目</w:t>
      </w:r>
      <w:r>
        <w:rPr>
          <w:rFonts w:hint="default" w:ascii="Times New Roman" w:hAnsi="Times New Roman" w:cs="Times New Roman"/>
          <w:snapToGrid w:val="0"/>
          <w:color w:val="auto"/>
          <w:highlight w:val="none"/>
          <w:lang w:bidi="ar"/>
        </w:rPr>
        <w:t>在钻井和井下作业时应落实各项井场制度，降低井喷井漏发生概率，项目所在区域人烟稀少，地域空旷，大气扩散条件较好，发生事故后，及时采取相应的措施，不会对周围环境空气产生明显影响；</w:t>
      </w:r>
      <w:r>
        <w:rPr>
          <w:rFonts w:hint="default" w:ascii="Times New Roman" w:hAnsi="Times New Roman" w:cs="Times New Roman"/>
          <w:snapToGrid w:val="0"/>
          <w:color w:val="auto"/>
          <w:highlight w:val="none"/>
        </w:rPr>
        <w:t>当泄漏事故发生时，及时采取措施、彻底清除泄漏油品、被污染的土壤，污染物不会进入地下水中，对地下水水质没有不良影响。因此，发生事故后，在严格落实</w:t>
      </w:r>
      <w:r>
        <w:rPr>
          <w:rFonts w:hint="default" w:ascii="Times New Roman" w:hAnsi="Times New Roman" w:cs="Times New Roman"/>
          <w:snapToGrid w:val="0"/>
          <w:color w:val="auto"/>
          <w:highlight w:val="none"/>
          <w:lang w:eastAsia="zh-CN"/>
        </w:rPr>
        <w:t>本项目</w:t>
      </w:r>
      <w:r>
        <w:rPr>
          <w:rFonts w:hint="default" w:ascii="Times New Roman" w:hAnsi="Times New Roman" w:cs="Times New Roman"/>
          <w:snapToGrid w:val="0"/>
          <w:color w:val="auto"/>
          <w:highlight w:val="none"/>
        </w:rPr>
        <w:t>提出的风险防范措施的前提下，不会对周围环境产生明显影响；</w:t>
      </w:r>
      <w:r>
        <w:rPr>
          <w:rFonts w:hint="default" w:ascii="Times New Roman" w:hAnsi="Times New Roman" w:cs="Times New Roman"/>
          <w:snapToGrid w:val="0"/>
          <w:color w:val="auto"/>
          <w:highlight w:val="none"/>
          <w:lang w:val="en-US" w:eastAsia="zh-CN"/>
        </w:rPr>
        <w:t>西北油田分公司采油三厂已制定了环境风险应急预案，发生事故时按照环境风险应急预案采取措施</w:t>
      </w:r>
      <w:r>
        <w:rPr>
          <w:rFonts w:hint="default" w:ascii="Times New Roman" w:hAnsi="Times New Roman" w:cs="Times New Roman"/>
          <w:snapToGrid w:val="0"/>
          <w:color w:val="auto"/>
          <w:highlight w:val="none"/>
          <w:lang w:bidi="ar"/>
        </w:rPr>
        <w:t>。</w:t>
      </w:r>
    </w:p>
    <w:p w14:paraId="39E239C2">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环境风险简单分析内容表见表</w:t>
      </w:r>
      <w:r>
        <w:rPr>
          <w:rFonts w:hint="eastAsia" w:cs="Times New Roman"/>
          <w:color w:val="auto"/>
          <w:highlight w:val="none"/>
          <w:lang w:val="en-US" w:eastAsia="zh-CN"/>
        </w:rPr>
        <w:t>5.7</w:t>
      </w: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w:t>
      </w:r>
    </w:p>
    <w:bookmarkEnd w:id="552"/>
    <w:p w14:paraId="35785D15">
      <w:pPr>
        <w:pStyle w:val="44"/>
        <w:bidi w:val="0"/>
        <w:outlineLvl w:val="9"/>
        <w:rPr>
          <w:rFonts w:hint="default" w:ascii="Times New Roman" w:hAnsi="Times New Roman" w:cs="Times New Roman"/>
          <w:color w:val="auto"/>
          <w:highlight w:val="none"/>
        </w:rPr>
      </w:pPr>
      <w:bookmarkStart w:id="579" w:name="_Hlk48605093"/>
      <w:r>
        <w:rPr>
          <w:rFonts w:hint="default" w:ascii="Times New Roman" w:hAnsi="Times New Roman" w:cs="Times New Roman"/>
          <w:color w:val="auto"/>
          <w:highlight w:val="none"/>
        </w:rPr>
        <w:t>表</w:t>
      </w:r>
      <w:r>
        <w:rPr>
          <w:rFonts w:hint="eastAsia" w:cs="Times New Roman"/>
          <w:color w:val="auto"/>
          <w:highlight w:val="none"/>
          <w:lang w:val="en-US" w:eastAsia="zh-CN"/>
        </w:rPr>
        <w:t>5.7</w:t>
      </w: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环境风险简单分析内容表</w:t>
      </w:r>
    </w:p>
    <w:bookmarkEnd w:id="579"/>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58"/>
        <w:gridCol w:w="2174"/>
        <w:gridCol w:w="1144"/>
        <w:gridCol w:w="2335"/>
      </w:tblGrid>
      <w:tr w14:paraId="16AC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vAlign w:val="center"/>
          </w:tcPr>
          <w:p w14:paraId="57C38738">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7028" w:type="dxa"/>
            <w:gridSpan w:val="4"/>
            <w:vAlign w:val="center"/>
          </w:tcPr>
          <w:p w14:paraId="390A254F">
            <w:pPr>
              <w:pStyle w:val="52"/>
              <w:bidi w:val="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采油三厂2025年第二期短半径</w:t>
            </w:r>
            <w:r>
              <w:rPr>
                <w:rFonts w:hint="default" w:ascii="Times New Roman" w:hAnsi="Times New Roman" w:eastAsia="宋体" w:cs="Times New Roman"/>
                <w:color w:val="auto"/>
                <w:highlight w:val="none"/>
                <w:lang w:eastAsia="zh-CN"/>
              </w:rPr>
              <w:t>侧钻项目</w:t>
            </w:r>
          </w:p>
        </w:tc>
      </w:tr>
      <w:tr w14:paraId="793B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vAlign w:val="center"/>
          </w:tcPr>
          <w:p w14:paraId="5EE34D4A">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7028" w:type="dxa"/>
            <w:gridSpan w:val="4"/>
            <w:vAlign w:val="center"/>
          </w:tcPr>
          <w:p w14:paraId="65E2C1E7">
            <w:pPr>
              <w:pStyle w:val="5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新疆维吾尔自治区库车市</w:t>
            </w:r>
            <w:r>
              <w:rPr>
                <w:rFonts w:hint="eastAsia" w:cs="Times New Roman"/>
                <w:color w:val="auto"/>
                <w:highlight w:val="none"/>
                <w:lang w:val="en-US" w:eastAsia="zh-CN"/>
              </w:rPr>
              <w:t>境内塔河油田10区、8区</w:t>
            </w:r>
          </w:p>
        </w:tc>
      </w:tr>
      <w:tr w14:paraId="19D5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vAlign w:val="center"/>
          </w:tcPr>
          <w:p w14:paraId="58706AE2">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1518" w:type="dxa"/>
            <w:vAlign w:val="center"/>
          </w:tcPr>
          <w:p w14:paraId="56BFFD35">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2119" w:type="dxa"/>
            <w:vAlign w:val="center"/>
          </w:tcPr>
          <w:p w14:paraId="4A63ECDF">
            <w:pPr>
              <w:pStyle w:val="52"/>
              <w:bidi w:val="0"/>
              <w:rPr>
                <w:rFonts w:hint="default" w:ascii="Times New Roman" w:hAnsi="Times New Roman" w:eastAsia="宋体" w:cs="Times New Roman"/>
                <w:color w:val="auto"/>
                <w:sz w:val="21"/>
                <w:szCs w:val="21"/>
                <w:highlight w:val="none"/>
                <w:lang w:val="en-US" w:eastAsia="zh-CN"/>
              </w:rPr>
            </w:pPr>
          </w:p>
        </w:tc>
        <w:tc>
          <w:tcPr>
            <w:tcW w:w="1115" w:type="dxa"/>
            <w:vAlign w:val="center"/>
          </w:tcPr>
          <w:p w14:paraId="1028538C">
            <w:pPr>
              <w:pStyle w:val="52"/>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2276" w:type="dxa"/>
            <w:vAlign w:val="center"/>
          </w:tcPr>
          <w:p w14:paraId="6813B688">
            <w:pPr>
              <w:pStyle w:val="52"/>
              <w:bidi w:val="0"/>
              <w:rPr>
                <w:rFonts w:hint="default" w:ascii="Times New Roman" w:hAnsi="Times New Roman" w:eastAsia="宋体" w:cs="Times New Roman"/>
                <w:color w:val="auto"/>
                <w:sz w:val="21"/>
                <w:szCs w:val="21"/>
                <w:highlight w:val="none"/>
                <w:lang w:val="en-US" w:eastAsia="zh-CN"/>
              </w:rPr>
            </w:pPr>
          </w:p>
        </w:tc>
      </w:tr>
      <w:tr w14:paraId="3209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vAlign w:val="center"/>
          </w:tcPr>
          <w:p w14:paraId="2AF7ED91">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主要危险物质及分布</w:t>
            </w:r>
          </w:p>
        </w:tc>
        <w:tc>
          <w:tcPr>
            <w:tcW w:w="7028" w:type="dxa"/>
            <w:gridSpan w:val="4"/>
            <w:vAlign w:val="center"/>
          </w:tcPr>
          <w:p w14:paraId="18455AD2">
            <w:pPr>
              <w:pStyle w:val="52"/>
              <w:bidi w:val="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主要危险物质：原油、</w:t>
            </w:r>
            <w:r>
              <w:rPr>
                <w:rFonts w:hint="default" w:ascii="Times New Roman" w:hAnsi="Times New Roman" w:cs="Times New Roman"/>
                <w:color w:val="auto"/>
                <w:highlight w:val="none"/>
                <w:lang w:eastAsia="zh-CN"/>
              </w:rPr>
              <w:t>伴生气</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S，分布于可能发集油和稀油以及燃料气管线内</w:t>
            </w:r>
            <w:r>
              <w:rPr>
                <w:rFonts w:hint="default" w:ascii="Times New Roman" w:hAnsi="Times New Roman" w:cs="Times New Roman"/>
                <w:color w:val="auto"/>
                <w:highlight w:val="none"/>
                <w:lang w:eastAsia="zh-CN"/>
              </w:rPr>
              <w:t>。</w:t>
            </w:r>
          </w:p>
        </w:tc>
      </w:tr>
      <w:tr w14:paraId="0922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vAlign w:val="center"/>
          </w:tcPr>
          <w:p w14:paraId="474EABF2">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环境影响途径及危害后果（大气、地表水、地下水等）</w:t>
            </w:r>
          </w:p>
        </w:tc>
        <w:tc>
          <w:tcPr>
            <w:tcW w:w="7028" w:type="dxa"/>
            <w:gridSpan w:val="4"/>
            <w:vAlign w:val="center"/>
          </w:tcPr>
          <w:p w14:paraId="589C0BDB">
            <w:pPr>
              <w:pStyle w:val="12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可能发生的风险事故包括井喷、井漏、油气管线</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。集油和稀油管线泄漏会对大气、土壤、地下水产生的直接影响以及火灾、爆炸等引发的伴生/次生污染物排放；燃料气管线泄漏会对大气产生的直接影响以及火灾、爆炸等引发的伴生/次生污染物排放。</w:t>
            </w:r>
          </w:p>
        </w:tc>
      </w:tr>
      <w:tr w14:paraId="25CB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vAlign w:val="center"/>
          </w:tcPr>
          <w:p w14:paraId="23965883">
            <w:pPr>
              <w:pStyle w:val="5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风险防范措施要求</w:t>
            </w:r>
          </w:p>
        </w:tc>
        <w:tc>
          <w:tcPr>
            <w:tcW w:w="7028" w:type="dxa"/>
            <w:gridSpan w:val="4"/>
            <w:vAlign w:val="center"/>
          </w:tcPr>
          <w:p w14:paraId="33AC7943">
            <w:pPr>
              <w:pStyle w:val="12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生产中采取有效预防措施，严格遵守井下作业的安全规定，在井口安装防喷器和控制装置，杜绝井喷的发生；</w:t>
            </w:r>
          </w:p>
          <w:p w14:paraId="56CAA3AB">
            <w:pPr>
              <w:pStyle w:val="12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制定安全生产方针、政策、计划和各种规范，完善安全管理制度和安全操作规程，建立健全环境管理体系和监测体系，完善各种规章制度标准；</w:t>
            </w:r>
          </w:p>
          <w:p w14:paraId="1E87644C">
            <w:pPr>
              <w:pStyle w:val="12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定期对管线进行巡视，定期进行管道壁厚和防腐情况检测；</w:t>
            </w:r>
          </w:p>
          <w:p w14:paraId="75FE825D">
            <w:pPr>
              <w:pStyle w:val="12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制定环境风险应急预案，定期演练。</w:t>
            </w:r>
          </w:p>
          <w:p w14:paraId="53D52BAA">
            <w:pPr>
              <w:pStyle w:val="12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设置可燃气体检测报警仪、硫化氢检测报警仪等防范设施。详见7.5节</w:t>
            </w:r>
          </w:p>
        </w:tc>
      </w:tr>
      <w:tr w14:paraId="1521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22" w:type="dxa"/>
            <w:gridSpan w:val="5"/>
            <w:vAlign w:val="center"/>
          </w:tcPr>
          <w:p w14:paraId="54FA4FC3">
            <w:pPr>
              <w:pStyle w:val="121"/>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所涉及的危险物质包括原油、</w:t>
            </w:r>
            <w:r>
              <w:rPr>
                <w:rFonts w:hint="default" w:ascii="Times New Roman" w:hAnsi="Times New Roman" w:cs="Times New Roman"/>
                <w:color w:val="auto"/>
                <w:highlight w:val="none"/>
                <w:lang w:eastAsia="zh-CN"/>
              </w:rPr>
              <w:t>伴生气</w:t>
            </w:r>
            <w:r>
              <w:rPr>
                <w:rFonts w:hint="default" w:ascii="Times New Roman" w:hAnsi="Times New Roman" w:cs="Times New Roman"/>
                <w:color w:val="auto"/>
                <w:highlight w:val="none"/>
              </w:rPr>
              <w:t>、H2S，分布于可能发集油和稀油以及燃料气管线内，可能发生的风险事故包括井喷、井漏、油气管线</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井喷、集油和稀油管线泄漏会对大气、土壤、地下水产生的直接影响以及火灾、爆炸等引发的伴生/次生污染物排放；燃料气管线泄漏会对大气产生的直接影响以及火灾、爆炸等引发的伴生/次生污染物排放；原油</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对土壤造成影响。</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在钻井和井下作业时应落实各项井场制度，降低井喷井漏发生概率，项目所在区域人烟稀少，地域空旷，大气扩散条件较好，发生事故后，及时采取相应的措施，不会对周围环境空气产生明显影响；当泄漏事故发生时，及时采取措施、彻底清除泄漏油品、被污染的土壤，污染物不会进入地下水中，对地下水水质没有不良影响。因此，发生事故后，在严格落实</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提出的风险防范措施的前提下，不会对周围环境产生明显影响；西北油田分公司采油三厂已制定了风险应急预案，将事故发生概率减少到最低，减小事故造成的损失，在可接受范围之内。</w:t>
            </w:r>
          </w:p>
        </w:tc>
      </w:tr>
    </w:tbl>
    <w:p w14:paraId="249ACF36">
      <w:pP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36"/>
          <w:szCs w:val="36"/>
          <w:highlight w:val="none"/>
          <w:lang w:eastAsia="zh-CN"/>
        </w:rPr>
        <w:br w:type="page"/>
      </w:r>
    </w:p>
    <w:p w14:paraId="22677DA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sz w:val="36"/>
          <w:szCs w:val="36"/>
          <w:highlight w:val="none"/>
          <w:lang w:eastAsia="zh-CN"/>
        </w:rPr>
      </w:pPr>
      <w:bookmarkStart w:id="580" w:name="_Toc13170"/>
      <w:bookmarkStart w:id="581" w:name="_Toc20848"/>
      <w:r>
        <w:rPr>
          <w:rFonts w:hint="default" w:ascii="Times New Roman" w:hAnsi="Times New Roman" w:eastAsia="宋体" w:cs="Times New Roman"/>
          <w:b/>
          <w:bCs/>
          <w:color w:val="auto"/>
          <w:sz w:val="36"/>
          <w:szCs w:val="36"/>
          <w:highlight w:val="none"/>
          <w:lang w:eastAsia="zh-CN"/>
        </w:rPr>
        <w:t>6.环境保护措施及可行性论证</w:t>
      </w:r>
      <w:bookmarkEnd w:id="544"/>
      <w:bookmarkEnd w:id="580"/>
      <w:bookmarkEnd w:id="581"/>
    </w:p>
    <w:p w14:paraId="731AD4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zh-CN"/>
        </w:rPr>
      </w:pPr>
      <w:bookmarkStart w:id="582" w:name="_Toc29081"/>
      <w:bookmarkStart w:id="583" w:name="_Toc7518"/>
      <w:bookmarkStart w:id="584" w:name="_Toc10428"/>
      <w:bookmarkStart w:id="585" w:name="_Hlk48604597"/>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实施</w:t>
      </w:r>
      <w:r>
        <w:rPr>
          <w:rFonts w:hint="default" w:ascii="Times New Roman" w:hAnsi="Times New Roman" w:cs="Times New Roman"/>
          <w:color w:val="auto"/>
          <w:sz w:val="24"/>
          <w:highlight w:val="none"/>
          <w:lang w:val="zh-CN"/>
        </w:rPr>
        <w:t>过程中，会对评价区内的水环境、</w:t>
      </w:r>
      <w:r>
        <w:rPr>
          <w:rFonts w:hint="eastAsia" w:cs="Times New Roman"/>
          <w:color w:val="auto"/>
          <w:sz w:val="24"/>
          <w:highlight w:val="none"/>
          <w:lang w:val="en-US" w:eastAsia="zh-CN"/>
        </w:rPr>
        <w:t>大气</w:t>
      </w:r>
      <w:r>
        <w:rPr>
          <w:rFonts w:hint="default" w:ascii="Times New Roman" w:hAnsi="Times New Roman" w:cs="Times New Roman"/>
          <w:color w:val="auto"/>
          <w:sz w:val="24"/>
          <w:highlight w:val="none"/>
          <w:lang w:val="zh-CN"/>
        </w:rPr>
        <w:t>环境、土壤环境等造成不同程度的影响。本章分别对项目在</w:t>
      </w:r>
      <w:r>
        <w:rPr>
          <w:rFonts w:hint="default" w:ascii="Times New Roman" w:hAnsi="Times New Roman" w:cs="Times New Roman"/>
          <w:color w:val="auto"/>
          <w:sz w:val="24"/>
          <w:highlight w:val="none"/>
          <w:lang w:val="en-US" w:eastAsia="zh-CN"/>
        </w:rPr>
        <w:t>施工</w:t>
      </w:r>
      <w:r>
        <w:rPr>
          <w:rFonts w:hint="default" w:ascii="Times New Roman" w:hAnsi="Times New Roman" w:cs="Times New Roman"/>
          <w:color w:val="auto"/>
          <w:sz w:val="24"/>
          <w:highlight w:val="none"/>
          <w:lang w:val="zh-CN"/>
        </w:rPr>
        <w:t>期、运营期和退役期拟采取的措施及各专题评价提出的措施进行分析和论证。</w:t>
      </w:r>
    </w:p>
    <w:p w14:paraId="687028A4">
      <w:pPr>
        <w:pStyle w:val="5"/>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586" w:name="_Toc75438907"/>
      <w:bookmarkStart w:id="587" w:name="_Toc15528"/>
      <w:bookmarkStart w:id="588" w:name="_Toc14799"/>
      <w:bookmarkStart w:id="589" w:name="_Toc30373"/>
      <w:r>
        <w:rPr>
          <w:rFonts w:hint="default" w:ascii="Times New Roman" w:hAnsi="Times New Roman" w:cs="Times New Roman"/>
          <w:color w:val="auto"/>
          <w:highlight w:val="none"/>
        </w:rPr>
        <w:t>6.1施工期环境保护措施</w:t>
      </w:r>
      <w:bookmarkEnd w:id="586"/>
      <w:bookmarkEnd w:id="587"/>
      <w:bookmarkEnd w:id="588"/>
      <w:bookmarkEnd w:id="589"/>
    </w:p>
    <w:p w14:paraId="46CD90C1">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施工期对环境的影响主要来自油井钻采、管线敷设</w:t>
      </w:r>
      <w:r>
        <w:rPr>
          <w:rFonts w:hint="default" w:ascii="Times New Roman" w:hAnsi="Times New Roman" w:cs="Times New Roman"/>
          <w:color w:val="auto"/>
          <w:highlight w:val="none"/>
          <w:lang w:val="en-US" w:eastAsia="zh-CN"/>
        </w:rPr>
        <w:t>和井场</w:t>
      </w:r>
      <w:r>
        <w:rPr>
          <w:rFonts w:hint="default" w:ascii="Times New Roman" w:hAnsi="Times New Roman" w:cs="Times New Roman"/>
          <w:color w:val="auto"/>
          <w:highlight w:val="none"/>
        </w:rPr>
        <w:t>建设等方面。</w:t>
      </w:r>
    </w:p>
    <w:p w14:paraId="4F941FFF">
      <w:pPr>
        <w:pStyle w:val="6"/>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590" w:name="_Toc25938"/>
      <w:bookmarkStart w:id="591" w:name="_Toc19403"/>
      <w:bookmarkStart w:id="592" w:name="_Toc32423"/>
      <w:r>
        <w:rPr>
          <w:rFonts w:hint="default" w:ascii="Times New Roman" w:hAnsi="Times New Roman" w:cs="Times New Roman"/>
          <w:color w:val="auto"/>
          <w:highlight w:val="none"/>
        </w:rPr>
        <w:t>6.1.1生态环境保护措施</w:t>
      </w:r>
      <w:bookmarkEnd w:id="590"/>
      <w:bookmarkEnd w:id="591"/>
      <w:bookmarkEnd w:id="592"/>
    </w:p>
    <w:p w14:paraId="553729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根据区域后评价、相关工程环保验收以及现场踏勘，本项目周边同区域同类型开发项目，采取的生态环境影响减缓措施主要有：</w:t>
      </w:r>
      <w:r>
        <w:rPr>
          <w:rFonts w:hint="default" w:ascii="Times New Roman" w:hAnsi="Times New Roman" w:cs="Times New Roman"/>
          <w:color w:val="auto"/>
          <w:sz w:val="24"/>
          <w:highlight w:val="none"/>
          <w:lang w:val="en-US" w:eastAsia="zh-CN"/>
        </w:rPr>
        <w:t>划定钻井、新建管线的</w:t>
      </w:r>
      <w:r>
        <w:rPr>
          <w:rFonts w:hint="default" w:ascii="Times New Roman" w:hAnsi="Times New Roman" w:cs="Times New Roman"/>
          <w:color w:val="auto"/>
          <w:sz w:val="24"/>
          <w:highlight w:val="none"/>
          <w:lang w:eastAsia="zh-CN"/>
        </w:rPr>
        <w:t>开挖施工作业范围，严格控制施工车辆的运行线路；管线作业也及时对管线</w:t>
      </w:r>
      <w:r>
        <w:rPr>
          <w:rFonts w:hint="default" w:ascii="Times New Roman" w:hAnsi="Times New Roman" w:cs="Times New Roman"/>
          <w:color w:val="auto"/>
          <w:sz w:val="24"/>
          <w:highlight w:val="none"/>
          <w:lang w:val="en-US" w:eastAsia="zh-CN"/>
        </w:rPr>
        <w:t>施工区域</w:t>
      </w:r>
      <w:r>
        <w:rPr>
          <w:rFonts w:hint="default" w:ascii="Times New Roman" w:hAnsi="Times New Roman" w:cs="Times New Roman"/>
          <w:color w:val="auto"/>
          <w:sz w:val="24"/>
          <w:highlight w:val="none"/>
          <w:lang w:eastAsia="zh-CN"/>
        </w:rPr>
        <w:t>进行土方回填和平整；管线线路可尽量绕避林带，或是从林间空地穿越，严格控制施工作业宽度，以减少对林地的扰动；钻井施工结束后，施工单位对井场进行了清理平整</w:t>
      </w:r>
      <w:r>
        <w:rPr>
          <w:rFonts w:hint="default" w:ascii="Times New Roman" w:hAnsi="Times New Roman" w:cs="Times New Roman"/>
          <w:color w:val="auto"/>
          <w:sz w:val="24"/>
          <w:highlight w:val="none"/>
          <w:lang w:val="en-US" w:eastAsia="zh-CN"/>
        </w:rPr>
        <w:t>等措施</w:t>
      </w:r>
      <w:r>
        <w:rPr>
          <w:rFonts w:hint="default" w:ascii="Times New Roman" w:hAnsi="Times New Roman" w:cs="Times New Roman"/>
          <w:color w:val="auto"/>
          <w:sz w:val="24"/>
          <w:highlight w:val="none"/>
          <w:lang w:eastAsia="zh-CN"/>
        </w:rPr>
        <w:t>。</w:t>
      </w:r>
    </w:p>
    <w:p w14:paraId="53392F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总体而言，原始植被覆盖度较高区域植被恢复较快，井场周边5-10m外植被基本恢复，植被覆盖度低的区域地表土壤结皮层极易被破坏，经扰动后植被不易恢复。现场除管廊上方覆土高于地表外，管线两侧施工迹地基本恢复平整，临时占地区域内的原始植被已基本恢复，植被恢复程度和距</w:t>
      </w:r>
      <w:r>
        <w:rPr>
          <w:rFonts w:hint="eastAsia" w:cs="Times New Roman"/>
          <w:color w:val="auto"/>
          <w:sz w:val="24"/>
          <w:highlight w:val="none"/>
          <w:lang w:eastAsia="zh-CN"/>
        </w:rPr>
        <w:t>管廊</w:t>
      </w:r>
      <w:r>
        <w:rPr>
          <w:rFonts w:hint="default" w:ascii="Times New Roman" w:hAnsi="Times New Roman" w:cs="Times New Roman"/>
          <w:color w:val="auto"/>
          <w:sz w:val="24"/>
          <w:highlight w:val="none"/>
          <w:lang w:eastAsia="zh-CN"/>
        </w:rPr>
        <w:t>的距离成反比。在堆土比较松散，植被盖度较低的、地形起伏稍大点的管廊外侧3-8m范围内植被尚未恢复。</w:t>
      </w:r>
    </w:p>
    <w:p w14:paraId="3D45F7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区块勘探开发时间长，依托设施完善，至各单井为独立的探临路，砂石路面，路面宽约4.5m。施工车辆基本是在已建道路上行驶，没有随意碾轧的情况发生，尽量减少和避免了对区内地表的扰动和破坏。本项目</w:t>
      </w:r>
      <w:r>
        <w:rPr>
          <w:rFonts w:hint="eastAsia" w:cs="Times New Roman"/>
          <w:color w:val="auto"/>
          <w:sz w:val="24"/>
          <w:highlight w:val="none"/>
          <w:lang w:val="en-US" w:eastAsia="zh-CN"/>
        </w:rPr>
        <w:t>不新建</w:t>
      </w:r>
      <w:r>
        <w:rPr>
          <w:rFonts w:hint="default" w:ascii="Times New Roman" w:hAnsi="Times New Roman" w:cs="Times New Roman"/>
          <w:color w:val="auto"/>
          <w:sz w:val="24"/>
          <w:highlight w:val="none"/>
          <w:lang w:eastAsia="zh-CN"/>
        </w:rPr>
        <w:t>道路</w:t>
      </w:r>
      <w:r>
        <w:rPr>
          <w:rFonts w:hint="eastAsia" w:cs="Times New Roman"/>
          <w:color w:val="auto"/>
          <w:sz w:val="24"/>
          <w:highlight w:val="none"/>
          <w:lang w:eastAsia="zh-CN"/>
        </w:rPr>
        <w:t>，</w:t>
      </w:r>
      <w:r>
        <w:rPr>
          <w:rFonts w:hint="eastAsia" w:cs="Times New Roman"/>
          <w:color w:val="auto"/>
          <w:sz w:val="24"/>
          <w:highlight w:val="none"/>
          <w:lang w:val="en-US" w:eastAsia="zh-CN"/>
        </w:rPr>
        <w:t>均依托区块已有道路</w:t>
      </w:r>
      <w:r>
        <w:rPr>
          <w:rFonts w:hint="default" w:ascii="Times New Roman" w:hAnsi="Times New Roman" w:cs="Times New Roman"/>
          <w:color w:val="auto"/>
          <w:sz w:val="24"/>
          <w:highlight w:val="none"/>
          <w:lang w:eastAsia="zh-CN"/>
        </w:rPr>
        <w:t>。</w:t>
      </w:r>
    </w:p>
    <w:p w14:paraId="156BB5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根据本项目对生态环境可能产生的不利影响，评价提出如下防范措施</w:t>
      </w:r>
      <w:r>
        <w:rPr>
          <w:rFonts w:hint="default" w:ascii="Times New Roman" w:hAnsi="Times New Roman" w:cs="Times New Roman"/>
          <w:color w:val="auto"/>
          <w:highlight w:val="none"/>
        </w:rPr>
        <w:t>：</w:t>
      </w:r>
    </w:p>
    <w:p w14:paraId="46399792">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6.1.1.1井场</w:t>
      </w:r>
    </w:p>
    <w:p w14:paraId="3EE111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老井侧钻4口，不新增永久占地，井场不新增地面设施，侧钻井办理临时用地手续。</w:t>
      </w:r>
    </w:p>
    <w:p w14:paraId="577B8074">
      <w:pPr>
        <w:keepNext w:val="0"/>
        <w:keepLines w:val="0"/>
        <w:pageBreakBefore w:val="0"/>
        <w:kinsoku/>
        <w:wordWrap/>
        <w:overflowPunct/>
        <w:topLinePunct w:val="0"/>
        <w:autoSpaceDE/>
        <w:autoSpaceDN/>
        <w:bidi w:val="0"/>
        <w:spacing w:line="360" w:lineRule="auto"/>
        <w:ind w:firstLine="480" w:firstLineChars="200"/>
        <w:textAlignment w:val="auto"/>
        <w:rPr>
          <w:rFonts w:hint="eastAsia" w:hAnsi="宋体" w:cs="宋体"/>
          <w:color w:val="auto"/>
          <w:sz w:val="24"/>
          <w:highlight w:val="none"/>
        </w:rPr>
      </w:pPr>
      <w:r>
        <w:rPr>
          <w:rFonts w:hint="eastAsia" w:hAnsi="宋体" w:cs="宋体"/>
          <w:color w:val="auto"/>
          <w:sz w:val="24"/>
          <w:highlight w:val="none"/>
        </w:rPr>
        <w:t xml:space="preserve">①控制井场施工占地范围，钻井、井下作业与地面工程设施建设应尽量减少临时占地。 </w:t>
      </w:r>
    </w:p>
    <w:p w14:paraId="024D14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（1）施工过程中须严格控制井场占地面积，使单井临时占地面积不大于</w:t>
      </w:r>
      <w:r>
        <w:rPr>
          <w:rFonts w:hint="default" w:ascii="Times New Roman" w:hAnsi="Times New Roman" w:cs="Times New Roman"/>
          <w:color w:val="auto"/>
          <w:sz w:val="24"/>
          <w:highlight w:val="none"/>
          <w:lang w:val="en-US" w:eastAsia="zh-CN"/>
        </w:rPr>
        <w:t>8700m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rPr>
        <w:t>，减少扰动面积，减少林木砍伐。</w:t>
      </w:r>
    </w:p>
    <w:p w14:paraId="5B3AF769">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（2）钻井过程中严格执行钻井</w:t>
      </w:r>
      <w:r>
        <w:rPr>
          <w:rFonts w:hint="eastAsia" w:cs="Times New Roman"/>
          <w:color w:val="auto"/>
          <w:sz w:val="24"/>
          <w:highlight w:val="none"/>
          <w:lang w:eastAsia="zh-CN"/>
        </w:rPr>
        <w:t>生态环境保护</w:t>
      </w:r>
      <w:r>
        <w:rPr>
          <w:rFonts w:hint="default" w:ascii="Times New Roman" w:hAnsi="Times New Roman" w:cs="Times New Roman"/>
          <w:color w:val="auto"/>
          <w:sz w:val="24"/>
          <w:highlight w:val="none"/>
        </w:rPr>
        <w:t>管理规定，岩屑、废弃泥浆处置应符合《油气田含油污泥及钻井固体废物处理处置控制技术规范》（</w:t>
      </w:r>
      <w:r>
        <w:rPr>
          <w:rFonts w:hint="default" w:ascii="Times New Roman" w:hAnsi="Times New Roman" w:cs="Times New Roman"/>
          <w:color w:val="auto"/>
          <w:sz w:val="24"/>
          <w:highlight w:val="none"/>
          <w:lang w:eastAsia="zh-CN"/>
        </w:rPr>
        <w:t>DB65/T3999-2017</w:t>
      </w:r>
      <w:r>
        <w:rPr>
          <w:rFonts w:hint="default" w:ascii="Times New Roman" w:hAnsi="Times New Roman" w:cs="Times New Roman"/>
          <w:color w:val="auto"/>
          <w:sz w:val="24"/>
          <w:highlight w:val="none"/>
        </w:rPr>
        <w:t>）要求。采用泥浆不落地技术在井场进行固液分离，分离后的液体回用于钻井液配备，固相拉运至塔河油田绿色环保站处置。污油、药品回收利用，防止污水、污油、泥浆、药品的随意乱丢乱放。</w:t>
      </w:r>
    </w:p>
    <w:p w14:paraId="5B25DB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施工结束后，井场应及时拆除临时设施、建筑，平整地面、保持整洁，井场内无污染物和废弃物；临时占地要及时将土方回填，平整地面。</w:t>
      </w:r>
    </w:p>
    <w:p w14:paraId="607938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GB"/>
        </w:rPr>
        <w:t>对井场地表进行砾石压盖，防止由于地表扰动造成的水土流失</w:t>
      </w:r>
      <w:r>
        <w:rPr>
          <w:rFonts w:hint="eastAsia" w:ascii="Times New Roman" w:hAnsi="Times New Roman" w:eastAsia="宋体" w:cs="Times New Roman"/>
          <w:color w:val="auto"/>
          <w:sz w:val="24"/>
          <w:highlight w:val="none"/>
        </w:rPr>
        <w:t>。</w:t>
      </w:r>
    </w:p>
    <w:p w14:paraId="7621F4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rPr>
        <w:t>严格按照有关规定办理建设用地审批手续，贯彻“优化设计、动态设计”的设计理念，避免大填大挖，减少后期次生灾害的发生，充分体现“最大限度地保护，</w:t>
      </w:r>
      <w:r>
        <w:rPr>
          <w:rFonts w:hint="eastAsia" w:cs="Times New Roman"/>
          <w:color w:val="auto"/>
          <w:sz w:val="24"/>
          <w:highlight w:val="none"/>
          <w:lang w:eastAsia="zh-CN"/>
        </w:rPr>
        <w:t>最低程度</w:t>
      </w:r>
      <w:r>
        <w:rPr>
          <w:rFonts w:hint="eastAsia" w:ascii="Times New Roman" w:hAnsi="Times New Roman" w:eastAsia="宋体" w:cs="Times New Roman"/>
          <w:color w:val="auto"/>
          <w:sz w:val="24"/>
          <w:highlight w:val="none"/>
        </w:rPr>
        <w:t>的破坏，最大限度地恢复”的原则。</w:t>
      </w:r>
      <w:r>
        <w:rPr>
          <w:rFonts w:hint="eastAsia" w:ascii="Times New Roman" w:hAnsi="Times New Roman" w:eastAsia="宋体" w:cs="Times New Roman"/>
          <w:color w:val="auto"/>
          <w:sz w:val="24"/>
          <w:highlight w:val="none"/>
          <w:lang w:val="en-GB"/>
        </w:rPr>
        <w:t>施工在开挖地表、平整土地时，临时堆土必须进行拦挡，施工完毕，应尽快整理施工现场。</w:t>
      </w:r>
    </w:p>
    <w:p w14:paraId="0694372E">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6.1.1.2管线</w:t>
      </w:r>
    </w:p>
    <w:p w14:paraId="30C48F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新建TH102117X单井采油管线、掺稀管线、燃料气管线，三条管线同沟敷设</w:t>
      </w:r>
      <w:r>
        <w:rPr>
          <w:rFonts w:hint="default" w:ascii="Times New Roman" w:hAnsi="Times New Roman" w:eastAsia="宋体" w:cs="Times New Roman"/>
          <w:color w:val="auto"/>
          <w:highlight w:val="none"/>
          <w:lang w:val="en-US" w:eastAsia="zh-CN"/>
        </w:rPr>
        <w:t>，土地</w:t>
      </w:r>
      <w:r>
        <w:rPr>
          <w:rFonts w:hint="eastAsia" w:cs="Times New Roman"/>
          <w:color w:val="auto"/>
          <w:highlight w:val="none"/>
          <w:lang w:val="en-US" w:eastAsia="zh-CN"/>
        </w:rPr>
        <w:t>利用</w:t>
      </w:r>
      <w:r>
        <w:rPr>
          <w:rFonts w:hint="default" w:ascii="Times New Roman" w:hAnsi="Times New Roman" w:cs="Times New Roman"/>
          <w:color w:val="auto"/>
          <w:highlight w:val="none"/>
          <w:lang w:val="en-US" w:eastAsia="zh-CN"/>
        </w:rPr>
        <w:t>类型为灌木林地</w:t>
      </w:r>
      <w:r>
        <w:rPr>
          <w:rFonts w:hint="eastAsia" w:cs="Times New Roman"/>
          <w:color w:val="auto"/>
          <w:highlight w:val="none"/>
          <w:lang w:val="en-US" w:eastAsia="zh-CN"/>
        </w:rPr>
        <w:t>、采矿用地等</w:t>
      </w:r>
      <w:r>
        <w:rPr>
          <w:rFonts w:hint="default" w:ascii="Times New Roman" w:hAnsi="Times New Roman" w:cs="Times New Roman"/>
          <w:color w:val="auto"/>
          <w:highlight w:val="none"/>
          <w:lang w:val="en-US" w:eastAsia="zh-CN"/>
        </w:rPr>
        <w:t>，植被类型以胡杨疏林</w:t>
      </w:r>
      <w:r>
        <w:rPr>
          <w:rFonts w:hint="eastAsia" w:cs="Times New Roman"/>
          <w:color w:val="auto"/>
          <w:highlight w:val="none"/>
          <w:lang w:val="en-US" w:eastAsia="zh-CN"/>
        </w:rPr>
        <w:t>、刚毛柽柳荒漠</w:t>
      </w:r>
      <w:r>
        <w:rPr>
          <w:rFonts w:hint="default" w:ascii="Times New Roman" w:hAnsi="Times New Roman" w:cs="Times New Roman"/>
          <w:color w:val="auto"/>
          <w:highlight w:val="none"/>
          <w:lang w:val="en-US" w:eastAsia="zh-CN"/>
        </w:rPr>
        <w:t>为主。管线穿越的生态系统类型主要为森林生态系统</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灌丛生态系统，根据各生态系统生态功能的不同，对管线在施工期间提出相应的生态环境影响减缓措施，具体内容见表6.1-1。</w:t>
      </w:r>
    </w:p>
    <w:p w14:paraId="437229D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黑体" w:cs="Times New Roman"/>
          <w:strike w:val="0"/>
          <w:dstrike w:val="0"/>
          <w:color w:val="auto"/>
          <w:kern w:val="0"/>
          <w:sz w:val="21"/>
          <w:szCs w:val="21"/>
          <w:highlight w:val="none"/>
          <w:lang w:val="en-US" w:eastAsia="zh-CN"/>
        </w:rPr>
      </w:pPr>
      <w:r>
        <w:rPr>
          <w:rFonts w:hint="default" w:ascii="Times New Roman" w:hAnsi="Times New Roman" w:eastAsia="黑体" w:cs="Times New Roman"/>
          <w:strike w:val="0"/>
          <w:dstrike w:val="0"/>
          <w:color w:val="auto"/>
          <w:kern w:val="0"/>
          <w:sz w:val="21"/>
          <w:szCs w:val="21"/>
          <w:highlight w:val="none"/>
          <w:lang w:val="en-US" w:eastAsia="zh-CN"/>
        </w:rPr>
        <w:t>表6.1-1</w:t>
      </w:r>
      <w:r>
        <w:rPr>
          <w:rFonts w:hint="eastAsia" w:eastAsia="黑体" w:cs="Times New Roman"/>
          <w:strike w:val="0"/>
          <w:dstrike w:val="0"/>
          <w:color w:val="auto"/>
          <w:kern w:val="0"/>
          <w:sz w:val="21"/>
          <w:szCs w:val="21"/>
          <w:highlight w:val="none"/>
          <w:lang w:val="en-US" w:eastAsia="zh-CN"/>
        </w:rPr>
        <w:t xml:space="preserve">  </w:t>
      </w:r>
      <w:r>
        <w:rPr>
          <w:rFonts w:hint="default" w:ascii="Times New Roman" w:hAnsi="Times New Roman" w:eastAsia="黑体" w:cs="Times New Roman"/>
          <w:strike w:val="0"/>
          <w:dstrike w:val="0"/>
          <w:color w:val="auto"/>
          <w:kern w:val="0"/>
          <w:sz w:val="21"/>
          <w:szCs w:val="21"/>
          <w:highlight w:val="none"/>
          <w:lang w:val="en-US" w:eastAsia="zh-CN"/>
        </w:rPr>
        <w:t>生态影响减缓措施</w:t>
      </w:r>
    </w:p>
    <w:tbl>
      <w:tblPr>
        <w:tblStyle w:val="35"/>
        <w:tblW w:w="50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12"/>
        <w:gridCol w:w="1200"/>
        <w:gridCol w:w="6367"/>
      </w:tblGrid>
      <w:tr w14:paraId="4138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90" w:type="pct"/>
            <w:noWrap w:val="0"/>
            <w:vAlign w:val="center"/>
          </w:tcPr>
          <w:p w14:paraId="4C768272">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生态系统</w:t>
            </w:r>
          </w:p>
        </w:tc>
        <w:tc>
          <w:tcPr>
            <w:tcW w:w="699" w:type="pct"/>
            <w:noWrap w:val="0"/>
            <w:vAlign w:val="center"/>
          </w:tcPr>
          <w:p w14:paraId="32807567">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分布段</w:t>
            </w:r>
          </w:p>
        </w:tc>
        <w:tc>
          <w:tcPr>
            <w:tcW w:w="3710" w:type="pct"/>
            <w:noWrap w:val="0"/>
            <w:vAlign w:val="center"/>
          </w:tcPr>
          <w:p w14:paraId="45C6131F">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主要减缓措施</w:t>
            </w:r>
          </w:p>
        </w:tc>
      </w:tr>
      <w:tr w14:paraId="51A1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90" w:type="pct"/>
            <w:noWrap w:val="0"/>
            <w:vAlign w:val="center"/>
          </w:tcPr>
          <w:p w14:paraId="59DFBF08">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lang w:val="en-US" w:eastAsia="zh-CN"/>
              </w:rPr>
              <w:t>灌丛</w:t>
            </w:r>
            <w:r>
              <w:rPr>
                <w:rFonts w:hint="default" w:ascii="Times New Roman" w:hAnsi="Times New Roman" w:eastAsia="宋体" w:cs="Times New Roman"/>
                <w:strike w:val="0"/>
                <w:dstrike w:val="0"/>
                <w:color w:val="auto"/>
                <w:spacing w:val="0"/>
                <w:kern w:val="0"/>
                <w:sz w:val="21"/>
                <w:szCs w:val="21"/>
                <w:highlight w:val="none"/>
              </w:rPr>
              <w:t>生态</w:t>
            </w:r>
          </w:p>
          <w:p w14:paraId="43A34BF6">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系统</w:t>
            </w:r>
          </w:p>
        </w:tc>
        <w:tc>
          <w:tcPr>
            <w:tcW w:w="699" w:type="pct"/>
            <w:noWrap w:val="0"/>
            <w:vAlign w:val="center"/>
          </w:tcPr>
          <w:p w14:paraId="3D8280F2">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lang w:val="en-US" w:eastAsia="zh-CN"/>
              </w:rPr>
            </w:pPr>
            <w:r>
              <w:rPr>
                <w:rFonts w:hint="default" w:ascii="Times New Roman" w:hAnsi="Times New Roman" w:eastAsia="宋体" w:cs="Times New Roman"/>
                <w:strike w:val="0"/>
                <w:dstrike w:val="0"/>
                <w:color w:val="auto"/>
                <w:spacing w:val="0"/>
                <w:kern w:val="0"/>
                <w:sz w:val="21"/>
                <w:szCs w:val="21"/>
                <w:highlight w:val="none"/>
                <w:lang w:val="en-US" w:eastAsia="zh-CN"/>
              </w:rPr>
              <w:t>TH102117X单井管线</w:t>
            </w:r>
          </w:p>
        </w:tc>
        <w:tc>
          <w:tcPr>
            <w:tcW w:w="3710" w:type="pct"/>
            <w:noWrap w:val="0"/>
            <w:vAlign w:val="center"/>
          </w:tcPr>
          <w:p w14:paraId="3AB2A45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①严格控制管道施工带范围，工程开挖前，要先将表层的土壤单独挖出，单独妥善堆放，工程结束后再分层恢复。</w:t>
            </w:r>
          </w:p>
          <w:p w14:paraId="728F455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②控制施工人员和车辆在规定的范围内作业，爱护区域内的一草一木。</w:t>
            </w:r>
          </w:p>
          <w:p w14:paraId="4E11E3D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③严格按照设计方案施工，不得随意开挖，随意取土。</w:t>
            </w:r>
          </w:p>
          <w:p w14:paraId="7D813DB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④工程完成后要及时恢复草原植被，保持与周围环境协调一致。</w:t>
            </w:r>
          </w:p>
          <w:p w14:paraId="11565BF2">
            <w:pPr>
              <w:pStyle w:val="1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trike w:val="0"/>
                <w:dstrike w:val="0"/>
                <w:color w:val="auto"/>
                <w:spacing w:val="0"/>
                <w:kern w:val="0"/>
                <w:sz w:val="21"/>
                <w:szCs w:val="21"/>
                <w:highlight w:val="none"/>
                <w:lang w:val="en-US" w:eastAsia="zh-CN" w:bidi="ar-SA"/>
              </w:rPr>
            </w:pPr>
            <w:r>
              <w:rPr>
                <w:rFonts w:hint="default" w:ascii="Times New Roman" w:hAnsi="Times New Roman" w:eastAsia="微软雅黑" w:cs="Times New Roman"/>
                <w:strike w:val="0"/>
                <w:dstrike w:val="0"/>
                <w:color w:val="auto"/>
                <w:spacing w:val="0"/>
                <w:kern w:val="0"/>
                <w:sz w:val="21"/>
                <w:szCs w:val="21"/>
                <w:highlight w:val="none"/>
                <w:lang w:val="en-US" w:eastAsia="zh-CN" w:bidi="ar-SA"/>
              </w:rPr>
              <w:t>⑤</w:t>
            </w:r>
            <w:r>
              <w:rPr>
                <w:rFonts w:hint="default" w:ascii="Times New Roman" w:hAnsi="Times New Roman" w:eastAsia="宋体" w:cs="Times New Roman"/>
                <w:strike w:val="0"/>
                <w:dstrike w:val="0"/>
                <w:color w:val="auto"/>
                <w:spacing w:val="0"/>
                <w:kern w:val="0"/>
                <w:sz w:val="21"/>
                <w:szCs w:val="21"/>
                <w:highlight w:val="none"/>
                <w:lang w:val="en-US" w:eastAsia="zh-CN" w:bidi="ar-SA"/>
              </w:rPr>
              <w:t>项目管道施工作业带宽度控制在</w:t>
            </w:r>
            <w:r>
              <w:rPr>
                <w:rFonts w:hint="eastAsia" w:ascii="Times New Roman" w:hAnsi="Times New Roman" w:cs="Times New Roman"/>
                <w:strike w:val="0"/>
                <w:dstrike w:val="0"/>
                <w:color w:val="auto"/>
                <w:spacing w:val="0"/>
                <w:kern w:val="0"/>
                <w:sz w:val="21"/>
                <w:szCs w:val="21"/>
                <w:highlight w:val="none"/>
                <w:lang w:val="en-US" w:eastAsia="zh-CN" w:bidi="ar-SA"/>
              </w:rPr>
              <w:t>7</w:t>
            </w:r>
            <w:r>
              <w:rPr>
                <w:rFonts w:hint="default" w:ascii="Times New Roman" w:hAnsi="Times New Roman" w:eastAsia="宋体" w:cs="Times New Roman"/>
                <w:strike w:val="0"/>
                <w:dstrike w:val="0"/>
                <w:color w:val="auto"/>
                <w:spacing w:val="0"/>
                <w:kern w:val="0"/>
                <w:sz w:val="21"/>
                <w:szCs w:val="21"/>
                <w:highlight w:val="none"/>
                <w:lang w:val="en-US" w:eastAsia="zh-CN" w:bidi="ar-SA"/>
              </w:rPr>
              <w:t>m范围内。</w:t>
            </w:r>
          </w:p>
          <w:p w14:paraId="438E7700">
            <w:pPr>
              <w:pStyle w:val="1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highlight w:val="none"/>
              </w:rPr>
            </w:pPr>
            <w:r>
              <w:rPr>
                <w:rFonts w:hint="default" w:ascii="Times New Roman" w:hAnsi="Times New Roman" w:eastAsia="宋体" w:cs="Times New Roman"/>
                <w:strike w:val="0"/>
                <w:dstrike w:val="0"/>
                <w:color w:val="auto"/>
                <w:spacing w:val="0"/>
                <w:kern w:val="0"/>
                <w:sz w:val="21"/>
                <w:szCs w:val="21"/>
                <w:highlight w:val="none"/>
                <w:lang w:val="en-US" w:eastAsia="zh-CN" w:bidi="ar-SA"/>
              </w:rPr>
              <w:t>⑥在设计阶段优化地面管线的走向，尽量避让灌丛分布区，无法避让的，须采取移栽、减小施工作业带宽度等</w:t>
            </w:r>
            <w:r>
              <w:rPr>
                <w:rFonts w:hint="eastAsia" w:ascii="Times New Roman" w:hAnsi="Times New Roman" w:cs="Times New Roman"/>
                <w:strike w:val="0"/>
                <w:dstrike w:val="0"/>
                <w:color w:val="auto"/>
                <w:spacing w:val="0"/>
                <w:kern w:val="0"/>
                <w:sz w:val="21"/>
                <w:szCs w:val="21"/>
                <w:highlight w:val="none"/>
                <w:lang w:val="en-US" w:eastAsia="zh-CN" w:bidi="ar-SA"/>
              </w:rPr>
              <w:t>灌丛</w:t>
            </w:r>
            <w:r>
              <w:rPr>
                <w:rFonts w:hint="default" w:ascii="Times New Roman" w:hAnsi="Times New Roman" w:eastAsia="宋体" w:cs="Times New Roman"/>
                <w:strike w:val="0"/>
                <w:dstrike w:val="0"/>
                <w:color w:val="auto"/>
                <w:spacing w:val="0"/>
                <w:kern w:val="0"/>
                <w:sz w:val="21"/>
                <w:szCs w:val="21"/>
                <w:highlight w:val="none"/>
                <w:lang w:val="en-US" w:eastAsia="zh-CN" w:bidi="ar-SA"/>
              </w:rPr>
              <w:t>保护措施。</w:t>
            </w:r>
          </w:p>
        </w:tc>
      </w:tr>
    </w:tbl>
    <w:p w14:paraId="2873CABC">
      <w:pPr>
        <w:spacing w:line="360" w:lineRule="auto"/>
        <w:ind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除以上措施外，管线施工阶段还应采取以下环境保护措施：</w:t>
      </w:r>
    </w:p>
    <w:p w14:paraId="65207F92">
      <w:pPr>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施工过程中，加强施工人员的管理，严格</w:t>
      </w:r>
      <w:r>
        <w:rPr>
          <w:rFonts w:hint="eastAsia" w:cs="Times New Roman"/>
          <w:color w:val="auto"/>
          <w:highlight w:val="none"/>
          <w:lang w:eastAsia="zh-CN"/>
        </w:rPr>
        <w:t>限制</w:t>
      </w:r>
      <w:r>
        <w:rPr>
          <w:rFonts w:hint="default" w:ascii="Times New Roman" w:hAnsi="Times New Roman" w:cs="Times New Roman"/>
          <w:color w:val="auto"/>
          <w:highlight w:val="none"/>
        </w:rPr>
        <w:t>施工活动范围，做好施工活动外生态环境的防护工作，禁止施工人员对野生植被</w:t>
      </w:r>
      <w:r>
        <w:rPr>
          <w:rFonts w:hint="eastAsia" w:cs="Times New Roman"/>
          <w:color w:val="auto"/>
          <w:highlight w:val="none"/>
          <w:lang w:eastAsia="zh-CN"/>
        </w:rPr>
        <w:t>乱砍滥伐</w:t>
      </w:r>
      <w:r>
        <w:rPr>
          <w:rFonts w:hint="default" w:ascii="Times New Roman" w:hAnsi="Times New Roman" w:cs="Times New Roman"/>
          <w:color w:val="auto"/>
          <w:highlight w:val="none"/>
        </w:rPr>
        <w:t>，严格限制人员的活动范围，破坏沿线的生态环境。</w:t>
      </w:r>
    </w:p>
    <w:p w14:paraId="5D3515D9">
      <w:pPr>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确保施工人员和车辆在规定范围内作业，严禁砍伐</w:t>
      </w:r>
      <w:r>
        <w:rPr>
          <w:rFonts w:hint="eastAsia" w:cs="Times New Roman"/>
          <w:color w:val="auto"/>
          <w:highlight w:val="none"/>
          <w:lang w:val="en-US" w:eastAsia="zh-CN"/>
        </w:rPr>
        <w:t>胡杨、柽柳等</w:t>
      </w:r>
      <w:r>
        <w:rPr>
          <w:rFonts w:hint="default" w:ascii="Times New Roman" w:hAnsi="Times New Roman" w:cs="Times New Roman"/>
          <w:color w:val="auto"/>
          <w:highlight w:val="none"/>
        </w:rPr>
        <w:t>植被作燃料；尽量减少对作业区周围植被的影响；工程完工后，要对沿线管线占压林地面积进行调查，尽量恢复，优化原有的自然环境和绿地占有水平。</w:t>
      </w:r>
    </w:p>
    <w:p w14:paraId="13DFA9CA">
      <w:pPr>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采用小型施工机具或必要时考虑采用人工开挖回填管沟等一系列手段，将减小施工作业带宽度。考虑采取加大管道埋深，加厚管壁等措施。</w:t>
      </w:r>
    </w:p>
    <w:p w14:paraId="37E7096C">
      <w:pPr>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采油</w:t>
      </w:r>
      <w:r>
        <w:rPr>
          <w:rFonts w:hint="default" w:ascii="Times New Roman" w:hAnsi="Times New Roman" w:cs="Times New Roman"/>
          <w:color w:val="auto"/>
          <w:highlight w:val="none"/>
        </w:rPr>
        <w:t>管线采用埋地敷设，埋设深度为管顶1.5m。</w:t>
      </w:r>
      <w:r>
        <w:rPr>
          <w:rFonts w:hint="eastAsia" w:cs="Times New Roman"/>
          <w:color w:val="auto"/>
          <w:highlight w:val="none"/>
          <w:lang w:val="en-US" w:eastAsia="zh-CN"/>
        </w:rPr>
        <w:t>掺稀管线、</w:t>
      </w:r>
      <w:r>
        <w:rPr>
          <w:rFonts w:hint="default" w:ascii="Times New Roman" w:hAnsi="Times New Roman" w:cs="Times New Roman"/>
          <w:color w:val="auto"/>
          <w:highlight w:val="none"/>
        </w:rPr>
        <w:t>燃料气管线与单井采油管线同沟敷设。</w:t>
      </w:r>
    </w:p>
    <w:p w14:paraId="57BEFE1D">
      <w:pPr>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）施工结束后，应恢复地貌原状。施工时对管沟开挖的土壤做分层堆放，分层回填压实，以保护植被生长层，降低对土壤养分的影响，尽快使土壤恢复生产力，同时减少水土流失。</w:t>
      </w:r>
    </w:p>
    <w:p w14:paraId="76E6835E">
      <w:pPr>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）对管沟回填后多余的土严禁大量集中弃置，应均匀分散在管线中心两侧，并使管沟与周围自然地表形成平滑</w:t>
      </w:r>
      <w:r>
        <w:rPr>
          <w:rFonts w:hint="eastAsia" w:cs="Times New Roman"/>
          <w:color w:val="auto"/>
          <w:highlight w:val="none"/>
          <w:lang w:eastAsia="zh-CN"/>
        </w:rPr>
        <w:t>过渡</w:t>
      </w:r>
      <w:r>
        <w:rPr>
          <w:rFonts w:hint="default" w:ascii="Times New Roman" w:hAnsi="Times New Roman" w:cs="Times New Roman"/>
          <w:color w:val="auto"/>
          <w:highlight w:val="none"/>
        </w:rPr>
        <w:t>，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w:t>
      </w:r>
      <w:r>
        <w:rPr>
          <w:rFonts w:hint="eastAsia" w:cs="Times New Roman"/>
          <w:color w:val="auto"/>
          <w:highlight w:val="none"/>
          <w:lang w:eastAsia="zh-CN"/>
        </w:rPr>
        <w:t>汇水</w:t>
      </w:r>
      <w:r>
        <w:rPr>
          <w:rFonts w:hint="default" w:ascii="Times New Roman" w:hAnsi="Times New Roman" w:cs="Times New Roman"/>
          <w:color w:val="auto"/>
          <w:highlight w:val="none"/>
        </w:rPr>
        <w:t>环境存在。</w:t>
      </w:r>
    </w:p>
    <w:p w14:paraId="36D20C7A">
      <w:pPr>
        <w:pStyle w:val="7"/>
        <w:bidi w:val="0"/>
        <w:rPr>
          <w:rFonts w:hint="default" w:ascii="Times New Roman" w:hAnsi="Times New Roman" w:cs="Times New Roman"/>
          <w:color w:val="auto"/>
          <w:highlight w:val="none"/>
        </w:rPr>
      </w:pPr>
      <w:bookmarkStart w:id="593" w:name="_Hlk69390513"/>
      <w:bookmarkStart w:id="594" w:name="_Hlk95844547"/>
      <w:r>
        <w:rPr>
          <w:rFonts w:hint="default" w:ascii="Times New Roman" w:hAnsi="Times New Roman" w:cs="Times New Roman"/>
          <w:color w:val="auto"/>
          <w:highlight w:val="none"/>
        </w:rPr>
        <w:t>6.1.1.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不同施工方式及生态单元</w:t>
      </w:r>
      <w:r>
        <w:rPr>
          <w:rFonts w:hint="default" w:ascii="Times New Roman" w:hAnsi="Times New Roman" w:cs="Times New Roman"/>
          <w:color w:val="auto"/>
          <w:highlight w:val="none"/>
        </w:rPr>
        <w:t>的生态保护措施</w:t>
      </w:r>
    </w:p>
    <w:p w14:paraId="140645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（1）合理利用弃土</w:t>
      </w:r>
    </w:p>
    <w:p w14:paraId="329F31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施工弃土主要</w:t>
      </w:r>
      <w:r>
        <w:rPr>
          <w:rFonts w:hint="eastAsia" w:cs="Times New Roman"/>
          <w:color w:val="auto"/>
          <w:highlight w:val="none"/>
          <w:lang w:eastAsia="zh-CN"/>
        </w:rPr>
        <w:t>来自</w:t>
      </w:r>
      <w:r>
        <w:rPr>
          <w:rFonts w:hint="default" w:ascii="Times New Roman" w:hAnsi="Times New Roman" w:cs="Times New Roman"/>
          <w:color w:val="auto"/>
          <w:highlight w:val="none"/>
          <w:lang w:eastAsia="zh-CN"/>
        </w:rPr>
        <w:t>管沟开挖、敷设过程置换出来的土石方。</w:t>
      </w:r>
    </w:p>
    <w:p w14:paraId="10525FB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对一般性管沟开挖、敷设施工活动，在未利用地段可填至低洼地用于造地等。由于管道开挖回填后剩余的土方量非常小，按照上述办法处理后，弃土石将完全消化，管道沿线不用修建弃渣场。</w:t>
      </w:r>
    </w:p>
    <w:p w14:paraId="67AE7C9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）荒漠区保护恢复措施</w:t>
      </w:r>
    </w:p>
    <w:p w14:paraId="60868A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本项目地处塔里木盆地北部，渭-库三角洲绿洲</w:t>
      </w:r>
      <w:r>
        <w:rPr>
          <w:rFonts w:hint="eastAsia" w:cs="Times New Roman"/>
          <w:color w:val="auto"/>
          <w:highlight w:val="none"/>
          <w:lang w:val="en-US" w:eastAsia="zh-CN"/>
        </w:rPr>
        <w:t>东南部</w:t>
      </w:r>
      <w:r>
        <w:rPr>
          <w:rFonts w:hint="default" w:ascii="Times New Roman" w:hAnsi="Times New Roman" w:cs="Times New Roman"/>
          <w:color w:val="auto"/>
          <w:highlight w:val="none"/>
          <w:lang w:eastAsia="zh-CN"/>
        </w:rPr>
        <w:t>。该区域为干旱区三角洲绿洲与塔里木河北岸冲积平原之间的地带，</w:t>
      </w:r>
      <w:r>
        <w:rPr>
          <w:rFonts w:hint="default" w:ascii="Times New Roman" w:hAnsi="Times New Roman" w:cs="Times New Roman"/>
          <w:color w:val="auto"/>
          <w:highlight w:val="none"/>
          <w:lang w:val="en-US" w:eastAsia="zh-CN"/>
        </w:rPr>
        <w:t>区域</w:t>
      </w:r>
      <w:r>
        <w:rPr>
          <w:rFonts w:hint="default" w:ascii="Times New Roman" w:hAnsi="Times New Roman" w:cs="Times New Roman"/>
          <w:color w:val="auto"/>
          <w:highlight w:val="none"/>
          <w:lang w:eastAsia="zh-CN"/>
        </w:rPr>
        <w:t>荒漠区</w:t>
      </w:r>
      <w:r>
        <w:rPr>
          <w:rFonts w:hint="default" w:ascii="Times New Roman" w:hAnsi="Times New Roman" w:cs="Times New Roman"/>
          <w:color w:val="auto"/>
          <w:highlight w:val="none"/>
          <w:lang w:val="en-US" w:eastAsia="zh-CN"/>
        </w:rPr>
        <w:t>占比较大</w:t>
      </w:r>
      <w:r>
        <w:rPr>
          <w:rFonts w:hint="default" w:ascii="Times New Roman" w:hAnsi="Times New Roman" w:cs="Times New Roman"/>
          <w:color w:val="auto"/>
          <w:highlight w:val="none"/>
          <w:lang w:eastAsia="zh-CN"/>
        </w:rPr>
        <w:t>，由于荒漠地区的天然</w:t>
      </w:r>
      <w:r>
        <w:rPr>
          <w:rFonts w:hint="eastAsia" w:cs="Times New Roman"/>
          <w:color w:val="auto"/>
          <w:highlight w:val="none"/>
          <w:lang w:val="en-US" w:eastAsia="zh-CN"/>
        </w:rPr>
        <w:t>乔</w:t>
      </w:r>
      <w:r>
        <w:rPr>
          <w:rFonts w:hint="default" w:ascii="Times New Roman" w:hAnsi="Times New Roman" w:cs="Times New Roman"/>
          <w:color w:val="auto"/>
          <w:highlight w:val="none"/>
          <w:lang w:eastAsia="zh-CN"/>
        </w:rPr>
        <w:t>灌</w:t>
      </w:r>
      <w:r>
        <w:rPr>
          <w:rFonts w:hint="default" w:ascii="Times New Roman" w:hAnsi="Times New Roman" w:cs="Times New Roman"/>
          <w:color w:val="auto"/>
          <w:highlight w:val="none"/>
          <w:lang w:val="en-US" w:eastAsia="zh-CN"/>
        </w:rPr>
        <w:t>草植被较</w:t>
      </w:r>
      <w:r>
        <w:rPr>
          <w:rFonts w:hint="default" w:ascii="Times New Roman" w:hAnsi="Times New Roman" w:cs="Times New Roman"/>
          <w:color w:val="auto"/>
          <w:highlight w:val="none"/>
          <w:lang w:eastAsia="zh-CN"/>
        </w:rPr>
        <w:t>难进行自然恢复，因而在荒漠区施工时应尽量保护管沟两侧的灌丛和植被集中覆盖区域，尽可能保护原生植被，避免植被退化。</w:t>
      </w:r>
    </w:p>
    <w:p w14:paraId="010A67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评价区域</w:t>
      </w:r>
      <w:r>
        <w:rPr>
          <w:rFonts w:hint="default" w:ascii="Times New Roman" w:hAnsi="Times New Roman" w:cs="Times New Roman"/>
          <w:color w:val="auto"/>
          <w:highlight w:val="none"/>
          <w:lang w:eastAsia="zh-CN"/>
        </w:rPr>
        <w:t>存在胀果甘草、肉苁蓉、黑果枸杞、灰胡杨等</w:t>
      </w:r>
      <w:r>
        <w:rPr>
          <w:rFonts w:hint="default" w:ascii="Times New Roman" w:hAnsi="Times New Roman" w:cs="Times New Roman"/>
          <w:color w:val="auto"/>
          <w:highlight w:val="none"/>
          <w:lang w:val="en-US" w:eastAsia="zh-CN"/>
        </w:rPr>
        <w:t>保护植被</w:t>
      </w:r>
      <w:r>
        <w:rPr>
          <w:rFonts w:hint="default" w:ascii="Times New Roman" w:hAnsi="Times New Roman" w:cs="Times New Roman"/>
          <w:color w:val="auto"/>
          <w:highlight w:val="none"/>
          <w:lang w:eastAsia="zh-CN"/>
        </w:rPr>
        <w:t>，施工过程中分布有上述植物的可局部进行路线调整，避开重点保护野生植物集中分布的位置，无法避让的，可采取人工开挖的方式，减少对其的破坏，无法避让的应及时在有条件地段采取移栽或采种育苗后补栽等措施加以缓解。</w:t>
      </w:r>
    </w:p>
    <w:p w14:paraId="261B7A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草地保护恢复措施</w:t>
      </w:r>
    </w:p>
    <w:p w14:paraId="00B9157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评价区域草地主要分布在区域北部，项目</w:t>
      </w:r>
      <w:r>
        <w:rPr>
          <w:rFonts w:hint="default" w:ascii="Times New Roman" w:hAnsi="Times New Roman" w:cs="Times New Roman"/>
          <w:color w:val="auto"/>
          <w:highlight w:val="none"/>
          <w:lang w:eastAsia="zh-CN"/>
        </w:rPr>
        <w:t>经过草地段时，严格执行分层开挖、分层回填的操作制度，保护表层土；严格控制施工作业带宽度，施工作业带以警示带作明确标志；施工后期，对地表进行及时清理，采用人工干预和自然恢复相结合的方式尽快恢复植被。</w:t>
      </w:r>
    </w:p>
    <w:p w14:paraId="5EF2DF8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施工前，应尽可能把草场的草皮铲起，放在一旁并进行洒水养护，待施工结束后，将草皮覆盖在施工作业带上，并播撒当地耐干旱、耐</w:t>
      </w:r>
      <w:r>
        <w:rPr>
          <w:rFonts w:hint="default" w:ascii="Times New Roman" w:hAnsi="Times New Roman" w:cs="Times New Roman"/>
          <w:color w:val="auto"/>
          <w:highlight w:val="none"/>
          <w:lang w:val="en-US" w:eastAsia="zh-CN"/>
        </w:rPr>
        <w:t>盐碱</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lang w:val="en-US" w:eastAsia="zh-CN"/>
        </w:rPr>
        <w:t>原生植被</w:t>
      </w:r>
      <w:r>
        <w:rPr>
          <w:rFonts w:hint="default" w:ascii="Times New Roman" w:hAnsi="Times New Roman" w:cs="Times New Roman"/>
          <w:color w:val="auto"/>
          <w:highlight w:val="none"/>
          <w:lang w:eastAsia="zh-CN"/>
        </w:rPr>
        <w:t>进行植被恢复。</w:t>
      </w:r>
    </w:p>
    <w:p w14:paraId="65B9494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林地保护恢复措施</w:t>
      </w:r>
    </w:p>
    <w:p w14:paraId="182E660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建设单位在工程施工之前，按照当地对于林业保护和用地的相关规定要求，同地方林业部门办理相关手续，征得林业主管部门的同意后，方可施工，并对所占林地进行补偿。施工便道选择尽量绕避</w:t>
      </w:r>
      <w:r>
        <w:rPr>
          <w:rFonts w:hint="eastAsia" w:cs="Times New Roman"/>
          <w:color w:val="auto"/>
          <w:highlight w:val="none"/>
          <w:lang w:val="en-US" w:eastAsia="zh-CN"/>
        </w:rPr>
        <w:t>天然林</w:t>
      </w:r>
      <w:r>
        <w:rPr>
          <w:rFonts w:hint="default" w:ascii="Times New Roman" w:hAnsi="Times New Roman" w:cs="Times New Roman"/>
          <w:color w:val="auto"/>
          <w:highlight w:val="none"/>
          <w:lang w:eastAsia="zh-CN"/>
        </w:rPr>
        <w:t>，避开林</w:t>
      </w:r>
      <w:r>
        <w:rPr>
          <w:rFonts w:hint="eastAsia" w:cs="Times New Roman"/>
          <w:color w:val="auto"/>
          <w:highlight w:val="none"/>
          <w:lang w:val="en-US" w:eastAsia="zh-CN"/>
        </w:rPr>
        <w:t>木</w:t>
      </w:r>
      <w:r>
        <w:rPr>
          <w:rFonts w:hint="default" w:ascii="Times New Roman" w:hAnsi="Times New Roman" w:cs="Times New Roman"/>
          <w:color w:val="auto"/>
          <w:highlight w:val="none"/>
          <w:lang w:eastAsia="zh-CN"/>
        </w:rPr>
        <w:t>，或以林带空隙地为主，尽可能不破坏原有地形、地貌；管道中心线两侧改种浅根植物或者种植地方优势草本植物进行恢复。管道两侧的临时占地区域尽量按照施工前的林种进行恢复。</w:t>
      </w:r>
    </w:p>
    <w:p w14:paraId="63683536">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6.1.1.</w:t>
      </w:r>
      <w:r>
        <w:rPr>
          <w:rFonts w:hint="eastAsia" w:ascii="Times New Roman" w:hAnsi="Times New Roman" w:cs="Times New Roman"/>
          <w:color w:val="auto"/>
          <w:highlight w:val="none"/>
          <w:lang w:val="en-US" w:eastAsia="zh-CN"/>
        </w:rPr>
        <w:t>4天然林（国家二级公益林）生态保护措施</w:t>
      </w:r>
    </w:p>
    <w:bookmarkEnd w:id="593"/>
    <w:p w14:paraId="20EA6B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bookmarkStart w:id="595" w:name="_Hlk69399947"/>
      <w:bookmarkStart w:id="596" w:name="_Hlk69397310"/>
      <w:r>
        <w:rPr>
          <w:rFonts w:hint="default" w:ascii="Times New Roman" w:hAnsi="Times New Roman" w:cs="Times New Roman"/>
          <w:color w:val="auto"/>
          <w:highlight w:val="none"/>
          <w:lang w:val="en-US" w:eastAsia="zh-CN"/>
        </w:rPr>
        <w:t>（1）在施工图阶段，进一步优化管线布设，优先考虑对天然林内</w:t>
      </w:r>
      <w:r>
        <w:rPr>
          <w:rFonts w:hint="eastAsia" w:cs="Times New Roman"/>
          <w:color w:val="auto"/>
          <w:highlight w:val="none"/>
          <w:lang w:val="en-US" w:eastAsia="zh-CN"/>
        </w:rPr>
        <w:t>胡杨立木、灌丛</w:t>
      </w:r>
      <w:r>
        <w:rPr>
          <w:rFonts w:hint="default" w:ascii="Times New Roman" w:hAnsi="Times New Roman" w:cs="Times New Roman"/>
          <w:color w:val="auto"/>
          <w:highlight w:val="none"/>
          <w:lang w:val="en-US" w:eastAsia="zh-CN"/>
        </w:rPr>
        <w:t>等</w:t>
      </w:r>
      <w:r>
        <w:rPr>
          <w:rFonts w:hint="eastAsia" w:cs="Times New Roman"/>
          <w:color w:val="auto"/>
          <w:highlight w:val="none"/>
          <w:lang w:val="en-US" w:eastAsia="zh-CN"/>
        </w:rPr>
        <w:t>自然</w:t>
      </w:r>
      <w:r>
        <w:rPr>
          <w:rFonts w:hint="default" w:ascii="Times New Roman" w:hAnsi="Times New Roman" w:cs="Times New Roman"/>
          <w:color w:val="auto"/>
          <w:highlight w:val="none"/>
          <w:lang w:val="en-US" w:eastAsia="zh-CN"/>
        </w:rPr>
        <w:t>植被进行避让，选择林间空地或植被稀疏区域，占地避让</w:t>
      </w:r>
      <w:r>
        <w:rPr>
          <w:rFonts w:hint="eastAsia" w:cs="Times New Roman"/>
          <w:color w:val="auto"/>
          <w:highlight w:val="none"/>
          <w:lang w:val="en-US" w:eastAsia="zh-CN"/>
        </w:rPr>
        <w:t>活立木</w:t>
      </w:r>
      <w:r>
        <w:rPr>
          <w:rFonts w:hint="default" w:ascii="Times New Roman" w:hAnsi="Times New Roman" w:cs="Times New Roman"/>
          <w:color w:val="auto"/>
          <w:highlight w:val="none"/>
          <w:lang w:val="en-US" w:eastAsia="zh-CN"/>
        </w:rPr>
        <w:t>密集分布区，各类建设项目不得使用Ⅰ级保护林地。</w:t>
      </w:r>
    </w:p>
    <w:p w14:paraId="43849F3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（2）工程施工占用天然林，应按《</w:t>
      </w:r>
      <w:r>
        <w:rPr>
          <w:rFonts w:hint="eastAsia" w:cs="Times New Roman"/>
          <w:color w:val="auto"/>
          <w:highlight w:val="none"/>
          <w:lang w:val="en-US" w:eastAsia="zh-CN"/>
        </w:rPr>
        <w:t>中华人民共和国森林法</w:t>
      </w:r>
      <w:r>
        <w:rPr>
          <w:rFonts w:hint="default" w:ascii="Times New Roman" w:hAnsi="Times New Roman" w:cs="Times New Roman"/>
          <w:color w:val="auto"/>
          <w:highlight w:val="none"/>
          <w:lang w:val="en-US" w:eastAsia="zh-CN"/>
        </w:rPr>
        <w:t>》《新疆维吾尔自治区建设项目</w:t>
      </w:r>
      <w:r>
        <w:rPr>
          <w:rFonts w:hint="eastAsia" w:cs="Times New Roman"/>
          <w:color w:val="auto"/>
          <w:highlight w:val="none"/>
          <w:lang w:val="en-US" w:eastAsia="zh-CN"/>
        </w:rPr>
        <w:t>使用</w:t>
      </w:r>
      <w:r>
        <w:rPr>
          <w:rFonts w:hint="default" w:ascii="Times New Roman" w:hAnsi="Times New Roman" w:cs="Times New Roman"/>
          <w:color w:val="auto"/>
          <w:highlight w:val="none"/>
          <w:lang w:val="en-US" w:eastAsia="zh-CN"/>
        </w:rPr>
        <w:t>林地审核审批管理办法</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试行</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》（新林资字〔2015〕497号）等文件等有关规定，办理建设项目使用林地手续后方可施工建设。</w:t>
      </w:r>
    </w:p>
    <w:p w14:paraId="5649D1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采用小型施工机具或必要时考虑采用人工开挖回填管沟等一系列手段，缩减施工作业带宽度。根据管径大小及占地类型，本工程在天然林分布区内管线施工作业带宽度建议相应减小，以减少对天然林的扰动和</w:t>
      </w:r>
      <w:r>
        <w:rPr>
          <w:rFonts w:hint="eastAsia" w:cs="Times New Roman"/>
          <w:color w:val="auto"/>
          <w:highlight w:val="none"/>
          <w:lang w:val="en-US" w:eastAsia="zh-CN"/>
        </w:rPr>
        <w:t>胡杨、柽柳</w:t>
      </w:r>
      <w:r>
        <w:rPr>
          <w:rFonts w:hint="default" w:ascii="Times New Roman" w:hAnsi="Times New Roman" w:cs="Times New Roman"/>
          <w:color w:val="auto"/>
          <w:highlight w:val="none"/>
          <w:lang w:val="en-US" w:eastAsia="zh-CN"/>
        </w:rPr>
        <w:t>等</w:t>
      </w:r>
      <w:r>
        <w:rPr>
          <w:rFonts w:hint="eastAsia" w:cs="Times New Roman"/>
          <w:color w:val="auto"/>
          <w:highlight w:val="none"/>
          <w:lang w:val="en-US" w:eastAsia="zh-CN"/>
        </w:rPr>
        <w:t>自然</w:t>
      </w:r>
      <w:r>
        <w:rPr>
          <w:rFonts w:hint="default" w:ascii="Times New Roman" w:hAnsi="Times New Roman" w:cs="Times New Roman"/>
          <w:color w:val="auto"/>
          <w:highlight w:val="none"/>
          <w:lang w:val="en-US" w:eastAsia="zh-CN"/>
        </w:rPr>
        <w:t>植被的破坏。</w:t>
      </w:r>
    </w:p>
    <w:p w14:paraId="01650C1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（4）在天然林分布区域施工过程中，采取有效措施，加强施工管理，严禁超范围使用林地，杜绝非法采伐、破坏植被等行为，严防森林火灾。</w:t>
      </w:r>
    </w:p>
    <w:p w14:paraId="4A8F36A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（5）临时使用林地期满，建设单位应当在一年内恢复被临时占</w:t>
      </w:r>
      <w:r>
        <w:rPr>
          <w:rFonts w:hint="eastAsia" w:cs="Times New Roman"/>
          <w:color w:val="auto"/>
          <w:highlight w:val="none"/>
          <w:lang w:val="en-US" w:eastAsia="zh-CN"/>
        </w:rPr>
        <w:t>用</w:t>
      </w:r>
      <w:r>
        <w:rPr>
          <w:rFonts w:hint="default" w:ascii="Times New Roman" w:hAnsi="Times New Roman" w:cs="Times New Roman"/>
          <w:color w:val="auto"/>
          <w:highlight w:val="none"/>
          <w:lang w:val="en-US" w:eastAsia="zh-CN"/>
        </w:rPr>
        <w:t>林地的林业生产条件和植被。</w:t>
      </w:r>
    </w:p>
    <w:p w14:paraId="3482BD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（6）建设单位应采取有效措施保护野生动植物及其生境，严禁施工车辆、人员</w:t>
      </w:r>
      <w:r>
        <w:rPr>
          <w:rFonts w:hint="eastAsia" w:cs="Times New Roman"/>
          <w:color w:val="auto"/>
          <w:highlight w:val="none"/>
          <w:lang w:val="en-US" w:eastAsia="zh-CN"/>
        </w:rPr>
        <w:t>追赶</w:t>
      </w:r>
      <w:r>
        <w:rPr>
          <w:rFonts w:hint="default" w:ascii="Times New Roman" w:hAnsi="Times New Roman" w:cs="Times New Roman"/>
          <w:color w:val="auto"/>
          <w:highlight w:val="none"/>
          <w:lang w:val="en-US" w:eastAsia="zh-CN"/>
        </w:rPr>
        <w:t>、碾压野生动物，禁止损毁野生动物巢穴，施工过程中尽量避免或减少对项目区及周边野生动植物生境的影响。</w:t>
      </w:r>
    </w:p>
    <w:p w14:paraId="22E97F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（7）建设单位应接受</w:t>
      </w:r>
      <w:r>
        <w:rPr>
          <w:rFonts w:hint="eastAsia" w:cs="Times New Roman"/>
          <w:color w:val="auto"/>
          <w:highlight w:val="none"/>
          <w:lang w:val="en-US" w:eastAsia="zh-CN"/>
        </w:rPr>
        <w:t>阿克苏</w:t>
      </w:r>
      <w:r>
        <w:rPr>
          <w:rFonts w:hint="default" w:ascii="Times New Roman" w:hAnsi="Times New Roman" w:cs="Times New Roman"/>
          <w:color w:val="auto"/>
          <w:highlight w:val="none"/>
          <w:lang w:val="en-US" w:eastAsia="zh-CN"/>
        </w:rPr>
        <w:t>地区林业和草原局、</w:t>
      </w:r>
      <w:r>
        <w:rPr>
          <w:rFonts w:hint="eastAsia" w:cs="Times New Roman"/>
          <w:color w:val="auto"/>
          <w:highlight w:val="none"/>
          <w:lang w:val="en-US" w:eastAsia="zh-CN"/>
        </w:rPr>
        <w:t>库车市</w:t>
      </w:r>
      <w:r>
        <w:rPr>
          <w:rFonts w:hint="default" w:ascii="Times New Roman" w:hAnsi="Times New Roman" w:cs="Times New Roman"/>
          <w:color w:val="auto"/>
          <w:highlight w:val="none"/>
          <w:lang w:val="en-US" w:eastAsia="zh-CN"/>
        </w:rPr>
        <w:t>林业和草原局对本</w:t>
      </w:r>
      <w:r>
        <w:rPr>
          <w:rFonts w:hint="eastAsia" w:cs="Times New Roman"/>
          <w:color w:val="auto"/>
          <w:highlight w:val="none"/>
          <w:lang w:val="en-US" w:eastAsia="zh-CN"/>
        </w:rPr>
        <w:t>项目</w:t>
      </w:r>
      <w:r>
        <w:rPr>
          <w:rFonts w:hint="default" w:ascii="Times New Roman" w:hAnsi="Times New Roman" w:cs="Times New Roman"/>
          <w:color w:val="auto"/>
          <w:highlight w:val="none"/>
          <w:lang w:val="en-US" w:eastAsia="zh-CN"/>
        </w:rPr>
        <w:t>使用林地情况的监督检查</w:t>
      </w:r>
      <w:r>
        <w:rPr>
          <w:rFonts w:hint="default" w:ascii="Times New Roman" w:hAnsi="Times New Roman" w:cs="Times New Roman"/>
          <w:color w:val="auto"/>
          <w:highlight w:val="none"/>
        </w:rPr>
        <w:t>。</w:t>
      </w:r>
    </w:p>
    <w:p w14:paraId="28FD5067">
      <w:pPr>
        <w:pStyle w:val="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6.1.1.5永久基本农田生态保护措施 </w:t>
      </w:r>
    </w:p>
    <w:p w14:paraId="7ED3142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本项目井场、管线选线对永久基本农田实施避让，均未占用基本农田。</w:t>
      </w:r>
    </w:p>
    <w:p w14:paraId="0C6C52A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 xml:space="preserve">施工期间不得在永久基本农田范围内堆放固体废弃物或者进行其他破坏基本农田的活动。 </w:t>
      </w:r>
    </w:p>
    <w:p w14:paraId="1AD7E11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 xml:space="preserve">因发生事故或者其他突然性事件，造成或者可能造成基本农田环境污染事故的，当事人必须立即采取措施处理，并向当地生态环境主管部门和农业主管部门报告。 </w:t>
      </w:r>
    </w:p>
    <w:p w14:paraId="2622938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加强施工人员的教育工作，施工机械不得随意行驶，碾压永久基本农田。施工单位应做好施工机械的保养工作，防止污染永久基本农田。</w:t>
      </w:r>
    </w:p>
    <w:p w14:paraId="2614FB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在保证施工安全的前提下，管沟开挖宽度及作业带宽度严格控制在设计范围内，避免因施工破坏土地可能带来的水土流失；施工现场集中堆放的土方必须覆盖，严禁裸露。</w:t>
      </w:r>
    </w:p>
    <w:p w14:paraId="1B62296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类比塔河油田同类项目已采取的永久基本农田保护措施，本项目采取的永久基本农田保护措施可行。</w:t>
      </w:r>
    </w:p>
    <w:p w14:paraId="144F30D6">
      <w:pPr>
        <w:pStyle w:val="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6.1.1.</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野生动植物生态保护措施</w:t>
      </w:r>
    </w:p>
    <w:p w14:paraId="41917DD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（1）合理选择管线走向，应避开植被茂盛的区段，尽量避免砍伐野生植物；管线敷设尽量取直，考虑管线距离最短。</w:t>
      </w:r>
    </w:p>
    <w:p w14:paraId="6B62156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（2）管线施工应严格限定施工范围，确定作业路线，不得随意改线。管线施工若遇到保护植物应当采取避让的措施，若无法进行避让，需对保护植物进行移植保护。</w:t>
      </w:r>
    </w:p>
    <w:p w14:paraId="1FFF124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（3）管线施工范围应严格限制在</w:t>
      </w:r>
      <w:r>
        <w:rPr>
          <w:rFonts w:hint="eastAsia" w:cs="Times New Roman"/>
          <w:color w:val="auto"/>
          <w:highlight w:val="none"/>
          <w:lang w:val="en-US" w:eastAsia="zh-CN"/>
        </w:rPr>
        <w:t>7m</w:t>
      </w:r>
      <w:r>
        <w:rPr>
          <w:rFonts w:hint="default" w:ascii="Times New Roman" w:hAnsi="Times New Roman" w:cs="Times New Roman"/>
          <w:color w:val="auto"/>
          <w:highlight w:val="none"/>
          <w:lang w:val="en-US" w:eastAsia="zh-CN"/>
        </w:rPr>
        <w:t>范围内。施工机械和车辆应严格按规定在设计场地及便道上作业和行驶，防止扩大对土壤和植被的破坏范围。在保证顺利施工的前提下，应尽可能缩小施工作业宽度，以减少临时占地影响，将施工期对环境不利影响降到最低限度。</w:t>
      </w:r>
    </w:p>
    <w:p w14:paraId="6D7117C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（4）在施工便道设置“保护生态环境、保护野生动植物”等警示牌，并从管理上对施工作业人员加强宣传教育，切实提高保护生态环境的意识。车辆行驶过程中不得鸣笛惊吓野生动物。</w:t>
      </w:r>
    </w:p>
    <w:p w14:paraId="09800B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（5）注意施工后的地表修复，管道回填时，应注意尽量恢复原有紧实度，或留足适宜的堆积层，防止因降水造成地表下陷形成积水洼地。管道回填后应注意恢复原有地表的平整度。</w:t>
      </w:r>
    </w:p>
    <w:p w14:paraId="09A6782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（6）站场建设选址尽量少占植被茂密的地块，尤其不得铲除保护植物。若无法进行避让，需对保护植物进行移植保护。同时，严格控制占地面积，以减少占地和保护野生植物。</w:t>
      </w:r>
    </w:p>
    <w:p w14:paraId="51A4EE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（7）施工过程不得将沙生植被尤其是保护植物随意作为薪柴使用。</w:t>
      </w:r>
    </w:p>
    <w:bookmarkEnd w:id="594"/>
    <w:p w14:paraId="61141379">
      <w:pPr>
        <w:pStyle w:val="7"/>
        <w:bidi w:val="0"/>
        <w:rPr>
          <w:rFonts w:hint="default" w:ascii="Times New Roman" w:hAnsi="Times New Roman" w:cs="Times New Roman"/>
          <w:color w:val="auto"/>
          <w:highlight w:val="none"/>
        </w:rPr>
      </w:pPr>
      <w:bookmarkStart w:id="597" w:name="_Hlk95845296"/>
      <w:r>
        <w:rPr>
          <w:rFonts w:hint="default" w:ascii="Times New Roman" w:hAnsi="Times New Roman" w:cs="Times New Roman"/>
          <w:color w:val="auto"/>
          <w:highlight w:val="none"/>
        </w:rPr>
        <w:t>6.1.1.</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防沙治沙措施</w:t>
      </w:r>
    </w:p>
    <w:bookmarkEnd w:id="595"/>
    <w:bookmarkEnd w:id="596"/>
    <w:bookmarkEnd w:id="597"/>
    <w:p w14:paraId="047176E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新时代治沙方略，要面向2035年对接联合国可持续发展目标、服务国家需求，总体治理对策可概括为“24字方针”：保护优先、绿色发展，因地制宜、分类施策，系统治理、整体增强</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根据调查，本项目位于塔里木河上中游乔灌草及胡杨林保护生态功能区，主要生态服务功能为沙漠化控制等。根据《新疆维吾尔自治区防沙治沙规划（2021-2030）》，本工程所在区域分布有固定、半固定沙地，沙化程度为中度。其中TH10294CH、TH10250CH、TH10298CH等侧钻井周边分布有风沙土。</w:t>
      </w:r>
      <w:r>
        <w:rPr>
          <w:rFonts w:hint="eastAsia" w:cs="Times New Roman"/>
          <w:color w:val="auto"/>
          <w:highlight w:val="none"/>
          <w:lang w:eastAsia="zh-CN"/>
        </w:rPr>
        <w:t>由于</w:t>
      </w:r>
      <w:r>
        <w:rPr>
          <w:rFonts w:hint="eastAsia" w:cs="Times New Roman"/>
          <w:color w:val="auto"/>
          <w:highlight w:val="none"/>
          <w:lang w:val="en-US" w:eastAsia="zh-CN"/>
        </w:rPr>
        <w:t>项目区</w:t>
      </w:r>
      <w:r>
        <w:rPr>
          <w:rFonts w:hint="eastAsia" w:cs="Times New Roman"/>
          <w:color w:val="auto"/>
          <w:highlight w:val="none"/>
          <w:lang w:eastAsia="zh-CN"/>
        </w:rPr>
        <w:t>独特的地理位置和脆弱的生态环境，沙化土地的治理必定是一项长期而艰巨的任务，一旦放松对沙化土地的治理，极有可能造成土地沙化“死灰复燃”。因此，在沙化土地的治理取得成效的基础上，狠抓防沙治沙。</w:t>
      </w:r>
    </w:p>
    <w:p w14:paraId="5D7527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工程措施</w:t>
      </w:r>
    </w:p>
    <w:p w14:paraId="4471E39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eastAsia="zh-CN"/>
        </w:rPr>
        <w:t>不涉及物理、化学固沙及其他机械固沙措施。</w:t>
      </w:r>
    </w:p>
    <w:p w14:paraId="33E00D8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植物措施</w:t>
      </w:r>
    </w:p>
    <w:p w14:paraId="56375EA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①植被覆盖度高的区域，施工结束后，及时采取撒播草籽等措施，恢复原地貌；</w:t>
      </w:r>
    </w:p>
    <w:p w14:paraId="543512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②施工过程中，对于管道工程，尽可能在植被覆盖度高的地段采取人工开挖，局部降低作业带宽度，减少对植被的破坏。</w:t>
      </w:r>
    </w:p>
    <w:p w14:paraId="58E00C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其他措施</w:t>
      </w:r>
    </w:p>
    <w:p w14:paraId="53C9107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针对井场施工过程，提出如下措施：①施工过程中不得随意碾压区域其他固沙植被，严格控制施工活动范围，严禁乱碾乱轧，避免对占地范围外的区域造成扰动。②严禁施工人员在荒漠地段随意踩踏、占用，施工结束后，应对施工场地及时进行清理、平整，减少沙物质来源。③</w:t>
      </w:r>
      <w:r>
        <w:rPr>
          <w:rFonts w:hint="eastAsia" w:cs="Times New Roman"/>
          <w:color w:val="auto"/>
          <w:highlight w:val="none"/>
          <w:lang w:val="en-US" w:eastAsia="zh-CN"/>
        </w:rPr>
        <w:t>本项目</w:t>
      </w:r>
      <w:r>
        <w:rPr>
          <w:rFonts w:hint="eastAsia" w:ascii="Times New Roman" w:hAnsi="Times New Roman" w:eastAsia="宋体" w:cs="Times New Roman"/>
          <w:color w:val="auto"/>
          <w:highlight w:val="none"/>
          <w:lang w:eastAsia="zh-CN"/>
        </w:rPr>
        <w:t>位于荒漠区域，为保护土地资源，应在钻井工程作业结束后对场地进行平整，覆土压实并覆盖砾石，防止风蚀现象发生。</w:t>
      </w:r>
    </w:p>
    <w:p w14:paraId="659DCD4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针对管沟开挖过程，提出如下措施：①施工土方全部用于管沟回填，严禁随意堆置。②遇到干燥、易起尘的土方工程作业时，应辅以洒水压尘，尽量缩短起尘操作时间，遇到四级及四级以上大风天气，应停止土方作业，同时作业处覆以防尘网。③在施工过程中，不得随意碾压区域内其他固沙植被。④管沟开挖过程中采取边开挖边回填措施，降低土壤裸露风化风险，严禁随意堆放。</w:t>
      </w:r>
    </w:p>
    <w:p w14:paraId="268B0E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14:paraId="0D43614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lang w:eastAsia="zh-CN"/>
        </w:rPr>
        <w:t>工程措施、植被措施及其他措施，要求在井场建设完成投入运行之前完成，严禁防沙治沙措施未完成即投入运行。</w:t>
      </w:r>
    </w:p>
    <w:p w14:paraId="416D0BE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类比塔河油田同类项目施工采取的防沙治沙措施，</w:t>
      </w:r>
      <w:r>
        <w:rPr>
          <w:rFonts w:hint="eastAsia" w:ascii="Times New Roman" w:hAnsi="Times New Roman" w:eastAsia="宋体" w:cs="Times New Roman"/>
          <w:color w:val="auto"/>
          <w:highlight w:val="none"/>
          <w:lang w:val="en-US" w:eastAsia="zh-CN"/>
        </w:rPr>
        <w:t>本项目拟</w:t>
      </w:r>
      <w:r>
        <w:rPr>
          <w:rFonts w:hint="eastAsia" w:ascii="Times New Roman" w:hAnsi="Times New Roman" w:eastAsia="宋体" w:cs="Times New Roman"/>
          <w:color w:val="auto"/>
          <w:highlight w:val="none"/>
          <w:lang w:eastAsia="zh-CN"/>
        </w:rPr>
        <w:t>采取的防沙治沙措施可行。</w:t>
      </w:r>
    </w:p>
    <w:p w14:paraId="37D08019">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6.1.1</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水土流失防治措施</w:t>
      </w:r>
    </w:p>
    <w:p w14:paraId="5E19ED7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场地</w:t>
      </w:r>
      <w:r>
        <w:rPr>
          <w:rFonts w:hint="default" w:ascii="Times New Roman" w:hAnsi="Times New Roman" w:cs="Times New Roman"/>
          <w:color w:val="auto"/>
          <w:highlight w:val="none"/>
          <w:lang w:eastAsia="zh-CN"/>
        </w:rPr>
        <w:t>平整</w:t>
      </w:r>
    </w:p>
    <w:p w14:paraId="3C61F9C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井场采取砾石压盖，砾石压盖能有效减少风力侵蚀，降低水土流失</w:t>
      </w:r>
      <w:r>
        <w:rPr>
          <w:rFonts w:hint="eastAsia" w:cs="Times New Roman"/>
          <w:color w:val="auto"/>
          <w:highlight w:val="none"/>
          <w:lang w:eastAsia="zh-CN"/>
        </w:rPr>
        <w:t>风险</w:t>
      </w:r>
      <w:r>
        <w:rPr>
          <w:rFonts w:hint="default" w:ascii="Times New Roman" w:hAnsi="Times New Roman" w:cs="Times New Roman"/>
          <w:color w:val="auto"/>
          <w:highlight w:val="none"/>
          <w:lang w:eastAsia="zh-CN"/>
        </w:rPr>
        <w:t>。针对井场除砾石压盖面积外的施工场地，施工结束后进行场地平整，开挖及回填时应保证地面相对平整。精细平整过程中不仅要保证土体再塑，而且要稳坡固表，防治水土流失。</w:t>
      </w:r>
    </w:p>
    <w:p w14:paraId="1B01297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）工程措施</w:t>
      </w:r>
    </w:p>
    <w:p w14:paraId="0DFC3B2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管道工程区管沟回填后需先进行严格的整治，对局部高差较大处，由铲运机铲运土方回填，开挖及回填时应保证地面相对平整，压实度较高的采用推土机的松土器进行耙松。精细平整过程中不仅要保证土体再塑，而且要稳坡固表，防治水土流失。</w:t>
      </w:r>
    </w:p>
    <w:p w14:paraId="1D6C1F6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（3）限行彩条旗</w:t>
      </w:r>
    </w:p>
    <w:p w14:paraId="33783D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严格控制和管理施工期间车辆行驶的范围，减轻对周边区域的扰动，在施工作业区两侧拉彩条旗以示明车辆行驶的边界，以避免增加对地表的扰动和破坏</w:t>
      </w:r>
      <w:r>
        <w:rPr>
          <w:rFonts w:hint="default" w:ascii="Times New Roman" w:hAnsi="Times New Roman" w:cs="Times New Roman"/>
          <w:color w:val="auto"/>
          <w:highlight w:val="none"/>
        </w:rPr>
        <w:t>。</w:t>
      </w:r>
    </w:p>
    <w:p w14:paraId="70B0F1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auto"/>
          <w:kern w:val="0"/>
          <w:sz w:val="21"/>
          <w:szCs w:val="21"/>
          <w:highlight w:val="none"/>
          <w:lang w:eastAsia="en-US"/>
        </w:rPr>
      </w:pPr>
      <w:r>
        <w:rPr>
          <w:rFonts w:hint="default" w:ascii="Times New Roman" w:hAnsi="Times New Roman" w:eastAsia="Arial" w:cs="Times New Roman"/>
          <w:snapToGrid w:val="0"/>
          <w:color w:val="auto"/>
          <w:kern w:val="0"/>
          <w:position w:val="-72"/>
          <w:sz w:val="21"/>
          <w:szCs w:val="21"/>
          <w:highlight w:val="none"/>
          <w:lang w:eastAsia="en-US"/>
        </w:rPr>
        <mc:AlternateContent>
          <mc:Choice Requires="wpg">
            <w:drawing>
              <wp:inline distT="0" distB="0" distL="114300" distR="114300">
                <wp:extent cx="4727575" cy="2296795"/>
                <wp:effectExtent l="12700" t="0" r="22225" b="14605"/>
                <wp:docPr id="76" name="组合 76"/>
                <wp:cNvGraphicFramePr/>
                <a:graphic xmlns:a="http://schemas.openxmlformats.org/drawingml/2006/main">
                  <a:graphicData uri="http://schemas.microsoft.com/office/word/2010/wordprocessingGroup">
                    <wpg:wgp>
                      <wpg:cNvGrpSpPr/>
                      <wpg:grpSpPr>
                        <a:xfrm>
                          <a:off x="0" y="0"/>
                          <a:ext cx="4727575" cy="2296795"/>
                          <a:chOff x="0" y="0"/>
                          <a:chExt cx="7445" cy="3617"/>
                        </a:xfrm>
                      </wpg:grpSpPr>
                      <pic:pic xmlns:pic="http://schemas.openxmlformats.org/drawingml/2006/picture">
                        <pic:nvPicPr>
                          <pic:cNvPr id="35" name="图片 3"/>
                          <pic:cNvPicPr>
                            <a:picLocks noChangeAspect="1"/>
                          </pic:cNvPicPr>
                        </pic:nvPicPr>
                        <pic:blipFill>
                          <a:blip r:embed="rId98"/>
                          <a:stretch>
                            <a:fillRect/>
                          </a:stretch>
                        </pic:blipFill>
                        <pic:spPr>
                          <a:xfrm>
                            <a:off x="30" y="30"/>
                            <a:ext cx="7385" cy="3557"/>
                          </a:xfrm>
                          <a:prstGeom prst="rect">
                            <a:avLst/>
                          </a:prstGeom>
                          <a:noFill/>
                          <a:ln>
                            <a:noFill/>
                          </a:ln>
                        </pic:spPr>
                      </pic:pic>
                      <wps:wsp>
                        <wps:cNvPr id="38" name="文本框 32"/>
                        <wps:cNvSpPr txBox="1"/>
                        <wps:spPr>
                          <a:xfrm>
                            <a:off x="-20" y="-20"/>
                            <a:ext cx="7485" cy="3657"/>
                          </a:xfrm>
                          <a:prstGeom prst="rect">
                            <a:avLst/>
                          </a:prstGeom>
                          <a:noFill/>
                          <a:ln>
                            <a:noFill/>
                          </a:ln>
                        </wps:spPr>
                        <wps:txbx>
                          <w:txbxContent>
                            <w:p w14:paraId="2DA643E0">
                              <w:pPr>
                                <w:kinsoku w:val="0"/>
                                <w:autoSpaceDE w:val="0"/>
                                <w:autoSpaceDN w:val="0"/>
                                <w:adjustRightInd w:val="0"/>
                                <w:snapToGrid w:val="0"/>
                                <w:spacing w:line="20" w:lineRule="exact"/>
                                <w:jc w:val="left"/>
                                <w:textAlignment w:val="baseline"/>
                                <w:rPr>
                                  <w:rFonts w:ascii="Arial" w:hAnsi="Arial" w:eastAsia="Arial" w:cs="Arial"/>
                                  <w:snapToGrid w:val="0"/>
                                  <w:color w:val="000000"/>
                                  <w:kern w:val="0"/>
                                  <w:sz w:val="21"/>
                                  <w:szCs w:val="21"/>
                                  <w:lang w:eastAsia="en-US"/>
                                </w:rPr>
                              </w:pPr>
                            </w:p>
                            <w:tbl>
                              <w:tblPr>
                                <w:tblStyle w:val="60"/>
                                <w:tblW w:w="743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434"/>
                              </w:tblGrid>
                              <w:tr w14:paraId="7DC5FC7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596" w:hRule="atLeast"/>
                                </w:trPr>
                                <w:tc>
                                  <w:tcPr>
                                    <w:tcW w:w="7434" w:type="dxa"/>
                                    <w:vAlign w:val="top"/>
                                  </w:tcPr>
                                  <w:p w14:paraId="374CED2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305E04BD">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xbxContent>
                        </wps:txbx>
                        <wps:bodyPr lIns="0" tIns="0" rIns="0" bIns="0" upright="1"/>
                      </wps:wsp>
                    </wpg:wgp>
                  </a:graphicData>
                </a:graphic>
              </wp:inline>
            </w:drawing>
          </mc:Choice>
          <mc:Fallback>
            <w:pict>
              <v:group id="_x0000_s1026" o:spid="_x0000_s1026" o:spt="203" style="height:180.85pt;width:372.25pt;" coordsize="7445,3617" o:gfxdata="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">
                <o:lock v:ext="edit" aspectratio="f"/>
                <v:shape id="图片 3" o:spid="_x0000_s1026" o:spt="75" type="#_x0000_t75" style="position:absolute;left:30;top:30;height:3557;width:7385;" filled="f" o:preferrelative="t" stroked="f" coordsize="21600,21600" o:gfxdata="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aRivQAA&#10;ANsAAAAPAAAAAAAAAAEAIAAAACIAAABkcnMvZG93bnJldi54bWxQSwECFAAUAAAACACHTuJAMy8F&#10;njsAAAA5AAAAEAAAAAAAAAABACAAAAAMAQAAZHJzL3NoYXBleG1sLnhtbFBLBQYAAAAABgAGAFsB&#10;AAC2AwAAAAA=&#10;">
                  <v:fill on="f" focussize="0,0"/>
                  <v:stroke on="f"/>
                  <v:imagedata r:id="rId98" o:title=""/>
                  <o:lock v:ext="edit" aspectratio="t"/>
                </v:shape>
                <v:shape id="文本框 32" o:spid="_x0000_s1026" o:spt="202" type="#_x0000_t202" style="position:absolute;left:-20;top:-20;height:3657;width:7485;"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DA643E0">
                        <w:pPr>
                          <w:kinsoku w:val="0"/>
                          <w:autoSpaceDE w:val="0"/>
                          <w:autoSpaceDN w:val="0"/>
                          <w:adjustRightInd w:val="0"/>
                          <w:snapToGrid w:val="0"/>
                          <w:spacing w:line="20" w:lineRule="exact"/>
                          <w:jc w:val="left"/>
                          <w:textAlignment w:val="baseline"/>
                          <w:rPr>
                            <w:rFonts w:ascii="Arial" w:hAnsi="Arial" w:eastAsia="Arial" w:cs="Arial"/>
                            <w:snapToGrid w:val="0"/>
                            <w:color w:val="000000"/>
                            <w:kern w:val="0"/>
                            <w:sz w:val="21"/>
                            <w:szCs w:val="21"/>
                            <w:lang w:eastAsia="en-US"/>
                          </w:rPr>
                        </w:pPr>
                      </w:p>
                      <w:tbl>
                        <w:tblPr>
                          <w:tblStyle w:val="60"/>
                          <w:tblW w:w="743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434"/>
                        </w:tblGrid>
                        <w:tr w14:paraId="7DC5FC7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596" w:hRule="atLeast"/>
                          </w:trPr>
                          <w:tc>
                            <w:tcPr>
                              <w:tcW w:w="7434" w:type="dxa"/>
                              <w:vAlign w:val="top"/>
                            </w:tcPr>
                            <w:p w14:paraId="374CED2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305E04BD">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xbxContent>
                  </v:textbox>
                </v:shape>
                <w10:wrap type="none"/>
                <w10:anchorlock/>
              </v:group>
            </w:pict>
          </mc:Fallback>
        </mc:AlternateContent>
      </w:r>
    </w:p>
    <w:p w14:paraId="755C0B0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z w:val="21"/>
          <w:highlight w:val="none"/>
          <w:lang w:val="en-US" w:eastAsia="zh-CN"/>
        </w:rPr>
      </w:pPr>
      <w:r>
        <w:rPr>
          <w:rFonts w:hint="default" w:ascii="Times New Roman" w:hAnsi="Times New Roman" w:eastAsia="黑体" w:cs="Times New Roman"/>
          <w:color w:val="auto"/>
          <w:sz w:val="21"/>
          <w:highlight w:val="none"/>
          <w:lang w:val="en-US" w:eastAsia="zh-CN"/>
        </w:rPr>
        <w:t>图</w:t>
      </w:r>
      <w:r>
        <w:rPr>
          <w:rFonts w:hint="default" w:ascii="Times New Roman" w:hAnsi="Times New Roman" w:eastAsia="黑体" w:cs="Times New Roman"/>
          <w:color w:val="auto"/>
          <w:sz w:val="21"/>
          <w:highlight w:val="none"/>
        </w:rPr>
        <w:t>6.1-</w:t>
      </w:r>
      <w:r>
        <w:rPr>
          <w:rFonts w:hint="eastAsia" w:eastAsia="黑体" w:cs="Times New Roman"/>
          <w:color w:val="auto"/>
          <w:sz w:val="21"/>
          <w:highlight w:val="none"/>
          <w:lang w:val="en-US" w:eastAsia="zh-CN"/>
        </w:rPr>
        <w:t>1</w:t>
      </w:r>
      <w:r>
        <w:rPr>
          <w:rFonts w:hint="default" w:ascii="Times New Roman" w:hAnsi="Times New Roman" w:eastAsia="黑体" w:cs="Times New Roman"/>
          <w:color w:val="auto"/>
          <w:sz w:val="21"/>
          <w:highlight w:val="none"/>
          <w:lang w:val="en-US" w:eastAsia="en-US"/>
        </w:rPr>
        <w:t>限行彩条旗典型措施设计图</w:t>
      </w:r>
    </w:p>
    <w:p w14:paraId="2B43F9EF">
      <w:pPr>
        <w:pStyle w:val="7"/>
        <w:keepNext/>
        <w:keepLines/>
        <w:pageBreakBefore w:val="0"/>
        <w:widowControl/>
        <w:kinsoku/>
        <w:wordWrap/>
        <w:overflowPunct/>
        <w:topLinePunct w:val="0"/>
        <w:autoSpaceDE/>
        <w:autoSpaceDN/>
        <w:bidi w:val="0"/>
        <w:adjustRightInd/>
        <w:snapToGrid/>
        <w:spacing w:before="164" w:beforeLines="5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6.1.1.</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生态保护措施有效性分析</w:t>
      </w:r>
    </w:p>
    <w:p w14:paraId="7FBC575C">
      <w:pPr>
        <w:keepNext w:val="0"/>
        <w:keepLines/>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b/>
          <w:color w:val="auto"/>
          <w:sz w:val="24"/>
          <w:szCs w:val="22"/>
          <w:highlight w:val="none"/>
        </w:rPr>
      </w:pPr>
      <w:r>
        <w:rPr>
          <w:rFonts w:hint="default" w:ascii="Times New Roman" w:hAnsi="Times New Roman" w:eastAsia="宋体" w:cs="Times New Roman"/>
          <w:color w:val="auto"/>
          <w:kern w:val="0"/>
          <w:szCs w:val="24"/>
          <w:highlight w:val="none"/>
          <w:lang w:val="en-US" w:eastAsia="zh-CN" w:bidi="ar-SA"/>
        </w:rPr>
        <w:t>在严格落实本报告提出的生态保护措施后，预计评价区域防风固沙植被生态功能基本能维持现状，沙化土地扩展趋势得到一定的遏制，区域生态环境总体维持稳定，区域生态系统服务功能可以得到一定程度的维护。</w:t>
      </w:r>
    </w:p>
    <w:p w14:paraId="40FC4189">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t>6.1.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大气污染防治措施</w:t>
      </w:r>
      <w:bookmarkEnd w:id="582"/>
      <w:bookmarkEnd w:id="583"/>
      <w:bookmarkEnd w:id="584"/>
    </w:p>
    <w:bookmarkEnd w:id="585"/>
    <w:p w14:paraId="318D2578">
      <w:pPr>
        <w:pStyle w:val="7"/>
        <w:pageBreakBefore w:val="0"/>
        <w:widowControl/>
        <w:kinsoku/>
        <w:wordWrap/>
        <w:overflowPunct/>
        <w:topLinePunct w:val="0"/>
        <w:autoSpaceDE/>
        <w:autoSpaceDN/>
        <w:bidi w:val="0"/>
        <w:spacing w:beforeLines="0" w:afterLines="0" w:line="36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.1施工扬尘</w:t>
      </w:r>
    </w:p>
    <w:p w14:paraId="6C51249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（1）场地平整时，禁止利用挖掘机进行</w:t>
      </w:r>
      <w:r>
        <w:rPr>
          <w:rFonts w:hint="eastAsia" w:cs="Times New Roman"/>
          <w:color w:val="auto"/>
          <w:highlight w:val="none"/>
          <w:lang w:eastAsia="zh-CN"/>
        </w:rPr>
        <w:t>抛撒</w:t>
      </w:r>
      <w:r>
        <w:rPr>
          <w:rFonts w:hint="default" w:ascii="Times New Roman" w:hAnsi="Times New Roman" w:eastAsia="宋体" w:cs="Times New Roman"/>
          <w:color w:val="auto"/>
          <w:highlight w:val="none"/>
        </w:rPr>
        <w:t>土石方作业，定期洒水，作业面要保持一定湿度。</w:t>
      </w:r>
    </w:p>
    <w:p w14:paraId="366636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（2）避免在大风季节施工，尽可能缩短施工时间，提高施工效率，减少裸地暴露时间。</w:t>
      </w:r>
    </w:p>
    <w:p w14:paraId="292F5B8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（3）施工单位必须加强施工区的规划管理。挖方堆放应定点定位，并采取防尘、抑尘措施（洒水、遮盖等措施）。</w:t>
      </w:r>
    </w:p>
    <w:p w14:paraId="629A3FD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（4）合理规划、选择最短的运输路线，充分利用油气田现有公路网络，禁止随意开辟道路，运输车辆应以中、低速行驶，减少车辆行驶动力起尘。</w:t>
      </w:r>
    </w:p>
    <w:p w14:paraId="4B3E506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（5）合理规划临时占地，控制临时占地范围，对工作区域外的场地严禁机械及车辆进入、占用，避免破坏植被和造成土地松动。</w:t>
      </w:r>
    </w:p>
    <w:p w14:paraId="4C18AE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（6）管沟开挖深度不宜过深，及时开挖，及时回填，遇大风天气应停止土方作业。</w:t>
      </w:r>
    </w:p>
    <w:p w14:paraId="56F690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（7）加强对施工机械、车辆的维修保养。</w:t>
      </w:r>
    </w:p>
    <w:p w14:paraId="4C9D927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（8）加强施工场地环境管理，提倡文明施工，积极推进绿色施工，严防人为扬尘污染。</w:t>
      </w:r>
    </w:p>
    <w:p w14:paraId="6C5A93AC">
      <w:pPr>
        <w:pageBreakBefore w:val="0"/>
        <w:widowControl/>
        <w:kinsoku/>
        <w:wordWrap/>
        <w:overflowPunct/>
        <w:topLinePunct w:val="0"/>
        <w:autoSpaceDE/>
        <w:autoSpaceDN/>
        <w:bidi w:val="0"/>
        <w:spacing w:line="360" w:lineRule="auto"/>
        <w:textAlignment w:val="auto"/>
        <w:outlineLvl w:val="3"/>
        <w:rPr>
          <w:rFonts w:hint="default" w:ascii="Times New Roman" w:hAnsi="Times New Roman" w:eastAsia="宋体" w:cs="Times New Roman"/>
          <w:b/>
          <w:snapToGrid w:val="0"/>
          <w:color w:val="auto"/>
          <w:kern w:val="0"/>
          <w:sz w:val="24"/>
          <w:szCs w:val="24"/>
          <w:highlight w:val="none"/>
          <w:lang w:val="en-US" w:eastAsia="en-US" w:bidi="ar-SA"/>
        </w:rPr>
      </w:pPr>
      <w:r>
        <w:rPr>
          <w:rFonts w:hint="default" w:ascii="Times New Roman" w:hAnsi="Times New Roman" w:eastAsia="宋体" w:cs="Times New Roman"/>
          <w:b/>
          <w:snapToGrid w:val="0"/>
          <w:color w:val="auto"/>
          <w:kern w:val="0"/>
          <w:sz w:val="24"/>
          <w:szCs w:val="24"/>
          <w:highlight w:val="none"/>
          <w:lang w:val="en-US" w:eastAsia="en-US" w:bidi="ar-SA"/>
        </w:rPr>
        <w:t>6.1.</w:t>
      </w:r>
      <w:r>
        <w:rPr>
          <w:rFonts w:hint="default" w:ascii="Times New Roman" w:hAnsi="Times New Roman" w:cs="Times New Roman"/>
          <w:b/>
          <w:snapToGrid w:val="0"/>
          <w:color w:val="auto"/>
          <w:kern w:val="0"/>
          <w:sz w:val="24"/>
          <w:szCs w:val="24"/>
          <w:highlight w:val="none"/>
          <w:lang w:val="en-US" w:eastAsia="zh-CN" w:bidi="ar-SA"/>
        </w:rPr>
        <w:t>2</w:t>
      </w:r>
      <w:r>
        <w:rPr>
          <w:rFonts w:hint="default" w:ascii="Times New Roman" w:hAnsi="Times New Roman" w:eastAsia="宋体" w:cs="Times New Roman"/>
          <w:b/>
          <w:snapToGrid w:val="0"/>
          <w:color w:val="auto"/>
          <w:kern w:val="0"/>
          <w:sz w:val="24"/>
          <w:szCs w:val="24"/>
          <w:highlight w:val="none"/>
          <w:lang w:val="en-US" w:eastAsia="en-US" w:bidi="ar-SA"/>
        </w:rPr>
        <w:t>.2施工车辆尾气</w:t>
      </w:r>
    </w:p>
    <w:p w14:paraId="7C97664C">
      <w:pPr>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施工前期加强运输车辆的检修和维护，保证车辆不超负荷运行，从而从源头减少车辆废气对环境的影响</w:t>
      </w:r>
      <w:r>
        <w:rPr>
          <w:rFonts w:hint="default" w:ascii="Times New Roman" w:hAnsi="Times New Roman" w:eastAsia="宋体" w:cs="Times New Roman"/>
          <w:color w:val="auto"/>
          <w:sz w:val="24"/>
          <w:szCs w:val="24"/>
          <w:highlight w:val="none"/>
        </w:rPr>
        <w:t>。</w:t>
      </w:r>
    </w:p>
    <w:p w14:paraId="58E694F9">
      <w:pPr>
        <w:pageBreakBefore w:val="0"/>
        <w:widowControl/>
        <w:kinsoku/>
        <w:wordWrap/>
        <w:overflowPunct/>
        <w:topLinePunct w:val="0"/>
        <w:autoSpaceDE/>
        <w:autoSpaceDN/>
        <w:bidi w:val="0"/>
        <w:spacing w:line="360" w:lineRule="auto"/>
        <w:textAlignment w:val="auto"/>
        <w:outlineLvl w:val="3"/>
        <w:rPr>
          <w:rFonts w:hint="default" w:ascii="Times New Roman" w:hAnsi="Times New Roman" w:eastAsia="宋体" w:cs="Times New Roman"/>
          <w:b/>
          <w:snapToGrid w:val="0"/>
          <w:color w:val="auto"/>
          <w:kern w:val="0"/>
          <w:sz w:val="24"/>
          <w:szCs w:val="24"/>
          <w:highlight w:val="none"/>
          <w:lang w:val="en-US" w:eastAsia="en-US" w:bidi="ar-SA"/>
        </w:rPr>
      </w:pPr>
      <w:r>
        <w:rPr>
          <w:rFonts w:hint="default" w:ascii="Times New Roman" w:hAnsi="Times New Roman" w:eastAsia="宋体" w:cs="Times New Roman"/>
          <w:b/>
          <w:snapToGrid w:val="0"/>
          <w:color w:val="auto"/>
          <w:kern w:val="0"/>
          <w:sz w:val="24"/>
          <w:szCs w:val="24"/>
          <w:highlight w:val="none"/>
          <w:lang w:val="en-US" w:eastAsia="en-US" w:bidi="ar-SA"/>
        </w:rPr>
        <w:t>6.1.</w:t>
      </w:r>
      <w:r>
        <w:rPr>
          <w:rFonts w:hint="default" w:ascii="Times New Roman" w:hAnsi="Times New Roman" w:cs="Times New Roman"/>
          <w:b/>
          <w:snapToGrid w:val="0"/>
          <w:color w:val="auto"/>
          <w:kern w:val="0"/>
          <w:sz w:val="24"/>
          <w:szCs w:val="24"/>
          <w:highlight w:val="none"/>
          <w:lang w:val="en-US" w:eastAsia="zh-CN" w:bidi="ar-SA"/>
        </w:rPr>
        <w:t>2</w:t>
      </w:r>
      <w:r>
        <w:rPr>
          <w:rFonts w:hint="default" w:ascii="Times New Roman" w:hAnsi="Times New Roman" w:eastAsia="宋体" w:cs="Times New Roman"/>
          <w:b/>
          <w:snapToGrid w:val="0"/>
          <w:color w:val="auto"/>
          <w:kern w:val="0"/>
          <w:sz w:val="24"/>
          <w:szCs w:val="24"/>
          <w:highlight w:val="none"/>
          <w:lang w:val="en-US" w:eastAsia="en-US" w:bidi="ar-SA"/>
        </w:rPr>
        <w:t>.</w:t>
      </w:r>
      <w:r>
        <w:rPr>
          <w:rFonts w:hint="default" w:ascii="Times New Roman" w:hAnsi="Times New Roman" w:cs="Times New Roman"/>
          <w:b/>
          <w:snapToGrid w:val="0"/>
          <w:color w:val="auto"/>
          <w:kern w:val="0"/>
          <w:sz w:val="24"/>
          <w:szCs w:val="24"/>
          <w:highlight w:val="none"/>
          <w:lang w:val="en-US" w:eastAsia="zh-CN" w:bidi="ar-SA"/>
        </w:rPr>
        <w:t>3</w:t>
      </w:r>
      <w:r>
        <w:rPr>
          <w:rFonts w:hint="default" w:ascii="Times New Roman" w:hAnsi="Times New Roman" w:eastAsia="宋体" w:cs="Times New Roman"/>
          <w:b/>
          <w:snapToGrid w:val="0"/>
          <w:color w:val="auto"/>
          <w:kern w:val="0"/>
          <w:sz w:val="24"/>
          <w:szCs w:val="24"/>
          <w:highlight w:val="none"/>
          <w:lang w:val="en-US" w:eastAsia="en-US" w:bidi="ar-SA"/>
        </w:rPr>
        <w:t>焊接废气</w:t>
      </w:r>
    </w:p>
    <w:p w14:paraId="0B336D4F">
      <w:pPr>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施工前期加强设备的检修和维护，保证设备正常稳定运行，</w:t>
      </w:r>
      <w:r>
        <w:rPr>
          <w:rFonts w:hint="eastAsia" w:cs="Times New Roman"/>
          <w:color w:val="auto"/>
          <w:sz w:val="24"/>
          <w:szCs w:val="24"/>
          <w:highlight w:val="none"/>
          <w:lang w:eastAsia="zh-CN" w:bidi="ar"/>
        </w:rPr>
        <w:t>使用</w:t>
      </w:r>
      <w:r>
        <w:rPr>
          <w:rFonts w:hint="default" w:ascii="Times New Roman" w:hAnsi="Times New Roman" w:eastAsia="宋体" w:cs="Times New Roman"/>
          <w:color w:val="auto"/>
          <w:sz w:val="24"/>
          <w:szCs w:val="24"/>
          <w:highlight w:val="none"/>
          <w:lang w:bidi="ar"/>
        </w:rPr>
        <w:t>合格的燃料，设备，焊接作业时使用无毒低尘焊条，从而从源头减少设备及焊接</w:t>
      </w:r>
      <w:r>
        <w:rPr>
          <w:rFonts w:hint="default" w:ascii="Times New Roman" w:hAnsi="Times New Roman" w:cs="Times New Roman"/>
          <w:color w:val="auto"/>
          <w:sz w:val="24"/>
          <w:szCs w:val="24"/>
          <w:highlight w:val="none"/>
          <w:lang w:val="en-US" w:eastAsia="zh-CN" w:bidi="ar"/>
        </w:rPr>
        <w:t>废气</w:t>
      </w:r>
      <w:r>
        <w:rPr>
          <w:rFonts w:hint="default" w:ascii="Times New Roman" w:hAnsi="Times New Roman" w:eastAsia="宋体" w:cs="Times New Roman"/>
          <w:color w:val="auto"/>
          <w:sz w:val="24"/>
          <w:szCs w:val="24"/>
          <w:highlight w:val="none"/>
          <w:lang w:bidi="ar"/>
        </w:rPr>
        <w:t>对环境的影响</w:t>
      </w:r>
      <w:r>
        <w:rPr>
          <w:rFonts w:hint="default" w:ascii="Times New Roman" w:hAnsi="Times New Roman" w:eastAsia="宋体" w:cs="Times New Roman"/>
          <w:color w:val="auto"/>
          <w:sz w:val="24"/>
          <w:szCs w:val="24"/>
          <w:highlight w:val="none"/>
        </w:rPr>
        <w:t>。</w:t>
      </w:r>
    </w:p>
    <w:p w14:paraId="64D0FA33">
      <w:pPr>
        <w:pageBreakBefore w:val="0"/>
        <w:widowControl/>
        <w:kinsoku/>
        <w:wordWrap/>
        <w:overflowPunct/>
        <w:topLinePunct w:val="0"/>
        <w:autoSpaceDE/>
        <w:autoSpaceDN/>
        <w:bidi w:val="0"/>
        <w:spacing w:line="360" w:lineRule="auto"/>
        <w:textAlignment w:val="auto"/>
        <w:outlineLvl w:val="3"/>
        <w:rPr>
          <w:rFonts w:hint="default" w:ascii="Times New Roman" w:hAnsi="Times New Roman" w:eastAsia="宋体" w:cs="Times New Roman"/>
          <w:b/>
          <w:snapToGrid w:val="0"/>
          <w:color w:val="auto"/>
          <w:kern w:val="0"/>
          <w:sz w:val="24"/>
          <w:szCs w:val="24"/>
          <w:highlight w:val="none"/>
          <w:lang w:val="en-US" w:eastAsia="en-US" w:bidi="ar-SA"/>
        </w:rPr>
      </w:pPr>
      <w:r>
        <w:rPr>
          <w:rFonts w:hint="default" w:ascii="Times New Roman" w:hAnsi="Times New Roman" w:eastAsia="宋体" w:cs="Times New Roman"/>
          <w:b/>
          <w:snapToGrid w:val="0"/>
          <w:color w:val="auto"/>
          <w:kern w:val="0"/>
          <w:sz w:val="24"/>
          <w:szCs w:val="24"/>
          <w:highlight w:val="none"/>
          <w:lang w:val="en-US" w:eastAsia="en-US" w:bidi="ar-SA"/>
        </w:rPr>
        <w:t>6.1.</w:t>
      </w:r>
      <w:r>
        <w:rPr>
          <w:rFonts w:hint="default" w:ascii="Times New Roman" w:hAnsi="Times New Roman" w:cs="Times New Roman"/>
          <w:b/>
          <w:snapToGrid w:val="0"/>
          <w:color w:val="auto"/>
          <w:kern w:val="0"/>
          <w:sz w:val="24"/>
          <w:szCs w:val="24"/>
          <w:highlight w:val="none"/>
          <w:lang w:val="en-US" w:eastAsia="zh-CN" w:bidi="ar-SA"/>
        </w:rPr>
        <w:t>2</w:t>
      </w:r>
      <w:r>
        <w:rPr>
          <w:rFonts w:hint="default" w:ascii="Times New Roman" w:hAnsi="Times New Roman" w:eastAsia="宋体" w:cs="Times New Roman"/>
          <w:b/>
          <w:snapToGrid w:val="0"/>
          <w:color w:val="auto"/>
          <w:kern w:val="0"/>
          <w:sz w:val="24"/>
          <w:szCs w:val="24"/>
          <w:highlight w:val="none"/>
          <w:lang w:val="en-US" w:eastAsia="en-US" w:bidi="ar-SA"/>
        </w:rPr>
        <w:t>.</w:t>
      </w:r>
      <w:r>
        <w:rPr>
          <w:rFonts w:hint="default" w:ascii="Times New Roman" w:hAnsi="Times New Roman" w:cs="Times New Roman"/>
          <w:b/>
          <w:snapToGrid w:val="0"/>
          <w:color w:val="auto"/>
          <w:kern w:val="0"/>
          <w:sz w:val="24"/>
          <w:szCs w:val="24"/>
          <w:highlight w:val="none"/>
          <w:lang w:val="en-US" w:eastAsia="zh-CN" w:bidi="ar-SA"/>
        </w:rPr>
        <w:t>4</w:t>
      </w:r>
      <w:r>
        <w:rPr>
          <w:rFonts w:hint="default" w:ascii="Times New Roman" w:hAnsi="Times New Roman" w:eastAsia="宋体" w:cs="Times New Roman"/>
          <w:b/>
          <w:snapToGrid w:val="0"/>
          <w:color w:val="auto"/>
          <w:kern w:val="0"/>
          <w:sz w:val="24"/>
          <w:szCs w:val="24"/>
          <w:highlight w:val="none"/>
          <w:lang w:val="en-US" w:eastAsia="en-US" w:bidi="ar-SA"/>
        </w:rPr>
        <w:t>储层改造废气</w:t>
      </w:r>
    </w:p>
    <w:p w14:paraId="747BDAD1">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使用酸化液过程中，要求全部采用密闭罐存放，产生的废酸化液及时委托</w:t>
      </w:r>
      <w:r>
        <w:rPr>
          <w:rFonts w:hint="default" w:ascii="Times New Roman" w:hAnsi="Times New Roman" w:eastAsia="宋体" w:cs="Times New Roman"/>
          <w:color w:val="auto"/>
          <w:sz w:val="24"/>
          <w:szCs w:val="24"/>
          <w:highlight w:val="none"/>
          <w:lang w:val="en-US" w:eastAsia="zh-CN"/>
        </w:rPr>
        <w:t>持</w:t>
      </w:r>
      <w:r>
        <w:rPr>
          <w:rFonts w:hint="default" w:ascii="Times New Roman" w:hAnsi="Times New Roman" w:eastAsia="宋体" w:cs="Times New Roman"/>
          <w:color w:val="auto"/>
          <w:sz w:val="24"/>
          <w:szCs w:val="24"/>
          <w:highlight w:val="none"/>
        </w:rPr>
        <w:t>有</w:t>
      </w:r>
      <w:r>
        <w:rPr>
          <w:rFonts w:hint="default" w:ascii="Times New Roman" w:hAnsi="Times New Roman" w:eastAsia="宋体" w:cs="Times New Roman"/>
          <w:color w:val="auto"/>
          <w:sz w:val="24"/>
          <w:szCs w:val="24"/>
          <w:highlight w:val="none"/>
          <w:lang w:val="en-US" w:eastAsia="zh-CN"/>
        </w:rPr>
        <w:t>危险废物经营许可证的</w:t>
      </w:r>
      <w:r>
        <w:rPr>
          <w:rFonts w:hint="default" w:ascii="Times New Roman" w:hAnsi="Times New Roman" w:eastAsia="宋体" w:cs="Times New Roman"/>
          <w:color w:val="auto"/>
          <w:sz w:val="24"/>
          <w:szCs w:val="24"/>
          <w:highlight w:val="none"/>
        </w:rPr>
        <w:t>单位接收处置，减少在现场存储时间。</w:t>
      </w:r>
    </w:p>
    <w:p w14:paraId="1022C14B">
      <w:pPr>
        <w:pageBreakBefore w:val="0"/>
        <w:widowControl/>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b/>
          <w:snapToGrid w:val="0"/>
          <w:color w:val="auto"/>
          <w:kern w:val="0"/>
          <w:sz w:val="24"/>
          <w:szCs w:val="24"/>
          <w:highlight w:val="none"/>
          <w:lang w:val="en-US" w:eastAsia="en-US" w:bidi="ar-SA"/>
        </w:rPr>
      </w:pPr>
      <w:r>
        <w:rPr>
          <w:rFonts w:hint="default" w:ascii="Times New Roman" w:hAnsi="Times New Roman" w:eastAsia="宋体" w:cs="Times New Roman"/>
          <w:b/>
          <w:snapToGrid w:val="0"/>
          <w:color w:val="auto"/>
          <w:kern w:val="0"/>
          <w:sz w:val="24"/>
          <w:szCs w:val="24"/>
          <w:highlight w:val="none"/>
          <w:lang w:val="en-US" w:eastAsia="en-US" w:bidi="ar-SA"/>
        </w:rPr>
        <w:t>6.1.</w:t>
      </w:r>
      <w:r>
        <w:rPr>
          <w:rFonts w:hint="default" w:ascii="Times New Roman" w:hAnsi="Times New Roman" w:cs="Times New Roman"/>
          <w:b/>
          <w:snapToGrid w:val="0"/>
          <w:color w:val="auto"/>
          <w:kern w:val="0"/>
          <w:sz w:val="24"/>
          <w:szCs w:val="24"/>
          <w:highlight w:val="none"/>
          <w:lang w:val="en-US" w:eastAsia="zh-CN" w:bidi="ar-SA"/>
        </w:rPr>
        <w:t>2</w:t>
      </w:r>
      <w:r>
        <w:rPr>
          <w:rFonts w:hint="default" w:ascii="Times New Roman" w:hAnsi="Times New Roman" w:eastAsia="宋体" w:cs="Times New Roman"/>
          <w:b/>
          <w:snapToGrid w:val="0"/>
          <w:color w:val="auto"/>
          <w:kern w:val="0"/>
          <w:sz w:val="24"/>
          <w:szCs w:val="24"/>
          <w:highlight w:val="none"/>
          <w:lang w:val="en-US" w:eastAsia="en-US" w:bidi="ar-SA"/>
        </w:rPr>
        <w:t>.</w:t>
      </w:r>
      <w:r>
        <w:rPr>
          <w:rFonts w:hint="default" w:ascii="Times New Roman" w:hAnsi="Times New Roman" w:cs="Times New Roman"/>
          <w:b/>
          <w:snapToGrid w:val="0"/>
          <w:color w:val="auto"/>
          <w:kern w:val="0"/>
          <w:sz w:val="24"/>
          <w:szCs w:val="24"/>
          <w:highlight w:val="none"/>
          <w:lang w:val="en-US" w:eastAsia="zh-CN" w:bidi="ar-SA"/>
        </w:rPr>
        <w:t>5</w:t>
      </w:r>
      <w:r>
        <w:rPr>
          <w:rFonts w:hint="default" w:ascii="Times New Roman" w:hAnsi="Times New Roman" w:eastAsia="宋体" w:cs="Times New Roman"/>
          <w:b/>
          <w:snapToGrid w:val="0"/>
          <w:color w:val="auto"/>
          <w:kern w:val="0"/>
          <w:sz w:val="24"/>
          <w:szCs w:val="24"/>
          <w:highlight w:val="none"/>
          <w:lang w:val="en-US" w:eastAsia="en-US" w:bidi="ar-SA"/>
        </w:rPr>
        <w:t>钻井工程废气</w:t>
      </w:r>
    </w:p>
    <w:p w14:paraId="0BC3D23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采用防喷器组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环形防喷器、双闸板防喷器、单闸板防喷器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等先进的井控装置，防止和控制井喷事故发生。</w:t>
      </w:r>
    </w:p>
    <w:p w14:paraId="15A4182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）钻井中发现地层有可燃或有害气体，应立即采取有效措施防止井涌井喷，并把可能产生的气体引入燃烧装置烧掉。</w:t>
      </w:r>
    </w:p>
    <w:p w14:paraId="62D85B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（3）钻井期间，硫化氢安全与防护工作必须严格按照相关标准、规范与规定执行。</w:t>
      </w:r>
    </w:p>
    <w:p w14:paraId="731718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（4）井场内严禁燃烧可能产生</w:t>
      </w:r>
      <w:r>
        <w:rPr>
          <w:rFonts w:hint="eastAsia" w:cs="Times New Roman"/>
          <w:color w:val="auto"/>
          <w:highlight w:val="none"/>
          <w:lang w:eastAsia="zh-CN"/>
        </w:rPr>
        <w:t>浓重</w:t>
      </w:r>
      <w:r>
        <w:rPr>
          <w:rFonts w:hint="default" w:ascii="Times New Roman" w:hAnsi="Times New Roman" w:cs="Times New Roman"/>
          <w:color w:val="auto"/>
          <w:highlight w:val="none"/>
        </w:rPr>
        <w:t>烟雾或刺鼻臭味的材料。</w:t>
      </w:r>
    </w:p>
    <w:p w14:paraId="4F3949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（5）井场应采用密闭下料系统，防止粉尘污染井场环境。</w:t>
      </w:r>
    </w:p>
    <w:p w14:paraId="49D4C9A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（6）针对油藏含硫化氢特征，钻井过程中目的层钻进安装剪切闸板，完井期间安装钻采一体化四通，以减少硫化氢的无组织挥发。</w:t>
      </w:r>
    </w:p>
    <w:p w14:paraId="06B2409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（7）钻井过程中，加强深井钻具的管理，严格执行钻具检查和倒换使用制度，及时发现钻具事故隐患，避免发生因钻具不合格导致井喷事故，致使硫化氢泄漏。</w:t>
      </w:r>
    </w:p>
    <w:p w14:paraId="01F77D8E">
      <w:pPr>
        <w:pStyle w:val="9"/>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Cs w:val="24"/>
          <w:highlight w:val="none"/>
          <w:lang w:val="en-US" w:eastAsia="zh-CN"/>
        </w:rPr>
        <w:t>综上所述，</w:t>
      </w:r>
      <w:r>
        <w:rPr>
          <w:rFonts w:hint="default" w:ascii="Times New Roman" w:hAnsi="Times New Roman" w:eastAsia="宋体" w:cs="Times New Roman"/>
          <w:color w:val="auto"/>
          <w:szCs w:val="24"/>
          <w:highlight w:val="none"/>
        </w:rPr>
        <w:t>采取的</w:t>
      </w:r>
      <w:r>
        <w:rPr>
          <w:rFonts w:hint="default" w:ascii="Times New Roman" w:hAnsi="Times New Roman" w:eastAsia="宋体" w:cs="Times New Roman"/>
          <w:color w:val="auto"/>
          <w:szCs w:val="24"/>
          <w:highlight w:val="none"/>
          <w:lang w:val="en-US" w:eastAsia="zh-CN"/>
        </w:rPr>
        <w:t>大气污染防治</w:t>
      </w:r>
      <w:r>
        <w:rPr>
          <w:rFonts w:hint="default" w:ascii="Times New Roman" w:hAnsi="Times New Roman" w:eastAsia="宋体" w:cs="Times New Roman"/>
          <w:color w:val="auto"/>
          <w:szCs w:val="24"/>
          <w:highlight w:val="none"/>
        </w:rPr>
        <w:t>措施</w:t>
      </w:r>
      <w:r>
        <w:rPr>
          <w:rFonts w:hint="default" w:ascii="Times New Roman" w:hAnsi="Times New Roman" w:eastAsia="宋体" w:cs="Times New Roman"/>
          <w:color w:val="auto"/>
          <w:highlight w:val="none"/>
        </w:rPr>
        <w:t>是可行的</w:t>
      </w:r>
      <w:r>
        <w:rPr>
          <w:rFonts w:hint="default" w:ascii="Times New Roman" w:hAnsi="Times New Roman" w:eastAsia="宋体" w:cs="Times New Roman"/>
          <w:color w:val="auto"/>
          <w:highlight w:val="none"/>
          <w:lang w:eastAsia="zh-CN"/>
        </w:rPr>
        <w:t>。</w:t>
      </w:r>
    </w:p>
    <w:p w14:paraId="64362B15">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598" w:name="_Toc8241"/>
      <w:bookmarkStart w:id="599" w:name="_Toc18116"/>
      <w:bookmarkStart w:id="600" w:name="_Toc7515"/>
      <w:r>
        <w:rPr>
          <w:rFonts w:hint="default" w:ascii="Times New Roman" w:hAnsi="Times New Roman" w:cs="Times New Roman"/>
          <w:color w:val="auto"/>
          <w:highlight w:val="none"/>
        </w:rPr>
        <w:t>6.1.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废水污染防治措施</w:t>
      </w:r>
      <w:bookmarkEnd w:id="598"/>
      <w:bookmarkEnd w:id="599"/>
      <w:bookmarkEnd w:id="600"/>
    </w:p>
    <w:p w14:paraId="2EFE1139">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bookmarkStart w:id="601" w:name="_Toc23840"/>
      <w:r>
        <w:rPr>
          <w:rFonts w:hint="default" w:ascii="Times New Roman" w:hAnsi="Times New Roman" w:eastAsia="宋体" w:cs="Times New Roman"/>
          <w:snapToGrid/>
          <w:color w:val="auto"/>
          <w:kern w:val="0"/>
          <w:sz w:val="24"/>
          <w:szCs w:val="24"/>
          <w:highlight w:val="none"/>
          <w:lang w:val="en-US" w:eastAsia="zh-CN"/>
        </w:rPr>
        <w:t>对钻井废水的污染防治，应从源头减量化和处置两方面加以考虑。对钻井、试油修井作业的防渗泥浆池，须严格按照防渗池设计，以满足环保要求。</w:t>
      </w:r>
    </w:p>
    <w:p w14:paraId="07298DB8">
      <w:pPr>
        <w:pStyle w:val="7"/>
        <w:keepNext/>
        <w:keepLines/>
        <w:pageBreakBefore w:val="0"/>
        <w:widowControl/>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6.1.3.1</w:t>
      </w:r>
      <w:r>
        <w:rPr>
          <w:rFonts w:hint="default" w:ascii="Times New Roman" w:hAnsi="Times New Roman" w:eastAsia="宋体" w:cs="Times New Roman"/>
          <w:color w:val="auto"/>
          <w:highlight w:val="none"/>
          <w:lang w:val="en-US" w:eastAsia="zh-CN"/>
        </w:rPr>
        <w:t>减少污水排放量</w:t>
      </w:r>
    </w:p>
    <w:p w14:paraId="7AFDC394">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钻井过程中设备清洗、冷却等需消耗大量清水，采取有效节水措施，不仅节约了水资源，同时也减少了钻井废水的产生量，减少了废水存储设施的负担和后续处理的负荷，符合清洁生产的要求。因此，要在源头上节水降污，使钻井废水予以减量。</w:t>
      </w:r>
    </w:p>
    <w:p w14:paraId="3C5D89C4">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在工程和技术管理上采取以下节水减排措施：</w:t>
      </w:r>
    </w:p>
    <w:p w14:paraId="3A406622">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①以钻井队为单位，在保证正常作业的情况下，确定各类施工作业条件下的合理用水量，以控制清水用量。</w:t>
      </w:r>
    </w:p>
    <w:p w14:paraId="3D45290F">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②动力设备、水刹车等冷却水要循环使用，要安装泥浆泵冷却水循环系统；振动筛的污水循环系统，以减少用清水直接冲洗设备，尽量采用擦洗的方法清洗设备。水的重复利用率达到40~50%。</w:t>
      </w:r>
    </w:p>
    <w:p w14:paraId="2C62B121">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③做好供水阀门和管线的安装、试运行工作，杜绝水的跑、冒、滴、漏。</w:t>
      </w:r>
    </w:p>
    <w:p w14:paraId="0F1402B7">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④施工机械检修期间，地面应铺设塑料布，及时回收废机油，防止废油落地，污染土壤和地下水。</w:t>
      </w:r>
    </w:p>
    <w:p w14:paraId="61D289E3">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⑤严格按照《油气输送管道穿越工程设计规范》（GB50423-2013）设计及施工，合理安排管道施工时序和施工工艺的情况。</w:t>
      </w:r>
    </w:p>
    <w:p w14:paraId="67CAC4A6">
      <w:pPr>
        <w:pStyle w:val="7"/>
        <w:keepNext/>
        <w:keepLines/>
        <w:pageBreakBefore w:val="0"/>
        <w:widowControl/>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auto"/>
          <w:highlight w:val="none"/>
          <w:lang w:val="en-US" w:eastAsia="zh-CN"/>
        </w:rPr>
      </w:pPr>
      <w:bookmarkStart w:id="602" w:name="_Hlk68083577"/>
      <w:r>
        <w:rPr>
          <w:rFonts w:hint="eastAsia" w:ascii="Times New Roman" w:hAnsi="Times New Roman" w:eastAsia="宋体" w:cs="Times New Roman"/>
          <w:color w:val="auto"/>
          <w:highlight w:val="none"/>
          <w:lang w:val="en-US" w:eastAsia="zh-CN"/>
        </w:rPr>
        <w:t>6.1.3.2</w:t>
      </w:r>
      <w:r>
        <w:rPr>
          <w:rFonts w:hint="default" w:ascii="Times New Roman" w:hAnsi="Times New Roman" w:eastAsia="宋体" w:cs="Times New Roman"/>
          <w:color w:val="auto"/>
          <w:highlight w:val="none"/>
          <w:lang w:val="en-US" w:eastAsia="zh-CN"/>
        </w:rPr>
        <w:t>废水处置措施</w:t>
      </w:r>
      <w:bookmarkStart w:id="603" w:name="_Hlk68080185"/>
    </w:p>
    <w:bookmarkEnd w:id="602"/>
    <w:bookmarkEnd w:id="603"/>
    <w:p w14:paraId="7A752E38">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项目钻井过程水环境污染源为钻井废水、酸化压裂返排液、生活污水和试压废水。</w:t>
      </w:r>
    </w:p>
    <w:p w14:paraId="77F30481">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①钻井废水</w:t>
      </w:r>
    </w:p>
    <w:p w14:paraId="5A793EE0">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钻井废水是钻井液等物质被水高倍稀释的产物，其组成、性质及危害与钻井液类型、处理剂的组成有关，主要污染物有悬浮物、石油类、COD等。钻井废水与钻井泥浆、岩屑一同进入不落地系统进行分离处理，分离后的液相拉运至其他钻井回用于钻井液配制，不外排。</w:t>
      </w:r>
    </w:p>
    <w:p w14:paraId="55E4C375">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②酸化压裂返排液</w:t>
      </w:r>
    </w:p>
    <w:p w14:paraId="4EF45770">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cs="Times New Roman"/>
          <w:snapToGrid/>
          <w:color w:val="auto"/>
          <w:kern w:val="0"/>
          <w:sz w:val="24"/>
          <w:szCs w:val="24"/>
          <w:highlight w:val="none"/>
          <w:lang w:val="en-US" w:eastAsia="zh-CN"/>
        </w:rPr>
        <w:t>本项目</w:t>
      </w:r>
      <w:r>
        <w:rPr>
          <w:rFonts w:hint="default" w:ascii="Times New Roman" w:hAnsi="Times New Roman" w:eastAsia="宋体" w:cs="Times New Roman"/>
          <w:snapToGrid/>
          <w:color w:val="auto"/>
          <w:kern w:val="0"/>
          <w:sz w:val="24"/>
          <w:szCs w:val="24"/>
          <w:highlight w:val="none"/>
          <w:lang w:val="en-US" w:eastAsia="zh-CN"/>
        </w:rPr>
        <w:t>共部署老井侧钻</w:t>
      </w:r>
      <w:r>
        <w:rPr>
          <w:rFonts w:hint="eastAsia" w:cs="Times New Roman"/>
          <w:snapToGrid/>
          <w:color w:val="auto"/>
          <w:kern w:val="0"/>
          <w:sz w:val="24"/>
          <w:szCs w:val="24"/>
          <w:highlight w:val="none"/>
          <w:lang w:val="en-US" w:eastAsia="zh-CN"/>
        </w:rPr>
        <w:t>4</w:t>
      </w:r>
      <w:r>
        <w:rPr>
          <w:rFonts w:hint="default" w:ascii="Times New Roman" w:hAnsi="Times New Roman" w:eastAsia="宋体" w:cs="Times New Roman"/>
          <w:snapToGrid/>
          <w:color w:val="auto"/>
          <w:kern w:val="0"/>
          <w:sz w:val="24"/>
          <w:szCs w:val="24"/>
          <w:highlight w:val="none"/>
          <w:lang w:val="en-US" w:eastAsia="zh-CN"/>
        </w:rPr>
        <w:t>口，储层改造过程中产生的压裂返排液排入回收罐中，运至塔河油田绿色环保站处理，处理达标后回注。</w:t>
      </w:r>
    </w:p>
    <w:p w14:paraId="5D3528F5">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③施工队生活污水</w:t>
      </w:r>
    </w:p>
    <w:p w14:paraId="61BB9DD5">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生活污水经井场撬装式污水处理站处理后，用于生活区、井场及通井路降尘。撬装化污水处理站采用“生化+过滤”工艺，生活污水经过“格栅+调节池+厌氧池+生物接触氧化池+二沉池+MBR膜池+消毒池”处理达到《农村生活污水处理排放标准》（DB654275-2019）表二B级标准后，主要用于生活区、井场及通井路降尘。撬装化污水处理站采用“生化+过滤”工艺，使接触氧化法和活性污泥法有效地结合起来，可将生活污水中所含的主要污染物进行达标处理。该技术属于主流生活污水处理技术，工艺成熟可靠，可确保污水处理达标。</w:t>
      </w:r>
    </w:p>
    <w:p w14:paraId="69B5D274">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④试压废水</w:t>
      </w:r>
    </w:p>
    <w:p w14:paraId="5FAB1D08">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rPr>
        <w:t>管道工程分段试压以测试管道的强度和严密性，</w:t>
      </w:r>
      <w:r>
        <w:rPr>
          <w:rFonts w:hint="default" w:ascii="Times New Roman" w:hAnsi="Times New Roman" w:cs="Times New Roman"/>
          <w:snapToGrid/>
          <w:color w:val="auto"/>
          <w:kern w:val="0"/>
          <w:sz w:val="24"/>
          <w:szCs w:val="24"/>
          <w:highlight w:val="none"/>
          <w:lang w:val="en-US" w:eastAsia="zh-CN"/>
        </w:rPr>
        <w:t>本项目</w:t>
      </w:r>
      <w:r>
        <w:rPr>
          <w:rFonts w:hint="default" w:ascii="Times New Roman" w:hAnsi="Times New Roman" w:eastAsia="宋体" w:cs="Times New Roman"/>
          <w:snapToGrid/>
          <w:color w:val="auto"/>
          <w:kern w:val="0"/>
          <w:sz w:val="24"/>
          <w:szCs w:val="24"/>
          <w:highlight w:val="none"/>
          <w:lang w:val="en-US" w:eastAsia="zh-CN"/>
        </w:rPr>
        <w:t>管道采用无腐蚀性洁净水作为试压介质，管道试压废水中主要污染物为SS。管道试压分段进行，试压水排出后进入下一段管线循环使用，试压结束后可用作场地降尘。</w:t>
      </w:r>
    </w:p>
    <w:p w14:paraId="37F03CDE">
      <w:pPr>
        <w:pStyle w:val="7"/>
        <w:keepNext/>
        <w:keepLines/>
        <w:pageBreakBefore w:val="0"/>
        <w:widowControl/>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6.13.3</w:t>
      </w:r>
      <w:r>
        <w:rPr>
          <w:rFonts w:hint="default" w:ascii="Times New Roman" w:hAnsi="Times New Roman" w:eastAsia="宋体" w:cs="Times New Roman"/>
          <w:color w:val="auto"/>
          <w:highlight w:val="none"/>
          <w:lang w:val="en-US" w:eastAsia="zh-CN"/>
        </w:rPr>
        <w:t>分区防渗</w:t>
      </w:r>
    </w:p>
    <w:p w14:paraId="057D70C4">
      <w:pPr>
        <w:kinsoku/>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bidi="ar-SA"/>
        </w:rPr>
        <w:t>为防止污染地下水，针对钻井工艺特点，严格执行《环境影响评价技术导则地下水环境》（HJ610–2016）“11.2.2分区防控措施”和《石油化工工程防渗技术规范》（GB/T50934–2013）“4.0.4石油化工储运工程区的典型污染防治分区”相关要求，本评价确定防渗要求见表</w:t>
      </w:r>
      <w:r>
        <w:rPr>
          <w:rFonts w:hint="default" w:ascii="Times New Roman" w:hAnsi="Times New Roman" w:cs="Times New Roman"/>
          <w:snapToGrid w:val="0"/>
          <w:color w:val="auto"/>
          <w:kern w:val="0"/>
          <w:sz w:val="24"/>
          <w:szCs w:val="24"/>
          <w:highlight w:val="none"/>
          <w:lang w:val="en-US" w:eastAsia="zh-CN" w:bidi="ar-SA"/>
        </w:rPr>
        <w:t>6.1-2</w:t>
      </w:r>
      <w:r>
        <w:rPr>
          <w:rFonts w:hint="default" w:ascii="Times New Roman" w:hAnsi="Times New Roman" w:eastAsia="宋体" w:cs="Times New Roman"/>
          <w:snapToGrid w:val="0"/>
          <w:color w:val="auto"/>
          <w:kern w:val="0"/>
          <w:sz w:val="24"/>
          <w:szCs w:val="24"/>
          <w:highlight w:val="none"/>
          <w:lang w:val="en-US" w:eastAsia="zh-CN" w:bidi="ar-SA"/>
        </w:rPr>
        <w:t>及附图</w:t>
      </w:r>
      <w:r>
        <w:rPr>
          <w:rFonts w:hint="default" w:ascii="Times New Roman" w:hAnsi="Times New Roman" w:cs="Times New Roman"/>
          <w:snapToGrid w:val="0"/>
          <w:color w:val="auto"/>
          <w:kern w:val="0"/>
          <w:sz w:val="24"/>
          <w:szCs w:val="24"/>
          <w:highlight w:val="none"/>
          <w:lang w:val="en-US" w:eastAsia="zh-CN" w:bidi="ar-SA"/>
        </w:rPr>
        <w:t>6.1-</w:t>
      </w:r>
      <w:r>
        <w:rPr>
          <w:rFonts w:hint="eastAsia" w:cs="Times New Roman"/>
          <w:snapToGrid w:val="0"/>
          <w:color w:val="auto"/>
          <w:kern w:val="0"/>
          <w:sz w:val="24"/>
          <w:szCs w:val="24"/>
          <w:highlight w:val="none"/>
          <w:lang w:val="en-US" w:eastAsia="zh-CN" w:bidi="ar-SA"/>
        </w:rPr>
        <w:t>2</w:t>
      </w:r>
      <w:r>
        <w:rPr>
          <w:rFonts w:hint="default" w:ascii="Times New Roman" w:hAnsi="Times New Roman" w:eastAsia="宋体" w:cs="Times New Roman"/>
          <w:snapToGrid w:val="0"/>
          <w:color w:val="auto"/>
          <w:kern w:val="0"/>
          <w:sz w:val="24"/>
          <w:szCs w:val="24"/>
          <w:highlight w:val="none"/>
          <w:lang w:val="en-US" w:eastAsia="zh-CN" w:bidi="ar-SA"/>
        </w:rPr>
        <w:t>。</w:t>
      </w:r>
    </w:p>
    <w:p w14:paraId="369C4DCA">
      <w:pPr>
        <w:widowControl/>
        <w:spacing w:line="250" w:lineRule="auto"/>
        <w:ind w:firstLine="420" w:firstLineChars="200"/>
        <w:jc w:val="center"/>
        <w:rPr>
          <w:rFonts w:hint="default" w:ascii="Times New Roman" w:hAnsi="Times New Roman" w:eastAsia="黑体" w:cs="Times New Roman"/>
          <w:bCs/>
          <w:color w:val="auto"/>
          <w:kern w:val="0"/>
          <w:sz w:val="21"/>
          <w:szCs w:val="21"/>
          <w:highlight w:val="none"/>
        </w:rPr>
      </w:pPr>
      <w:r>
        <w:rPr>
          <w:rFonts w:hint="default" w:ascii="Times New Roman" w:hAnsi="Times New Roman" w:eastAsia="黑体" w:cs="Times New Roman"/>
          <w:color w:val="auto"/>
          <w:kern w:val="0"/>
          <w:sz w:val="21"/>
          <w:szCs w:val="21"/>
          <w:highlight w:val="none"/>
        </w:rPr>
        <w:t>表6.</w:t>
      </w:r>
      <w:r>
        <w:rPr>
          <w:rFonts w:hint="default" w:ascii="Times New Roman" w:hAnsi="Times New Roman" w:eastAsia="黑体" w:cs="Times New Roman"/>
          <w:color w:val="auto"/>
          <w:kern w:val="0"/>
          <w:sz w:val="21"/>
          <w:szCs w:val="21"/>
          <w:highlight w:val="none"/>
          <w:lang w:val="en-US" w:eastAsia="zh-CN"/>
        </w:rPr>
        <w:t>1</w:t>
      </w:r>
      <w:r>
        <w:rPr>
          <w:rFonts w:hint="default" w:ascii="Times New Roman" w:hAnsi="Times New Roman" w:eastAsia="黑体" w:cs="Times New Roman"/>
          <w:color w:val="auto"/>
          <w:kern w:val="0"/>
          <w:sz w:val="21"/>
          <w:szCs w:val="21"/>
          <w:highlight w:val="none"/>
        </w:rPr>
        <w:t>-</w:t>
      </w:r>
      <w:r>
        <w:rPr>
          <w:rFonts w:hint="default" w:ascii="Times New Roman" w:hAnsi="Times New Roman" w:eastAsia="黑体" w:cs="Times New Roman"/>
          <w:color w:val="auto"/>
          <w:kern w:val="0"/>
          <w:sz w:val="21"/>
          <w:szCs w:val="21"/>
          <w:highlight w:val="none"/>
          <w:lang w:val="en-US" w:eastAsia="zh-CN"/>
        </w:rPr>
        <w:t>2</w:t>
      </w:r>
      <w:r>
        <w:rPr>
          <w:rFonts w:hint="default" w:ascii="Times New Roman" w:hAnsi="Times New Roman" w:eastAsia="黑体" w:cs="Times New Roman"/>
          <w:bCs/>
          <w:color w:val="auto"/>
          <w:kern w:val="0"/>
          <w:sz w:val="21"/>
          <w:szCs w:val="21"/>
          <w:highlight w:val="none"/>
        </w:rPr>
        <w:t>钻井期分区防渗要求一览表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83"/>
        <w:gridCol w:w="1166"/>
        <w:gridCol w:w="3303"/>
        <w:gridCol w:w="3032"/>
      </w:tblGrid>
      <w:tr w14:paraId="2709F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3" w:type="dxa"/>
            <w:tcMar>
              <w:left w:w="28" w:type="dxa"/>
              <w:right w:w="28" w:type="dxa"/>
            </w:tcMar>
            <w:vAlign w:val="center"/>
          </w:tcPr>
          <w:p w14:paraId="4DAFF47C">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lang w:eastAsia="zh-CN"/>
              </w:rPr>
            </w:pPr>
            <w:r>
              <w:rPr>
                <w:rFonts w:hint="default" w:ascii="Times New Roman" w:hAnsi="Times New Roman" w:cs="Times New Roman"/>
                <w:strike w:val="0"/>
                <w:dstrike w:val="0"/>
                <w:color w:val="auto"/>
                <w:spacing w:val="0"/>
                <w:kern w:val="0"/>
                <w:sz w:val="21"/>
                <w:szCs w:val="21"/>
                <w:highlight w:val="none"/>
                <w:lang w:val="en-US" w:eastAsia="zh-CN"/>
              </w:rPr>
              <w:t>工程</w:t>
            </w:r>
          </w:p>
        </w:tc>
        <w:tc>
          <w:tcPr>
            <w:tcW w:w="4469" w:type="dxa"/>
            <w:gridSpan w:val="2"/>
            <w:tcMar>
              <w:left w:w="28" w:type="dxa"/>
              <w:right w:w="28" w:type="dxa"/>
            </w:tcMar>
            <w:vAlign w:val="center"/>
          </w:tcPr>
          <w:p w14:paraId="6BA8F515">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项目</w:t>
            </w:r>
          </w:p>
        </w:tc>
        <w:tc>
          <w:tcPr>
            <w:tcW w:w="3032" w:type="dxa"/>
            <w:tcMar>
              <w:left w:w="28" w:type="dxa"/>
              <w:right w:w="28" w:type="dxa"/>
            </w:tcMar>
            <w:vAlign w:val="center"/>
          </w:tcPr>
          <w:p w14:paraId="0BE634B2">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防渗要求</w:t>
            </w:r>
          </w:p>
        </w:tc>
      </w:tr>
      <w:tr w14:paraId="6872F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3" w:type="dxa"/>
            <w:vMerge w:val="restart"/>
            <w:vAlign w:val="center"/>
          </w:tcPr>
          <w:p w14:paraId="208A710C">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井场</w:t>
            </w:r>
          </w:p>
          <w:p w14:paraId="4BC8140E">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钻井期</w:t>
            </w:r>
          </w:p>
        </w:tc>
        <w:tc>
          <w:tcPr>
            <w:tcW w:w="1166" w:type="dxa"/>
            <w:vMerge w:val="restart"/>
            <w:vAlign w:val="center"/>
          </w:tcPr>
          <w:p w14:paraId="3D4FA94C">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重点防渗区</w:t>
            </w:r>
          </w:p>
        </w:tc>
        <w:tc>
          <w:tcPr>
            <w:tcW w:w="3303" w:type="dxa"/>
            <w:vAlign w:val="center"/>
          </w:tcPr>
          <w:p w14:paraId="7055F194">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钻井工程基础区域、操作平台</w:t>
            </w:r>
          </w:p>
        </w:tc>
        <w:tc>
          <w:tcPr>
            <w:tcW w:w="3032" w:type="dxa"/>
            <w:vMerge w:val="restart"/>
            <w:vAlign w:val="center"/>
          </w:tcPr>
          <w:p w14:paraId="77D00FFF">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防渗性能不低于6.0m厚渗透系数为1.0×10</w:t>
            </w:r>
            <w:r>
              <w:rPr>
                <w:rFonts w:hint="default" w:ascii="Times New Roman" w:hAnsi="Times New Roman" w:eastAsia="宋体" w:cs="Times New Roman"/>
                <w:strike w:val="0"/>
                <w:dstrike w:val="0"/>
                <w:color w:val="auto"/>
                <w:spacing w:val="0"/>
                <w:kern w:val="0"/>
                <w:sz w:val="21"/>
                <w:szCs w:val="21"/>
                <w:highlight w:val="none"/>
                <w:vertAlign w:val="superscript"/>
              </w:rPr>
              <w:t>-7</w:t>
            </w:r>
            <w:r>
              <w:rPr>
                <w:rFonts w:hint="default" w:ascii="Times New Roman" w:hAnsi="Times New Roman" w:eastAsia="宋体" w:cs="Times New Roman"/>
                <w:strike w:val="0"/>
                <w:dstrike w:val="0"/>
                <w:color w:val="auto"/>
                <w:spacing w:val="0"/>
                <w:kern w:val="0"/>
                <w:sz w:val="21"/>
                <w:szCs w:val="21"/>
                <w:highlight w:val="none"/>
              </w:rPr>
              <w:t>cm/s的黏土层防渗性能；地面进行防腐硬化处理，保证表面无裂痕</w:t>
            </w:r>
          </w:p>
        </w:tc>
      </w:tr>
      <w:tr w14:paraId="4D594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83" w:type="dxa"/>
            <w:vMerge w:val="continue"/>
            <w:vAlign w:val="center"/>
          </w:tcPr>
          <w:p w14:paraId="10DC970E">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1166" w:type="dxa"/>
            <w:vMerge w:val="continue"/>
            <w:vAlign w:val="center"/>
          </w:tcPr>
          <w:p w14:paraId="431C2DA1">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3303" w:type="dxa"/>
            <w:vAlign w:val="center"/>
          </w:tcPr>
          <w:p w14:paraId="43273EFA">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放喷池</w:t>
            </w:r>
          </w:p>
        </w:tc>
        <w:tc>
          <w:tcPr>
            <w:tcW w:w="3032" w:type="dxa"/>
            <w:vMerge w:val="continue"/>
            <w:vAlign w:val="center"/>
          </w:tcPr>
          <w:p w14:paraId="7F5B4EDF">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r>
      <w:tr w14:paraId="558D7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83" w:type="dxa"/>
            <w:vMerge w:val="continue"/>
            <w:vAlign w:val="center"/>
          </w:tcPr>
          <w:p w14:paraId="2E21D7EB">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1166" w:type="dxa"/>
            <w:vMerge w:val="continue"/>
            <w:vAlign w:val="center"/>
          </w:tcPr>
          <w:p w14:paraId="085992E1">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3303" w:type="dxa"/>
            <w:vAlign w:val="center"/>
          </w:tcPr>
          <w:p w14:paraId="6005BFAF">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撬装式危废暂存间</w:t>
            </w:r>
          </w:p>
        </w:tc>
        <w:tc>
          <w:tcPr>
            <w:tcW w:w="3032" w:type="dxa"/>
            <w:vMerge w:val="continue"/>
            <w:vAlign w:val="center"/>
          </w:tcPr>
          <w:p w14:paraId="2D90C175">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r>
      <w:tr w14:paraId="05A88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83" w:type="dxa"/>
            <w:vMerge w:val="continue"/>
            <w:vAlign w:val="center"/>
          </w:tcPr>
          <w:p w14:paraId="7C0F0BB3">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1166" w:type="dxa"/>
            <w:vMerge w:val="continue"/>
            <w:vAlign w:val="center"/>
          </w:tcPr>
          <w:p w14:paraId="47A24880">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3303" w:type="dxa"/>
            <w:vAlign w:val="center"/>
          </w:tcPr>
          <w:p w14:paraId="13968C90">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泥浆罐区</w:t>
            </w:r>
          </w:p>
        </w:tc>
        <w:tc>
          <w:tcPr>
            <w:tcW w:w="3032" w:type="dxa"/>
            <w:vMerge w:val="continue"/>
            <w:vAlign w:val="center"/>
          </w:tcPr>
          <w:p w14:paraId="54ED3BF8">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r>
      <w:tr w14:paraId="7CF90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83" w:type="dxa"/>
            <w:vMerge w:val="continue"/>
            <w:vAlign w:val="center"/>
          </w:tcPr>
          <w:p w14:paraId="7902A003">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1166" w:type="dxa"/>
            <w:vMerge w:val="continue"/>
            <w:vAlign w:val="center"/>
          </w:tcPr>
          <w:p w14:paraId="7E10D8F4">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3303" w:type="dxa"/>
            <w:vAlign w:val="center"/>
          </w:tcPr>
          <w:p w14:paraId="2F07CFE5">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lang w:val="zh-CN"/>
              </w:rPr>
              <w:t>泥浆随钻不落地处理</w:t>
            </w:r>
            <w:r>
              <w:rPr>
                <w:rFonts w:hint="default" w:ascii="Times New Roman" w:hAnsi="Times New Roman" w:eastAsia="宋体" w:cs="Times New Roman"/>
                <w:strike w:val="0"/>
                <w:dstrike w:val="0"/>
                <w:color w:val="auto"/>
                <w:spacing w:val="0"/>
                <w:kern w:val="0"/>
                <w:sz w:val="21"/>
                <w:szCs w:val="21"/>
                <w:highlight w:val="none"/>
              </w:rPr>
              <w:t>系统</w:t>
            </w:r>
          </w:p>
        </w:tc>
        <w:tc>
          <w:tcPr>
            <w:tcW w:w="3032" w:type="dxa"/>
            <w:vMerge w:val="continue"/>
            <w:vAlign w:val="center"/>
          </w:tcPr>
          <w:p w14:paraId="5026CCDE">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r>
      <w:tr w14:paraId="64087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3" w:type="dxa"/>
            <w:vMerge w:val="continue"/>
            <w:vAlign w:val="center"/>
          </w:tcPr>
          <w:p w14:paraId="241B22E0">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1166" w:type="dxa"/>
            <w:vMerge w:val="restart"/>
            <w:vAlign w:val="center"/>
          </w:tcPr>
          <w:p w14:paraId="3CA7C728">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一般防渗区</w:t>
            </w:r>
          </w:p>
        </w:tc>
        <w:tc>
          <w:tcPr>
            <w:tcW w:w="3303" w:type="dxa"/>
            <w:vAlign w:val="center"/>
          </w:tcPr>
          <w:p w14:paraId="3C5F702B">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泥浆泵区</w:t>
            </w:r>
          </w:p>
        </w:tc>
        <w:tc>
          <w:tcPr>
            <w:tcW w:w="3032" w:type="dxa"/>
            <w:vMerge w:val="restart"/>
            <w:vAlign w:val="center"/>
          </w:tcPr>
          <w:p w14:paraId="11BB5861">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防渗层的防渗性能不应低于1.5m厚渗透系数为1.0×10</w:t>
            </w:r>
            <w:r>
              <w:rPr>
                <w:rFonts w:hint="default" w:ascii="Times New Roman" w:hAnsi="Times New Roman" w:eastAsia="宋体" w:cs="Times New Roman"/>
                <w:strike w:val="0"/>
                <w:dstrike w:val="0"/>
                <w:color w:val="auto"/>
                <w:spacing w:val="0"/>
                <w:kern w:val="0"/>
                <w:sz w:val="21"/>
                <w:szCs w:val="21"/>
                <w:highlight w:val="none"/>
                <w:vertAlign w:val="superscript"/>
              </w:rPr>
              <w:t>-7</w:t>
            </w:r>
            <w:r>
              <w:rPr>
                <w:rFonts w:hint="default" w:ascii="Times New Roman" w:hAnsi="Times New Roman" w:eastAsia="宋体" w:cs="Times New Roman"/>
                <w:strike w:val="0"/>
                <w:dstrike w:val="0"/>
                <w:color w:val="auto"/>
                <w:spacing w:val="0"/>
                <w:kern w:val="0"/>
                <w:sz w:val="21"/>
                <w:szCs w:val="21"/>
                <w:highlight w:val="none"/>
              </w:rPr>
              <w:t>cm/s的黏土层的防渗性能</w:t>
            </w:r>
          </w:p>
        </w:tc>
      </w:tr>
      <w:tr w14:paraId="71BE8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3" w:type="dxa"/>
            <w:vMerge w:val="continue"/>
            <w:vAlign w:val="center"/>
          </w:tcPr>
          <w:p w14:paraId="70103F6B">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1166" w:type="dxa"/>
            <w:vMerge w:val="continue"/>
            <w:vAlign w:val="center"/>
          </w:tcPr>
          <w:p w14:paraId="2C0741CA">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3303" w:type="dxa"/>
            <w:vAlign w:val="center"/>
          </w:tcPr>
          <w:p w14:paraId="376901AD">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危险化学品间</w:t>
            </w:r>
          </w:p>
        </w:tc>
        <w:tc>
          <w:tcPr>
            <w:tcW w:w="3032" w:type="dxa"/>
            <w:vMerge w:val="continue"/>
            <w:vAlign w:val="center"/>
          </w:tcPr>
          <w:p w14:paraId="68FE858D">
            <w:pPr>
              <w:widowControl/>
              <w:adjustRightInd w:val="0"/>
              <w:spacing w:line="0" w:lineRule="atLeast"/>
              <w:ind w:firstLine="420"/>
              <w:jc w:val="center"/>
              <w:rPr>
                <w:rFonts w:hint="default" w:ascii="Times New Roman" w:hAnsi="Times New Roman" w:eastAsia="宋体" w:cs="Times New Roman"/>
                <w:strike w:val="0"/>
                <w:dstrike w:val="0"/>
                <w:color w:val="auto"/>
                <w:spacing w:val="0"/>
                <w:kern w:val="0"/>
                <w:sz w:val="23"/>
                <w:szCs w:val="23"/>
                <w:highlight w:val="none"/>
              </w:rPr>
            </w:pPr>
          </w:p>
        </w:tc>
      </w:tr>
      <w:tr w14:paraId="790D0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3" w:type="dxa"/>
            <w:vMerge w:val="continue"/>
            <w:vAlign w:val="center"/>
          </w:tcPr>
          <w:p w14:paraId="7A32F7A5">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1166" w:type="dxa"/>
            <w:vMerge w:val="continue"/>
            <w:vAlign w:val="center"/>
          </w:tcPr>
          <w:p w14:paraId="0FEE1E8A">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p>
        </w:tc>
        <w:tc>
          <w:tcPr>
            <w:tcW w:w="3303" w:type="dxa"/>
            <w:vAlign w:val="center"/>
          </w:tcPr>
          <w:p w14:paraId="03A101E1">
            <w:pPr>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strike w:val="0"/>
                <w:dstrike w:val="0"/>
                <w:color w:val="auto"/>
                <w:spacing w:val="0"/>
                <w:kern w:val="0"/>
                <w:sz w:val="21"/>
                <w:szCs w:val="21"/>
                <w:highlight w:val="none"/>
              </w:rPr>
            </w:pPr>
            <w:r>
              <w:rPr>
                <w:rFonts w:hint="default" w:ascii="Times New Roman" w:hAnsi="Times New Roman" w:eastAsia="宋体" w:cs="Times New Roman"/>
                <w:strike w:val="0"/>
                <w:dstrike w:val="0"/>
                <w:color w:val="auto"/>
                <w:spacing w:val="0"/>
                <w:kern w:val="0"/>
                <w:sz w:val="21"/>
                <w:szCs w:val="21"/>
                <w:highlight w:val="none"/>
              </w:rPr>
              <w:t>泥饼暂存池</w:t>
            </w:r>
          </w:p>
        </w:tc>
        <w:tc>
          <w:tcPr>
            <w:tcW w:w="3032" w:type="dxa"/>
            <w:vMerge w:val="continue"/>
            <w:vAlign w:val="center"/>
          </w:tcPr>
          <w:p w14:paraId="3A0D6792">
            <w:pPr>
              <w:widowControl/>
              <w:adjustRightInd w:val="0"/>
              <w:spacing w:line="0" w:lineRule="atLeast"/>
              <w:ind w:firstLine="420"/>
              <w:jc w:val="center"/>
              <w:rPr>
                <w:rFonts w:hint="default" w:ascii="Times New Roman" w:hAnsi="Times New Roman" w:eastAsia="宋体" w:cs="Times New Roman"/>
                <w:strike w:val="0"/>
                <w:dstrike w:val="0"/>
                <w:color w:val="auto"/>
                <w:spacing w:val="0"/>
                <w:kern w:val="0"/>
                <w:sz w:val="23"/>
                <w:szCs w:val="23"/>
                <w:highlight w:val="none"/>
              </w:rPr>
            </w:pPr>
          </w:p>
        </w:tc>
      </w:tr>
    </w:tbl>
    <w:p w14:paraId="18452AB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highlight w:val="none"/>
        </w:rPr>
      </w:pPr>
    </w:p>
    <w:p w14:paraId="257E61E2">
      <w:pPr>
        <w:pStyle w:val="2"/>
        <w:rPr>
          <w:rFonts w:hint="default" w:ascii="Times New Roman" w:hAnsi="Times New Roman" w:cs="Times New Roman"/>
          <w:color w:val="auto"/>
          <w:sz w:val="24"/>
          <w:highlight w:val="none"/>
        </w:rPr>
      </w:pPr>
    </w:p>
    <w:p w14:paraId="085BEBE7">
      <w:pPr>
        <w:rPr>
          <w:rFonts w:hint="default" w:ascii="Times New Roman" w:hAnsi="Times New Roman" w:cs="Times New Roman"/>
          <w:color w:val="auto"/>
          <w:sz w:val="24"/>
          <w:highlight w:val="none"/>
        </w:rPr>
      </w:pPr>
    </w:p>
    <w:p w14:paraId="6A7033D0">
      <w:pPr>
        <w:pStyle w:val="2"/>
        <w:rPr>
          <w:rFonts w:hint="default" w:ascii="Times New Roman" w:hAnsi="Times New Roman" w:cs="Times New Roman"/>
          <w:color w:val="auto"/>
          <w:sz w:val="24"/>
          <w:highlight w:val="none"/>
        </w:rPr>
      </w:pPr>
    </w:p>
    <w:p w14:paraId="57F657E1">
      <w:pPr>
        <w:rPr>
          <w:rFonts w:hint="default" w:ascii="Times New Roman" w:hAnsi="Times New Roman" w:cs="Times New Roman"/>
          <w:color w:val="auto"/>
          <w:sz w:val="24"/>
          <w:highlight w:val="none"/>
        </w:rPr>
      </w:pPr>
    </w:p>
    <w:p w14:paraId="2188B2FE">
      <w:pPr>
        <w:pStyle w:val="2"/>
        <w:rPr>
          <w:rFonts w:hint="default" w:ascii="Times New Roman" w:hAnsi="Times New Roman" w:cs="Times New Roman"/>
          <w:color w:val="auto"/>
          <w:sz w:val="24"/>
          <w:highlight w:val="none"/>
        </w:rPr>
      </w:pPr>
    </w:p>
    <w:p w14:paraId="4298509B">
      <w:pPr>
        <w:rPr>
          <w:rFonts w:hint="default" w:ascii="Times New Roman" w:hAnsi="Times New Roman" w:cs="Times New Roman"/>
          <w:color w:val="auto"/>
          <w:sz w:val="24"/>
          <w:highlight w:val="none"/>
        </w:rPr>
      </w:pPr>
    </w:p>
    <w:p w14:paraId="5F7064B6">
      <w:pPr>
        <w:pStyle w:val="2"/>
        <w:rPr>
          <w:rFonts w:hint="default" w:ascii="Times New Roman" w:hAnsi="Times New Roman" w:cs="Times New Roman"/>
          <w:color w:val="auto"/>
          <w:sz w:val="24"/>
          <w:highlight w:val="none"/>
        </w:rPr>
      </w:pPr>
    </w:p>
    <w:p w14:paraId="6886CCAD">
      <w:pPr>
        <w:rPr>
          <w:rFonts w:hint="default" w:ascii="Times New Roman" w:hAnsi="Times New Roman" w:cs="Times New Roman"/>
          <w:color w:val="auto"/>
          <w:sz w:val="24"/>
          <w:highlight w:val="none"/>
        </w:rPr>
      </w:pPr>
    </w:p>
    <w:p w14:paraId="4CBBAD8C">
      <w:pPr>
        <w:pStyle w:val="2"/>
        <w:rPr>
          <w:rFonts w:hint="default" w:ascii="Times New Roman" w:hAnsi="Times New Roman" w:cs="Times New Roman"/>
          <w:color w:val="auto"/>
          <w:sz w:val="24"/>
          <w:highlight w:val="none"/>
        </w:rPr>
      </w:pPr>
    </w:p>
    <w:p w14:paraId="1A299F88">
      <w:pPr>
        <w:rPr>
          <w:rFonts w:hint="default"/>
        </w:rPr>
      </w:pPr>
    </w:p>
    <w:p w14:paraId="469B7FA6">
      <w:pPr>
        <w:pStyle w:val="2"/>
        <w:rPr>
          <w:rFonts w:hint="default" w:ascii="Times New Roman" w:hAnsi="Times New Roman" w:cs="Times New Roman"/>
          <w:color w:val="auto"/>
          <w:sz w:val="24"/>
          <w:highlight w:val="none"/>
        </w:rPr>
      </w:pPr>
    </w:p>
    <w:p w14:paraId="272A59EB">
      <w:pPr>
        <w:rPr>
          <w:rFonts w:hint="default" w:ascii="Times New Roman" w:hAnsi="Times New Roman" w:cs="Times New Roman"/>
          <w:color w:val="auto"/>
          <w:sz w:val="24"/>
          <w:highlight w:val="none"/>
        </w:rPr>
      </w:pPr>
    </w:p>
    <w:p w14:paraId="6FE79A71">
      <w:pPr>
        <w:pStyle w:val="2"/>
        <w:rPr>
          <w:rFonts w:hint="default" w:ascii="Times New Roman" w:hAnsi="Times New Roman" w:cs="Times New Roman"/>
          <w:color w:val="auto"/>
          <w:sz w:val="24"/>
          <w:highlight w:val="none"/>
        </w:rPr>
      </w:pPr>
    </w:p>
    <w:p w14:paraId="38C68A91">
      <w:pPr>
        <w:rPr>
          <w:rFonts w:hint="default"/>
        </w:rPr>
      </w:pPr>
    </w:p>
    <w:p w14:paraId="19ADE4AF">
      <w:pPr>
        <w:widowControl/>
        <w:spacing w:line="250" w:lineRule="auto"/>
        <w:ind w:firstLine="420" w:firstLineChars="200"/>
        <w:jc w:val="center"/>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color w:val="auto"/>
          <w:kern w:val="0"/>
          <w:sz w:val="21"/>
          <w:szCs w:val="21"/>
          <w:highlight w:val="none"/>
        </w:rPr>
        <w:t>图6.1-</w:t>
      </w:r>
      <w:r>
        <w:rPr>
          <w:rFonts w:hint="eastAsia" w:eastAsia="黑体" w:cs="Times New Roman"/>
          <w:color w:val="auto"/>
          <w:kern w:val="0"/>
          <w:sz w:val="21"/>
          <w:szCs w:val="21"/>
          <w:highlight w:val="none"/>
          <w:lang w:val="en-US" w:eastAsia="zh-CN"/>
        </w:rPr>
        <w:t>2</w:t>
      </w:r>
      <w:r>
        <w:rPr>
          <w:rFonts w:hint="default" w:ascii="Times New Roman" w:hAnsi="Times New Roman" w:eastAsia="黑体" w:cs="Times New Roman"/>
          <w:color w:val="auto"/>
          <w:kern w:val="0"/>
          <w:sz w:val="21"/>
          <w:szCs w:val="21"/>
          <w:highlight w:val="none"/>
        </w:rPr>
        <w:t>钻井期井场分区防渗图</w:t>
      </w:r>
    </w:p>
    <w:p w14:paraId="3A712C76">
      <w:pPr>
        <w:keepNext w:val="0"/>
        <w:keepLines w:val="0"/>
        <w:pageBreakBefore w:val="0"/>
        <w:widowControl/>
        <w:kinsoku/>
        <w:wordWrap/>
        <w:overflowPunct/>
        <w:topLinePunct w:val="0"/>
        <w:autoSpaceDE/>
        <w:autoSpaceDN/>
        <w:bidi w:val="0"/>
        <w:adjustRightInd w:val="0"/>
        <w:snapToGrid w:val="0"/>
        <w:spacing w:before="164" w:beforeLines="50" w:line="360" w:lineRule="auto"/>
        <w:ind w:firstLine="480" w:firstLineChars="200"/>
        <w:jc w:val="both"/>
        <w:textAlignment w:val="auto"/>
        <w:rPr>
          <w:rFonts w:hint="default" w:ascii="Times New Roman" w:hAnsi="Times New Roman" w:eastAsia="黑体" w:cs="Times New Roman"/>
          <w:color w:val="auto"/>
          <w:kern w:val="0"/>
          <w:sz w:val="21"/>
          <w:szCs w:val="21"/>
          <w:highlight w:val="none"/>
        </w:rPr>
      </w:pPr>
      <w:r>
        <w:rPr>
          <w:rFonts w:hint="default" w:ascii="Times New Roman" w:hAnsi="Times New Roman" w:eastAsia="宋体" w:cs="Times New Roman"/>
          <w:snapToGrid/>
          <w:color w:val="auto"/>
          <w:kern w:val="0"/>
          <w:sz w:val="24"/>
          <w:szCs w:val="24"/>
          <w:highlight w:val="none"/>
          <w:lang w:val="en-US" w:eastAsia="zh-CN"/>
        </w:rPr>
        <w:t>综上所述，</w:t>
      </w:r>
      <w:r>
        <w:rPr>
          <w:rFonts w:hint="default" w:ascii="Times New Roman" w:hAnsi="Times New Roman" w:cs="Times New Roman"/>
          <w:snapToGrid/>
          <w:color w:val="auto"/>
          <w:kern w:val="0"/>
          <w:sz w:val="24"/>
          <w:szCs w:val="24"/>
          <w:highlight w:val="none"/>
          <w:lang w:val="en-US" w:eastAsia="zh-CN"/>
        </w:rPr>
        <w:t>本项目施工期</w:t>
      </w:r>
      <w:r>
        <w:rPr>
          <w:rFonts w:hint="default" w:ascii="Times New Roman" w:hAnsi="Times New Roman" w:eastAsia="宋体" w:cs="Times New Roman"/>
          <w:snapToGrid/>
          <w:color w:val="auto"/>
          <w:kern w:val="0"/>
          <w:sz w:val="24"/>
          <w:szCs w:val="24"/>
          <w:highlight w:val="none"/>
          <w:lang w:val="en-US" w:eastAsia="zh-CN"/>
        </w:rPr>
        <w:t>采取的废水污染防治措施是可行的。</w:t>
      </w:r>
    </w:p>
    <w:p w14:paraId="366DD0DE">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604" w:name="_Toc29508"/>
      <w:bookmarkStart w:id="605" w:name="_Toc4642"/>
      <w:r>
        <w:rPr>
          <w:rFonts w:hint="default" w:ascii="Times New Roman" w:hAnsi="Times New Roman" w:cs="Times New Roman"/>
          <w:color w:val="auto"/>
          <w:highlight w:val="none"/>
        </w:rPr>
        <w:t>6.1.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固体废物污染防治措施</w:t>
      </w:r>
      <w:bookmarkEnd w:id="601"/>
      <w:bookmarkEnd w:id="604"/>
      <w:bookmarkEnd w:id="605"/>
    </w:p>
    <w:p w14:paraId="25893BF9">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6.</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.1钻井废弃物处理措施</w:t>
      </w:r>
    </w:p>
    <w:p w14:paraId="5927B20D">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snapToGrid w:val="0"/>
          <w:color w:val="auto"/>
          <w:spacing w:val="4"/>
          <w:szCs w:val="22"/>
          <w:highlight w:val="none"/>
        </w:rPr>
      </w:pPr>
      <w:r>
        <w:rPr>
          <w:rFonts w:hint="default" w:ascii="Times New Roman" w:hAnsi="Times New Roman" w:cs="Times New Roman"/>
          <w:snapToGrid w:val="0"/>
          <w:color w:val="auto"/>
          <w:spacing w:val="4"/>
          <w:szCs w:val="22"/>
          <w:highlight w:val="none"/>
        </w:rPr>
        <w:t>钻井岩屑进入不落地处理系统处理，处理后的岩屑满足《油气田钻井固体废物综合利用污染控制要求》（DB65/T3997-2017）中综合利用污染物限值要求，同时石油烃满足《土壤环境质量建设用地土壤污染风险管控标准（试行）》（GB36600-2018）中表2第二类用地风险筛选值后，用于铺设通井路、铺垫井场。</w:t>
      </w:r>
    </w:p>
    <w:p w14:paraId="28FC8844">
      <w:pPr>
        <w:spacing w:line="360" w:lineRule="auto"/>
        <w:ind w:firstLine="496" w:firstLineChars="200"/>
        <w:rPr>
          <w:rFonts w:hint="default" w:ascii="Times New Roman" w:hAnsi="Times New Roman" w:cs="Times New Roman"/>
          <w:snapToGrid w:val="0"/>
          <w:color w:val="auto"/>
          <w:spacing w:val="4"/>
          <w:szCs w:val="22"/>
          <w:highlight w:val="none"/>
        </w:rPr>
      </w:pPr>
      <w:r>
        <w:rPr>
          <w:rFonts w:hint="default" w:ascii="Times New Roman" w:hAnsi="Times New Roman" w:cs="Times New Roman"/>
          <w:snapToGrid w:val="0"/>
          <w:color w:val="auto"/>
          <w:spacing w:val="4"/>
          <w:szCs w:val="22"/>
          <w:highlight w:val="none"/>
        </w:rPr>
        <w:t>主要工艺如下：</w:t>
      </w:r>
    </w:p>
    <w:p w14:paraId="3EB7F8F6">
      <w:pPr>
        <w:spacing w:line="360" w:lineRule="auto"/>
        <w:ind w:firstLine="498" w:firstLineChars="200"/>
        <w:rPr>
          <w:rFonts w:hint="default" w:ascii="Times New Roman" w:hAnsi="Times New Roman" w:cs="Times New Roman"/>
          <w:b/>
          <w:bCs/>
          <w:snapToGrid w:val="0"/>
          <w:color w:val="auto"/>
          <w:spacing w:val="4"/>
          <w:szCs w:val="22"/>
          <w:highlight w:val="none"/>
        </w:rPr>
      </w:pPr>
      <w:r>
        <w:rPr>
          <w:rFonts w:hint="eastAsia" w:cs="Times New Roman"/>
          <w:b/>
          <w:bCs/>
          <w:snapToGrid w:val="0"/>
          <w:color w:val="auto"/>
          <w:spacing w:val="4"/>
          <w:szCs w:val="22"/>
          <w:highlight w:val="none"/>
          <w:lang w:eastAsia="zh-CN"/>
        </w:rPr>
        <w:t>（</w:t>
      </w:r>
      <w:r>
        <w:rPr>
          <w:rFonts w:hint="eastAsia" w:cs="Times New Roman"/>
          <w:b/>
          <w:bCs/>
          <w:snapToGrid w:val="0"/>
          <w:color w:val="auto"/>
          <w:spacing w:val="4"/>
          <w:szCs w:val="22"/>
          <w:highlight w:val="none"/>
          <w:lang w:val="en-US" w:eastAsia="zh-CN"/>
        </w:rPr>
        <w:t>1）</w:t>
      </w:r>
      <w:r>
        <w:rPr>
          <w:rFonts w:hint="default" w:ascii="Times New Roman" w:hAnsi="Times New Roman" w:cs="Times New Roman"/>
          <w:b/>
          <w:bCs/>
          <w:snapToGrid w:val="0"/>
          <w:color w:val="auto"/>
          <w:spacing w:val="4"/>
          <w:szCs w:val="22"/>
          <w:highlight w:val="none"/>
        </w:rPr>
        <w:t>不落地达标处理技术原理</w:t>
      </w:r>
    </w:p>
    <w:p w14:paraId="35C2CA35">
      <w:pPr>
        <w:spacing w:line="360" w:lineRule="auto"/>
        <w:ind w:firstLine="496" w:firstLineChars="200"/>
        <w:rPr>
          <w:rFonts w:hint="default" w:ascii="Times New Roman" w:hAnsi="Times New Roman" w:cs="Times New Roman"/>
          <w:snapToGrid w:val="0"/>
          <w:color w:val="auto"/>
          <w:spacing w:val="4"/>
          <w:szCs w:val="22"/>
          <w:highlight w:val="none"/>
        </w:rPr>
      </w:pPr>
      <w:r>
        <w:rPr>
          <w:rFonts w:hint="default" w:ascii="Times New Roman" w:hAnsi="Times New Roman" w:cs="Times New Roman"/>
          <w:snapToGrid w:val="0"/>
          <w:color w:val="auto"/>
          <w:spacing w:val="4"/>
          <w:szCs w:val="22"/>
          <w:highlight w:val="none"/>
        </w:rPr>
        <w:t>钻井废弃泥浆不落地达标处理技术的基本原理是将废弃泥浆经过收集—化学工艺处理—分离成三部分：即岩屑、泥饼和水，对泥浆中的固体物通过水洗、絮凝分离和化学反应处理，使岩屑和泥饼达到排放标准，泥浆中的有害物质成分和氯离子被析入水中后，再用真空吸附或挤压方式脱水制成泥饼，同时将水循环利用。整套技术包括收集系统、处理系统、除油系统、脱干系统和水处理系统五个部分及相应的配合工艺技术，处理后产生的废弃物为无害化岩屑、泥饼以及水，均达到国家排放标准。其中泥饼、岩屑可供井场建设使用，</w:t>
      </w:r>
      <w:r>
        <w:rPr>
          <w:rFonts w:hint="eastAsia" w:cs="Times New Roman"/>
          <w:snapToGrid w:val="0"/>
          <w:color w:val="auto"/>
          <w:spacing w:val="4"/>
          <w:szCs w:val="22"/>
          <w:highlight w:val="none"/>
          <w:lang w:eastAsia="zh-CN"/>
        </w:rPr>
        <w:t>水质</w:t>
      </w:r>
      <w:r>
        <w:rPr>
          <w:rFonts w:hint="default" w:ascii="Times New Roman" w:hAnsi="Times New Roman" w:cs="Times New Roman"/>
          <w:snapToGrid w:val="0"/>
          <w:color w:val="auto"/>
          <w:spacing w:val="4"/>
          <w:szCs w:val="22"/>
          <w:highlight w:val="none"/>
        </w:rPr>
        <w:t>达到国家《污水综合排放标准》中的二级以上标准，可供整套装置自身循环和井队使用。达到无害化处理的目的。</w:t>
      </w:r>
    </w:p>
    <w:p w14:paraId="2E138B5C">
      <w:pPr>
        <w:spacing w:line="360" w:lineRule="auto"/>
        <w:ind w:firstLine="498" w:firstLineChars="200"/>
        <w:rPr>
          <w:rFonts w:hint="default" w:ascii="Times New Roman" w:hAnsi="Times New Roman" w:cs="Times New Roman"/>
          <w:b/>
          <w:bCs/>
          <w:snapToGrid w:val="0"/>
          <w:color w:val="auto"/>
          <w:spacing w:val="4"/>
          <w:szCs w:val="22"/>
          <w:highlight w:val="none"/>
        </w:rPr>
      </w:pPr>
      <w:r>
        <w:rPr>
          <w:rFonts w:hint="eastAsia" w:cs="Times New Roman"/>
          <w:b/>
          <w:bCs/>
          <w:snapToGrid w:val="0"/>
          <w:color w:val="auto"/>
          <w:spacing w:val="4"/>
          <w:szCs w:val="22"/>
          <w:highlight w:val="none"/>
          <w:lang w:eastAsia="zh-CN"/>
        </w:rPr>
        <w:t>（</w:t>
      </w:r>
      <w:r>
        <w:rPr>
          <w:rFonts w:hint="eastAsia" w:cs="Times New Roman"/>
          <w:b/>
          <w:bCs/>
          <w:snapToGrid w:val="0"/>
          <w:color w:val="auto"/>
          <w:spacing w:val="4"/>
          <w:szCs w:val="22"/>
          <w:highlight w:val="none"/>
          <w:lang w:val="en-US" w:eastAsia="zh-CN"/>
        </w:rPr>
        <w:t>2）</w:t>
      </w:r>
      <w:r>
        <w:rPr>
          <w:rFonts w:hint="default" w:ascii="Times New Roman" w:hAnsi="Times New Roman" w:cs="Times New Roman"/>
          <w:b/>
          <w:bCs/>
          <w:snapToGrid w:val="0"/>
          <w:color w:val="auto"/>
          <w:spacing w:val="4"/>
          <w:szCs w:val="22"/>
          <w:highlight w:val="none"/>
        </w:rPr>
        <w:t>钻井废弃物不落地达标处理工艺流程</w:t>
      </w:r>
    </w:p>
    <w:p w14:paraId="13646CBD">
      <w:pPr>
        <w:rPr>
          <w:rFonts w:hint="default" w:ascii="Times New Roman" w:hAnsi="Times New Roman" w:cs="Times New Roman"/>
          <w:color w:val="auto"/>
          <w:highlight w:val="none"/>
        </w:rPr>
      </w:pPr>
    </w:p>
    <w:p w14:paraId="6AF2ACE7">
      <w:pPr>
        <w:pStyle w:val="2"/>
        <w:rPr>
          <w:rFonts w:hint="default" w:ascii="Times New Roman" w:hAnsi="Times New Roman" w:cs="Times New Roman"/>
          <w:color w:val="auto"/>
          <w:highlight w:val="none"/>
        </w:rPr>
      </w:pPr>
    </w:p>
    <w:p w14:paraId="45B1B484">
      <w:pPr>
        <w:rPr>
          <w:rFonts w:hint="default"/>
        </w:rPr>
      </w:pPr>
    </w:p>
    <w:p w14:paraId="18004910">
      <w:pPr>
        <w:pStyle w:val="2"/>
        <w:rPr>
          <w:rFonts w:hint="default"/>
        </w:rPr>
      </w:pPr>
    </w:p>
    <w:p w14:paraId="31B7CDCC">
      <w:pPr>
        <w:widowControl/>
        <w:spacing w:line="250" w:lineRule="auto"/>
        <w:ind w:firstLine="420" w:firstLineChars="200"/>
        <w:jc w:val="center"/>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color w:val="auto"/>
          <w:kern w:val="0"/>
          <w:sz w:val="21"/>
          <w:szCs w:val="21"/>
          <w:highlight w:val="none"/>
        </w:rPr>
        <w:t>图6.1-</w:t>
      </w:r>
      <w:r>
        <w:rPr>
          <w:rFonts w:hint="eastAsia" w:eastAsia="黑体" w:cs="Times New Roman"/>
          <w:color w:val="auto"/>
          <w:kern w:val="0"/>
          <w:sz w:val="21"/>
          <w:szCs w:val="21"/>
          <w:highlight w:val="none"/>
          <w:lang w:val="en-US" w:eastAsia="zh-CN"/>
        </w:rPr>
        <w:t>3</w:t>
      </w:r>
      <w:r>
        <w:rPr>
          <w:rFonts w:hint="default" w:ascii="Times New Roman" w:hAnsi="Times New Roman" w:eastAsia="黑体" w:cs="Times New Roman"/>
          <w:color w:val="auto"/>
          <w:kern w:val="0"/>
          <w:sz w:val="21"/>
          <w:szCs w:val="21"/>
          <w:highlight w:val="none"/>
        </w:rPr>
        <w:t>不落地达标处理技术处置工艺流程示意图</w:t>
      </w:r>
    </w:p>
    <w:p w14:paraId="69025057">
      <w:pPr>
        <w:rPr>
          <w:rFonts w:hint="default" w:ascii="Times New Roman" w:hAnsi="Times New Roman" w:cs="Times New Roman"/>
          <w:color w:val="auto"/>
          <w:highlight w:val="none"/>
        </w:rPr>
      </w:pPr>
    </w:p>
    <w:p w14:paraId="3213B50F">
      <w:pPr>
        <w:pStyle w:val="2"/>
        <w:rPr>
          <w:rFonts w:hint="default" w:ascii="Times New Roman" w:hAnsi="Times New Roman" w:cs="Times New Roman"/>
          <w:color w:val="auto"/>
          <w:highlight w:val="none"/>
        </w:rPr>
      </w:pPr>
    </w:p>
    <w:p w14:paraId="1BF1EAD0">
      <w:pPr>
        <w:rPr>
          <w:rFonts w:hint="default" w:ascii="Times New Roman" w:hAnsi="Times New Roman" w:cs="Times New Roman"/>
          <w:color w:val="auto"/>
          <w:highlight w:val="none"/>
        </w:rPr>
      </w:pPr>
    </w:p>
    <w:p w14:paraId="5CAA83FC">
      <w:pPr>
        <w:pStyle w:val="2"/>
        <w:rPr>
          <w:rFonts w:hint="default" w:ascii="Times New Roman" w:hAnsi="Times New Roman" w:cs="Times New Roman"/>
          <w:color w:val="auto"/>
          <w:highlight w:val="none"/>
        </w:rPr>
      </w:pPr>
    </w:p>
    <w:p w14:paraId="604B2B87">
      <w:pPr>
        <w:rPr>
          <w:rFonts w:hint="default" w:ascii="Times New Roman" w:hAnsi="Times New Roman" w:cs="Times New Roman"/>
          <w:color w:val="auto"/>
          <w:highlight w:val="none"/>
        </w:rPr>
      </w:pPr>
    </w:p>
    <w:p w14:paraId="3925120A">
      <w:pPr>
        <w:pStyle w:val="2"/>
        <w:rPr>
          <w:rFonts w:hint="default" w:ascii="Times New Roman" w:hAnsi="Times New Roman" w:cs="Times New Roman"/>
          <w:color w:val="auto"/>
          <w:highlight w:val="none"/>
        </w:rPr>
      </w:pPr>
    </w:p>
    <w:p w14:paraId="17E2191B">
      <w:pPr>
        <w:rPr>
          <w:rFonts w:hint="default" w:ascii="Times New Roman" w:hAnsi="Times New Roman" w:cs="Times New Roman"/>
          <w:color w:val="auto"/>
          <w:highlight w:val="none"/>
        </w:rPr>
      </w:pPr>
    </w:p>
    <w:p w14:paraId="4970F77F">
      <w:pPr>
        <w:pStyle w:val="2"/>
        <w:rPr>
          <w:rFonts w:hint="default" w:ascii="Times New Roman" w:hAnsi="Times New Roman" w:cs="Times New Roman"/>
          <w:color w:val="auto"/>
          <w:highlight w:val="none"/>
        </w:rPr>
      </w:pPr>
    </w:p>
    <w:p w14:paraId="2EC22C64">
      <w:pPr>
        <w:rPr>
          <w:rFonts w:hint="default" w:ascii="Times New Roman" w:hAnsi="Times New Roman" w:cs="Times New Roman"/>
          <w:color w:val="auto"/>
          <w:highlight w:val="none"/>
        </w:rPr>
      </w:pPr>
    </w:p>
    <w:p w14:paraId="030C0EAD">
      <w:pPr>
        <w:pStyle w:val="2"/>
        <w:rPr>
          <w:rFonts w:hint="default"/>
        </w:rPr>
      </w:pPr>
    </w:p>
    <w:p w14:paraId="79833DFB">
      <w:pPr>
        <w:widowControl/>
        <w:spacing w:line="250" w:lineRule="auto"/>
        <w:ind w:firstLine="420" w:firstLineChars="200"/>
        <w:jc w:val="center"/>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color w:val="auto"/>
          <w:kern w:val="0"/>
          <w:sz w:val="21"/>
          <w:szCs w:val="21"/>
          <w:highlight w:val="none"/>
        </w:rPr>
        <w:t>图6.1-</w:t>
      </w:r>
      <w:r>
        <w:rPr>
          <w:rFonts w:hint="eastAsia" w:eastAsia="黑体" w:cs="Times New Roman"/>
          <w:color w:val="auto"/>
          <w:kern w:val="0"/>
          <w:sz w:val="21"/>
          <w:szCs w:val="21"/>
          <w:highlight w:val="none"/>
          <w:lang w:val="en-US" w:eastAsia="zh-CN"/>
        </w:rPr>
        <w:t>4</w:t>
      </w:r>
      <w:r>
        <w:rPr>
          <w:rFonts w:hint="default" w:ascii="Times New Roman" w:hAnsi="Times New Roman" w:eastAsia="黑体" w:cs="Times New Roman"/>
          <w:color w:val="auto"/>
          <w:kern w:val="0"/>
          <w:sz w:val="21"/>
          <w:szCs w:val="21"/>
          <w:highlight w:val="none"/>
        </w:rPr>
        <w:t>不落地达标处理技术处置工艺流程布局图</w:t>
      </w:r>
    </w:p>
    <w:p w14:paraId="52318D84">
      <w:pPr>
        <w:ind w:left="480" w:hanging="480" w:hangingChars="200"/>
        <w:rPr>
          <w:rFonts w:hint="default" w:ascii="Times New Roman" w:hAnsi="Times New Roman" w:cs="Times New Roman"/>
          <w:color w:val="auto"/>
          <w:highlight w:val="none"/>
        </w:rPr>
      </w:pPr>
    </w:p>
    <w:p w14:paraId="6A8635B3">
      <w:pPr>
        <w:jc w:val="center"/>
        <w:rPr>
          <w:rFonts w:hint="default" w:ascii="Times New Roman" w:hAnsi="Times New Roman" w:cs="Times New Roman"/>
          <w:b/>
          <w:color w:val="auto"/>
          <w:szCs w:val="21"/>
          <w:highlight w:val="none"/>
        </w:rPr>
      </w:pPr>
    </w:p>
    <w:p w14:paraId="409E1442">
      <w:pPr>
        <w:pStyle w:val="2"/>
        <w:rPr>
          <w:rFonts w:hint="default" w:ascii="Times New Roman" w:hAnsi="Times New Roman" w:cs="Times New Roman"/>
          <w:b/>
          <w:color w:val="auto"/>
          <w:szCs w:val="21"/>
          <w:highlight w:val="none"/>
        </w:rPr>
      </w:pPr>
    </w:p>
    <w:p w14:paraId="122E0CAC">
      <w:pPr>
        <w:rPr>
          <w:rFonts w:hint="default" w:ascii="Times New Roman" w:hAnsi="Times New Roman" w:cs="Times New Roman"/>
          <w:b/>
          <w:color w:val="auto"/>
          <w:szCs w:val="21"/>
          <w:highlight w:val="none"/>
        </w:rPr>
      </w:pPr>
    </w:p>
    <w:p w14:paraId="2D61E54D">
      <w:pPr>
        <w:pStyle w:val="2"/>
        <w:rPr>
          <w:rFonts w:hint="default" w:ascii="Times New Roman" w:hAnsi="Times New Roman" w:cs="Times New Roman"/>
          <w:b/>
          <w:color w:val="auto"/>
          <w:szCs w:val="21"/>
          <w:highlight w:val="none"/>
        </w:rPr>
      </w:pPr>
    </w:p>
    <w:p w14:paraId="3E70F92F">
      <w:pPr>
        <w:rPr>
          <w:rFonts w:hint="default" w:ascii="Times New Roman" w:hAnsi="Times New Roman" w:cs="Times New Roman"/>
          <w:b/>
          <w:color w:val="auto"/>
          <w:szCs w:val="21"/>
          <w:highlight w:val="none"/>
        </w:rPr>
      </w:pPr>
    </w:p>
    <w:p w14:paraId="478DECE1">
      <w:pPr>
        <w:pStyle w:val="2"/>
        <w:rPr>
          <w:rFonts w:hint="default" w:ascii="Times New Roman" w:hAnsi="Times New Roman" w:cs="Times New Roman"/>
          <w:b/>
          <w:color w:val="auto"/>
          <w:szCs w:val="21"/>
          <w:highlight w:val="none"/>
        </w:rPr>
      </w:pPr>
    </w:p>
    <w:p w14:paraId="65C4F31B">
      <w:pPr>
        <w:rPr>
          <w:rFonts w:hint="default" w:ascii="Times New Roman" w:hAnsi="Times New Roman" w:cs="Times New Roman"/>
          <w:b/>
          <w:color w:val="auto"/>
          <w:szCs w:val="21"/>
          <w:highlight w:val="none"/>
        </w:rPr>
      </w:pPr>
    </w:p>
    <w:p w14:paraId="0893F05F">
      <w:pPr>
        <w:pStyle w:val="2"/>
        <w:rPr>
          <w:rFonts w:hint="default"/>
        </w:rPr>
      </w:pPr>
    </w:p>
    <w:p w14:paraId="55FF2E28">
      <w:pPr>
        <w:widowControl/>
        <w:spacing w:line="250" w:lineRule="auto"/>
        <w:ind w:firstLine="420" w:firstLineChars="200"/>
        <w:jc w:val="center"/>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color w:val="auto"/>
          <w:kern w:val="0"/>
          <w:sz w:val="21"/>
          <w:szCs w:val="21"/>
          <w:highlight w:val="none"/>
        </w:rPr>
        <w:t>图6.1-</w:t>
      </w:r>
      <w:r>
        <w:rPr>
          <w:rFonts w:hint="eastAsia" w:eastAsia="黑体" w:cs="Times New Roman"/>
          <w:color w:val="auto"/>
          <w:kern w:val="0"/>
          <w:sz w:val="21"/>
          <w:szCs w:val="21"/>
          <w:highlight w:val="none"/>
          <w:lang w:val="en-US" w:eastAsia="zh-CN"/>
        </w:rPr>
        <w:t>5</w:t>
      </w:r>
      <w:r>
        <w:rPr>
          <w:rFonts w:hint="default" w:ascii="Times New Roman" w:hAnsi="Times New Roman" w:eastAsia="黑体" w:cs="Times New Roman"/>
          <w:color w:val="auto"/>
          <w:kern w:val="0"/>
          <w:sz w:val="21"/>
          <w:szCs w:val="21"/>
          <w:highlight w:val="none"/>
        </w:rPr>
        <w:t>处置后泥饼</w:t>
      </w:r>
    </w:p>
    <w:p w14:paraId="4103EF54">
      <w:pPr>
        <w:jc w:val="right"/>
        <w:rPr>
          <w:rFonts w:hint="default" w:ascii="Times New Roman" w:hAnsi="Times New Roman" w:cs="Times New Roman"/>
          <w:color w:val="auto"/>
          <w:highlight w:val="none"/>
        </w:rPr>
      </w:pPr>
    </w:p>
    <w:p w14:paraId="33DEF628">
      <w:pPr>
        <w:pStyle w:val="31"/>
        <w:spacing w:after="0" w:line="360" w:lineRule="auto"/>
        <w:ind w:firstLine="480"/>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处置效果</w:t>
      </w:r>
    </w:p>
    <w:p w14:paraId="05A65619">
      <w:pPr>
        <w:pStyle w:val="31"/>
        <w:spacing w:after="0"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西北油田分公司加强监管，每个井场随钻不落地处理工艺末端排放口都要进行监测，3次/井次（转磺前1次、转磺后2次）。</w:t>
      </w:r>
      <w:r>
        <w:rPr>
          <w:rFonts w:hint="eastAsia" w:ascii="Times New Roman" w:hAnsi="Times New Roman" w:cs="Times New Roman"/>
          <w:color w:val="auto"/>
          <w:highlight w:val="none"/>
          <w:lang w:eastAsia="zh-CN"/>
        </w:rPr>
        <w:t>检测项目</w:t>
      </w:r>
      <w:r>
        <w:rPr>
          <w:rFonts w:hint="default" w:ascii="Times New Roman" w:hAnsi="Times New Roman" w:cs="Times New Roman"/>
          <w:color w:val="auto"/>
          <w:highlight w:val="none"/>
        </w:rPr>
        <w:t>为：含油率、含水率、pH值、COD。同时油田服务管理中心建立随钻泥饼综合利用台账，钻井泥浆经处理后其泥饼达到相应指标要求后，用于铺垫井场和井场道路。</w:t>
      </w:r>
    </w:p>
    <w:p w14:paraId="5A6C7D3C">
      <w:pPr>
        <w:pStyle w:val="31"/>
        <w:pageBreakBefore w:val="0"/>
        <w:kinsoku/>
        <w:wordWrap/>
        <w:overflowPunct/>
        <w:autoSpaceDE/>
        <w:autoSpaceDN/>
        <w:bidi w:val="0"/>
        <w:spacing w:after="0"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从近年西北油田分公司随钻不落地处理工艺末端排放口</w:t>
      </w:r>
      <w:r>
        <w:rPr>
          <w:rFonts w:hint="eastAsia" w:ascii="Times New Roman" w:hAnsi="Times New Roman" w:cs="Times New Roman"/>
          <w:color w:val="auto"/>
          <w:highlight w:val="none"/>
          <w:lang w:eastAsia="zh-CN"/>
        </w:rPr>
        <w:t>检测报告</w:t>
      </w:r>
      <w:r>
        <w:rPr>
          <w:rFonts w:hint="default" w:ascii="Times New Roman" w:hAnsi="Times New Roman" w:cs="Times New Roman"/>
          <w:color w:val="auto"/>
          <w:highlight w:val="none"/>
        </w:rPr>
        <w:t>可知，钻井泥浆经处理后其泥饼浸出液均可达到《油气田含油污泥及钻井固体废物处理处置技术规范》（DB65/T3999-2017）、《油气田钻井固体废物综合利用污染控制要求》（DB65/T3997-2017）标准中相应指标要求。</w:t>
      </w:r>
    </w:p>
    <w:p w14:paraId="2F9EC198">
      <w:pPr>
        <w:pStyle w:val="56"/>
        <w:keepNext w:val="0"/>
        <w:keepLines w:val="0"/>
        <w:pageBreakBefore w:val="0"/>
        <w:kinsoku/>
        <w:wordWrap/>
        <w:overflowPunct/>
        <w:topLinePunct/>
        <w:autoSpaceDE/>
        <w:autoSpaceDN/>
        <w:bidi w:val="0"/>
        <w:adjustRightInd w:val="0"/>
        <w:snapToGrid w:val="0"/>
        <w:spacing w:after="0"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rPr>
        <w:t>综上所述，钻井废弃物影响集中在井场内，基本对外环境没有造成污染</w:t>
      </w:r>
      <w:r>
        <w:rPr>
          <w:rFonts w:hint="default" w:ascii="Times New Roman" w:hAnsi="Times New Roman" w:cs="Times New Roman"/>
          <w:color w:val="auto"/>
          <w:highlight w:val="none"/>
          <w:lang w:eastAsia="zh-CN"/>
        </w:rPr>
        <w:t>。</w:t>
      </w:r>
    </w:p>
    <w:p w14:paraId="6CD885FF">
      <w:pPr>
        <w:keepNext w:val="0"/>
        <w:keepLines w:val="0"/>
        <w:pageBreakBefore w:val="0"/>
        <w:kinsoku/>
        <w:wordWrap/>
        <w:overflowPunct/>
        <w:autoSpaceDE/>
        <w:autoSpaceDN/>
        <w:bidi w:val="0"/>
        <w:adjustRightInd w:val="0"/>
        <w:snapToGrid w:val="0"/>
        <w:spacing w:line="360" w:lineRule="auto"/>
        <w:outlineLvl w:val="3"/>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6.</w:t>
      </w:r>
      <w:r>
        <w:rPr>
          <w:rFonts w:hint="default" w:ascii="Times New Roman" w:hAnsi="Times New Roman"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rPr>
        <w:t>.</w:t>
      </w:r>
      <w:r>
        <w:rPr>
          <w:rFonts w:hint="default" w:ascii="Times New Roman" w:hAnsi="Times New Roman"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rPr>
        <w:t>.2危险废物处理措施</w:t>
      </w:r>
    </w:p>
    <w:p w14:paraId="5AC58CC3">
      <w:pPr>
        <w:pStyle w:val="56"/>
        <w:keepNext w:val="0"/>
        <w:keepLines w:val="0"/>
        <w:pageBreakBefore w:val="0"/>
        <w:kinsoku/>
        <w:wordWrap/>
        <w:overflowPunct/>
        <w:topLinePunct/>
        <w:autoSpaceDE/>
        <w:autoSpaceDN/>
        <w:bidi w:val="0"/>
        <w:adjustRightInd w:val="0"/>
        <w:snapToGrid w:val="0"/>
        <w:spacing w:after="0" w:line="360" w:lineRule="auto"/>
        <w:ind w:firstLine="48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废烧碱包装袋和废防渗材料应折叠打包存放在井场撬装式危废暂存间内，严禁随意丢弃。钻井施工过程中检修时应在地面铺设防渗材料收集产生的含油废物，含油废物收集后应置于铁质油桶内且不得</w:t>
      </w:r>
      <w:r>
        <w:rPr>
          <w:rFonts w:hint="eastAsia" w:ascii="Times New Roman" w:hAnsi="Times New Roman" w:cs="Times New Roman"/>
          <w:color w:val="auto"/>
          <w:highlight w:val="none"/>
          <w:lang w:eastAsia="zh-CN"/>
        </w:rPr>
        <w:t>超过</w:t>
      </w:r>
      <w:r>
        <w:rPr>
          <w:rFonts w:hint="eastAsia" w:ascii="Times New Roman" w:hAnsi="Times New Roman" w:eastAsia="宋体" w:cs="Times New Roman"/>
          <w:color w:val="auto"/>
          <w:highlight w:val="none"/>
        </w:rPr>
        <w:t>容器的3/4。危险废物必须由具有资质的机构或生态环境主管部门指定单位接收，钻井队与之签订危废转移协议，并依照有关规定填写和保存废物转移联单。严禁有关人员私自转让、买卖。</w:t>
      </w:r>
    </w:p>
    <w:p w14:paraId="4FFBB6B5">
      <w:pPr>
        <w:keepNext w:val="0"/>
        <w:keepLines w:val="0"/>
        <w:pageBreakBefore w:val="0"/>
        <w:kinsoku/>
        <w:wordWrap/>
        <w:overflowPunct/>
        <w:autoSpaceDE/>
        <w:autoSpaceDN/>
        <w:bidi w:val="0"/>
        <w:adjustRightInd w:val="0"/>
        <w:snapToGrid w:val="0"/>
        <w:spacing w:line="360" w:lineRule="auto"/>
        <w:outlineLvl w:val="3"/>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6.</w:t>
      </w:r>
      <w:r>
        <w:rPr>
          <w:rFonts w:hint="default" w:ascii="Times New Roman" w:hAnsi="Times New Roman"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rPr>
        <w:t>.</w:t>
      </w:r>
      <w:r>
        <w:rPr>
          <w:rFonts w:hint="default" w:ascii="Times New Roman" w:hAnsi="Times New Roman"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rPr>
        <w:t>.3</w:t>
      </w:r>
      <w:r>
        <w:rPr>
          <w:rFonts w:hint="default" w:ascii="Times New Roman" w:hAnsi="Times New Roman" w:eastAsia="宋体" w:cs="Times New Roman"/>
          <w:b/>
          <w:bCs w:val="0"/>
          <w:color w:val="auto"/>
          <w:spacing w:val="-10"/>
          <w:sz w:val="24"/>
          <w:szCs w:val="24"/>
          <w:highlight w:val="none"/>
        </w:rPr>
        <w:t>撬装式污水处理站产生污泥</w:t>
      </w:r>
      <w:r>
        <w:rPr>
          <w:rFonts w:hint="default" w:ascii="Times New Roman" w:hAnsi="Times New Roman" w:eastAsia="宋体" w:cs="Times New Roman"/>
          <w:b/>
          <w:bCs w:val="0"/>
          <w:color w:val="auto"/>
          <w:sz w:val="24"/>
          <w:szCs w:val="24"/>
          <w:highlight w:val="none"/>
        </w:rPr>
        <w:t>及生活垃圾处理措施</w:t>
      </w:r>
    </w:p>
    <w:p w14:paraId="379BCDE3">
      <w:pPr>
        <w:keepNext w:val="0"/>
        <w:keepLines w:val="0"/>
        <w:pageBreakBefore w:val="0"/>
        <w:kinsoku/>
        <w:wordWrap/>
        <w:overflowPunct/>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撬装式污水处理站污泥定期排入污泥池，通过泵打入小型叠螺式污泥脱水机，其脱水原理为污泥在浓缩部经过重力浓缩后，被运输到脱水部，在前进的过程中随着滤缝及螺距的逐渐变小，以及背压板的阻挡作用下，产生极大的内压，容积不断缩小，达到充分脱水的目的。经叠螺式污泥脱水机脱水后可确保污泥含水率低于60%，满足垃圾填埋场进场污泥含水率要求。</w:t>
      </w:r>
    </w:p>
    <w:p w14:paraId="65045C1C">
      <w:pPr>
        <w:keepNext w:val="0"/>
        <w:keepLines w:val="0"/>
        <w:pageBreakBefore w:val="0"/>
        <w:kinsoku/>
        <w:wordWrap/>
        <w:overflowPunct/>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生活垃圾现场集中收集，与经脱水装置脱水后的污泥一同由库车绿能环保科技有限公司拉运处置。</w:t>
      </w:r>
    </w:p>
    <w:p w14:paraId="3681D2BE">
      <w:pPr>
        <w:keepNext w:val="0"/>
        <w:keepLines w:val="0"/>
        <w:pageBreakBefore w:val="0"/>
        <w:kinsoku/>
        <w:wordWrap/>
        <w:overflowPunct/>
        <w:autoSpaceDE/>
        <w:autoSpaceDN/>
        <w:bidi w:val="0"/>
        <w:adjustRightInd w:val="0"/>
        <w:snapToGrid w:val="0"/>
        <w:spacing w:line="360" w:lineRule="auto"/>
        <w:outlineLvl w:val="3"/>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6.</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rPr>
        <w:t>.</w:t>
      </w:r>
      <w:r>
        <w:rPr>
          <w:rFonts w:hint="default" w:ascii="Times New Roman" w:hAnsi="Times New Roman" w:eastAsia="宋体"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rPr>
        <w:t>.</w:t>
      </w:r>
      <w:r>
        <w:rPr>
          <w:rFonts w:hint="eastAsia"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rPr>
        <w:t>施工废料处理措施</w:t>
      </w:r>
    </w:p>
    <w:p w14:paraId="64EBA7A3">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kern w:val="24"/>
          <w:sz w:val="24"/>
          <w:szCs w:val="20"/>
          <w:highlight w:val="none"/>
          <w:lang w:val="en-US" w:eastAsia="zh-CN" w:bidi="ar-SA"/>
        </w:rPr>
        <w:t>管道焊接、补口、吹扫时会产生焊渣、边角料等废料，属于一般工业固体废物，施工废料应首先考虑回收利用，</w:t>
      </w:r>
      <w:r>
        <w:rPr>
          <w:rFonts w:hint="default" w:ascii="Times New Roman" w:hAnsi="Times New Roman" w:eastAsia="宋体" w:cs="Times New Roman"/>
          <w:color w:val="auto"/>
          <w:sz w:val="24"/>
          <w:szCs w:val="24"/>
          <w:highlight w:val="none"/>
        </w:rPr>
        <w:t>不可回收利用部分收集后定期由</w:t>
      </w:r>
      <w:r>
        <w:rPr>
          <w:rFonts w:hint="default" w:ascii="Times New Roman" w:hAnsi="Times New Roman" w:cs="Times New Roman"/>
          <w:color w:val="auto"/>
          <w:sz w:val="24"/>
          <w:szCs w:val="24"/>
          <w:highlight w:val="none"/>
          <w:lang w:eastAsia="zh-CN"/>
        </w:rPr>
        <w:t>库车绿能环保科技有限公司</w:t>
      </w:r>
      <w:r>
        <w:rPr>
          <w:rFonts w:hint="default" w:ascii="Times New Roman" w:hAnsi="Times New Roman" w:eastAsia="宋体" w:cs="Times New Roman"/>
          <w:color w:val="auto"/>
          <w:sz w:val="24"/>
          <w:szCs w:val="24"/>
          <w:highlight w:val="none"/>
        </w:rPr>
        <w:t>清运处置。</w:t>
      </w:r>
    </w:p>
    <w:p w14:paraId="5A553FFB">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综上，</w:t>
      </w:r>
      <w:r>
        <w:rPr>
          <w:rFonts w:hint="default" w:ascii="Times New Roman" w:hAnsi="Times New Roman" w:cs="Times New Roman"/>
          <w:color w:val="auto"/>
          <w:kern w:val="0"/>
          <w:sz w:val="24"/>
          <w:szCs w:val="20"/>
          <w:highlight w:val="none"/>
          <w:lang w:val="en-US" w:eastAsia="zh-CN" w:bidi="ar-SA"/>
        </w:rPr>
        <w:t>本项目</w:t>
      </w:r>
      <w:r>
        <w:rPr>
          <w:rFonts w:hint="default" w:ascii="Times New Roman" w:hAnsi="Times New Roman" w:eastAsia="宋体" w:cs="Times New Roman"/>
          <w:color w:val="auto"/>
          <w:kern w:val="0"/>
          <w:sz w:val="24"/>
          <w:szCs w:val="20"/>
          <w:highlight w:val="none"/>
          <w:lang w:val="en-US" w:eastAsia="zh-CN" w:bidi="ar-SA"/>
        </w:rPr>
        <w:t>采取的固废污染防治措施可行。</w:t>
      </w:r>
    </w:p>
    <w:p w14:paraId="09733116">
      <w:pPr>
        <w:pStyle w:val="6"/>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bookmarkStart w:id="606" w:name="_Toc28445"/>
      <w:bookmarkStart w:id="607" w:name="_Toc13189"/>
      <w:bookmarkStart w:id="608" w:name="_Toc17709"/>
      <w:r>
        <w:rPr>
          <w:rFonts w:hint="default" w:ascii="Times New Roman" w:hAnsi="Times New Roman" w:cs="Times New Roman"/>
          <w:color w:val="auto"/>
          <w:highlight w:val="none"/>
        </w:rPr>
        <w:t>6.1.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噪声防治措施</w:t>
      </w:r>
      <w:bookmarkEnd w:id="606"/>
      <w:bookmarkEnd w:id="607"/>
      <w:bookmarkEnd w:id="608"/>
    </w:p>
    <w:p w14:paraId="6816573B">
      <w:pPr>
        <w:pStyle w:val="31"/>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施工期主要噪声为施工机械设备运转噪声和大量的施工车辆行驶产生的交通噪声。</w:t>
      </w:r>
    </w:p>
    <w:p w14:paraId="48BF8D23">
      <w:pPr>
        <w:pStyle w:val="31"/>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施工单位可合理安排施工时间，避免长时间使用高噪声设备，使</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在施工期造成的噪声污染降到最低。</w:t>
      </w:r>
    </w:p>
    <w:p w14:paraId="18BBAC57">
      <w:pPr>
        <w:pStyle w:val="31"/>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施工设备选型时，在满足施工需要的前提下，尽可能选取噪声低、振动小、能耗小的先进设备。</w:t>
      </w:r>
    </w:p>
    <w:p w14:paraId="66654D5F">
      <w:pPr>
        <w:pStyle w:val="31"/>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加强施工机械的维护保养，避免由于设备性能差而使机械噪声增大的现象发生。</w:t>
      </w:r>
    </w:p>
    <w:p w14:paraId="76BB7BC4">
      <w:pPr>
        <w:pStyle w:val="9"/>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Cs w:val="24"/>
          <w:highlight w:val="none"/>
        </w:rPr>
      </w:pPr>
      <w:r>
        <w:rPr>
          <w:rFonts w:hint="default" w:ascii="Times New Roman" w:hAnsi="Times New Roman" w:eastAsia="宋体" w:cs="Times New Roman"/>
          <w:color w:val="auto"/>
          <w:szCs w:val="24"/>
          <w:highlight w:val="none"/>
          <w:lang w:val="en-US" w:eastAsia="zh-CN"/>
        </w:rPr>
        <w:t>综上所述，</w:t>
      </w:r>
      <w:r>
        <w:rPr>
          <w:rFonts w:hint="default" w:ascii="Times New Roman" w:hAnsi="Times New Roman" w:eastAsia="宋体" w:cs="Times New Roman"/>
          <w:color w:val="auto"/>
          <w:szCs w:val="24"/>
          <w:highlight w:val="none"/>
        </w:rPr>
        <w:t>采取的</w:t>
      </w:r>
      <w:r>
        <w:rPr>
          <w:rFonts w:hint="default" w:ascii="Times New Roman" w:hAnsi="Times New Roman" w:eastAsia="宋体" w:cs="Times New Roman"/>
          <w:color w:val="auto"/>
          <w:szCs w:val="24"/>
          <w:highlight w:val="none"/>
          <w:lang w:val="en-US" w:eastAsia="zh-CN"/>
        </w:rPr>
        <w:t>噪声防治措施</w:t>
      </w:r>
      <w:r>
        <w:rPr>
          <w:rFonts w:hint="default" w:ascii="Times New Roman" w:hAnsi="Times New Roman" w:eastAsia="宋体" w:cs="Times New Roman"/>
          <w:color w:val="auto"/>
          <w:highlight w:val="none"/>
        </w:rPr>
        <w:t>是可行的</w:t>
      </w:r>
      <w:r>
        <w:rPr>
          <w:rFonts w:hint="default" w:ascii="Times New Roman" w:hAnsi="Times New Roman" w:eastAsia="宋体" w:cs="Times New Roman"/>
          <w:color w:val="auto"/>
          <w:highlight w:val="none"/>
          <w:lang w:eastAsia="zh-CN"/>
        </w:rPr>
        <w:t>。</w:t>
      </w:r>
    </w:p>
    <w:p w14:paraId="2C827742">
      <w:pPr>
        <w:pageBreakBefore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color w:val="auto"/>
          <w:szCs w:val="24"/>
          <w:highlight w:val="none"/>
          <w:lang w:eastAsia="zh-CN"/>
        </w:rPr>
      </w:pPr>
      <w:bookmarkStart w:id="609" w:name="_Toc30449"/>
      <w:bookmarkStart w:id="610" w:name="_Toc30291"/>
      <w:bookmarkStart w:id="611" w:name="_Toc1723"/>
      <w:r>
        <w:rPr>
          <w:rStyle w:val="97"/>
          <w:rFonts w:hint="default" w:ascii="Times New Roman" w:hAnsi="Times New Roman" w:cs="Times New Roman"/>
          <w:color w:val="auto"/>
          <w:highlight w:val="none"/>
        </w:rPr>
        <w:t>6.1.</w:t>
      </w:r>
      <w:r>
        <w:rPr>
          <w:rStyle w:val="97"/>
          <w:rFonts w:hint="default" w:ascii="Times New Roman" w:hAnsi="Times New Roman" w:cs="Times New Roman"/>
          <w:color w:val="auto"/>
          <w:highlight w:val="none"/>
          <w:lang w:val="en-US" w:eastAsia="zh-CN"/>
        </w:rPr>
        <w:t>6</w:t>
      </w:r>
      <w:r>
        <w:rPr>
          <w:rStyle w:val="97"/>
          <w:rFonts w:hint="default" w:ascii="Times New Roman" w:hAnsi="Times New Roman" w:cs="Times New Roman"/>
          <w:color w:val="auto"/>
          <w:highlight w:val="none"/>
        </w:rPr>
        <w:t>土壤污染防治措施</w:t>
      </w:r>
      <w:bookmarkEnd w:id="609"/>
      <w:bookmarkEnd w:id="610"/>
      <w:bookmarkEnd w:id="611"/>
    </w:p>
    <w:p w14:paraId="5AA7343B">
      <w:pPr>
        <w:pStyle w:val="31"/>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rPr>
      </w:pPr>
      <w:bookmarkStart w:id="612" w:name="_Toc75438908"/>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应严格控制施工期临时占地面积，按设计及规划的施工范围进行施工作业，减少土壤扰动。</w:t>
      </w:r>
    </w:p>
    <w:p w14:paraId="71822DA8">
      <w:pPr>
        <w:pStyle w:val="31"/>
        <w:pageBreakBefore w:val="0"/>
        <w:kinsoku/>
        <w:wordWrap/>
        <w:overflowPunct/>
        <w:topLinePunct w:val="0"/>
        <w:autoSpaceDE/>
        <w:autoSpaceDN/>
        <w:bidi w:val="0"/>
        <w:adjustRightInd w:val="0"/>
        <w:snapToGrid w:val="0"/>
        <w:spacing w:after="0" w:line="360" w:lineRule="auto"/>
        <w:ind w:firstLine="48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施工机械及运输车辆应按规定的道路行驶，减少对土壤的碾压，减少碾压造成的土壤紧实度增加及养分流失。</w:t>
      </w:r>
    </w:p>
    <w:p w14:paraId="1FEBCD4F">
      <w:pPr>
        <w:pStyle w:val="31"/>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施工产生的建筑垃圾不得随意抛洒，应集中收集并及时清运，防止污染物进入土壤环境造成污染。采取的土壤污染防治措施可行。</w:t>
      </w:r>
    </w:p>
    <w:p w14:paraId="3B8BC7A9">
      <w:pPr>
        <w:pStyle w:val="31"/>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植被覆盖度高的区域，局部降低作业带宽度，施工结束后，及时采取撒播草籽等措施，恢复原地貌；施工土方全部用于管沟回填，开挖土方堆存过程中使用防尘网，并定期洒水抑尘。</w:t>
      </w:r>
    </w:p>
    <w:p w14:paraId="3B5A90F8">
      <w:pPr>
        <w:pStyle w:val="31"/>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土地临时使用过程中发现土地沙化或者沙化程度加重的，应当及时报告当地人民政府；在施工过程中，不得随意碾压项目区内</w:t>
      </w:r>
      <w:r>
        <w:rPr>
          <w:rFonts w:hint="eastAsia" w:ascii="Times New Roman" w:hAnsi="Times New Roman" w:cs="Times New Roman"/>
          <w:color w:val="auto"/>
          <w:highlight w:val="none"/>
          <w:lang w:eastAsia="zh-CN"/>
        </w:rPr>
        <w:t>其他</w:t>
      </w:r>
      <w:r>
        <w:rPr>
          <w:rFonts w:hint="default" w:ascii="Times New Roman" w:hAnsi="Times New Roman" w:cs="Times New Roman"/>
          <w:color w:val="auto"/>
          <w:highlight w:val="none"/>
        </w:rPr>
        <w:t>固沙植被。</w:t>
      </w:r>
    </w:p>
    <w:p w14:paraId="4B7C76D2">
      <w:pPr>
        <w:pStyle w:val="31"/>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施工期间严格执行生态保护措施，杜绝破坏植被、造成沙化的行为。</w:t>
      </w:r>
    </w:p>
    <w:p w14:paraId="42526760">
      <w:pPr>
        <w:pStyle w:val="5"/>
        <w:pageBreakBefore w:val="0"/>
        <w:kinsoku/>
        <w:wordWrap/>
        <w:overflowPunct/>
        <w:topLinePunct w:val="0"/>
        <w:autoSpaceDE/>
        <w:autoSpaceDN/>
        <w:bidi w:val="0"/>
        <w:adjustRightInd w:val="0"/>
        <w:snapToGrid w:val="0"/>
        <w:spacing w:beforeLines="0"/>
        <w:textAlignment w:val="auto"/>
        <w:rPr>
          <w:rFonts w:hint="default" w:ascii="Times New Roman" w:hAnsi="Times New Roman" w:cs="Times New Roman"/>
          <w:color w:val="auto"/>
          <w:highlight w:val="none"/>
        </w:rPr>
      </w:pPr>
      <w:bookmarkStart w:id="613" w:name="_Toc31251"/>
      <w:bookmarkStart w:id="614" w:name="_Toc25780"/>
      <w:bookmarkStart w:id="615" w:name="_Toc872"/>
      <w:r>
        <w:rPr>
          <w:rFonts w:hint="default" w:ascii="Times New Roman" w:hAnsi="Times New Roman" w:cs="Times New Roman"/>
          <w:color w:val="auto"/>
          <w:highlight w:val="none"/>
        </w:rPr>
        <w:t>6.2运营期环境保护措施</w:t>
      </w:r>
      <w:bookmarkEnd w:id="612"/>
      <w:bookmarkEnd w:id="613"/>
      <w:bookmarkEnd w:id="614"/>
      <w:bookmarkEnd w:id="615"/>
    </w:p>
    <w:p w14:paraId="6AE3E6FC">
      <w:pPr>
        <w:pStyle w:val="6"/>
        <w:pageBreakBefore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616" w:name="_Toc25334"/>
      <w:bookmarkStart w:id="617" w:name="_Toc20272"/>
      <w:bookmarkStart w:id="618" w:name="_Toc2391"/>
      <w:bookmarkStart w:id="619" w:name="_Hlk48604500"/>
      <w:r>
        <w:rPr>
          <w:rFonts w:hint="default" w:ascii="Times New Roman" w:hAnsi="Times New Roman" w:cs="Times New Roman"/>
          <w:color w:val="auto"/>
          <w:highlight w:val="none"/>
        </w:rPr>
        <w:t>6.2.1生态环境保护措施</w:t>
      </w:r>
    </w:p>
    <w:p w14:paraId="5B37589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bookmarkStart w:id="620" w:name="_Hlk95838722"/>
      <w:r>
        <w:rPr>
          <w:rFonts w:hint="default" w:ascii="Times New Roman" w:hAnsi="Times New Roman" w:cs="Times New Roman"/>
          <w:color w:val="auto"/>
          <w:highlight w:val="none"/>
        </w:rPr>
        <w:t>（1）监督和管理措施</w:t>
      </w:r>
    </w:p>
    <w:p w14:paraId="5A72D5C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①针对</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的建设，西北油田分公司安全环保部负责工程建设及运营期间对生态环境的保护工作，落实</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环保措施的实施并与各施工单位</w:t>
      </w:r>
      <w:r>
        <w:rPr>
          <w:rFonts w:hint="eastAsia" w:cs="Times New Roman"/>
          <w:color w:val="auto"/>
          <w:highlight w:val="none"/>
          <w:lang w:eastAsia="zh-CN"/>
        </w:rPr>
        <w:t>签订</w:t>
      </w:r>
      <w:r>
        <w:rPr>
          <w:rFonts w:hint="default" w:ascii="Times New Roman" w:hAnsi="Times New Roman" w:cs="Times New Roman"/>
          <w:color w:val="auto"/>
          <w:highlight w:val="none"/>
        </w:rPr>
        <w:t>详细的环境保护协议，明确各方的责任以及奖惩规定。</w:t>
      </w:r>
    </w:p>
    <w:p w14:paraId="35C0363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②选择信誉良好、素质较高的施工队伍，保证工程建设的质量，避免因质量问题对环境带来不利影响；同时，通过培训和发放宣传手册强化施工人员的环境保护意识，明确施工人员的行为和奖惩制度。</w:t>
      </w:r>
    </w:p>
    <w:p w14:paraId="56D0E6A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③针对已经发生的破坏生态环境的问题必须认真及时</w:t>
      </w:r>
      <w:r>
        <w:rPr>
          <w:rFonts w:hint="eastAsia" w:cs="Times New Roman"/>
          <w:color w:val="auto"/>
          <w:highlight w:val="none"/>
          <w:lang w:eastAsia="zh-CN"/>
        </w:rPr>
        <w:t>地</w:t>
      </w:r>
      <w:r>
        <w:rPr>
          <w:rFonts w:hint="default" w:ascii="Times New Roman" w:hAnsi="Times New Roman" w:cs="Times New Roman"/>
          <w:color w:val="auto"/>
          <w:highlight w:val="none"/>
        </w:rPr>
        <w:t>解决，并对正在和即将建设的工程提出具体、可行的整改和防治措施。</w:t>
      </w:r>
    </w:p>
    <w:p w14:paraId="0334BB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④针对</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所在区域遗留的生态环境问题需按要求整改完成，</w:t>
      </w:r>
      <w:r>
        <w:rPr>
          <w:rFonts w:hint="default" w:ascii="Times New Roman" w:hAnsi="Times New Roman" w:cs="Times New Roman"/>
          <w:color w:val="auto"/>
          <w:highlight w:val="none"/>
          <w:lang w:val="en-US" w:eastAsia="zh-CN"/>
        </w:rPr>
        <w:t>原井场</w:t>
      </w:r>
      <w:r>
        <w:rPr>
          <w:rFonts w:hint="default" w:ascii="Times New Roman" w:hAnsi="Times New Roman" w:cs="Times New Roman"/>
          <w:color w:val="auto"/>
          <w:highlight w:val="none"/>
        </w:rPr>
        <w:t>遗留有弃渣</w:t>
      </w:r>
      <w:r>
        <w:rPr>
          <w:rFonts w:hint="eastAsia" w:cs="Times New Roman"/>
          <w:color w:val="auto"/>
          <w:highlight w:val="none"/>
          <w:lang w:eastAsia="zh-CN"/>
        </w:rPr>
        <w:t>没有及时</w:t>
      </w:r>
      <w:r>
        <w:rPr>
          <w:rFonts w:hint="default" w:ascii="Times New Roman" w:hAnsi="Times New Roman" w:cs="Times New Roman"/>
          <w:color w:val="auto"/>
          <w:highlight w:val="none"/>
        </w:rPr>
        <w:t>清运、老井临时占地内的水泥块未清理或综合利用等，需尽快组织工作人员按期将井场遗留固废清运或综合利用，并纳入</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环保投资。</w:t>
      </w:r>
    </w:p>
    <w:p w14:paraId="4093A6F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（2）运营期生态保护措施</w:t>
      </w:r>
    </w:p>
    <w:p w14:paraId="59275B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①加强管理，确保各项环保措施落实。对施工迹地表面覆以砾石，以减少风蚀量。</w:t>
      </w:r>
    </w:p>
    <w:p w14:paraId="7F90508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②在道路边、油田区，设置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保护生态环境、保护野生动植物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等警示牌，并从管理上对作业人员加强宣传教育，切实提高保护生态环境的意识。</w:t>
      </w:r>
    </w:p>
    <w:p w14:paraId="1BC5A4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③加强对管线、设备的管理和检查，及时发现问题，及时解决，防止泄漏事故的发生；对泄漏的落地油应及时清理，彻底回收，防止污染扩大蔓延。</w:t>
      </w:r>
    </w:p>
    <w:p w14:paraId="3862AFA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④在管线上方设置各种标志，防止各类施工活动对管线的破坏。</w:t>
      </w:r>
    </w:p>
    <w:p w14:paraId="24CF03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⑤为保护管道不受深根系植被的破坏，在对集输管道的日常巡查中，应将管道上覆土壤中会对管道构成破坏的深根系植被及时清理，确保管道的安全运行。</w:t>
      </w:r>
    </w:p>
    <w:p w14:paraId="6FE31F6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⑥</w:t>
      </w:r>
      <w:r>
        <w:rPr>
          <w:rFonts w:hint="default" w:ascii="Times New Roman" w:hAnsi="Times New Roman" w:cs="Times New Roman"/>
          <w:color w:val="auto"/>
          <w:highlight w:val="none"/>
        </w:rPr>
        <w:t>管道维修二次开挖回填时，应尽量按原有土壤层次进行回填。</w:t>
      </w:r>
    </w:p>
    <w:p w14:paraId="58A8EE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⑦</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事故状态下对生态环境影响较大，因此必须对事故风险严加防范和控制。加强日常生产监督管理和安全运行检查工作，制定安全生产操作规程，加强职工安全意识教育和安全生产技术培训。一旦发现事故，及时采取相应补救措施，尽量减少影响和损失。</w:t>
      </w:r>
    </w:p>
    <w:p w14:paraId="641A69EF">
      <w:pPr>
        <w:pStyle w:val="31"/>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color w:val="auto"/>
          <w:highlight w:val="none"/>
        </w:rPr>
        <w:t>综上，</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采取的生态环境保护措施可行</w:t>
      </w:r>
      <w:r>
        <w:rPr>
          <w:rFonts w:hint="default" w:ascii="Times New Roman" w:hAnsi="Times New Roman" w:cs="Times New Roman"/>
          <w:bCs/>
          <w:color w:val="auto"/>
          <w:highlight w:val="none"/>
        </w:rPr>
        <w:t>。</w:t>
      </w:r>
    </w:p>
    <w:p w14:paraId="4AD83844">
      <w:pPr>
        <w:widowControl w:val="0"/>
        <w:shd w:val="clear"/>
        <w:spacing w:line="360" w:lineRule="auto"/>
        <w:ind w:firstLine="496" w:firstLineChars="200"/>
        <w:jc w:val="both"/>
        <w:rPr>
          <w:rFonts w:ascii="Times New Roman" w:hAnsi="Times New Roman" w:eastAsia="宋体" w:cs="Times New Roman"/>
          <w:color w:val="auto"/>
          <w:spacing w:val="4"/>
          <w:kern w:val="2"/>
          <w:sz w:val="24"/>
          <w:szCs w:val="24"/>
          <w:highlight w:val="none"/>
        </w:rPr>
      </w:pPr>
      <w:r>
        <w:rPr>
          <w:rFonts w:ascii="Times New Roman" w:hAnsi="Times New Roman" w:eastAsia="宋体" w:cs="Times New Roman"/>
          <w:color w:val="auto"/>
          <w:spacing w:val="4"/>
          <w:kern w:val="2"/>
          <w:sz w:val="24"/>
          <w:szCs w:val="24"/>
          <w:highlight w:val="none"/>
        </w:rPr>
        <w:t>（3）生态</w:t>
      </w:r>
      <w:r>
        <w:rPr>
          <w:rFonts w:hint="eastAsia" w:ascii="Times New Roman" w:hAnsi="Times New Roman" w:eastAsia="宋体" w:cs="Times New Roman"/>
          <w:color w:val="auto"/>
          <w:spacing w:val="4"/>
          <w:kern w:val="2"/>
          <w:sz w:val="24"/>
          <w:szCs w:val="24"/>
          <w:highlight w:val="none"/>
        </w:rPr>
        <w:t>恢复治理</w:t>
      </w:r>
      <w:r>
        <w:rPr>
          <w:rFonts w:ascii="Times New Roman" w:hAnsi="Times New Roman" w:eastAsia="宋体" w:cs="Times New Roman"/>
          <w:color w:val="auto"/>
          <w:spacing w:val="4"/>
          <w:kern w:val="2"/>
          <w:sz w:val="24"/>
          <w:szCs w:val="24"/>
          <w:highlight w:val="none"/>
        </w:rPr>
        <w:t>方案</w:t>
      </w:r>
    </w:p>
    <w:p w14:paraId="67A37A0C">
      <w:pPr>
        <w:widowControl w:val="0"/>
        <w:shd w:val="clear"/>
        <w:spacing w:line="360" w:lineRule="auto"/>
        <w:ind w:firstLine="496" w:firstLineChars="200"/>
        <w:jc w:val="both"/>
        <w:rPr>
          <w:rFonts w:ascii="Times New Roman" w:hAnsi="Times New Roman" w:eastAsia="宋体" w:cs="Times New Roman"/>
          <w:color w:val="auto"/>
          <w:spacing w:val="4"/>
          <w:kern w:val="2"/>
          <w:sz w:val="24"/>
          <w:szCs w:val="24"/>
          <w:highlight w:val="none"/>
        </w:rPr>
      </w:pPr>
      <w:r>
        <w:rPr>
          <w:rFonts w:hint="eastAsia" w:ascii="宋体" w:hAnsi="宋体" w:eastAsia="宋体" w:cs="宋体"/>
          <w:color w:val="auto"/>
          <w:spacing w:val="4"/>
          <w:kern w:val="2"/>
          <w:sz w:val="24"/>
          <w:szCs w:val="24"/>
          <w:highlight w:val="none"/>
        </w:rPr>
        <w:t>①</w:t>
      </w:r>
      <w:r>
        <w:rPr>
          <w:rFonts w:hint="eastAsia" w:cs="Times New Roman"/>
          <w:color w:val="auto"/>
          <w:spacing w:val="4"/>
          <w:kern w:val="2"/>
          <w:sz w:val="24"/>
          <w:szCs w:val="24"/>
          <w:highlight w:val="none"/>
          <w:lang w:val="en-US" w:eastAsia="zh-CN"/>
        </w:rPr>
        <w:t>井场</w:t>
      </w:r>
      <w:r>
        <w:rPr>
          <w:rFonts w:ascii="Times New Roman" w:hAnsi="Times New Roman" w:eastAsia="宋体" w:cs="Times New Roman"/>
          <w:color w:val="auto"/>
          <w:spacing w:val="4"/>
          <w:kern w:val="2"/>
          <w:sz w:val="24"/>
          <w:szCs w:val="24"/>
          <w:highlight w:val="none"/>
        </w:rPr>
        <w:t>生态恢复</w:t>
      </w:r>
    </w:p>
    <w:p w14:paraId="12EDD9E1">
      <w:pPr>
        <w:widowControl w:val="0"/>
        <w:shd w:val="clear"/>
        <w:spacing w:line="360" w:lineRule="auto"/>
        <w:ind w:firstLine="496" w:firstLineChars="200"/>
        <w:jc w:val="both"/>
        <w:rPr>
          <w:rFonts w:ascii="Times New Roman" w:hAnsi="Times New Roman" w:eastAsia="宋体" w:cs="Times New Roman"/>
          <w:color w:val="auto"/>
          <w:spacing w:val="4"/>
          <w:kern w:val="2"/>
          <w:sz w:val="24"/>
          <w:szCs w:val="24"/>
          <w:highlight w:val="none"/>
        </w:rPr>
      </w:pPr>
      <w:r>
        <w:rPr>
          <w:rFonts w:ascii="Times New Roman" w:hAnsi="Times New Roman" w:eastAsia="宋体" w:cs="Times New Roman"/>
          <w:color w:val="auto"/>
          <w:spacing w:val="4"/>
          <w:kern w:val="2"/>
          <w:sz w:val="24"/>
          <w:szCs w:val="24"/>
          <w:highlight w:val="none"/>
        </w:rPr>
        <w:t>本</w:t>
      </w:r>
      <w:r>
        <w:rPr>
          <w:rFonts w:hint="eastAsia" w:cs="Times New Roman"/>
          <w:color w:val="auto"/>
          <w:kern w:val="2"/>
          <w:sz w:val="24"/>
          <w:szCs w:val="20"/>
          <w:highlight w:val="none"/>
        </w:rPr>
        <w:t>工程</w:t>
      </w:r>
      <w:r>
        <w:rPr>
          <w:rFonts w:hint="eastAsia" w:cs="Times New Roman"/>
          <w:color w:val="auto"/>
          <w:kern w:val="2"/>
          <w:sz w:val="24"/>
          <w:szCs w:val="20"/>
          <w:highlight w:val="none"/>
          <w:lang w:val="en-US" w:eastAsia="zh-CN"/>
        </w:rPr>
        <w:t>井场新增临时占地</w:t>
      </w:r>
      <w:r>
        <w:rPr>
          <w:rFonts w:hint="eastAsia" w:cs="Times New Roman"/>
          <w:color w:val="auto"/>
          <w:kern w:val="2"/>
          <w:sz w:val="24"/>
          <w:szCs w:val="20"/>
          <w:highlight w:val="none"/>
        </w:rPr>
        <w:t>3.48hm</w:t>
      </w:r>
      <w:r>
        <w:rPr>
          <w:rFonts w:hint="eastAsia" w:cs="Times New Roman"/>
          <w:color w:val="auto"/>
          <w:kern w:val="2"/>
          <w:sz w:val="24"/>
          <w:szCs w:val="20"/>
          <w:highlight w:val="none"/>
          <w:vertAlign w:val="superscript"/>
        </w:rPr>
        <w:t>2</w:t>
      </w:r>
      <w:r>
        <w:rPr>
          <w:rFonts w:hint="eastAsia" w:cs="Times New Roman"/>
          <w:color w:val="auto"/>
          <w:kern w:val="2"/>
          <w:sz w:val="24"/>
          <w:szCs w:val="20"/>
          <w:highlight w:val="none"/>
        </w:rPr>
        <w:t>。</w:t>
      </w:r>
      <w:r>
        <w:rPr>
          <w:rFonts w:ascii="Times New Roman" w:hAnsi="Times New Roman" w:eastAsia="宋体" w:cs="Times New Roman"/>
          <w:color w:val="auto"/>
          <w:spacing w:val="4"/>
          <w:kern w:val="2"/>
          <w:sz w:val="24"/>
          <w:szCs w:val="24"/>
          <w:highlight w:val="none"/>
        </w:rPr>
        <w:t>工程施工结束后，应对占地进行平整。充分利用工程施工前期收集的表土覆盖于</w:t>
      </w:r>
      <w:r>
        <w:rPr>
          <w:rFonts w:hint="eastAsia" w:cs="Times New Roman"/>
          <w:color w:val="auto"/>
          <w:spacing w:val="4"/>
          <w:kern w:val="2"/>
          <w:sz w:val="24"/>
          <w:szCs w:val="24"/>
          <w:highlight w:val="none"/>
          <w:lang w:val="en-US" w:eastAsia="zh-CN"/>
        </w:rPr>
        <w:t>井场</w:t>
      </w:r>
      <w:r>
        <w:rPr>
          <w:rFonts w:ascii="Times New Roman" w:hAnsi="Times New Roman" w:eastAsia="宋体" w:cs="Times New Roman"/>
          <w:color w:val="auto"/>
          <w:spacing w:val="4"/>
          <w:kern w:val="2"/>
          <w:sz w:val="24"/>
          <w:szCs w:val="24"/>
          <w:highlight w:val="none"/>
        </w:rPr>
        <w:t>表层，覆盖厚度根据植被恢复类型和场地用途确定。施工结束初期，对</w:t>
      </w:r>
      <w:r>
        <w:rPr>
          <w:rFonts w:hint="eastAsia" w:cs="Times New Roman"/>
          <w:color w:val="auto"/>
          <w:spacing w:val="4"/>
          <w:kern w:val="2"/>
          <w:sz w:val="24"/>
          <w:szCs w:val="24"/>
          <w:highlight w:val="none"/>
          <w:lang w:val="en-US" w:eastAsia="zh-CN"/>
        </w:rPr>
        <w:t>井场</w:t>
      </w:r>
      <w:r>
        <w:rPr>
          <w:rFonts w:ascii="Times New Roman" w:hAnsi="Times New Roman" w:eastAsia="宋体" w:cs="Times New Roman"/>
          <w:color w:val="auto"/>
          <w:spacing w:val="4"/>
          <w:kern w:val="2"/>
          <w:sz w:val="24"/>
          <w:szCs w:val="24"/>
          <w:highlight w:val="none"/>
        </w:rPr>
        <w:t>占地范围内的地表进行硬化，</w:t>
      </w:r>
      <w:r>
        <w:rPr>
          <w:rFonts w:hint="eastAsia" w:cs="Times New Roman"/>
          <w:color w:val="auto"/>
          <w:spacing w:val="4"/>
          <w:kern w:val="2"/>
          <w:sz w:val="24"/>
          <w:szCs w:val="24"/>
          <w:highlight w:val="none"/>
          <w:lang w:val="en-US" w:eastAsia="zh-CN"/>
        </w:rPr>
        <w:t>铺盖砾石</w:t>
      </w:r>
      <w:r>
        <w:rPr>
          <w:rFonts w:ascii="Times New Roman" w:hAnsi="Times New Roman" w:eastAsia="宋体" w:cs="Times New Roman"/>
          <w:color w:val="auto"/>
          <w:spacing w:val="4"/>
          <w:kern w:val="2"/>
          <w:sz w:val="24"/>
          <w:szCs w:val="24"/>
          <w:highlight w:val="none"/>
        </w:rPr>
        <w:t>以减少侵蚀量。</w:t>
      </w:r>
      <w:r>
        <w:rPr>
          <w:rFonts w:hint="eastAsia" w:cs="Times New Roman"/>
          <w:color w:val="auto"/>
          <w:spacing w:val="4"/>
          <w:kern w:val="2"/>
          <w:sz w:val="24"/>
          <w:szCs w:val="24"/>
          <w:highlight w:val="none"/>
          <w:lang w:val="en-US" w:eastAsia="zh-CN"/>
        </w:rPr>
        <w:t>井场</w:t>
      </w:r>
      <w:r>
        <w:rPr>
          <w:rFonts w:hint="eastAsia" w:ascii="Times New Roman" w:hAnsi="Times New Roman" w:eastAsia="宋体" w:cs="Times New Roman"/>
          <w:color w:val="auto"/>
          <w:spacing w:val="4"/>
          <w:kern w:val="2"/>
          <w:sz w:val="24"/>
          <w:szCs w:val="24"/>
          <w:highlight w:val="none"/>
          <w:lang w:val="en-US" w:eastAsia="zh-CN"/>
        </w:rPr>
        <w:t>外</w:t>
      </w:r>
      <w:r>
        <w:rPr>
          <w:rFonts w:ascii="Times New Roman" w:hAnsi="Times New Roman" w:eastAsia="宋体" w:cs="Times New Roman"/>
          <w:color w:val="auto"/>
          <w:spacing w:val="4"/>
          <w:kern w:val="2"/>
          <w:sz w:val="24"/>
          <w:szCs w:val="24"/>
          <w:highlight w:val="none"/>
        </w:rPr>
        <w:t>恢复后的植被覆盖度不应低于区域范围内同类型土地植被覆盖度，植被类型应与原有类型相似、并与周边自然景观协调。不得使用外来有害物种进行植被恢复。</w:t>
      </w:r>
    </w:p>
    <w:p w14:paraId="24D9F6AF">
      <w:pPr>
        <w:widowControl w:val="0"/>
        <w:shd w:val="clear"/>
        <w:autoSpaceDE w:val="0"/>
        <w:autoSpaceDN w:val="0"/>
        <w:adjustRightInd w:val="0"/>
        <w:ind w:firstLine="480" w:firstLineChars="200"/>
        <w:jc w:val="left"/>
        <w:rPr>
          <w:rFonts w:ascii="Times New Roman" w:hAnsi="Times New Roman" w:eastAsia="宋体" w:cs="Times New Roman"/>
          <w:snapToGrid w:val="0"/>
          <w:color w:val="auto"/>
          <w:kern w:val="2"/>
          <w:sz w:val="24"/>
          <w:szCs w:val="20"/>
          <w:highlight w:val="none"/>
        </w:rPr>
      </w:pPr>
      <w:r>
        <w:rPr>
          <w:rFonts w:ascii="Times New Roman" w:hAnsi="Times New Roman" w:eastAsia="宋体" w:cs="Times New Roman"/>
          <w:snapToGrid w:val="0"/>
          <w:color w:val="auto"/>
          <w:kern w:val="2"/>
          <w:sz w:val="24"/>
          <w:szCs w:val="20"/>
          <w:highlight w:val="none"/>
        </w:rPr>
        <w:fldChar w:fldCharType="begin"/>
      </w:r>
      <w:r>
        <w:rPr>
          <w:rFonts w:ascii="Times New Roman" w:hAnsi="Times New Roman" w:eastAsia="宋体" w:cs="Times New Roman"/>
          <w:snapToGrid w:val="0"/>
          <w:color w:val="auto"/>
          <w:kern w:val="2"/>
          <w:sz w:val="24"/>
          <w:szCs w:val="20"/>
          <w:highlight w:val="none"/>
        </w:rPr>
        <w:instrText xml:space="preserve"> = 2 \* GB3 </w:instrText>
      </w:r>
      <w:r>
        <w:rPr>
          <w:rFonts w:ascii="Times New Roman" w:hAnsi="Times New Roman" w:eastAsia="宋体" w:cs="Times New Roman"/>
          <w:snapToGrid w:val="0"/>
          <w:color w:val="auto"/>
          <w:kern w:val="2"/>
          <w:sz w:val="24"/>
          <w:szCs w:val="20"/>
          <w:highlight w:val="none"/>
        </w:rPr>
        <w:fldChar w:fldCharType="separate"/>
      </w:r>
      <w:r>
        <w:rPr>
          <w:rFonts w:hint="eastAsia" w:ascii="Times New Roman" w:hAnsi="Times New Roman" w:eastAsia="宋体" w:cs="Times New Roman"/>
          <w:snapToGrid w:val="0"/>
          <w:color w:val="auto"/>
          <w:kern w:val="2"/>
          <w:sz w:val="24"/>
          <w:szCs w:val="20"/>
          <w:highlight w:val="none"/>
        </w:rPr>
        <w:t>②</w:t>
      </w:r>
      <w:r>
        <w:rPr>
          <w:rFonts w:ascii="Times New Roman" w:hAnsi="Times New Roman" w:eastAsia="宋体" w:cs="Times New Roman"/>
          <w:snapToGrid w:val="0"/>
          <w:color w:val="auto"/>
          <w:kern w:val="2"/>
          <w:sz w:val="24"/>
          <w:szCs w:val="20"/>
          <w:highlight w:val="none"/>
        </w:rPr>
        <w:fldChar w:fldCharType="end"/>
      </w:r>
      <w:r>
        <w:rPr>
          <w:rFonts w:ascii="Times New Roman" w:hAnsi="Times New Roman" w:eastAsia="宋体" w:cs="Times New Roman"/>
          <w:snapToGrid w:val="0"/>
          <w:color w:val="auto"/>
          <w:kern w:val="2"/>
          <w:sz w:val="24"/>
          <w:szCs w:val="20"/>
          <w:highlight w:val="none"/>
        </w:rPr>
        <w:t>管线生态恢复</w:t>
      </w:r>
    </w:p>
    <w:p w14:paraId="7F7B7278">
      <w:pPr>
        <w:widowControl w:val="0"/>
        <w:shd w:val="clear"/>
        <w:autoSpaceDE w:val="0"/>
        <w:autoSpaceDN w:val="0"/>
        <w:adjustRightInd w:val="0"/>
        <w:spacing w:before="135" w:line="360" w:lineRule="auto"/>
        <w:ind w:firstLine="496" w:firstLineChars="200"/>
        <w:jc w:val="left"/>
        <w:rPr>
          <w:rFonts w:hint="eastAsia" w:ascii="Times New Roman" w:hAnsi="Times New Roman" w:eastAsia="宋体" w:cs="Times New Roman"/>
          <w:snapToGrid w:val="0"/>
          <w:color w:val="auto"/>
          <w:kern w:val="2"/>
          <w:sz w:val="24"/>
          <w:szCs w:val="20"/>
          <w:highlight w:val="none"/>
          <w:lang w:eastAsia="zh-CN"/>
        </w:rPr>
      </w:pPr>
      <w:r>
        <w:rPr>
          <w:rFonts w:ascii="Times New Roman" w:hAnsi="Times New Roman" w:eastAsia="宋体" w:cs="Times New Roman"/>
          <w:color w:val="auto"/>
          <w:spacing w:val="4"/>
          <w:kern w:val="2"/>
          <w:sz w:val="24"/>
          <w:szCs w:val="24"/>
          <w:highlight w:val="none"/>
        </w:rPr>
        <w:t>本</w:t>
      </w:r>
      <w:r>
        <w:rPr>
          <w:rFonts w:hint="eastAsia" w:cs="Times New Roman"/>
          <w:color w:val="auto"/>
          <w:kern w:val="2"/>
          <w:sz w:val="24"/>
          <w:szCs w:val="20"/>
          <w:highlight w:val="none"/>
        </w:rPr>
        <w:t>工程</w:t>
      </w:r>
      <w:r>
        <w:rPr>
          <w:rFonts w:hint="eastAsia" w:cs="Times New Roman"/>
          <w:color w:val="auto"/>
          <w:kern w:val="2"/>
          <w:sz w:val="24"/>
          <w:szCs w:val="20"/>
          <w:highlight w:val="none"/>
          <w:lang w:val="en-US" w:eastAsia="zh-CN"/>
        </w:rPr>
        <w:t>临时</w:t>
      </w:r>
      <w:r>
        <w:rPr>
          <w:rFonts w:hint="eastAsia" w:cs="Times New Roman"/>
          <w:color w:val="auto"/>
          <w:kern w:val="2"/>
          <w:sz w:val="24"/>
          <w:szCs w:val="20"/>
          <w:highlight w:val="none"/>
        </w:rPr>
        <w:t>占地</w:t>
      </w:r>
      <w:r>
        <w:rPr>
          <w:rFonts w:hint="eastAsia" w:ascii="Times New Roman" w:eastAsia="宋体" w:cs="Times New Roman"/>
          <w:color w:val="auto"/>
          <w:kern w:val="2"/>
          <w:sz w:val="24"/>
          <w:szCs w:val="20"/>
          <w:highlight w:val="none"/>
          <w:lang w:val="en-US" w:eastAsia="zh-CN"/>
        </w:rPr>
        <w:t>主要为管线管沟</w:t>
      </w:r>
      <w:r>
        <w:rPr>
          <w:rFonts w:hint="eastAsia" w:cs="Times New Roman"/>
          <w:color w:val="auto"/>
          <w:kern w:val="2"/>
          <w:sz w:val="24"/>
          <w:szCs w:val="20"/>
          <w:highlight w:val="none"/>
          <w:lang w:val="en-US" w:eastAsia="zh-CN"/>
        </w:rPr>
        <w:t>开挖</w:t>
      </w:r>
      <w:r>
        <w:rPr>
          <w:rFonts w:hint="eastAsia" w:ascii="Times New Roman" w:eastAsia="宋体" w:cs="Times New Roman"/>
          <w:color w:val="auto"/>
          <w:kern w:val="2"/>
          <w:sz w:val="24"/>
          <w:szCs w:val="20"/>
          <w:highlight w:val="none"/>
          <w:lang w:val="en-US" w:eastAsia="zh-CN"/>
        </w:rPr>
        <w:t>占地，</w:t>
      </w:r>
      <w:r>
        <w:rPr>
          <w:rFonts w:hint="eastAsia" w:cs="Times New Roman"/>
          <w:color w:val="auto"/>
          <w:kern w:val="2"/>
          <w:sz w:val="24"/>
          <w:szCs w:val="20"/>
          <w:highlight w:val="none"/>
        </w:rPr>
        <w:t>面积为0.42hm</w:t>
      </w:r>
      <w:r>
        <w:rPr>
          <w:rFonts w:hint="eastAsia" w:cs="Times New Roman"/>
          <w:color w:val="auto"/>
          <w:kern w:val="2"/>
          <w:sz w:val="24"/>
          <w:szCs w:val="20"/>
          <w:highlight w:val="none"/>
          <w:vertAlign w:val="superscript"/>
        </w:rPr>
        <w:t>2</w:t>
      </w:r>
      <w:r>
        <w:rPr>
          <w:rFonts w:ascii="Times New Roman" w:hAnsi="Times New Roman" w:eastAsia="宋体" w:cs="Times New Roman"/>
          <w:snapToGrid w:val="0"/>
          <w:color w:val="auto"/>
          <w:kern w:val="2"/>
          <w:sz w:val="24"/>
          <w:szCs w:val="20"/>
          <w:highlight w:val="none"/>
        </w:rPr>
        <w:t>。施工过程中注意保护</w:t>
      </w:r>
      <w:r>
        <w:rPr>
          <w:rFonts w:hint="eastAsia" w:cs="Times New Roman"/>
          <w:snapToGrid w:val="0"/>
          <w:color w:val="auto"/>
          <w:kern w:val="2"/>
          <w:sz w:val="24"/>
          <w:szCs w:val="20"/>
          <w:highlight w:val="none"/>
          <w:lang w:val="en-US" w:eastAsia="zh-CN"/>
        </w:rPr>
        <w:t>胡杨、柽柳等自然</w:t>
      </w:r>
      <w:r>
        <w:rPr>
          <w:rFonts w:hint="eastAsia" w:ascii="Times New Roman" w:hAnsi="Times New Roman" w:eastAsia="宋体" w:cs="Times New Roman"/>
          <w:snapToGrid w:val="0"/>
          <w:color w:val="auto"/>
          <w:kern w:val="2"/>
          <w:sz w:val="24"/>
          <w:szCs w:val="20"/>
          <w:highlight w:val="none"/>
          <w:lang w:val="en-US" w:eastAsia="zh-CN"/>
        </w:rPr>
        <w:t>植被、</w:t>
      </w:r>
      <w:r>
        <w:rPr>
          <w:rFonts w:ascii="Times New Roman" w:hAnsi="Times New Roman" w:eastAsia="宋体" w:cs="Times New Roman"/>
          <w:snapToGrid w:val="0"/>
          <w:color w:val="auto"/>
          <w:kern w:val="2"/>
          <w:sz w:val="24"/>
          <w:szCs w:val="20"/>
          <w:highlight w:val="none"/>
        </w:rPr>
        <w:t>土壤成分</w:t>
      </w:r>
      <w:r>
        <w:rPr>
          <w:rFonts w:hint="eastAsia" w:ascii="Times New Roman" w:hAnsi="Times New Roman" w:eastAsia="宋体" w:cs="Times New Roman"/>
          <w:snapToGrid w:val="0"/>
          <w:color w:val="auto"/>
          <w:kern w:val="2"/>
          <w:sz w:val="24"/>
          <w:szCs w:val="20"/>
          <w:highlight w:val="none"/>
          <w:lang w:val="en-US" w:eastAsia="zh-CN"/>
        </w:rPr>
        <w:t>及其</w:t>
      </w:r>
      <w:r>
        <w:rPr>
          <w:rFonts w:ascii="Times New Roman" w:hAnsi="Times New Roman" w:eastAsia="宋体" w:cs="Times New Roman"/>
          <w:snapToGrid w:val="0"/>
          <w:color w:val="auto"/>
          <w:kern w:val="2"/>
          <w:sz w:val="24"/>
          <w:szCs w:val="20"/>
          <w:highlight w:val="none"/>
        </w:rPr>
        <w:t>结构。在施工结束后，分层回填管沟，覆土压实，管沟回填后</w:t>
      </w:r>
      <w:r>
        <w:rPr>
          <w:rFonts w:hint="eastAsia" w:ascii="Times New Roman" w:hAnsi="Times New Roman" w:eastAsia="宋体" w:cs="Times New Roman"/>
          <w:snapToGrid w:val="0"/>
          <w:color w:val="auto"/>
          <w:kern w:val="2"/>
          <w:sz w:val="24"/>
          <w:szCs w:val="20"/>
          <w:highlight w:val="none"/>
          <w:lang w:val="en-US" w:eastAsia="zh-CN"/>
        </w:rPr>
        <w:t>做到土石方平衡</w:t>
      </w:r>
      <w:r>
        <w:rPr>
          <w:rFonts w:ascii="Times New Roman" w:hAnsi="Times New Roman" w:eastAsia="宋体" w:cs="Times New Roman"/>
          <w:snapToGrid w:val="0"/>
          <w:color w:val="auto"/>
          <w:kern w:val="2"/>
          <w:sz w:val="24"/>
          <w:szCs w:val="20"/>
          <w:highlight w:val="none"/>
        </w:rPr>
        <w:t>，不得随意弃</w:t>
      </w:r>
      <w:r>
        <w:rPr>
          <w:rFonts w:hint="eastAsia" w:ascii="Times New Roman" w:hAnsi="Times New Roman" w:eastAsia="宋体" w:cs="Times New Roman"/>
          <w:snapToGrid w:val="0"/>
          <w:color w:val="auto"/>
          <w:kern w:val="2"/>
          <w:sz w:val="24"/>
          <w:szCs w:val="20"/>
          <w:highlight w:val="none"/>
          <w:lang w:val="en-US" w:eastAsia="zh-CN"/>
        </w:rPr>
        <w:t>土</w:t>
      </w:r>
      <w:r>
        <w:rPr>
          <w:rFonts w:ascii="Times New Roman" w:hAnsi="Times New Roman" w:eastAsia="宋体" w:cs="Times New Roman"/>
          <w:snapToGrid w:val="0"/>
          <w:color w:val="auto"/>
          <w:kern w:val="2"/>
          <w:sz w:val="24"/>
          <w:szCs w:val="20"/>
          <w:highlight w:val="none"/>
        </w:rPr>
        <w:t>。施工结束后应对临时占地内地貌进行恢复，尽可能保持植物原有的生存环境，以利于植被恢复</w:t>
      </w:r>
      <w:r>
        <w:rPr>
          <w:rFonts w:hint="eastAsia" w:ascii="Times New Roman" w:hAnsi="Times New Roman" w:eastAsia="宋体" w:cs="Times New Roman"/>
          <w:snapToGrid w:val="0"/>
          <w:color w:val="auto"/>
          <w:kern w:val="2"/>
          <w:sz w:val="24"/>
          <w:szCs w:val="20"/>
          <w:highlight w:val="none"/>
          <w:lang w:eastAsia="zh-CN"/>
        </w:rPr>
        <w:t>。</w:t>
      </w:r>
    </w:p>
    <w:p w14:paraId="019B822E">
      <w:pPr>
        <w:widowControl w:val="0"/>
        <w:shd w:val="clear"/>
        <w:autoSpaceDE w:val="0"/>
        <w:autoSpaceDN w:val="0"/>
        <w:adjustRightInd w:val="0"/>
        <w:spacing w:before="135" w:line="360" w:lineRule="auto"/>
        <w:ind w:left="0" w:leftChars="0" w:right="0" w:rightChars="0" w:firstLine="0" w:firstLineChars="0"/>
        <w:jc w:val="center"/>
        <w:rPr>
          <w:rFonts w:hint="eastAsia" w:ascii="Times New Roman" w:hAnsi="Times New Roman" w:eastAsia="宋体" w:cs="Times New Roman"/>
          <w:snapToGrid w:val="0"/>
          <w:color w:val="auto"/>
          <w:kern w:val="2"/>
          <w:sz w:val="24"/>
          <w:szCs w:val="20"/>
          <w:highlight w:val="none"/>
          <w:lang w:eastAsia="zh-CN"/>
        </w:rPr>
      </w:pPr>
      <w:r>
        <w:rPr>
          <w:rFonts w:ascii="Times New Roman" w:hAnsi="Times New Roman" w:eastAsia="宋体" w:cs="Times New Roman"/>
          <w:color w:val="auto"/>
          <w:kern w:val="2"/>
          <w:sz w:val="21"/>
          <w:szCs w:val="20"/>
          <w:highlight w:val="none"/>
        </w:rPr>
        <w:drawing>
          <wp:inline distT="0" distB="0" distL="0" distR="0">
            <wp:extent cx="4081780" cy="2000250"/>
            <wp:effectExtent l="0" t="0" r="13970" b="0"/>
            <wp:docPr id="53340" name="图片 53340" descr="C:\Users\Administrator.DESKTOP-TBEMDAF\Desktop\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 name="图片 53340" descr="C:\Users\Administrator.DESKTOP-TBEMDAF\Desktop\99.png"/>
                    <pic:cNvPicPr>
                      <a:picLocks noChangeAspect="1" noChangeArrowheads="1"/>
                    </pic:cNvPicPr>
                  </pic:nvPicPr>
                  <pic:blipFill>
                    <a:blip r:embed="rId99">
                      <a:extLst>
                        <a:ext uri="{28A0092B-C50C-407E-A947-70E740481C1C}">
                          <a14:useLocalDpi xmlns:a14="http://schemas.microsoft.com/office/drawing/2010/main" val="0"/>
                        </a:ext>
                      </a:extLst>
                    </a:blip>
                    <a:srcRect l="5907" t="47375" r="11501" b="7377"/>
                    <a:stretch>
                      <a:fillRect/>
                    </a:stretch>
                  </pic:blipFill>
                  <pic:spPr>
                    <a:xfrm>
                      <a:off x="0" y="0"/>
                      <a:ext cx="4081780" cy="2000250"/>
                    </a:xfrm>
                    <a:prstGeom prst="rect">
                      <a:avLst/>
                    </a:prstGeom>
                    <a:noFill/>
                    <a:ln>
                      <a:noFill/>
                    </a:ln>
                  </pic:spPr>
                </pic:pic>
              </a:graphicData>
            </a:graphic>
          </wp:inline>
        </w:drawing>
      </w:r>
    </w:p>
    <w:p w14:paraId="7A509752">
      <w:pPr>
        <w:pStyle w:val="31"/>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pacing w:val="4"/>
          <w:kern w:val="24"/>
          <w:highlight w:val="none"/>
          <w:lang w:eastAsia="zh-CN"/>
        </w:rPr>
      </w:pPr>
      <w:r>
        <w:rPr>
          <w:rFonts w:hint="eastAsia" w:ascii="黑体" w:hAnsi="黑体" w:eastAsia="黑体" w:cs="黑体"/>
          <w:snapToGrid w:val="0"/>
          <w:color w:val="auto"/>
          <w:kern w:val="2"/>
          <w:sz w:val="21"/>
          <w:szCs w:val="16"/>
          <w:highlight w:val="none"/>
          <w:lang w:val="en-US" w:eastAsia="zh-CN"/>
        </w:rPr>
        <w:t>图6.2-1 管线的典型植被恢复措施设计图</w:t>
      </w:r>
      <w:r>
        <w:rPr>
          <w:rFonts w:hint="eastAsia" w:ascii="Times New Roman" w:hAnsi="Times New Roman" w:cs="Times New Roman"/>
          <w:bCs/>
          <w:color w:val="auto"/>
          <w:highlight w:val="none"/>
          <w:lang w:eastAsia="zh-CN"/>
        </w:rPr>
        <w:t>。</w:t>
      </w:r>
    </w:p>
    <w:bookmarkEnd w:id="620"/>
    <w:p w14:paraId="1B795516">
      <w:pPr>
        <w:pStyle w:val="5"/>
        <w:pageBreakBefore w:val="0"/>
        <w:widowControl/>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621" w:name="_Toc26745"/>
      <w:bookmarkStart w:id="622" w:name="_Toc28007"/>
      <w:r>
        <w:rPr>
          <w:rFonts w:hint="default" w:ascii="Times New Roman" w:hAnsi="Times New Roman" w:cs="Times New Roman"/>
          <w:color w:val="auto"/>
          <w:highlight w:val="none"/>
        </w:rPr>
        <w:t>6.3退役期环境保护措施</w:t>
      </w:r>
      <w:bookmarkEnd w:id="621"/>
      <w:bookmarkEnd w:id="622"/>
    </w:p>
    <w:p w14:paraId="38B3FEFA">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highlight w:val="none"/>
        </w:rPr>
        <w:t>6.3.5退役期生态环境保护措施</w:t>
      </w:r>
    </w:p>
    <w:p w14:paraId="685B39C2">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随着油井开采时间的延长，其储量将逐年降低，最终进入退役期。当开发接近尾声时，各种机械设备将停止使用，井场和管线等设备设施陆续被拆卸、转移，原有的大气污染物、噪声及固体废物等对环境的影响将会逐渐减弱甚至消失。拆除地面设施、清理井场等，拆除的报废设备和建筑废料等由施工单位运至指定位置进行处理；及时清理作业现场，做到“工完、料尽、场地清”，恢复原有地貌；按规范要求对废弃井采取固井、封井措施。</w:t>
      </w:r>
    </w:p>
    <w:p w14:paraId="6AFA10AC">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井场经过清理后，永久性占地范围内的水泥平台或砂砾石铺垫应进行清理，然后根据周边区域的自然现状对其进行恢复，使井场恢复到相对自然的一种状态。</w:t>
      </w:r>
    </w:p>
    <w:p w14:paraId="2E9CEE33">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通过宣传教育的形式，使施工工作人员</w:t>
      </w:r>
      <w:r>
        <w:rPr>
          <w:rFonts w:hint="eastAsia" w:cs="Times New Roman"/>
          <w:color w:val="auto"/>
          <w:highlight w:val="none"/>
          <w:lang w:eastAsia="zh-CN"/>
        </w:rPr>
        <w:t>对</w:t>
      </w:r>
      <w:r>
        <w:rPr>
          <w:rFonts w:hint="default" w:ascii="Times New Roman" w:hAnsi="Times New Roman" w:cs="Times New Roman"/>
          <w:color w:val="auto"/>
          <w:highlight w:val="none"/>
        </w:rPr>
        <w:t>在项目区生存的野生动物及植物有基本的认识与了解。在退役期施工过程中，如遇到保护植物应进行避让，严禁随意踩踏破坏；遇到保护动物时，应主动避让，不得惊扰、伤害野生动物，不得破坏保护动物的生息繁衍地，禁止妨碍野生动物生息繁衍的施工活动。</w:t>
      </w:r>
    </w:p>
    <w:p w14:paraId="1DCDA977">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14:paraId="6C13FDC8">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通过采取以上生态保护措施，对于减少植被破坏、减缓水土流失、抵制荒漠化发展起到了一定的积极作用，可有效保护脆弱的荒漠生态环境。</w:t>
      </w:r>
    </w:p>
    <w:p w14:paraId="275817B2">
      <w:pPr>
        <w:keepNext/>
        <w:keepLines/>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b/>
          <w:color w:val="auto"/>
          <w:highlight w:val="none"/>
        </w:rPr>
      </w:pPr>
      <w:r>
        <w:rPr>
          <w:rFonts w:hint="default" w:ascii="Times New Roman" w:hAnsi="Times New Roman" w:cs="Times New Roman"/>
          <w:b/>
          <w:color w:val="auto"/>
          <w:sz w:val="28"/>
          <w:highlight w:val="none"/>
        </w:rPr>
        <w:t>6.3.6生态恢复治理方案</w:t>
      </w:r>
    </w:p>
    <w:p w14:paraId="0E4EDD8C">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（1）生态环境保护与恢复治理的一般要求</w:t>
      </w:r>
    </w:p>
    <w:p w14:paraId="54BD0202">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生态环境保护与恢复治理方案需遵循以下要求：</w:t>
      </w:r>
    </w:p>
    <w:p w14:paraId="64AA2F39">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采取有效预防和保护措施，避免或减轻矿产资源开发活动造成的生态破坏</w:t>
      </w:r>
    </w:p>
    <w:p w14:paraId="77BA9A4A">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和环境污染。坚持“预防为主、防治结合、过程控制”的原则，将生态环境保护与恢复治理贯穿开采的全过程。</w:t>
      </w:r>
    </w:p>
    <w:p w14:paraId="305A233C">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（2）井场生态恢复治理</w:t>
      </w:r>
    </w:p>
    <w:p w14:paraId="3DBEB230">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①井场生态恢复治理范围</w:t>
      </w:r>
    </w:p>
    <w:p w14:paraId="51F274B9">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临时占地面积为</w:t>
      </w:r>
      <w:r>
        <w:rPr>
          <w:rFonts w:hint="eastAsia" w:cs="Times New Roman"/>
          <w:color w:val="auto"/>
          <w:highlight w:val="none"/>
          <w:lang w:val="en-US" w:eastAsia="zh-CN"/>
        </w:rPr>
        <w:t>3.48</w:t>
      </w: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临时占地</w:t>
      </w:r>
      <w:r>
        <w:rPr>
          <w:rFonts w:hint="default" w:ascii="Times New Roman" w:hAnsi="Times New Roman" w:cs="Times New Roman"/>
          <w:color w:val="auto"/>
          <w:highlight w:val="none"/>
          <w:lang w:val="en-US" w:eastAsia="zh-CN"/>
        </w:rPr>
        <w:t>主要集中在本项目井口周边区域</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w:t>
      </w:r>
      <w:r>
        <w:rPr>
          <w:rFonts w:hint="eastAsia" w:cs="Times New Roman"/>
          <w:color w:val="auto"/>
          <w:highlight w:val="none"/>
          <w:lang w:val="en-US" w:eastAsia="zh-CN"/>
        </w:rPr>
        <w:t>部署4口</w:t>
      </w:r>
      <w:r>
        <w:rPr>
          <w:rFonts w:hint="default" w:ascii="Times New Roman" w:hAnsi="Times New Roman" w:cs="Times New Roman"/>
          <w:color w:val="auto"/>
          <w:highlight w:val="none"/>
        </w:rPr>
        <w:t>侧钻井仅</w:t>
      </w:r>
      <w:r>
        <w:rPr>
          <w:rFonts w:hint="default" w:ascii="Times New Roman" w:hAnsi="Times New Roman" w:cs="Times New Roman"/>
          <w:color w:val="auto"/>
          <w:highlight w:val="none"/>
          <w:lang w:val="en-US" w:eastAsia="zh-CN"/>
        </w:rPr>
        <w:t>新增</w:t>
      </w:r>
      <w:r>
        <w:rPr>
          <w:rFonts w:hint="default" w:ascii="Times New Roman" w:hAnsi="Times New Roman" w:cs="Times New Roman"/>
          <w:color w:val="auto"/>
          <w:highlight w:val="none"/>
        </w:rPr>
        <w:t>临时占地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本项目退役期</w:t>
      </w:r>
      <w:r>
        <w:rPr>
          <w:rFonts w:hint="default" w:ascii="Times New Roman" w:hAnsi="Times New Roman" w:cs="Times New Roman"/>
          <w:color w:val="auto"/>
          <w:highlight w:val="none"/>
          <w:lang w:eastAsia="zh-CN"/>
        </w:rPr>
        <w:t>井场生态恢复治理范围</w:t>
      </w:r>
      <w:r>
        <w:rPr>
          <w:rFonts w:hint="default" w:ascii="Times New Roman" w:hAnsi="Times New Roman" w:cs="Times New Roman"/>
          <w:color w:val="auto"/>
          <w:highlight w:val="none"/>
          <w:lang w:val="en-US" w:eastAsia="zh-CN"/>
        </w:rPr>
        <w:t>包括</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口侧钻井井场的</w:t>
      </w:r>
      <w:r>
        <w:rPr>
          <w:rFonts w:hint="default" w:ascii="Times New Roman" w:hAnsi="Times New Roman" w:cs="Times New Roman"/>
          <w:color w:val="auto"/>
          <w:highlight w:val="none"/>
        </w:rPr>
        <w:t>所有临时占地施工范围。</w:t>
      </w:r>
    </w:p>
    <w:p w14:paraId="048E97DA">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default" w:ascii="Times New Roman" w:hAnsi="Times New Roman" w:cs="Times New Roman"/>
          <w:color w:val="auto"/>
          <w:highlight w:val="none"/>
          <w:lang w:val="en-US" w:eastAsia="zh-CN"/>
        </w:rPr>
        <w:t>井场占地</w:t>
      </w:r>
      <w:r>
        <w:rPr>
          <w:rFonts w:hint="default" w:ascii="Times New Roman" w:hAnsi="Times New Roman" w:cs="Times New Roman"/>
          <w:color w:val="auto"/>
          <w:highlight w:val="none"/>
        </w:rPr>
        <w:t>生态环境恢复治理措施</w:t>
      </w:r>
    </w:p>
    <w:p w14:paraId="642F5500">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工程施工结束后，应对井场临时占地进行平整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充分利用前期已收集的弃土覆盖于井场表层，覆盖厚度根据植被类型和场地用途确定。</w:t>
      </w:r>
    </w:p>
    <w:p w14:paraId="5605A61D">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（3）管线生态恢复</w:t>
      </w:r>
    </w:p>
    <w:p w14:paraId="632306A7">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①管线生态恢复治理范围</w:t>
      </w:r>
    </w:p>
    <w:p w14:paraId="7CC91387">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本项目新建原油、掺稀、燃料气管线长度</w:t>
      </w:r>
      <w:r>
        <w:rPr>
          <w:rFonts w:hint="eastAsia" w:cs="Times New Roman"/>
          <w:color w:val="auto"/>
          <w:highlight w:val="none"/>
          <w:lang w:val="en-US" w:eastAsia="zh-CN"/>
        </w:rPr>
        <w:t>均为601</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，三管同沟敷设；管线施工扰动范围内需进行生态环境恢复治理。</w:t>
      </w:r>
    </w:p>
    <w:p w14:paraId="204E5CC9">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生态环境恢复治理措施</w:t>
      </w:r>
    </w:p>
    <w:p w14:paraId="45BA6969">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管道施工作业带宽度控制作业带范围内，施工过程中保护土壤成分和结构，在管线敷设过程中，分层回填管沟，覆土压实，管沟回填后多余土方应作为管廊覆土，不得随意丢弃。</w:t>
      </w:r>
    </w:p>
    <w:p w14:paraId="11926F00">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（4）植被恢复措施及恢复要求</w:t>
      </w:r>
    </w:p>
    <w:p w14:paraId="7E135FC8">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cs="Times New Roman"/>
          <w:color w:val="auto"/>
          <w:highlight w:val="none"/>
        </w:rPr>
        <w:t>项目施工结束后，灌木林地、牧草地按照林草部门要求进行恢复，井场恢复后的植被覆盖率不应低于区域范围内同类型土地植被覆盖率，植被类型应</w:t>
      </w:r>
      <w:r>
        <w:rPr>
          <w:rFonts w:hint="eastAsia" w:cs="Times New Roman"/>
          <w:color w:val="auto"/>
          <w:highlight w:val="none"/>
          <w:lang w:eastAsia="zh-CN"/>
        </w:rPr>
        <w:t>与</w:t>
      </w:r>
      <w:r>
        <w:rPr>
          <w:rFonts w:hint="default" w:ascii="Times New Roman" w:hAnsi="Times New Roman" w:cs="Times New Roman"/>
          <w:color w:val="auto"/>
          <w:highlight w:val="none"/>
        </w:rPr>
        <w:t>原有类型相似，并与周边自然景观协调，不得使用外来有害物种进行井场植被恢复。</w:t>
      </w:r>
    </w:p>
    <w:p w14:paraId="4936B02D">
      <w:pPr>
        <w:pStyle w:val="6"/>
        <w:pageBreakBefore w:val="0"/>
        <w:widowControl/>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6.2.2废气污染防治措施</w:t>
      </w:r>
      <w:bookmarkEnd w:id="616"/>
      <w:bookmarkEnd w:id="617"/>
      <w:bookmarkEnd w:id="618"/>
    </w:p>
    <w:bookmarkEnd w:id="619"/>
    <w:p w14:paraId="7795D201">
      <w:pPr>
        <w:pStyle w:val="9"/>
        <w:shd w:val="clear" w:color="auto" w:fill="auto"/>
        <w:spacing w:line="360" w:lineRule="auto"/>
        <w:ind w:firstLine="480"/>
        <w:rPr>
          <w:rFonts w:hint="default" w:ascii="Times New Roman" w:hAnsi="Times New Roman" w:eastAsia="宋体" w:cs="Times New Roman"/>
          <w:color w:val="auto"/>
          <w:kern w:val="0"/>
          <w:sz w:val="24"/>
          <w:highlight w:val="none"/>
        </w:rPr>
      </w:pPr>
      <w:bookmarkStart w:id="623" w:name="_Hlk115991517"/>
      <w:bookmarkStart w:id="624" w:name="_Toc27052"/>
      <w:bookmarkStart w:id="625" w:name="_Toc5144"/>
      <w:bookmarkStart w:id="626" w:name="_Toc21795"/>
      <w:r>
        <w:rPr>
          <w:rFonts w:hint="default" w:ascii="Times New Roman" w:hAnsi="Times New Roman" w:eastAsia="宋体" w:cs="Times New Roman"/>
          <w:color w:val="auto"/>
          <w:kern w:val="0"/>
          <w:sz w:val="24"/>
          <w:highlight w:val="none"/>
        </w:rPr>
        <w:t>本工程运营期的废气排放源主要为无组织排放源。无组织排放的污染物主要为井场的阀门、法兰等组件处产生的无组织挥发非甲烷总烃和硫化氢。针对以上污染源，油田拟采取以下大气污染治理措施：</w:t>
      </w:r>
    </w:p>
    <w:p w14:paraId="019B7571">
      <w:pPr>
        <w:pStyle w:val="9"/>
        <w:shd w:val="clear" w:color="auto" w:fill="auto"/>
        <w:spacing w:line="360" w:lineRule="auto"/>
        <w:ind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（1）采用技术质量可靠的设备、仪表控制、阀门等，烃类机泵采用无泄漏屏蔽泵。</w:t>
      </w:r>
    </w:p>
    <w:p w14:paraId="40A226EF">
      <w:pPr>
        <w:pStyle w:val="9"/>
        <w:shd w:val="clear" w:color="auto" w:fill="auto"/>
        <w:spacing w:line="360" w:lineRule="auto"/>
        <w:ind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在油气集输过程中，为减轻集输过程中烃类的损失，油田开发采用密闭集输流程，井场非甲烷总烃无组织排放达到《陆上石油天然气开采工业大气污染物排放标准》（GB39728-2020）中企业边界污染物控制要求和《挥发性有机物无组织排放控制标准》（GB37822-2019）中厂区内非甲烷总烃排放限值要求，硫化氢无组织排放达到《恶臭污染物排放标准》（GB14554-93）中改扩建项目厂界二级标准要求。一旦发生泄漏事故，紧急切断油、气源，实施关井，从而最大限度地减少油气集输过程中废气污染物的排放量。</w:t>
      </w:r>
    </w:p>
    <w:p w14:paraId="25522974">
      <w:pPr>
        <w:pStyle w:val="9"/>
        <w:shd w:val="clear" w:color="auto" w:fill="auto"/>
        <w:spacing w:line="360" w:lineRule="auto"/>
        <w:ind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（3）对各井场的设备、阀门等进行定期的检查、检修，以减少跑、冒、滴、漏的发生。加强油气井管理，做好压力检测，并按要求备齐应急设施。</w:t>
      </w:r>
    </w:p>
    <w:p w14:paraId="737F6EAB">
      <w:pPr>
        <w:pStyle w:val="9"/>
        <w:shd w:val="clear" w:color="auto" w:fill="auto"/>
        <w:spacing w:line="360" w:lineRule="auto"/>
        <w:ind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（4）定期对油气集输管线进行巡检，以便及时发现问题，消除事故隐患，防止油气泄漏进入大气环境。</w:t>
      </w:r>
    </w:p>
    <w:p w14:paraId="4F8D683B">
      <w:pPr>
        <w:pStyle w:val="9"/>
        <w:shd w:val="clear" w:color="auto" w:fill="auto"/>
        <w:spacing w:line="360" w:lineRule="auto"/>
        <w:ind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进一步开展节能减排工作，加强质量控制和技术研发，降低抽油机井工作能耗，加强油气技术管道密闭性能，大力推广应用零散天然气回收和电力系统无功补偿级新能源利用等开采技术，开发清洁能源替代现有能源，从而减少温室气体排放。</w:t>
      </w:r>
    </w:p>
    <w:bookmarkEnd w:id="623"/>
    <w:p w14:paraId="72CF389F">
      <w:pPr>
        <w:pStyle w:val="9"/>
        <w:shd w:val="clear" w:color="auto" w:fill="auto"/>
        <w:spacing w:line="360" w:lineRule="auto"/>
        <w:ind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采取上述措施后可有效减缓环境空气环境影响，措施可行。</w:t>
      </w:r>
    </w:p>
    <w:p w14:paraId="37BFEFE3">
      <w:pPr>
        <w:pStyle w:val="6"/>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6.2.3废水污染防治措施</w:t>
      </w:r>
      <w:bookmarkEnd w:id="624"/>
      <w:bookmarkEnd w:id="625"/>
      <w:bookmarkEnd w:id="626"/>
    </w:p>
    <w:p w14:paraId="2DA02C9A">
      <w:pPr>
        <w:pStyle w:val="7"/>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6.2.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废水治理措施</w:t>
      </w:r>
    </w:p>
    <w:p w14:paraId="7D9C0DF9">
      <w:pPr>
        <w:pStyle w:val="32"/>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1</w:t>
      </w: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采出水</w:t>
      </w:r>
    </w:p>
    <w:p w14:paraId="7E55AD0D">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color w:val="auto"/>
          <w:spacing w:val="4"/>
          <w:kern w:val="24"/>
          <w:sz w:val="24"/>
          <w:szCs w:val="24"/>
          <w:highlight w:val="none"/>
        </w:rPr>
      </w:pPr>
      <w:r>
        <w:rPr>
          <w:rFonts w:hint="default" w:ascii="Times New Roman" w:hAnsi="Times New Roman" w:cs="Times New Roman"/>
          <w:color w:val="auto"/>
          <w:spacing w:val="4"/>
          <w:kern w:val="24"/>
          <w:sz w:val="24"/>
          <w:szCs w:val="24"/>
          <w:highlight w:val="none"/>
        </w:rPr>
        <w:t>采出水经塔河油田三号联合站</w:t>
      </w:r>
      <w:r>
        <w:rPr>
          <w:rFonts w:hint="eastAsia" w:cs="Times New Roman"/>
          <w:color w:val="auto"/>
          <w:spacing w:val="4"/>
          <w:kern w:val="24"/>
          <w:sz w:val="24"/>
          <w:szCs w:val="24"/>
          <w:highlight w:val="none"/>
          <w:lang w:val="en-US" w:eastAsia="zh-CN"/>
        </w:rPr>
        <w:t>采出水</w:t>
      </w:r>
      <w:r>
        <w:rPr>
          <w:rFonts w:hint="default" w:ascii="Times New Roman" w:hAnsi="Times New Roman" w:cs="Times New Roman"/>
          <w:color w:val="auto"/>
          <w:spacing w:val="4"/>
          <w:kern w:val="24"/>
          <w:sz w:val="24"/>
          <w:szCs w:val="24"/>
          <w:highlight w:val="none"/>
        </w:rPr>
        <w:t>处理系统处理达到</w:t>
      </w:r>
      <w:r>
        <w:rPr>
          <w:rFonts w:hint="default" w:ascii="Times New Roman" w:hAnsi="Times New Roman" w:cs="Times New Roman"/>
          <w:color w:val="auto"/>
          <w:spacing w:val="4"/>
          <w:kern w:val="24"/>
          <w:sz w:val="24"/>
          <w:szCs w:val="22"/>
          <w:highlight w:val="none"/>
          <w:lang w:eastAsia="zh-CN"/>
        </w:rPr>
        <w:t>《碎屑岩油藏注水水质指标技术要求及分析方法》（SY/T5329-2022）</w:t>
      </w:r>
      <w:r>
        <w:rPr>
          <w:rFonts w:hint="default" w:ascii="Times New Roman" w:hAnsi="Times New Roman" w:cs="Times New Roman"/>
          <w:color w:val="auto"/>
          <w:spacing w:val="4"/>
          <w:kern w:val="24"/>
          <w:sz w:val="24"/>
          <w:szCs w:val="22"/>
          <w:highlight w:val="none"/>
        </w:rPr>
        <w:t>中的有关标准后回注油层</w:t>
      </w:r>
      <w:r>
        <w:rPr>
          <w:rFonts w:hint="default" w:ascii="Times New Roman" w:hAnsi="Times New Roman" w:cs="Times New Roman"/>
          <w:color w:val="auto"/>
          <w:spacing w:val="4"/>
          <w:kern w:val="24"/>
          <w:sz w:val="24"/>
          <w:szCs w:val="24"/>
          <w:highlight w:val="none"/>
        </w:rPr>
        <w:t>。</w:t>
      </w:r>
    </w:p>
    <w:p w14:paraId="5DBD643D">
      <w:pPr>
        <w:pStyle w:val="9"/>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kern w:val="2"/>
          <w:sz w:val="24"/>
          <w:szCs w:val="20"/>
          <w:highlight w:val="none"/>
          <w:lang w:val="en-US" w:eastAsia="zh-CN" w:bidi="ar"/>
        </w:rPr>
        <w:t>井下作业废水</w:t>
      </w:r>
    </w:p>
    <w:p w14:paraId="4CD3553E">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color w:val="auto"/>
          <w:spacing w:val="4"/>
          <w:kern w:val="24"/>
          <w:sz w:val="24"/>
          <w:szCs w:val="24"/>
          <w:highlight w:val="none"/>
        </w:rPr>
      </w:pPr>
      <w:r>
        <w:rPr>
          <w:rFonts w:hint="default" w:ascii="Times New Roman" w:hAnsi="Times New Roman" w:cs="Times New Roman"/>
          <w:color w:val="auto"/>
          <w:spacing w:val="4"/>
          <w:kern w:val="24"/>
          <w:sz w:val="24"/>
          <w:szCs w:val="24"/>
          <w:highlight w:val="none"/>
        </w:rPr>
        <w:t>井下作业废水</w:t>
      </w:r>
      <w:r>
        <w:rPr>
          <w:rFonts w:hint="default" w:ascii="Times New Roman" w:hAnsi="Times New Roman" w:cs="Times New Roman"/>
          <w:color w:val="auto"/>
          <w:highlight w:val="none"/>
        </w:rPr>
        <w:t>采用专用罐收集后运至塔河油田绿色环保站集中处理</w:t>
      </w:r>
      <w:r>
        <w:rPr>
          <w:rFonts w:hint="default" w:ascii="Times New Roman" w:hAnsi="Times New Roman" w:cs="Times New Roman"/>
          <w:color w:val="auto"/>
          <w:spacing w:val="4"/>
          <w:kern w:val="24"/>
          <w:sz w:val="24"/>
          <w:szCs w:val="24"/>
          <w:highlight w:val="none"/>
        </w:rPr>
        <w:t>达到</w:t>
      </w:r>
      <w:r>
        <w:rPr>
          <w:rFonts w:hint="default" w:ascii="Times New Roman" w:hAnsi="Times New Roman" w:cs="Times New Roman"/>
          <w:color w:val="auto"/>
          <w:spacing w:val="4"/>
          <w:kern w:val="24"/>
          <w:sz w:val="24"/>
          <w:szCs w:val="22"/>
          <w:highlight w:val="none"/>
          <w:lang w:eastAsia="zh-CN"/>
        </w:rPr>
        <w:t>《碎屑岩油藏注水水质指标技术要求及分析方法》（SY/T5329-2022）</w:t>
      </w:r>
      <w:r>
        <w:rPr>
          <w:rFonts w:hint="default" w:ascii="Times New Roman" w:hAnsi="Times New Roman" w:cs="Times New Roman"/>
          <w:color w:val="auto"/>
          <w:spacing w:val="4"/>
          <w:kern w:val="24"/>
          <w:sz w:val="24"/>
          <w:szCs w:val="22"/>
          <w:highlight w:val="none"/>
        </w:rPr>
        <w:t>中的有关标准后回注油层</w:t>
      </w:r>
      <w:r>
        <w:rPr>
          <w:rFonts w:hint="default" w:ascii="Times New Roman" w:hAnsi="Times New Roman" w:cs="Times New Roman"/>
          <w:color w:val="auto"/>
          <w:spacing w:val="4"/>
          <w:kern w:val="24"/>
          <w:sz w:val="24"/>
          <w:szCs w:val="24"/>
          <w:highlight w:val="none"/>
        </w:rPr>
        <w:t>。</w:t>
      </w:r>
    </w:p>
    <w:p w14:paraId="5FF048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cs="Times New Roman"/>
          <w:color w:val="auto"/>
          <w:kern w:val="2"/>
          <w:sz w:val="24"/>
          <w:szCs w:val="20"/>
          <w:highlight w:val="none"/>
          <w:lang w:val="en-US" w:eastAsia="zh-CN" w:bidi="ar"/>
        </w:rPr>
        <w:t>（</w:t>
      </w:r>
      <w:r>
        <w:rPr>
          <w:rFonts w:hint="eastAsia" w:ascii="Times New Roman" w:hAnsi="Times New Roman" w:cs="Times New Roman"/>
          <w:color w:val="auto"/>
          <w:kern w:val="2"/>
          <w:sz w:val="24"/>
          <w:szCs w:val="20"/>
          <w:highlight w:val="none"/>
          <w:lang w:val="en-US" w:eastAsia="zh-CN" w:bidi="ar"/>
        </w:rPr>
        <w:t>3</w:t>
      </w:r>
      <w:r>
        <w:rPr>
          <w:rFonts w:hint="default" w:ascii="Times New Roman" w:hAnsi="Times New Roman" w:cs="Times New Roman"/>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生活污水</w:t>
      </w:r>
    </w:p>
    <w:p w14:paraId="273ABA3C">
      <w:pPr>
        <w:pStyle w:val="32"/>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eastAsia="宋体" w:cs="Times New Roman"/>
          <w:color w:val="auto"/>
          <w:kern w:val="2"/>
          <w:sz w:val="24"/>
          <w:szCs w:val="20"/>
          <w:highlight w:val="none"/>
          <w:lang w:val="en-US" w:eastAsia="zh-CN" w:bidi="ar"/>
        </w:rPr>
        <w:t>运营期新增工作人员由内部调剂解决，故不新增生活污水。</w:t>
      </w:r>
    </w:p>
    <w:p w14:paraId="01D64B50">
      <w:pPr>
        <w:pStyle w:val="81"/>
        <w:spacing w:before="163" w:beforeLines="50"/>
        <w:rPr>
          <w:rFonts w:hint="eastAsia"/>
          <w:color w:val="auto"/>
          <w:highlight w:val="none"/>
        </w:rPr>
      </w:pPr>
      <w:r>
        <w:rPr>
          <w:rFonts w:hint="eastAsia"/>
          <w:color w:val="auto"/>
          <w:highlight w:val="none"/>
        </w:rPr>
        <w:t>6.</w:t>
      </w:r>
      <w:r>
        <w:rPr>
          <w:rFonts w:hint="eastAsia"/>
          <w:color w:val="auto"/>
          <w:highlight w:val="none"/>
          <w:lang w:val="en-US" w:eastAsia="zh-CN"/>
        </w:rPr>
        <w:t>2</w:t>
      </w:r>
      <w:r>
        <w:rPr>
          <w:color w:val="auto"/>
          <w:highlight w:val="none"/>
        </w:rPr>
        <w:t>.</w:t>
      </w:r>
      <w:r>
        <w:rPr>
          <w:rFonts w:hint="eastAsia"/>
          <w:color w:val="auto"/>
          <w:highlight w:val="none"/>
          <w:lang w:val="en-US" w:eastAsia="zh-CN"/>
        </w:rPr>
        <w:t>3</w:t>
      </w:r>
      <w:r>
        <w:rPr>
          <w:color w:val="auto"/>
          <w:highlight w:val="none"/>
        </w:rPr>
        <w:t>.2</w:t>
      </w:r>
      <w:r>
        <w:rPr>
          <w:rFonts w:hint="eastAsia"/>
          <w:color w:val="auto"/>
          <w:highlight w:val="none"/>
        </w:rPr>
        <w:t>井场防渗措施</w:t>
      </w:r>
    </w:p>
    <w:p w14:paraId="5A55108F">
      <w:pPr>
        <w:spacing w:line="360" w:lineRule="auto"/>
        <w:ind w:firstLine="480"/>
        <w:rPr>
          <w:rFonts w:hint="default" w:ascii="Times New Roman" w:hAnsi="Times New Roman" w:eastAsia="宋体" w:cs="Times New Roman"/>
          <w:color w:val="auto"/>
          <w:highlight w:val="none"/>
          <w:lang w:val="en-US" w:eastAsia="zh-CN"/>
        </w:rPr>
      </w:pPr>
      <w:r>
        <w:rPr>
          <w:rFonts w:ascii="Times New Roman" w:hAnsi="Times New Roman" w:cs="Times New Roman"/>
          <w:color w:val="auto"/>
          <w:highlight w:val="none"/>
        </w:rPr>
        <w:t>根据《环境影响评价技术导则地下水环境》（HJ610-2016）和《石油化工工程防渗技术规范》（GB/T50934-2013）的相关规定，</w:t>
      </w:r>
      <w:r>
        <w:rPr>
          <w:rFonts w:hint="eastAsia" w:ascii="Times New Roman" w:hAnsi="Times New Roman" w:cs="Times New Roman"/>
          <w:color w:val="auto"/>
          <w:highlight w:val="none"/>
          <w:lang w:val="en-US" w:eastAsia="zh-CN"/>
        </w:rPr>
        <w:t>本项目</w:t>
      </w:r>
      <w:r>
        <w:rPr>
          <w:rFonts w:ascii="Times New Roman" w:hAnsi="Times New Roman" w:cs="Times New Roman"/>
          <w:color w:val="auto"/>
          <w:highlight w:val="none"/>
        </w:rPr>
        <w:t>拟对</w:t>
      </w:r>
      <w:r>
        <w:rPr>
          <w:rFonts w:hint="eastAsia" w:ascii="Times New Roman" w:hAnsi="Times New Roman" w:cs="Times New Roman"/>
          <w:color w:val="auto"/>
          <w:highlight w:val="none"/>
          <w:lang w:val="en-US" w:eastAsia="zh-CN"/>
        </w:rPr>
        <w:t>井场</w:t>
      </w:r>
      <w:r>
        <w:rPr>
          <w:rFonts w:ascii="Times New Roman" w:hAnsi="Times New Roman" w:cs="Times New Roman"/>
          <w:color w:val="auto"/>
          <w:highlight w:val="none"/>
        </w:rPr>
        <w:t>进行地下水污染</w:t>
      </w:r>
      <w:r>
        <w:rPr>
          <w:rFonts w:hint="eastAsia" w:ascii="Times New Roman" w:hAnsi="Times New Roman" w:cs="Times New Roman"/>
          <w:color w:val="auto"/>
          <w:highlight w:val="none"/>
          <w:lang w:val="en-US" w:eastAsia="zh-CN"/>
        </w:rPr>
        <w:t>分区</w:t>
      </w:r>
      <w:r>
        <w:rPr>
          <w:rFonts w:ascii="Times New Roman" w:hAnsi="Times New Roman" w:cs="Times New Roman"/>
          <w:color w:val="auto"/>
          <w:highlight w:val="none"/>
        </w:rPr>
        <w:t>防治。</w:t>
      </w:r>
      <w:r>
        <w:rPr>
          <w:rFonts w:hint="eastAsia" w:ascii="Times New Roman" w:hAnsi="Times New Roman" w:cs="Times New Roman"/>
          <w:color w:val="auto"/>
          <w:highlight w:val="none"/>
          <w:lang w:val="en-US" w:eastAsia="zh-CN"/>
        </w:rPr>
        <w:t>详见6.2.7.2分区防渗措施。</w:t>
      </w:r>
    </w:p>
    <w:p w14:paraId="41C9F240">
      <w:pPr>
        <w:pStyle w:val="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管道的防护措施</w:t>
      </w:r>
    </w:p>
    <w:p w14:paraId="786940BD">
      <w:pPr>
        <w:pStyle w:val="9"/>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（1）集输管线敷设前，加强对管材和焊接质量的检查，防止因管材质量及焊接缺陷造成泄漏事故的发生。选择有经验的单位进行施工，加强施工过程监理，确保施工质量。</w:t>
      </w:r>
    </w:p>
    <w:p w14:paraId="2F08F157">
      <w:pPr>
        <w:pStyle w:val="9"/>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（2）在集输管线的敷设线路上应设置标识，包括里程桩、转角桩、交叉标志和警示牌等。</w:t>
      </w:r>
    </w:p>
    <w:p w14:paraId="304E509E">
      <w:pPr>
        <w:pStyle w:val="9"/>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（3）加强自动控制系统管理和控制，严格控制压力平衡，对管线的运行情况的实时监控。</w:t>
      </w:r>
    </w:p>
    <w:p w14:paraId="16A6A86A">
      <w:pPr>
        <w:pStyle w:val="9"/>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（4）定期对管线进行检查，对壁厚低于规定要求的管段应及时更换，消除爆管的隐患；按规定进行设备维修、保养，及时更换易损及老化部件，防止油气泄漏事故的发生，定期对管线进行巡视，应加强管线和</w:t>
      </w:r>
      <w:r>
        <w:rPr>
          <w:rFonts w:hint="eastAsia" w:ascii="Times New Roman" w:hAnsi="Times New Roman" w:eastAsia="宋体" w:cs="Times New Roman"/>
          <w:color w:val="auto"/>
          <w:highlight w:val="none"/>
          <w:lang w:eastAsia="zh-CN"/>
        </w:rPr>
        <w:t>警示标志</w:t>
      </w:r>
      <w:r>
        <w:rPr>
          <w:rFonts w:hint="default" w:ascii="Times New Roman" w:hAnsi="Times New Roman" w:eastAsia="宋体" w:cs="Times New Roman"/>
          <w:color w:val="auto"/>
          <w:highlight w:val="none"/>
          <w:lang w:eastAsia="zh-CN"/>
        </w:rPr>
        <w:t>的管理工作，提高巡线的有效性，发现对管道安全有影响的行为，应及时制止、采取相应措施并向上级报告。</w:t>
      </w:r>
    </w:p>
    <w:p w14:paraId="67A678B4">
      <w:pPr>
        <w:pStyle w:val="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综上所述，本项目运营期</w:t>
      </w:r>
      <w:r>
        <w:rPr>
          <w:rFonts w:hint="default" w:ascii="Times New Roman" w:hAnsi="Times New Roman" w:eastAsia="宋体" w:cs="Times New Roman"/>
          <w:color w:val="auto"/>
          <w:highlight w:val="none"/>
          <w:lang w:eastAsia="zh-CN"/>
        </w:rPr>
        <w:t>采取的</w:t>
      </w:r>
      <w:r>
        <w:rPr>
          <w:rFonts w:hint="default" w:ascii="Times New Roman" w:hAnsi="Times New Roman" w:eastAsia="宋体" w:cs="Times New Roman"/>
          <w:color w:val="auto"/>
          <w:highlight w:val="none"/>
          <w:lang w:val="en-US" w:eastAsia="zh-CN"/>
        </w:rPr>
        <w:t>废水污染防治措施</w:t>
      </w:r>
      <w:r>
        <w:rPr>
          <w:rFonts w:hint="default" w:ascii="Times New Roman" w:hAnsi="Times New Roman" w:eastAsia="宋体" w:cs="Times New Roman"/>
          <w:color w:val="auto"/>
          <w:highlight w:val="none"/>
          <w:lang w:eastAsia="zh-CN"/>
        </w:rPr>
        <w:t>是可行的。</w:t>
      </w:r>
    </w:p>
    <w:p w14:paraId="3344AF9E">
      <w:pPr>
        <w:pStyle w:val="6"/>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627" w:name="_Toc27006"/>
      <w:bookmarkStart w:id="628" w:name="_Toc21366"/>
      <w:bookmarkStart w:id="629" w:name="_Toc21025"/>
      <w:r>
        <w:rPr>
          <w:rFonts w:hint="default" w:ascii="Times New Roman" w:hAnsi="Times New Roman" w:cs="Times New Roman"/>
          <w:color w:val="auto"/>
          <w:highlight w:val="none"/>
        </w:rPr>
        <w:t>6.2.4噪声污染防治措施</w:t>
      </w:r>
      <w:bookmarkEnd w:id="627"/>
      <w:bookmarkEnd w:id="628"/>
      <w:bookmarkEnd w:id="629"/>
    </w:p>
    <w:p w14:paraId="7CD06530">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（1）对噪声源强度较大的设备进行减噪处理，根据各种设备类型所产生噪声的特性，采用不同的控制手段。</w:t>
      </w:r>
    </w:p>
    <w:p w14:paraId="0AC2976E">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（2）提高工艺过程自动化水平，尽量减少操作人员在噪声源的停留时间。设备采用巡检的方式，由操作人员定期对装置区进行检查，尽量减少人员与噪声的接触时间。</w:t>
      </w:r>
    </w:p>
    <w:p w14:paraId="47822EA2">
      <w:pPr>
        <w:pStyle w:val="9"/>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Cs w:val="24"/>
          <w:highlight w:val="none"/>
          <w:lang w:val="en-US" w:eastAsia="zh-CN"/>
        </w:rPr>
        <w:t>综上所述，</w:t>
      </w:r>
      <w:r>
        <w:rPr>
          <w:rFonts w:hint="default" w:ascii="Times New Roman" w:hAnsi="Times New Roman" w:eastAsia="宋体" w:cs="Times New Roman"/>
          <w:color w:val="auto"/>
          <w:szCs w:val="24"/>
          <w:highlight w:val="none"/>
        </w:rPr>
        <w:t>采取的</w:t>
      </w:r>
      <w:r>
        <w:rPr>
          <w:rFonts w:hint="default" w:ascii="Times New Roman" w:hAnsi="Times New Roman" w:eastAsia="宋体" w:cs="Times New Roman"/>
          <w:color w:val="auto"/>
          <w:szCs w:val="24"/>
          <w:highlight w:val="none"/>
          <w:lang w:val="en-US" w:eastAsia="zh-CN"/>
        </w:rPr>
        <w:t>噪声污染防治措施</w:t>
      </w:r>
      <w:r>
        <w:rPr>
          <w:rFonts w:hint="default" w:ascii="Times New Roman" w:hAnsi="Times New Roman" w:eastAsia="宋体" w:cs="Times New Roman"/>
          <w:color w:val="auto"/>
          <w:highlight w:val="none"/>
        </w:rPr>
        <w:t>是可行的</w:t>
      </w:r>
      <w:r>
        <w:rPr>
          <w:rFonts w:hint="default" w:ascii="Times New Roman" w:hAnsi="Times New Roman" w:eastAsia="宋体" w:cs="Times New Roman"/>
          <w:color w:val="auto"/>
          <w:highlight w:val="none"/>
          <w:lang w:eastAsia="zh-CN"/>
        </w:rPr>
        <w:t>。</w:t>
      </w:r>
    </w:p>
    <w:p w14:paraId="7A83F676">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highlight w:val="none"/>
        </w:rPr>
      </w:pPr>
      <w:bookmarkStart w:id="630" w:name="_Toc13480"/>
      <w:bookmarkStart w:id="631" w:name="_Toc20357"/>
      <w:bookmarkStart w:id="632" w:name="_Toc25194"/>
      <w:r>
        <w:rPr>
          <w:rFonts w:hint="default" w:ascii="Times New Roman" w:hAnsi="Times New Roman" w:cs="Times New Roman"/>
          <w:color w:val="auto"/>
          <w:highlight w:val="none"/>
        </w:rPr>
        <w:t>6.2.5固体废物污染防治措施</w:t>
      </w:r>
      <w:bookmarkEnd w:id="630"/>
      <w:bookmarkEnd w:id="631"/>
      <w:bookmarkEnd w:id="632"/>
    </w:p>
    <w:p w14:paraId="045D8549">
      <w:pPr>
        <w:pageBreakBefore w:val="0"/>
        <w:widowControl/>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bCs/>
          <w:color w:val="auto"/>
          <w:highlight w:val="none"/>
          <w:lang w:val="en-US" w:eastAsia="zh-CN"/>
        </w:rPr>
      </w:pPr>
      <w:bookmarkStart w:id="633" w:name="_Hlk48604613"/>
      <w:r>
        <w:rPr>
          <w:rFonts w:hint="default" w:ascii="Times New Roman" w:hAnsi="Times New Roman" w:cs="Times New Roman"/>
          <w:b/>
          <w:bCs/>
          <w:color w:val="auto"/>
          <w:highlight w:val="none"/>
          <w:lang w:val="en-US" w:eastAsia="zh-CN"/>
        </w:rPr>
        <w:t>6.2.5.1固体废物产生及处置情况</w:t>
      </w:r>
    </w:p>
    <w:p w14:paraId="3467B51B">
      <w:pPr>
        <w:pageBreakBefore w:val="0"/>
        <w:widowControl/>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（1）危险废物</w:t>
      </w:r>
    </w:p>
    <w:p w14:paraId="7DC19549">
      <w:pPr>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snapToGrid w:val="0"/>
          <w:color w:val="auto"/>
          <w:spacing w:val="4"/>
          <w:szCs w:val="22"/>
          <w:highlight w:val="none"/>
        </w:rPr>
      </w:pPr>
      <w:r>
        <w:rPr>
          <w:rFonts w:hint="default" w:ascii="Times New Roman" w:hAnsi="Times New Roman" w:cs="Times New Roman"/>
          <w:color w:val="auto"/>
          <w:szCs w:val="24"/>
          <w:highlight w:val="none"/>
        </w:rPr>
        <w:t>根据《国家危险废物名录</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2021年版</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部令第15号</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w:t>
      </w:r>
      <w:r>
        <w:rPr>
          <w:rFonts w:hint="default" w:ascii="Times New Roman" w:hAnsi="Times New Roman" w:cs="Times New Roman"/>
          <w:snapToGrid w:val="0"/>
          <w:color w:val="auto"/>
          <w:spacing w:val="4"/>
          <w:szCs w:val="22"/>
          <w:highlight w:val="none"/>
          <w:lang w:eastAsia="zh-CN"/>
        </w:rPr>
        <w:t>本项目</w:t>
      </w:r>
      <w:r>
        <w:rPr>
          <w:rFonts w:hint="default" w:ascii="Times New Roman" w:hAnsi="Times New Roman" w:cs="Times New Roman"/>
          <w:snapToGrid w:val="0"/>
          <w:color w:val="auto"/>
          <w:spacing w:val="4"/>
          <w:szCs w:val="22"/>
          <w:highlight w:val="none"/>
        </w:rPr>
        <w:t>运营期产生的危险废物主要有落地油、清管废渣、废防渗材料等。</w:t>
      </w:r>
    </w:p>
    <w:p w14:paraId="6306E86E">
      <w:pPr>
        <w:spacing w:line="360" w:lineRule="auto"/>
        <w:ind w:firstLine="480" w:firstLineChars="200"/>
        <w:rPr>
          <w:rFonts w:hint="default" w:ascii="Times New Roman" w:hAnsi="Times New Roman" w:cs="Times New Roman"/>
          <w:b/>
          <w:color w:val="auto"/>
          <w:highlight w:val="none"/>
        </w:rPr>
      </w:pP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rPr>
        <w:t>危险废物产生情况及危险特性见表6.2-</w:t>
      </w:r>
      <w:r>
        <w:rPr>
          <w:rFonts w:hint="default" w:ascii="Times New Roman" w:hAnsi="Times New Roman" w:cs="Times New Roman"/>
          <w:color w:val="auto"/>
          <w:szCs w:val="24"/>
          <w:highlight w:val="none"/>
          <w:lang w:val="en-US" w:eastAsia="zh-CN"/>
        </w:rPr>
        <w:t>1</w:t>
      </w:r>
      <w:r>
        <w:rPr>
          <w:rFonts w:hint="default" w:ascii="Times New Roman" w:hAnsi="Times New Roman" w:cs="Times New Roman"/>
          <w:color w:val="auto"/>
          <w:szCs w:val="24"/>
          <w:highlight w:val="none"/>
        </w:rPr>
        <w:t>。</w:t>
      </w:r>
    </w:p>
    <w:p w14:paraId="1512F871">
      <w:pPr>
        <w:adjustRightInd w:val="0"/>
        <w:snapToGrid w:val="0"/>
        <w:ind w:left="-40" w:firstLine="482"/>
        <w:jc w:val="center"/>
        <w:rPr>
          <w:rFonts w:hint="default" w:ascii="Times New Roman" w:hAnsi="Times New Roman" w:eastAsia="黑体" w:cs="Times New Roman"/>
          <w:color w:val="auto"/>
          <w:sz w:val="21"/>
          <w:szCs w:val="24"/>
          <w:highlight w:val="none"/>
          <w:lang w:val="en-US" w:eastAsia="zh-CN" w:bidi="ar-SA"/>
        </w:rPr>
      </w:pPr>
      <w:r>
        <w:rPr>
          <w:rFonts w:hint="default" w:ascii="Times New Roman" w:hAnsi="Times New Roman" w:eastAsia="黑体" w:cs="Times New Roman"/>
          <w:color w:val="auto"/>
          <w:sz w:val="21"/>
          <w:szCs w:val="24"/>
          <w:highlight w:val="none"/>
          <w:lang w:val="en-US" w:eastAsia="zh-CN" w:bidi="ar-SA"/>
        </w:rPr>
        <w:t>表6.2-1危险废物情况一览表</w:t>
      </w:r>
    </w:p>
    <w:tbl>
      <w:tblPr>
        <w:tblStyle w:val="3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67"/>
        <w:gridCol w:w="877"/>
        <w:gridCol w:w="647"/>
        <w:gridCol w:w="1036"/>
        <w:gridCol w:w="839"/>
        <w:gridCol w:w="974"/>
        <w:gridCol w:w="527"/>
        <w:gridCol w:w="813"/>
        <w:gridCol w:w="532"/>
        <w:gridCol w:w="524"/>
        <w:gridCol w:w="481"/>
        <w:gridCol w:w="1062"/>
      </w:tblGrid>
      <w:tr w14:paraId="75D29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2" w:hRule="atLeast"/>
          <w:tblHeader/>
          <w:jc w:val="center"/>
        </w:trPr>
        <w:tc>
          <w:tcPr>
            <w:tcW w:w="157" w:type="pct"/>
            <w:vAlign w:val="center"/>
          </w:tcPr>
          <w:p w14:paraId="02E95FA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512" w:type="pct"/>
            <w:vAlign w:val="center"/>
          </w:tcPr>
          <w:p w14:paraId="7E0C1B3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危险废物名称</w:t>
            </w:r>
          </w:p>
        </w:tc>
        <w:tc>
          <w:tcPr>
            <w:tcW w:w="378" w:type="pct"/>
            <w:vAlign w:val="center"/>
          </w:tcPr>
          <w:p w14:paraId="1B3EDD1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w:t>
            </w:r>
          </w:p>
          <w:p w14:paraId="2F5E424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588" w:type="pct"/>
            <w:vAlign w:val="center"/>
          </w:tcPr>
          <w:p w14:paraId="38C5A74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w:t>
            </w:r>
          </w:p>
          <w:p w14:paraId="1362937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代码</w:t>
            </w:r>
          </w:p>
        </w:tc>
        <w:tc>
          <w:tcPr>
            <w:tcW w:w="490" w:type="pct"/>
            <w:vAlign w:val="center"/>
          </w:tcPr>
          <w:p w14:paraId="407AD320">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产生量</w:t>
            </w:r>
          </w:p>
        </w:tc>
        <w:tc>
          <w:tcPr>
            <w:tcW w:w="568" w:type="pct"/>
            <w:vAlign w:val="center"/>
          </w:tcPr>
          <w:p w14:paraId="3DD6934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产生工序</w:t>
            </w:r>
          </w:p>
          <w:p w14:paraId="27A02FE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及装置</w:t>
            </w:r>
          </w:p>
        </w:tc>
        <w:tc>
          <w:tcPr>
            <w:tcW w:w="308" w:type="pct"/>
            <w:vAlign w:val="center"/>
          </w:tcPr>
          <w:p w14:paraId="0F51321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形态</w:t>
            </w:r>
          </w:p>
        </w:tc>
        <w:tc>
          <w:tcPr>
            <w:tcW w:w="474" w:type="pct"/>
            <w:vAlign w:val="center"/>
          </w:tcPr>
          <w:p w14:paraId="52DF1E1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w:t>
            </w:r>
          </w:p>
          <w:p w14:paraId="41B381D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成分</w:t>
            </w:r>
          </w:p>
        </w:tc>
        <w:tc>
          <w:tcPr>
            <w:tcW w:w="311" w:type="pct"/>
            <w:vAlign w:val="center"/>
          </w:tcPr>
          <w:p w14:paraId="2200368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有害</w:t>
            </w:r>
          </w:p>
          <w:p w14:paraId="11ECE303">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成分</w:t>
            </w:r>
          </w:p>
        </w:tc>
        <w:tc>
          <w:tcPr>
            <w:tcW w:w="306" w:type="pct"/>
            <w:vAlign w:val="center"/>
          </w:tcPr>
          <w:p w14:paraId="26BEEC4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产废</w:t>
            </w:r>
          </w:p>
          <w:p w14:paraId="6079E31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周期</w:t>
            </w:r>
          </w:p>
        </w:tc>
        <w:tc>
          <w:tcPr>
            <w:tcW w:w="281" w:type="pct"/>
            <w:vAlign w:val="center"/>
          </w:tcPr>
          <w:p w14:paraId="1B5B240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w:t>
            </w:r>
          </w:p>
          <w:p w14:paraId="2559DAD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特性</w:t>
            </w:r>
          </w:p>
        </w:tc>
        <w:tc>
          <w:tcPr>
            <w:tcW w:w="619" w:type="pct"/>
            <w:vAlign w:val="center"/>
          </w:tcPr>
          <w:p w14:paraId="167318F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w:t>
            </w:r>
          </w:p>
          <w:p w14:paraId="74EC991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措施</w:t>
            </w:r>
          </w:p>
        </w:tc>
      </w:tr>
      <w:tr w14:paraId="0DA84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40" w:hRule="atLeast"/>
          <w:jc w:val="center"/>
        </w:trPr>
        <w:tc>
          <w:tcPr>
            <w:tcW w:w="157" w:type="pct"/>
            <w:vAlign w:val="center"/>
          </w:tcPr>
          <w:p w14:paraId="646BB36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12" w:type="pct"/>
            <w:vAlign w:val="center"/>
          </w:tcPr>
          <w:p w14:paraId="2CA6E1D1">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落地原油</w:t>
            </w:r>
          </w:p>
        </w:tc>
        <w:tc>
          <w:tcPr>
            <w:tcW w:w="378" w:type="pct"/>
            <w:vAlign w:val="center"/>
          </w:tcPr>
          <w:p w14:paraId="2C7EC2DB">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588" w:type="pct"/>
            <w:vAlign w:val="center"/>
          </w:tcPr>
          <w:p w14:paraId="64B51A8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071-001-08</w:t>
            </w:r>
          </w:p>
        </w:tc>
        <w:tc>
          <w:tcPr>
            <w:tcW w:w="490" w:type="pct"/>
            <w:vAlign w:val="center"/>
          </w:tcPr>
          <w:p w14:paraId="5D75170B">
            <w:pPr>
              <w:pStyle w:val="51"/>
              <w:keepNext w:val="0"/>
              <w:keepLines w:val="0"/>
              <w:pageBreakBefore w:val="0"/>
              <w:shd w:val="clear"/>
              <w:kinsoku/>
              <w:wordWrap/>
              <w:topLinePunct w:val="0"/>
              <w:bidi w:val="0"/>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2t/a</w:t>
            </w:r>
          </w:p>
        </w:tc>
        <w:tc>
          <w:tcPr>
            <w:tcW w:w="568" w:type="pct"/>
            <w:vAlign w:val="center"/>
          </w:tcPr>
          <w:p w14:paraId="6260E168">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井下作业</w:t>
            </w:r>
          </w:p>
        </w:tc>
        <w:tc>
          <w:tcPr>
            <w:tcW w:w="308" w:type="pct"/>
            <w:vAlign w:val="center"/>
          </w:tcPr>
          <w:p w14:paraId="64A4BFD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474" w:type="pct"/>
            <w:vAlign w:val="center"/>
          </w:tcPr>
          <w:p w14:paraId="090D393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油类物质</w:t>
            </w:r>
          </w:p>
        </w:tc>
        <w:tc>
          <w:tcPr>
            <w:tcW w:w="311" w:type="pct"/>
            <w:vAlign w:val="center"/>
          </w:tcPr>
          <w:p w14:paraId="299DBA5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w:t>
            </w:r>
          </w:p>
          <w:p w14:paraId="067FDFC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w:t>
            </w:r>
          </w:p>
        </w:tc>
        <w:tc>
          <w:tcPr>
            <w:tcW w:w="306" w:type="pct"/>
            <w:vAlign w:val="center"/>
          </w:tcPr>
          <w:p w14:paraId="4B36783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间歇</w:t>
            </w:r>
          </w:p>
        </w:tc>
        <w:tc>
          <w:tcPr>
            <w:tcW w:w="281" w:type="pct"/>
            <w:vAlign w:val="center"/>
          </w:tcPr>
          <w:p w14:paraId="54B3C1E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9" w:type="pct"/>
            <w:vAlign w:val="center"/>
          </w:tcPr>
          <w:p w14:paraId="2975179B">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由塔河油田绿色环保站处理</w:t>
            </w:r>
            <w:r>
              <w:rPr>
                <w:rFonts w:hint="default" w:ascii="Times New Roman" w:hAnsi="Times New Roman" w:cs="Times New Roman"/>
                <w:color w:val="auto"/>
                <w:sz w:val="21"/>
                <w:szCs w:val="21"/>
                <w:highlight w:val="none"/>
                <w:lang w:eastAsia="zh-CN"/>
              </w:rPr>
              <w:t>。</w:t>
            </w:r>
          </w:p>
        </w:tc>
      </w:tr>
      <w:tr w14:paraId="45E08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157" w:type="pct"/>
            <w:vAlign w:val="center"/>
          </w:tcPr>
          <w:p w14:paraId="27B8DB3E">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512" w:type="pct"/>
            <w:vAlign w:val="center"/>
          </w:tcPr>
          <w:p w14:paraId="6DFBA2D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清管废渣</w:t>
            </w:r>
          </w:p>
        </w:tc>
        <w:tc>
          <w:tcPr>
            <w:tcW w:w="378" w:type="pct"/>
            <w:vAlign w:val="center"/>
          </w:tcPr>
          <w:p w14:paraId="2972E62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588" w:type="pct"/>
            <w:vAlign w:val="center"/>
          </w:tcPr>
          <w:p w14:paraId="5124AEDC">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071-001-08</w:t>
            </w:r>
          </w:p>
        </w:tc>
        <w:tc>
          <w:tcPr>
            <w:tcW w:w="490" w:type="pct"/>
            <w:vAlign w:val="center"/>
          </w:tcPr>
          <w:p w14:paraId="221C4115">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4"/>
                <w:highlight w:val="none"/>
                <w:lang w:val="en-US" w:eastAsia="zh-CN"/>
              </w:rPr>
              <w:t>0.00</w:t>
            </w:r>
            <w:r>
              <w:rPr>
                <w:rFonts w:hint="eastAsia" w:cs="Times New Roman"/>
                <w:color w:val="auto"/>
                <w:szCs w:val="24"/>
                <w:highlight w:val="none"/>
                <w:lang w:val="en-US" w:eastAsia="zh-CN"/>
              </w:rPr>
              <w:t>1t/a</w:t>
            </w:r>
          </w:p>
        </w:tc>
        <w:tc>
          <w:tcPr>
            <w:tcW w:w="568" w:type="pct"/>
            <w:vAlign w:val="center"/>
          </w:tcPr>
          <w:p w14:paraId="47B5DDEF">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定期清管</w:t>
            </w:r>
          </w:p>
        </w:tc>
        <w:tc>
          <w:tcPr>
            <w:tcW w:w="308" w:type="pct"/>
            <w:vAlign w:val="center"/>
          </w:tcPr>
          <w:p w14:paraId="5A68E555">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474" w:type="pct"/>
            <w:vAlign w:val="center"/>
          </w:tcPr>
          <w:p w14:paraId="4EFF4F3A">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油类物质、铁锈</w:t>
            </w:r>
          </w:p>
        </w:tc>
        <w:tc>
          <w:tcPr>
            <w:tcW w:w="311" w:type="pct"/>
            <w:vAlign w:val="center"/>
          </w:tcPr>
          <w:p w14:paraId="082C6138">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w:t>
            </w:r>
          </w:p>
          <w:p w14:paraId="365EE72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w:t>
            </w:r>
          </w:p>
        </w:tc>
        <w:tc>
          <w:tcPr>
            <w:tcW w:w="306" w:type="pct"/>
            <w:vAlign w:val="center"/>
          </w:tcPr>
          <w:p w14:paraId="3E532F49">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间歇</w:t>
            </w:r>
          </w:p>
        </w:tc>
        <w:tc>
          <w:tcPr>
            <w:tcW w:w="281" w:type="pct"/>
            <w:vAlign w:val="center"/>
          </w:tcPr>
          <w:p w14:paraId="5372901D">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p>
        </w:tc>
        <w:tc>
          <w:tcPr>
            <w:tcW w:w="619" w:type="pct"/>
            <w:vAlign w:val="center"/>
          </w:tcPr>
          <w:p w14:paraId="36220A6B">
            <w:pPr>
              <w:pStyle w:val="51"/>
              <w:keepNext w:val="0"/>
              <w:keepLines w:val="0"/>
              <w:pageBreakBefore w:val="0"/>
              <w:shd w:val="clear"/>
              <w:kinsoku/>
              <w:wordWrap/>
              <w:topLinePunct w:val="0"/>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塔河油田绿色环保站</w:t>
            </w:r>
            <w:r>
              <w:rPr>
                <w:rFonts w:hint="default" w:ascii="Times New Roman" w:hAnsi="Times New Roman" w:cs="Times New Roman"/>
                <w:color w:val="auto"/>
                <w:szCs w:val="24"/>
                <w:highlight w:val="none"/>
              </w:rPr>
              <w:t>进行处理</w:t>
            </w:r>
          </w:p>
        </w:tc>
      </w:tr>
      <w:tr w14:paraId="56A54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33" w:hRule="atLeast"/>
          <w:jc w:val="center"/>
        </w:trPr>
        <w:tc>
          <w:tcPr>
            <w:tcW w:w="157" w:type="pct"/>
            <w:vAlign w:val="center"/>
          </w:tcPr>
          <w:p w14:paraId="2F79058D">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512" w:type="pct"/>
            <w:vAlign w:val="center"/>
          </w:tcPr>
          <w:p w14:paraId="19F72ED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废防渗</w:t>
            </w:r>
          </w:p>
          <w:p w14:paraId="73888E23">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材料</w:t>
            </w:r>
          </w:p>
        </w:tc>
        <w:tc>
          <w:tcPr>
            <w:tcW w:w="378" w:type="pct"/>
            <w:vAlign w:val="center"/>
          </w:tcPr>
          <w:p w14:paraId="7D12641D">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HW08</w:t>
            </w:r>
          </w:p>
        </w:tc>
        <w:tc>
          <w:tcPr>
            <w:tcW w:w="588" w:type="pct"/>
            <w:vAlign w:val="center"/>
          </w:tcPr>
          <w:p w14:paraId="26567AF3">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900-249-08</w:t>
            </w:r>
          </w:p>
        </w:tc>
        <w:tc>
          <w:tcPr>
            <w:tcW w:w="490" w:type="pct"/>
            <w:vAlign w:val="center"/>
          </w:tcPr>
          <w:p w14:paraId="48C1E878">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2.0t/a</w:t>
            </w:r>
          </w:p>
        </w:tc>
        <w:tc>
          <w:tcPr>
            <w:tcW w:w="568" w:type="pct"/>
            <w:vAlign w:val="center"/>
          </w:tcPr>
          <w:p w14:paraId="7B922A4E">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井下作业、修井</w:t>
            </w:r>
          </w:p>
        </w:tc>
        <w:tc>
          <w:tcPr>
            <w:tcW w:w="308" w:type="pct"/>
            <w:vAlign w:val="center"/>
          </w:tcPr>
          <w:p w14:paraId="5E7E3CBE">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固体</w:t>
            </w:r>
          </w:p>
        </w:tc>
        <w:tc>
          <w:tcPr>
            <w:tcW w:w="474" w:type="pct"/>
            <w:vAlign w:val="center"/>
          </w:tcPr>
          <w:p w14:paraId="169D4758">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油类物质</w:t>
            </w:r>
          </w:p>
        </w:tc>
        <w:tc>
          <w:tcPr>
            <w:tcW w:w="311" w:type="pct"/>
            <w:vAlign w:val="center"/>
          </w:tcPr>
          <w:p w14:paraId="6CFDD0C2">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油类</w:t>
            </w:r>
          </w:p>
          <w:p w14:paraId="7625EE94">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物质</w:t>
            </w:r>
          </w:p>
        </w:tc>
        <w:tc>
          <w:tcPr>
            <w:tcW w:w="306" w:type="pct"/>
            <w:vAlign w:val="center"/>
          </w:tcPr>
          <w:p w14:paraId="7297D9D3">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间歇</w:t>
            </w:r>
          </w:p>
        </w:tc>
        <w:tc>
          <w:tcPr>
            <w:tcW w:w="281" w:type="pct"/>
            <w:vAlign w:val="center"/>
          </w:tcPr>
          <w:p w14:paraId="5E3B1D9F">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619" w:type="pct"/>
            <w:vAlign w:val="center"/>
          </w:tcPr>
          <w:p w14:paraId="3BD709B5">
            <w:pPr>
              <w:pStyle w:val="51"/>
              <w:keepNext w:val="0"/>
              <w:keepLines w:val="0"/>
              <w:pageBreakBefore w:val="0"/>
              <w:shd w:val="clear"/>
              <w:kinsoku/>
              <w:wordWrap/>
              <w:topLinePunct w:val="0"/>
              <w:bidi w:val="0"/>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委托持有危险废物经营许可证的单位接收处置</w:t>
            </w:r>
            <w:r>
              <w:rPr>
                <w:rFonts w:hint="default" w:ascii="Times New Roman" w:hAnsi="Times New Roman" w:cs="Times New Roman"/>
                <w:color w:val="auto"/>
                <w:sz w:val="21"/>
                <w:szCs w:val="21"/>
                <w:highlight w:val="none"/>
                <w:lang w:eastAsia="zh-CN"/>
              </w:rPr>
              <w:t>。</w:t>
            </w:r>
          </w:p>
        </w:tc>
      </w:tr>
      <w:tr w14:paraId="51C5A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157" w:type="pct"/>
            <w:vAlign w:val="center"/>
          </w:tcPr>
          <w:p w14:paraId="201DA02A">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512" w:type="pct"/>
            <w:vAlign w:val="center"/>
          </w:tcPr>
          <w:p w14:paraId="1B8A1EAA">
            <w:pPr>
              <w:pStyle w:val="51"/>
              <w:keepNext w:val="0"/>
              <w:keepLines w:val="0"/>
              <w:pageBreakBefore w:val="0"/>
              <w:shd w:val="clear"/>
              <w:kinsoku/>
              <w:wordWrap/>
              <w:topLinePunct w:val="0"/>
              <w:bidi w:val="0"/>
              <w:spacing w:line="240" w:lineRule="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废润滑油</w:t>
            </w:r>
          </w:p>
        </w:tc>
        <w:tc>
          <w:tcPr>
            <w:tcW w:w="378" w:type="pct"/>
            <w:vAlign w:val="center"/>
          </w:tcPr>
          <w:p w14:paraId="56118AA4">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588" w:type="pct"/>
            <w:vAlign w:val="center"/>
          </w:tcPr>
          <w:p w14:paraId="004D934A">
            <w:pPr>
              <w:pStyle w:val="51"/>
              <w:keepNext w:val="0"/>
              <w:keepLines w:val="0"/>
              <w:pageBreakBefore w:val="0"/>
              <w:shd w:val="clear" w:color="auto" w:fill="FFFFFF"/>
              <w:kinsoku/>
              <w:wordWrap/>
              <w:topLinePunct w:val="0"/>
              <w:bidi w:val="0"/>
              <w:spacing w:line="240" w:lineRule="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900-214-08</w:t>
            </w:r>
          </w:p>
        </w:tc>
        <w:tc>
          <w:tcPr>
            <w:tcW w:w="490" w:type="pct"/>
            <w:vAlign w:val="center"/>
          </w:tcPr>
          <w:p w14:paraId="0F007FE7">
            <w:pPr>
              <w:pStyle w:val="51"/>
              <w:keepNext w:val="0"/>
              <w:keepLines w:val="0"/>
              <w:pageBreakBefore w:val="0"/>
              <w:shd w:val="clear"/>
              <w:kinsoku/>
              <w:wordWrap/>
              <w:topLinePunct w:val="0"/>
              <w:bidi w:val="0"/>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0.2t/次</w:t>
            </w:r>
          </w:p>
        </w:tc>
        <w:tc>
          <w:tcPr>
            <w:tcW w:w="568" w:type="pct"/>
            <w:shd w:val="clear" w:color="auto" w:fill="auto"/>
            <w:vAlign w:val="center"/>
          </w:tcPr>
          <w:p w14:paraId="46FE24AE">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井下作业和采油过程中机械设备维修</w:t>
            </w:r>
          </w:p>
        </w:tc>
        <w:tc>
          <w:tcPr>
            <w:tcW w:w="308" w:type="pct"/>
            <w:shd w:val="clear" w:color="auto" w:fill="auto"/>
            <w:vAlign w:val="center"/>
          </w:tcPr>
          <w:p w14:paraId="3D4DE662">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固态</w:t>
            </w:r>
          </w:p>
        </w:tc>
        <w:tc>
          <w:tcPr>
            <w:tcW w:w="474" w:type="pct"/>
            <w:shd w:val="clear" w:color="auto" w:fill="auto"/>
            <w:vAlign w:val="center"/>
          </w:tcPr>
          <w:p w14:paraId="3D255A4E">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油类物质</w:t>
            </w:r>
          </w:p>
        </w:tc>
        <w:tc>
          <w:tcPr>
            <w:tcW w:w="311" w:type="pct"/>
            <w:shd w:val="clear" w:color="auto" w:fill="auto"/>
            <w:vAlign w:val="center"/>
          </w:tcPr>
          <w:p w14:paraId="19F1D654">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油类</w:t>
            </w:r>
          </w:p>
          <w:p w14:paraId="75623B4A">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物质</w:t>
            </w:r>
          </w:p>
        </w:tc>
        <w:tc>
          <w:tcPr>
            <w:tcW w:w="306" w:type="pct"/>
            <w:shd w:val="clear" w:color="auto" w:fill="auto"/>
            <w:vAlign w:val="center"/>
          </w:tcPr>
          <w:p w14:paraId="79932920">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间歇</w:t>
            </w:r>
          </w:p>
        </w:tc>
        <w:tc>
          <w:tcPr>
            <w:tcW w:w="281" w:type="pct"/>
            <w:shd w:val="clear" w:color="auto" w:fill="auto"/>
            <w:vAlign w:val="center"/>
          </w:tcPr>
          <w:p w14:paraId="366CD887">
            <w:pPr>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T，I</w:t>
            </w:r>
          </w:p>
        </w:tc>
        <w:tc>
          <w:tcPr>
            <w:tcW w:w="619" w:type="pct"/>
            <w:vAlign w:val="center"/>
          </w:tcPr>
          <w:p w14:paraId="5A54778C">
            <w:pPr>
              <w:pStyle w:val="51"/>
              <w:keepNext w:val="0"/>
              <w:keepLines w:val="0"/>
              <w:pageBreakBefore w:val="0"/>
              <w:shd w:val="clear" w:color="auto" w:fill="FFFFFF"/>
              <w:kinsoku/>
              <w:wordWrap/>
              <w:topLinePunct w:val="0"/>
              <w:bidi w:val="0"/>
              <w:spacing w:line="240" w:lineRule="auto"/>
              <w:jc w:val="both"/>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委托持有危险废物经营许可证的单位接收处置</w:t>
            </w:r>
            <w:r>
              <w:rPr>
                <w:rFonts w:hint="default" w:ascii="Times New Roman" w:hAnsi="Times New Roman" w:eastAsia="宋体" w:cs="Times New Roman"/>
                <w:color w:val="auto"/>
                <w:highlight w:val="none"/>
                <w:lang w:eastAsia="zh-CN"/>
              </w:rPr>
              <w:t>。</w:t>
            </w:r>
          </w:p>
        </w:tc>
      </w:tr>
    </w:tbl>
    <w:p w14:paraId="59047124">
      <w:pPr>
        <w:spacing w:line="360" w:lineRule="auto"/>
        <w:ind w:firstLine="482" w:firstLineChars="200"/>
        <w:rPr>
          <w:rFonts w:hint="default" w:ascii="Times New Roman" w:hAnsi="Times New Roman" w:cs="Times New Roman"/>
          <w:b/>
          <w:bCs/>
          <w:color w:val="auto"/>
          <w:szCs w:val="24"/>
          <w:highlight w:val="none"/>
        </w:rPr>
      </w:pPr>
      <w:bookmarkStart w:id="634" w:name="_Hlk76402360"/>
      <w:r>
        <w:rPr>
          <w:rFonts w:hint="default" w:ascii="Times New Roman" w:hAnsi="Times New Roman" w:cs="Times New Roman"/>
          <w:b/>
          <w:bCs/>
          <w:color w:val="auto"/>
          <w:szCs w:val="24"/>
          <w:highlight w:val="none"/>
        </w:rPr>
        <w:t>（2）生活垃圾</w:t>
      </w:r>
    </w:p>
    <w:p w14:paraId="78E05671">
      <w:pPr>
        <w:spacing w:line="360" w:lineRule="auto"/>
        <w:ind w:firstLine="480" w:firstLineChars="200"/>
        <w:rPr>
          <w:rFonts w:hint="default" w:ascii="Times New Roman" w:hAnsi="Times New Roman" w:cs="Times New Roman"/>
          <w:color w:val="auto"/>
          <w:szCs w:val="24"/>
          <w:highlight w:val="none"/>
        </w:rPr>
      </w:pPr>
      <w:bookmarkStart w:id="635" w:name="_Hlk77960415"/>
      <w:r>
        <w:rPr>
          <w:rFonts w:hint="default" w:ascii="Times New Roman" w:hAnsi="Times New Roman" w:cs="Times New Roman"/>
          <w:color w:val="auto"/>
          <w:szCs w:val="24"/>
          <w:highlight w:val="none"/>
        </w:rPr>
        <w:t>运营期工作人员由塔河油田内部调剂解决，故不新增生活垃圾。</w:t>
      </w:r>
    </w:p>
    <w:bookmarkEnd w:id="635"/>
    <w:p w14:paraId="34119B6A">
      <w:pPr>
        <w:keepLines/>
        <w:adjustRightInd w:val="0"/>
        <w:snapToGrid w:val="0"/>
        <w:spacing w:line="360" w:lineRule="auto"/>
        <w:outlineLvl w:val="9"/>
        <w:rPr>
          <w:rFonts w:hint="default" w:ascii="Times New Roman" w:hAnsi="Times New Roman" w:cs="Times New Roman"/>
          <w:b/>
          <w:color w:val="auto"/>
          <w:highlight w:val="none"/>
        </w:rPr>
      </w:pPr>
      <w:r>
        <w:rPr>
          <w:rFonts w:hint="default" w:ascii="Times New Roman" w:hAnsi="Times New Roman" w:cs="Times New Roman"/>
          <w:b/>
          <w:color w:val="auto"/>
          <w:highlight w:val="none"/>
        </w:rPr>
        <w:t>6.2.5.2危险废物处置措施可行性分析</w:t>
      </w:r>
    </w:p>
    <w:bookmarkEnd w:id="634"/>
    <w:p w14:paraId="7355B37B">
      <w:pPr>
        <w:spacing w:line="360" w:lineRule="auto"/>
        <w:ind w:firstLine="480" w:firstLineChars="200"/>
        <w:jc w:val="both"/>
        <w:rPr>
          <w:rFonts w:hint="eastAsia"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rPr>
        <w:t>井下作业时带罐作业，防止产生落地油，井口排出物全部进罐，做到原油100%回收。落地油不在施工井场储存，直接在作业施工现场由施工人员回收至罐车内，罐车采用密闭的专用罐车，由塔河油田绿色环保站进行无害化处理，严格按照《危险废物贮存污染控制标准》（GB18597-2023）</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危险废物收集贮存运输技术规范</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HJ2025-2012</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和《危险废物转移管理办法》中的相关要求收集、贮存、运输。</w:t>
      </w:r>
      <w:r>
        <w:rPr>
          <w:rFonts w:hint="default" w:ascii="Times New Roman" w:hAnsi="Times New Roman" w:cs="Times New Roman"/>
          <w:snapToGrid w:val="0"/>
          <w:color w:val="auto"/>
          <w:spacing w:val="4"/>
          <w:szCs w:val="22"/>
          <w:highlight w:val="none"/>
        </w:rPr>
        <w:t>清管废渣</w:t>
      </w:r>
      <w:r>
        <w:rPr>
          <w:rFonts w:hint="default" w:ascii="Times New Roman" w:hAnsi="Times New Roman" w:cs="Times New Roman"/>
          <w:color w:val="auto"/>
          <w:szCs w:val="24"/>
          <w:highlight w:val="none"/>
        </w:rPr>
        <w:t>由塔河油田绿色环保站进行无害化处理。废防渗材料</w:t>
      </w:r>
      <w:r>
        <w:rPr>
          <w:rFonts w:hint="eastAsia" w:cs="Times New Roman"/>
          <w:color w:val="auto"/>
          <w:szCs w:val="24"/>
          <w:highlight w:val="none"/>
          <w:lang w:val="en-US" w:eastAsia="zh-CN"/>
        </w:rPr>
        <w:t>和废润滑油</w:t>
      </w:r>
      <w:r>
        <w:rPr>
          <w:rFonts w:hint="default" w:ascii="Times New Roman" w:hAnsi="Times New Roman" w:cs="Times New Roman"/>
          <w:color w:val="auto"/>
          <w:szCs w:val="24"/>
          <w:highlight w:val="none"/>
        </w:rPr>
        <w:t>主要在修井作业</w:t>
      </w:r>
      <w:r>
        <w:rPr>
          <w:rFonts w:hint="eastAsia" w:cs="Times New Roman"/>
          <w:color w:val="auto"/>
          <w:szCs w:val="24"/>
          <w:highlight w:val="none"/>
          <w:lang w:val="en-US" w:eastAsia="zh-CN"/>
        </w:rPr>
        <w:t>和机修维修</w:t>
      </w:r>
      <w:r>
        <w:rPr>
          <w:rFonts w:hint="default" w:ascii="Times New Roman" w:hAnsi="Times New Roman" w:cs="Times New Roman"/>
          <w:color w:val="auto"/>
          <w:szCs w:val="24"/>
          <w:highlight w:val="none"/>
        </w:rPr>
        <w:t>过程中产生，施工作业结束后，由施工单位将废弃的含油防渗布集中收集，委托持有危险废物经营许可证的单位接收处置，拉运过程中资质单位应使用专车、按照指定的拉运路线。</w:t>
      </w:r>
    </w:p>
    <w:p w14:paraId="11C7D804">
      <w:pPr>
        <w:spacing w:line="360" w:lineRule="auto"/>
        <w:ind w:firstLine="482" w:firstLineChars="200"/>
        <w:rPr>
          <w:rFonts w:hint="default" w:ascii="Times New Roman" w:hAnsi="Times New Roman" w:cs="Times New Roman"/>
          <w:b/>
          <w:bCs/>
          <w:color w:val="auto"/>
          <w:szCs w:val="24"/>
          <w:highlight w:val="none"/>
        </w:rPr>
      </w:pPr>
      <w:r>
        <w:rPr>
          <w:rFonts w:hint="eastAsia" w:cs="Times New Roman"/>
          <w:b/>
          <w:bCs/>
          <w:color w:val="auto"/>
          <w:szCs w:val="24"/>
          <w:highlight w:val="none"/>
          <w:lang w:eastAsia="zh-CN"/>
        </w:rPr>
        <w:t>（</w:t>
      </w:r>
      <w:r>
        <w:rPr>
          <w:rFonts w:hint="eastAsia" w:cs="Times New Roman"/>
          <w:b/>
          <w:bCs/>
          <w:color w:val="auto"/>
          <w:szCs w:val="24"/>
          <w:highlight w:val="none"/>
          <w:lang w:val="en-US" w:eastAsia="zh-CN"/>
        </w:rPr>
        <w:t>1）</w:t>
      </w:r>
      <w:r>
        <w:rPr>
          <w:rFonts w:hint="default" w:ascii="Times New Roman" w:hAnsi="Times New Roman" w:cs="Times New Roman"/>
          <w:b/>
          <w:bCs/>
          <w:color w:val="auto"/>
          <w:szCs w:val="24"/>
          <w:highlight w:val="none"/>
        </w:rPr>
        <w:t>危险废物收集措施及可行性分析</w:t>
      </w:r>
    </w:p>
    <w:p w14:paraId="10F182A4">
      <w:pPr>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采油</w:t>
      </w:r>
      <w:r>
        <w:rPr>
          <w:rFonts w:hint="default" w:ascii="Times New Roman" w:hAnsi="Times New Roman" w:cs="Times New Roman"/>
          <w:color w:val="auto"/>
          <w:szCs w:val="24"/>
          <w:highlight w:val="none"/>
          <w:lang w:val="en-US" w:eastAsia="zh-CN"/>
        </w:rPr>
        <w:t>三厂</w:t>
      </w:r>
      <w:r>
        <w:rPr>
          <w:rFonts w:hint="eastAsia" w:cs="Times New Roman"/>
          <w:color w:val="auto"/>
          <w:szCs w:val="24"/>
          <w:highlight w:val="none"/>
          <w:lang w:val="en-US" w:eastAsia="zh-CN"/>
        </w:rPr>
        <w:t>严格</w:t>
      </w:r>
      <w:r>
        <w:rPr>
          <w:rFonts w:hint="default" w:ascii="Times New Roman" w:hAnsi="Times New Roman" w:cs="Times New Roman"/>
          <w:color w:val="auto"/>
          <w:szCs w:val="24"/>
          <w:highlight w:val="none"/>
        </w:rPr>
        <w:t>按照《</w:t>
      </w:r>
      <w:r>
        <w:rPr>
          <w:rFonts w:hint="default" w:ascii="Times New Roman" w:hAnsi="Times New Roman" w:cs="Times New Roman"/>
          <w:color w:val="auto"/>
          <w:szCs w:val="24"/>
          <w:highlight w:val="none"/>
          <w:lang w:eastAsia="zh-CN"/>
        </w:rPr>
        <w:t>危险废物收集贮存运输技术规范</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HJ2025-2012</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、《危险废物环境管理指南陆上石油天然气开采》相关要求对含油废物进行收集和管理。危险废物桶装收集后由有危废处置资质单位运输、处置。</w:t>
      </w:r>
    </w:p>
    <w:p w14:paraId="03354872">
      <w:pPr>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收集危险废物的硬质桶应按要求设置明显的</w:t>
      </w:r>
      <w:r>
        <w:rPr>
          <w:rFonts w:hint="eastAsia" w:cs="Times New Roman"/>
          <w:color w:val="auto"/>
          <w:szCs w:val="24"/>
          <w:highlight w:val="none"/>
          <w:lang w:eastAsia="zh-CN"/>
        </w:rPr>
        <w:t>标明</w:t>
      </w:r>
      <w:r>
        <w:rPr>
          <w:rFonts w:hint="default" w:ascii="Times New Roman" w:hAnsi="Times New Roman" w:cs="Times New Roman"/>
          <w:color w:val="auto"/>
          <w:szCs w:val="24"/>
          <w:highlight w:val="none"/>
        </w:rPr>
        <w:t>危险废物相关信息的标签，标签信息应填写完整</w:t>
      </w:r>
      <w:r>
        <w:rPr>
          <w:rFonts w:hint="eastAsia" w:cs="Times New Roman"/>
          <w:color w:val="auto"/>
          <w:szCs w:val="24"/>
          <w:highlight w:val="none"/>
          <w:lang w:eastAsia="zh-CN"/>
        </w:rPr>
        <w:t>详实</w:t>
      </w:r>
      <w:r>
        <w:rPr>
          <w:rFonts w:hint="default" w:ascii="Times New Roman" w:hAnsi="Times New Roman" w:cs="Times New Roman"/>
          <w:color w:val="auto"/>
          <w:szCs w:val="24"/>
          <w:highlight w:val="none"/>
        </w:rPr>
        <w:t>。具体要求如下：</w:t>
      </w:r>
    </w:p>
    <w:p w14:paraId="22F6C6E5">
      <w:pPr>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a．危险废物标签规格颜色说明：规格：正方形，40×40cm；底色：醒目的橘黄色；字体：黑体字；字体颜色：黑色。</w:t>
      </w:r>
    </w:p>
    <w:p w14:paraId="12CA1144">
      <w:pPr>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b．危险废物类别：按危险废物种类选择。</w:t>
      </w:r>
    </w:p>
    <w:p w14:paraId="166535B9">
      <w:pPr>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c．材料应坚固、耐用、抗风化、抗淋蚀。</w:t>
      </w:r>
    </w:p>
    <w:p w14:paraId="36AE0A90">
      <w:pPr>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d、装载液体、固体的危险废物的硬质桶内必须留足够的空间，硬质桶顶部与液体表面之间保留100mm以上的空间。</w:t>
      </w:r>
    </w:p>
    <w:p w14:paraId="4F8E953E">
      <w:pPr>
        <w:spacing w:line="360" w:lineRule="auto"/>
        <w:ind w:firstLine="482" w:firstLineChars="200"/>
        <w:jc w:val="both"/>
        <w:rPr>
          <w:rFonts w:hint="default" w:ascii="Times New Roman" w:hAnsi="Times New Roman" w:cs="Times New Roman"/>
          <w:b/>
          <w:bCs/>
          <w:color w:val="auto"/>
          <w:szCs w:val="24"/>
          <w:highlight w:val="none"/>
        </w:rPr>
      </w:pPr>
      <w:r>
        <w:rPr>
          <w:rFonts w:hint="eastAsia" w:cs="Times New Roman"/>
          <w:b/>
          <w:bCs/>
          <w:color w:val="auto"/>
          <w:szCs w:val="24"/>
          <w:highlight w:val="none"/>
          <w:lang w:eastAsia="zh-CN"/>
        </w:rPr>
        <w:t>（</w:t>
      </w: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危废运输依托可行性分析</w:t>
      </w:r>
    </w:p>
    <w:p w14:paraId="43192C2C">
      <w:pPr>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rPr>
        <w:t>产生的危险废物委托有危险废物运输资质的单位采用专用运输车辆进行运输，按要求填写危险废物的收集记录、转运记录表，并将记录表作为危险废物管理的重要档案妥善保存。并严格按照《危险废物转移管理办法》，实施危险废物转移联单管理制度。</w:t>
      </w:r>
    </w:p>
    <w:p w14:paraId="3778DDA6">
      <w:pPr>
        <w:spacing w:line="360" w:lineRule="auto"/>
        <w:ind w:firstLine="482" w:firstLineChars="200"/>
        <w:jc w:val="both"/>
        <w:rPr>
          <w:rFonts w:hint="default" w:ascii="Times New Roman" w:hAnsi="Times New Roman" w:eastAsia="宋体" w:cs="Times New Roman"/>
          <w:b/>
          <w:bCs/>
          <w:color w:val="auto"/>
          <w:szCs w:val="24"/>
          <w:highlight w:val="none"/>
          <w:lang w:val="en-US" w:eastAsia="zh-CN"/>
        </w:rPr>
      </w:pPr>
      <w:r>
        <w:rPr>
          <w:rFonts w:hint="eastAsia" w:cs="Times New Roman"/>
          <w:b/>
          <w:bCs/>
          <w:color w:val="auto"/>
          <w:szCs w:val="24"/>
          <w:highlight w:val="none"/>
          <w:lang w:eastAsia="zh-CN"/>
        </w:rPr>
        <w:t>（</w:t>
      </w:r>
      <w:r>
        <w:rPr>
          <w:rFonts w:hint="eastAsia" w:cs="Times New Roman"/>
          <w:b/>
          <w:bCs/>
          <w:color w:val="auto"/>
          <w:szCs w:val="24"/>
          <w:highlight w:val="none"/>
          <w:lang w:val="en-US" w:eastAsia="zh-CN"/>
        </w:rPr>
        <w:t>3）</w:t>
      </w:r>
      <w:r>
        <w:rPr>
          <w:rFonts w:hint="default" w:ascii="Times New Roman" w:hAnsi="Times New Roman" w:cs="Times New Roman"/>
          <w:b/>
          <w:bCs/>
          <w:color w:val="auto"/>
          <w:szCs w:val="24"/>
          <w:highlight w:val="none"/>
        </w:rPr>
        <w:t>危废</w:t>
      </w:r>
      <w:r>
        <w:rPr>
          <w:rFonts w:hint="eastAsia" w:cs="Times New Roman"/>
          <w:b/>
          <w:bCs/>
          <w:color w:val="auto"/>
          <w:szCs w:val="24"/>
          <w:highlight w:val="none"/>
          <w:lang w:val="en-US" w:eastAsia="zh-CN"/>
        </w:rPr>
        <w:t>委托处置</w:t>
      </w:r>
    </w:p>
    <w:p w14:paraId="2BFFB9C8">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bookmarkStart w:id="636" w:name="_Toc17502"/>
      <w:bookmarkStart w:id="637" w:name="_Toc10361"/>
      <w:bookmarkStart w:id="638" w:name="_Toc21803"/>
      <w:r>
        <w:rPr>
          <w:rFonts w:hint="eastAsia" w:ascii="Times New Roman" w:hAnsi="Times New Roman" w:eastAsia="宋体" w:cs="Times New Roman"/>
          <w:color w:val="auto"/>
          <w:kern w:val="0"/>
          <w:sz w:val="24"/>
          <w:szCs w:val="24"/>
          <w:highlight w:val="none"/>
          <w:lang w:val="en-US" w:eastAsia="zh-CN" w:bidi="ar"/>
        </w:rPr>
        <w:t>本项目产生的危险废物应按照《危险废物环境管理指南陆上石油天然气开采》(生态环境部公告2021年第74号)中相关要求，落实危险废物经营许可证制度，禁止将危险废物提供或委托给无危险废物经营许可证的单位或者其他生产经营者从事收集、贮存、利用、处置活动。</w:t>
      </w:r>
    </w:p>
    <w:p w14:paraId="2672E9DA">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w:t>
      </w:r>
      <w:r>
        <w:rPr>
          <w:rFonts w:hint="eastAsia" w:ascii="Times New Roman" w:hAnsi="Times New Roman" w:eastAsia="宋体" w:cs="Times New Roman"/>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运营单位应对处置单位的主体资格和技术能力进行核实，依法签订书面合同，并在合同中约定利用、处置危险废物的污染防治要求及相关责任，合同期内及时了解接收人贮存、利用或者处置相关危险废物情况，确保本</w:t>
      </w:r>
      <w:r>
        <w:rPr>
          <w:rFonts w:hint="eastAsia" w:ascii="Times New Roman" w:hAnsi="Times New Roman" w:eastAsia="宋体" w:cs="Times New Roman"/>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运营期产生的危险废物得到妥善处置，避免对外环境产生不利影响。</w:t>
      </w:r>
    </w:p>
    <w:p w14:paraId="1751D859">
      <w:pPr>
        <w:pStyle w:val="6"/>
        <w:pageBreakBefore w:val="0"/>
        <w:kinsoku/>
        <w:wordWrap/>
        <w:overflowPunct/>
        <w:topLinePunct w:val="0"/>
        <w:autoSpaceDE/>
        <w:autoSpaceDN/>
        <w:bidi w:val="0"/>
        <w:adjustRightInd w:val="0"/>
        <w:snapToGrid w:val="0"/>
        <w:spacing w:beforeLines="0" w:afterLines="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6.2.6土壤环境保护措施</w:t>
      </w:r>
      <w:bookmarkEnd w:id="636"/>
      <w:bookmarkEnd w:id="637"/>
      <w:bookmarkEnd w:id="638"/>
    </w:p>
    <w:p w14:paraId="691F572F">
      <w:pPr>
        <w:pStyle w:val="31"/>
        <w:spacing w:after="0"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（1）源头控制</w:t>
      </w:r>
    </w:p>
    <w:p w14:paraId="3B7B54FB">
      <w:pPr>
        <w:pStyle w:val="31"/>
        <w:spacing w:after="0"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定期检修维护井场压力、流量传感器；定期派人检查井场、井口区、阀组站，防止采出液</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选用耐腐蚀性能好、抗老化性能、耐热性能好、抗冻性能好、耐磨性能好的管材作为集输管线，管线工程按照一定比例设置截断阀；通过加强管线内的压力、流量传感器检修维护，保障发生管线阀门连接处泄漏及时切断阀门，减少泄漏量；加强日常巡检监管工作，出现泄漏情况能及时发现；加强法兰、阀门连接处腐蚀情况记录管理，避免因老化、腐蚀导致泄漏情况发生。井下作业按照“带罐上岗”的作业模式，加强井场及管线巡检，避免因“跑、冒、滴、漏”或泄漏事故发生造成原油进入土壤，发生泄漏事故时应及时清理落地油，受污染的土壤应交由具有相应危险废物处置资质的单位负责接收、转运和处置，降低对土壤环境质量的影响程度。</w:t>
      </w:r>
    </w:p>
    <w:p w14:paraId="698B9047">
      <w:pPr>
        <w:pStyle w:val="31"/>
        <w:spacing w:after="0"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（2）过程防控措施</w:t>
      </w:r>
    </w:p>
    <w:p w14:paraId="4124F4B9">
      <w:pPr>
        <w:pStyle w:val="31"/>
        <w:spacing w:after="0"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巡检车辆严格按照油田巡检路线行驶，不得因乱碾乱压破坏土壤结构。严格执行地下水章节分区防控措施要求。防渗措施的设计，使用年限不应低于</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主体工程的设计使用年限。</w:t>
      </w:r>
    </w:p>
    <w:p w14:paraId="7C138067">
      <w:pPr>
        <w:pStyle w:val="31"/>
        <w:spacing w:after="0"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（3）跟踪监测</w:t>
      </w:r>
    </w:p>
    <w:p w14:paraId="3A6E8A9F">
      <w:pPr>
        <w:pStyle w:val="31"/>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制定跟踪监测计划，发生事故</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时对井口区及集输管线铺设范围可能影响区域进行跟踪监测。</w:t>
      </w:r>
    </w:p>
    <w:p w14:paraId="401EABD7">
      <w:pPr>
        <w:pStyle w:val="9"/>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4"/>
          <w:highlight w:val="none"/>
          <w:lang w:val="en-US" w:eastAsia="zh-CN"/>
        </w:rPr>
        <w:t>综上所述，</w:t>
      </w:r>
      <w:r>
        <w:rPr>
          <w:rFonts w:hint="default" w:ascii="Times New Roman" w:hAnsi="Times New Roman" w:eastAsia="宋体" w:cs="Times New Roman"/>
          <w:color w:val="auto"/>
          <w:szCs w:val="24"/>
          <w:highlight w:val="none"/>
        </w:rPr>
        <w:t>采取的</w:t>
      </w:r>
      <w:r>
        <w:rPr>
          <w:rFonts w:hint="default" w:ascii="Times New Roman" w:hAnsi="Times New Roman" w:eastAsia="宋体" w:cs="Times New Roman"/>
          <w:color w:val="auto"/>
          <w:szCs w:val="24"/>
          <w:highlight w:val="none"/>
          <w:lang w:val="en-US" w:eastAsia="zh-CN"/>
        </w:rPr>
        <w:t>土壤环境保护措施</w:t>
      </w:r>
      <w:r>
        <w:rPr>
          <w:rFonts w:hint="default" w:ascii="Times New Roman" w:hAnsi="Times New Roman" w:eastAsia="宋体" w:cs="Times New Roman"/>
          <w:color w:val="auto"/>
          <w:highlight w:val="none"/>
        </w:rPr>
        <w:t>是可行的</w:t>
      </w:r>
      <w:r>
        <w:rPr>
          <w:rFonts w:hint="default" w:ascii="Times New Roman" w:hAnsi="Times New Roman" w:eastAsia="宋体" w:cs="Times New Roman"/>
          <w:color w:val="auto"/>
          <w:highlight w:val="none"/>
          <w:lang w:eastAsia="zh-CN"/>
        </w:rPr>
        <w:t>。</w:t>
      </w:r>
      <w:bookmarkStart w:id="639" w:name="_Toc1995"/>
      <w:bookmarkStart w:id="640" w:name="_Toc2939"/>
      <w:bookmarkStart w:id="641" w:name="_Toc16260"/>
    </w:p>
    <w:p w14:paraId="0F3682D9">
      <w:pPr>
        <w:pStyle w:val="6"/>
        <w:pageBreakBefore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6.2.7地下水环境保护措施与对策</w:t>
      </w:r>
      <w:bookmarkEnd w:id="639"/>
      <w:bookmarkEnd w:id="640"/>
      <w:bookmarkEnd w:id="641"/>
    </w:p>
    <w:p w14:paraId="79E37B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环境保护措施与对策应符合《中华人民共和国水污染防治法》和《中华人民共和国环境影响评价法》的相关规定，按照“源头控制、分区防控、污染监控、应急响应”，重点突出饮用水水质安全的原则确定。</w:t>
      </w:r>
    </w:p>
    <w:p w14:paraId="74DE10BF">
      <w:pPr>
        <w:pStyle w:val="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6.2.7.1</w:t>
      </w:r>
      <w:r>
        <w:rPr>
          <w:rFonts w:hint="default" w:ascii="Times New Roman" w:hAnsi="Times New Roman" w:cs="Times New Roman"/>
          <w:color w:val="auto"/>
          <w:highlight w:val="none"/>
          <w:lang w:eastAsia="zh-CN"/>
        </w:rPr>
        <w:t>源头控制措施</w:t>
      </w:r>
    </w:p>
    <w:p w14:paraId="4D1409E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①采取先进、成熟、可靠的工艺技术工艺，良好合格的防渗材料，尽可能从源头上减少污染物泄漏风险，同时，严格按照施工规范施工，保证施工质量。</w:t>
      </w:r>
    </w:p>
    <w:p w14:paraId="2EEC32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②定期做好井场设备、阀门、管线等巡检，一旦发现异常，及时采取措施，避免“跑、冒、滴、漏”现象的发生。</w:t>
      </w:r>
    </w:p>
    <w:p w14:paraId="0F826E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③井下作业均带罐作业，采用的专用收集罐集中收集作业废水，外委处置。</w:t>
      </w:r>
    </w:p>
    <w:p w14:paraId="37E0AFD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④设备定期检验、维护、保养，定期对采油井的固井质量进行检查，防止发生井漏等事故。</w:t>
      </w:r>
    </w:p>
    <w:p w14:paraId="7CEEF8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⑤严格按照《固井作业规程第1部分：常规固井》（SY/T5374.1）、《固井设计规范》（SY/T5480）实施固井工程，确保固井质量满足《固井质量评价方法》（SY/T6592）相关要求，避免套管返液窜漏污染地下水。</w:t>
      </w:r>
    </w:p>
    <w:p w14:paraId="7A4508A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⑥加强对油井的监测和管理工作，定期检查，及时发现、修补坏损井，减少原油泄漏量。</w:t>
      </w:r>
    </w:p>
    <w:p w14:paraId="3BAEDBC8">
      <w:pPr>
        <w:pStyle w:val="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6.2.7.2</w:t>
      </w:r>
      <w:r>
        <w:rPr>
          <w:rFonts w:hint="default" w:ascii="Times New Roman" w:hAnsi="Times New Roman" w:cs="Times New Roman"/>
          <w:color w:val="auto"/>
          <w:highlight w:val="none"/>
          <w:lang w:eastAsia="zh-CN"/>
        </w:rPr>
        <w:t>分区防控措施</w:t>
      </w:r>
    </w:p>
    <w:p w14:paraId="398F186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为防止污染地下水，针对工程工艺特点，严格执行《环境影响评价技术导则地下水环境》（HJ610–2016）“11.2.2分区防控措施”相关要求，本评价确定防渗要求见表</w:t>
      </w:r>
      <w:r>
        <w:rPr>
          <w:rFonts w:hint="default" w:ascii="Times New Roman" w:hAnsi="Times New Roman" w:cs="Times New Roman"/>
          <w:color w:val="auto"/>
          <w:highlight w:val="none"/>
          <w:lang w:val="en-US" w:eastAsia="zh-CN"/>
        </w:rPr>
        <w:t>6.2-2</w:t>
      </w:r>
      <w:r>
        <w:rPr>
          <w:rFonts w:hint="default" w:ascii="Times New Roman" w:hAnsi="Times New Roman" w:cs="Times New Roman"/>
          <w:color w:val="auto"/>
          <w:highlight w:val="none"/>
          <w:lang w:eastAsia="zh-CN"/>
        </w:rPr>
        <w:t>。</w:t>
      </w:r>
    </w:p>
    <w:p w14:paraId="092B5EF0">
      <w:pPr>
        <w:pStyle w:val="44"/>
        <w:bidi w:val="0"/>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表6.2-2</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分区防渗要求一览表</w:t>
      </w:r>
    </w:p>
    <w:tbl>
      <w:tblPr>
        <w:tblStyle w:val="60"/>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37"/>
        <w:gridCol w:w="1179"/>
        <w:gridCol w:w="1253"/>
        <w:gridCol w:w="4987"/>
      </w:tblGrid>
      <w:tr w14:paraId="5CB12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64" w:type="pct"/>
            <w:tcBorders>
              <w:top w:val="single" w:color="000000" w:sz="6" w:space="0"/>
              <w:left w:val="single" w:color="000000" w:sz="6" w:space="0"/>
            </w:tcBorders>
            <w:vAlign w:val="center"/>
          </w:tcPr>
          <w:p w14:paraId="4AF4C5B9">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421" w:type="pct"/>
            <w:gridSpan w:val="2"/>
            <w:tcBorders>
              <w:top w:val="single" w:color="000000" w:sz="6" w:space="0"/>
            </w:tcBorders>
            <w:vAlign w:val="center"/>
          </w:tcPr>
          <w:p w14:paraId="08D95D5E">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防渗分区</w:t>
            </w:r>
          </w:p>
        </w:tc>
        <w:tc>
          <w:tcPr>
            <w:tcW w:w="2913" w:type="pct"/>
            <w:tcBorders>
              <w:top w:val="single" w:color="000000" w:sz="6" w:space="0"/>
              <w:right w:val="single" w:color="000000" w:sz="6" w:space="0"/>
            </w:tcBorders>
            <w:vAlign w:val="center"/>
          </w:tcPr>
          <w:p w14:paraId="7630D689">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防渗要求</w:t>
            </w:r>
          </w:p>
        </w:tc>
      </w:tr>
      <w:tr w14:paraId="405C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64" w:type="pct"/>
            <w:tcBorders>
              <w:left w:val="single" w:color="000000" w:sz="6" w:space="0"/>
            </w:tcBorders>
            <w:vAlign w:val="center"/>
          </w:tcPr>
          <w:p w14:paraId="4B569C61">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运营期井场</w:t>
            </w:r>
          </w:p>
        </w:tc>
        <w:tc>
          <w:tcPr>
            <w:tcW w:w="689" w:type="pct"/>
            <w:vAlign w:val="center"/>
          </w:tcPr>
          <w:p w14:paraId="39825998">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一般防渗区</w:t>
            </w:r>
          </w:p>
        </w:tc>
        <w:tc>
          <w:tcPr>
            <w:tcW w:w="732" w:type="pct"/>
            <w:vAlign w:val="center"/>
          </w:tcPr>
          <w:p w14:paraId="200DA28A">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井口</w:t>
            </w:r>
            <w:r>
              <w:rPr>
                <w:rFonts w:hint="default" w:ascii="Times New Roman" w:hAnsi="Times New Roman" w:cs="Times New Roman"/>
                <w:color w:val="auto"/>
                <w:highlight w:val="none"/>
                <w:lang w:val="en-US" w:eastAsia="zh-CN"/>
              </w:rPr>
              <w:t>区</w:t>
            </w:r>
          </w:p>
        </w:tc>
        <w:tc>
          <w:tcPr>
            <w:tcW w:w="2913" w:type="pct"/>
            <w:tcBorders>
              <w:right w:val="single" w:color="000000" w:sz="6" w:space="0"/>
            </w:tcBorders>
            <w:vAlign w:val="center"/>
          </w:tcPr>
          <w:p w14:paraId="390E65C9">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等效黏土防渗层Mb≥1.5m，K≤1.0×10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cm/s；或参照GB16889执行</w:t>
            </w:r>
          </w:p>
        </w:tc>
      </w:tr>
      <w:tr w14:paraId="34966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64" w:type="pct"/>
            <w:tcBorders>
              <w:left w:val="single" w:color="000000" w:sz="6" w:space="0"/>
              <w:bottom w:val="single" w:color="000000" w:sz="6" w:space="0"/>
            </w:tcBorders>
            <w:vAlign w:val="center"/>
          </w:tcPr>
          <w:p w14:paraId="2816BBDB">
            <w:pPr>
              <w:pStyle w:val="52"/>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其他区域</w:t>
            </w:r>
          </w:p>
        </w:tc>
        <w:tc>
          <w:tcPr>
            <w:tcW w:w="689" w:type="pct"/>
            <w:tcBorders>
              <w:bottom w:val="single" w:color="000000" w:sz="6" w:space="0"/>
            </w:tcBorders>
            <w:vAlign w:val="center"/>
          </w:tcPr>
          <w:p w14:paraId="2FCBC520">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简单防渗区</w:t>
            </w:r>
          </w:p>
        </w:tc>
        <w:tc>
          <w:tcPr>
            <w:tcW w:w="732" w:type="pct"/>
            <w:tcBorders>
              <w:bottom w:val="single" w:color="000000" w:sz="6" w:space="0"/>
            </w:tcBorders>
            <w:vAlign w:val="center"/>
          </w:tcPr>
          <w:p w14:paraId="0CCB7889">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其他区域</w:t>
            </w:r>
          </w:p>
        </w:tc>
        <w:tc>
          <w:tcPr>
            <w:tcW w:w="2913" w:type="pct"/>
            <w:tcBorders>
              <w:bottom w:val="single" w:color="000000" w:sz="6" w:space="0"/>
              <w:right w:val="single" w:color="000000" w:sz="6" w:space="0"/>
            </w:tcBorders>
            <w:vAlign w:val="center"/>
          </w:tcPr>
          <w:p w14:paraId="7F05A643">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一般地面硬化</w:t>
            </w:r>
          </w:p>
        </w:tc>
      </w:tr>
    </w:tbl>
    <w:p w14:paraId="189E2D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为确保防渗措施的防渗效果，在施工过程中建设单位应加强施工期的管理，严格按防渗设计要求进行施工，加强防渗措施的日常维护，使防渗措施达到应有的防渗效果。本项目管线均为防腐管线。同时应加强各生产设施的环保设施的管理，避免跑冒滴漏。</w:t>
      </w:r>
    </w:p>
    <w:p w14:paraId="2D856176">
      <w:pPr>
        <w:pStyle w:val="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6.2.7.3</w:t>
      </w:r>
      <w:r>
        <w:rPr>
          <w:rFonts w:hint="default" w:ascii="Times New Roman" w:hAnsi="Times New Roman" w:cs="Times New Roman"/>
          <w:color w:val="auto"/>
          <w:highlight w:val="none"/>
          <w:lang w:eastAsia="zh-CN"/>
        </w:rPr>
        <w:t>地下水污染监控措施</w:t>
      </w:r>
    </w:p>
    <w:p w14:paraId="71660D9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尽管溶质运移模拟结果表明，在非正常状况下，建设工程不会影响地下水环境，但是由于水文地质条件的复杂性，很多因素是不确定的，数学模型预测不能将各种情况完全考虑，加之很多参数和地质体存在很大的不确定性，预测结果只能作为参考。因此为了及时发现工程运行中出现的对地下水环境的不利影响，防范地下水污染事故发生，减缓对地下水环境的不利影响，并为地下水污染后的治理措施制定和治理方案实施提供基础资料，建议建设单位在工程正式运行前，设置地下水环境跟踪监测点，并在工程运行中定期监测、定期整理研究、定期预报、识别事故并及时采取措施，尽可能减小工程在非正常状况下对地下水环境的影响。</w:t>
      </w:r>
    </w:p>
    <w:p w14:paraId="08918AE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①监测井数</w:t>
      </w:r>
    </w:p>
    <w:p w14:paraId="743037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本项目特点建立和完善区域地下水环境监测制度和环境管理体系，制定完善的监测计划，环境监测工作可委托当地有资质的环境监测机构承担。根据《环境影响评价技术导则•地下水环境》(HJ610-2016)及《地下水环境监测技术规范》(HJ164-2020)的要求、地下水流向、工程的平面布置特征及地下水监测布点原则，本项目地下水监测计划见表</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p>
    <w:p w14:paraId="3912B14F">
      <w:pPr>
        <w:pStyle w:val="44"/>
        <w:bidi w:val="0"/>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表6.2-3</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地下水监测点布控一览表</w:t>
      </w:r>
    </w:p>
    <w:tbl>
      <w:tblPr>
        <w:tblStyle w:val="60"/>
        <w:tblW w:w="50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Layout w:type="autofit"/>
        <w:tblCellMar>
          <w:top w:w="0" w:type="dxa"/>
          <w:left w:w="0" w:type="dxa"/>
          <w:bottom w:w="0" w:type="dxa"/>
          <w:right w:w="0" w:type="dxa"/>
        </w:tblCellMar>
      </w:tblPr>
      <w:tblGrid>
        <w:gridCol w:w="312"/>
        <w:gridCol w:w="813"/>
        <w:gridCol w:w="758"/>
        <w:gridCol w:w="495"/>
        <w:gridCol w:w="3698"/>
        <w:gridCol w:w="1569"/>
        <w:gridCol w:w="1066"/>
      </w:tblGrid>
      <w:tr w14:paraId="58CE5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602" w:hRule="atLeast"/>
        </w:trPr>
        <w:tc>
          <w:tcPr>
            <w:tcW w:w="179" w:type="pct"/>
            <w:tcBorders>
              <w:tl2br w:val="nil"/>
              <w:tr2bl w:val="nil"/>
            </w:tcBorders>
            <w:vAlign w:val="center"/>
          </w:tcPr>
          <w:p w14:paraId="606CECF8">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编号</w:t>
            </w:r>
          </w:p>
        </w:tc>
        <w:tc>
          <w:tcPr>
            <w:tcW w:w="466" w:type="pct"/>
            <w:tcBorders>
              <w:tl2br w:val="nil"/>
              <w:tr2bl w:val="nil"/>
            </w:tcBorders>
            <w:vAlign w:val="center"/>
          </w:tcPr>
          <w:p w14:paraId="4BEC0517">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64BEF902">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层位</w:t>
            </w:r>
          </w:p>
        </w:tc>
        <w:tc>
          <w:tcPr>
            <w:tcW w:w="435" w:type="pct"/>
            <w:tcBorders>
              <w:tl2br w:val="nil"/>
              <w:tr2bl w:val="nil"/>
            </w:tcBorders>
            <w:vAlign w:val="center"/>
          </w:tcPr>
          <w:p w14:paraId="306FBA73">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功能</w:t>
            </w:r>
          </w:p>
        </w:tc>
        <w:tc>
          <w:tcPr>
            <w:tcW w:w="284" w:type="pct"/>
            <w:tcBorders>
              <w:tl2br w:val="nil"/>
              <w:tr2bl w:val="nil"/>
            </w:tcBorders>
            <w:vAlign w:val="center"/>
          </w:tcPr>
          <w:p w14:paraId="52A95894">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井深</w:t>
            </w:r>
          </w:p>
        </w:tc>
        <w:tc>
          <w:tcPr>
            <w:tcW w:w="2121" w:type="pct"/>
            <w:tcBorders>
              <w:tl2br w:val="nil"/>
              <w:tr2bl w:val="nil"/>
            </w:tcBorders>
            <w:vAlign w:val="center"/>
          </w:tcPr>
          <w:p w14:paraId="23392012">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900" w:type="pct"/>
            <w:tcBorders>
              <w:tl2br w:val="nil"/>
              <w:tr2bl w:val="nil"/>
            </w:tcBorders>
            <w:vAlign w:val="center"/>
          </w:tcPr>
          <w:p w14:paraId="5AF7D3AF">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方位/距离</w:t>
            </w:r>
          </w:p>
        </w:tc>
        <w:tc>
          <w:tcPr>
            <w:tcW w:w="611" w:type="pct"/>
            <w:tcBorders>
              <w:tl2br w:val="nil"/>
              <w:tr2bl w:val="nil"/>
            </w:tcBorders>
            <w:vAlign w:val="center"/>
          </w:tcPr>
          <w:p w14:paraId="291F75C6">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tc>
      </w:tr>
      <w:tr w14:paraId="1680F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421" w:hRule="atLeast"/>
        </w:trPr>
        <w:tc>
          <w:tcPr>
            <w:tcW w:w="179" w:type="pct"/>
            <w:tcBorders>
              <w:tl2br w:val="nil"/>
              <w:tr2bl w:val="nil"/>
            </w:tcBorders>
            <w:vAlign w:val="center"/>
          </w:tcPr>
          <w:p w14:paraId="0762F381">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J1</w:t>
            </w:r>
          </w:p>
        </w:tc>
        <w:tc>
          <w:tcPr>
            <w:tcW w:w="466" w:type="pct"/>
            <w:vMerge w:val="restart"/>
            <w:tcBorders>
              <w:tl2br w:val="nil"/>
              <w:tr2bl w:val="nil"/>
            </w:tcBorders>
            <w:vAlign w:val="center"/>
          </w:tcPr>
          <w:p w14:paraId="7E493D54">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潜水含水层</w:t>
            </w:r>
          </w:p>
        </w:tc>
        <w:tc>
          <w:tcPr>
            <w:tcW w:w="435" w:type="pct"/>
            <w:vMerge w:val="restart"/>
            <w:tcBorders>
              <w:tl2br w:val="nil"/>
              <w:tr2bl w:val="nil"/>
            </w:tcBorders>
            <w:vAlign w:val="center"/>
          </w:tcPr>
          <w:p w14:paraId="6CAC1EF6">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跟踪监测井</w:t>
            </w:r>
          </w:p>
        </w:tc>
        <w:tc>
          <w:tcPr>
            <w:tcW w:w="284" w:type="pct"/>
            <w:vMerge w:val="restart"/>
            <w:tcBorders>
              <w:tl2br w:val="nil"/>
              <w:tr2bl w:val="nil"/>
            </w:tcBorders>
            <w:vAlign w:val="center"/>
          </w:tcPr>
          <w:p w14:paraId="70C600C0">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≤50m</w:t>
            </w:r>
          </w:p>
        </w:tc>
        <w:tc>
          <w:tcPr>
            <w:tcW w:w="2121" w:type="pct"/>
            <w:vMerge w:val="restart"/>
            <w:tcBorders>
              <w:tl2br w:val="nil"/>
              <w:tr2bl w:val="nil"/>
            </w:tcBorders>
            <w:vAlign w:val="center"/>
          </w:tcPr>
          <w:p w14:paraId="7A67C6F8">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pH、总硬度、溶解性总固体、硫化物、石油类、石油烃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6</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9</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、石油烃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40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、砷、六价铬</w:t>
            </w:r>
          </w:p>
        </w:tc>
        <w:tc>
          <w:tcPr>
            <w:tcW w:w="900" w:type="pct"/>
            <w:tcBorders>
              <w:tl2br w:val="nil"/>
              <w:tr2bl w:val="nil"/>
            </w:tcBorders>
            <w:vAlign w:val="center"/>
          </w:tcPr>
          <w:p w14:paraId="10F33A2A">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上游地下水井</w:t>
            </w:r>
          </w:p>
        </w:tc>
        <w:tc>
          <w:tcPr>
            <w:tcW w:w="611" w:type="pct"/>
            <w:vMerge w:val="restart"/>
            <w:tcBorders>
              <w:tl2br w:val="nil"/>
              <w:tr2bl w:val="nil"/>
            </w:tcBorders>
            <w:vAlign w:val="center"/>
          </w:tcPr>
          <w:p w14:paraId="706BC9D5">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每半年1次</w:t>
            </w:r>
          </w:p>
        </w:tc>
      </w:tr>
      <w:tr w14:paraId="01D75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422" w:hRule="atLeast"/>
        </w:trPr>
        <w:tc>
          <w:tcPr>
            <w:tcW w:w="179" w:type="pct"/>
            <w:tcBorders>
              <w:tl2br w:val="nil"/>
              <w:tr2bl w:val="nil"/>
            </w:tcBorders>
            <w:vAlign w:val="center"/>
          </w:tcPr>
          <w:p w14:paraId="1AAE404D">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J2</w:t>
            </w:r>
          </w:p>
        </w:tc>
        <w:tc>
          <w:tcPr>
            <w:tcW w:w="466" w:type="pct"/>
            <w:vMerge w:val="continue"/>
            <w:tcBorders>
              <w:tl2br w:val="nil"/>
              <w:tr2bl w:val="nil"/>
            </w:tcBorders>
            <w:vAlign w:val="center"/>
          </w:tcPr>
          <w:p w14:paraId="4E2388F9">
            <w:pPr>
              <w:pStyle w:val="52"/>
              <w:bidi w:val="0"/>
              <w:jc w:val="center"/>
              <w:rPr>
                <w:rFonts w:hint="default" w:ascii="Times New Roman" w:hAnsi="Times New Roman" w:cs="Times New Roman"/>
                <w:color w:val="auto"/>
                <w:highlight w:val="none"/>
              </w:rPr>
            </w:pPr>
          </w:p>
        </w:tc>
        <w:tc>
          <w:tcPr>
            <w:tcW w:w="435" w:type="pct"/>
            <w:vMerge w:val="continue"/>
            <w:tcBorders>
              <w:tl2br w:val="nil"/>
              <w:tr2bl w:val="nil"/>
            </w:tcBorders>
            <w:vAlign w:val="center"/>
          </w:tcPr>
          <w:p w14:paraId="2043E441">
            <w:pPr>
              <w:pStyle w:val="52"/>
              <w:bidi w:val="0"/>
              <w:jc w:val="center"/>
              <w:rPr>
                <w:rFonts w:hint="default" w:ascii="Times New Roman" w:hAnsi="Times New Roman" w:cs="Times New Roman"/>
                <w:color w:val="auto"/>
                <w:highlight w:val="none"/>
              </w:rPr>
            </w:pPr>
          </w:p>
        </w:tc>
        <w:tc>
          <w:tcPr>
            <w:tcW w:w="284" w:type="pct"/>
            <w:vMerge w:val="continue"/>
            <w:tcBorders>
              <w:tl2br w:val="nil"/>
              <w:tr2bl w:val="nil"/>
            </w:tcBorders>
            <w:vAlign w:val="center"/>
          </w:tcPr>
          <w:p w14:paraId="3E5A178F">
            <w:pPr>
              <w:pStyle w:val="52"/>
              <w:bidi w:val="0"/>
              <w:jc w:val="center"/>
              <w:rPr>
                <w:rFonts w:hint="default" w:ascii="Times New Roman" w:hAnsi="Times New Roman" w:cs="Times New Roman"/>
                <w:color w:val="auto"/>
                <w:highlight w:val="none"/>
              </w:rPr>
            </w:pPr>
          </w:p>
        </w:tc>
        <w:tc>
          <w:tcPr>
            <w:tcW w:w="2121" w:type="pct"/>
            <w:vMerge w:val="continue"/>
            <w:tcBorders>
              <w:tl2br w:val="nil"/>
              <w:tr2bl w:val="nil"/>
            </w:tcBorders>
            <w:vAlign w:val="center"/>
          </w:tcPr>
          <w:p w14:paraId="24E65C47">
            <w:pPr>
              <w:pStyle w:val="52"/>
              <w:bidi w:val="0"/>
              <w:jc w:val="center"/>
              <w:rPr>
                <w:rFonts w:hint="default" w:ascii="Times New Roman" w:hAnsi="Times New Roman" w:cs="Times New Roman"/>
                <w:color w:val="auto"/>
                <w:highlight w:val="none"/>
              </w:rPr>
            </w:pPr>
          </w:p>
        </w:tc>
        <w:tc>
          <w:tcPr>
            <w:tcW w:w="900" w:type="pct"/>
            <w:tcBorders>
              <w:tl2br w:val="nil"/>
              <w:tr2bl w:val="nil"/>
            </w:tcBorders>
            <w:vAlign w:val="center"/>
          </w:tcPr>
          <w:p w14:paraId="36965676">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下游地下水井</w:t>
            </w:r>
          </w:p>
        </w:tc>
        <w:tc>
          <w:tcPr>
            <w:tcW w:w="611" w:type="pct"/>
            <w:vMerge w:val="continue"/>
            <w:tcBorders>
              <w:tl2br w:val="nil"/>
              <w:tr2bl w:val="nil"/>
            </w:tcBorders>
            <w:vAlign w:val="center"/>
          </w:tcPr>
          <w:p w14:paraId="5FD6AF0E">
            <w:pPr>
              <w:pStyle w:val="52"/>
              <w:bidi w:val="0"/>
              <w:jc w:val="center"/>
              <w:rPr>
                <w:rFonts w:hint="default" w:ascii="Times New Roman" w:hAnsi="Times New Roman" w:cs="Times New Roman"/>
                <w:color w:val="auto"/>
                <w:highlight w:val="none"/>
              </w:rPr>
            </w:pPr>
          </w:p>
        </w:tc>
      </w:tr>
      <w:tr w14:paraId="04D49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436" w:hRule="atLeast"/>
        </w:trPr>
        <w:tc>
          <w:tcPr>
            <w:tcW w:w="179" w:type="pct"/>
            <w:tcBorders>
              <w:tl2br w:val="nil"/>
              <w:tr2bl w:val="nil"/>
            </w:tcBorders>
            <w:vAlign w:val="center"/>
          </w:tcPr>
          <w:p w14:paraId="27C037CC">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J3</w:t>
            </w:r>
          </w:p>
        </w:tc>
        <w:tc>
          <w:tcPr>
            <w:tcW w:w="466" w:type="pct"/>
            <w:vMerge w:val="continue"/>
            <w:tcBorders>
              <w:tl2br w:val="nil"/>
              <w:tr2bl w:val="nil"/>
            </w:tcBorders>
            <w:vAlign w:val="center"/>
          </w:tcPr>
          <w:p w14:paraId="75F847DD">
            <w:pPr>
              <w:pStyle w:val="52"/>
              <w:bidi w:val="0"/>
              <w:jc w:val="center"/>
              <w:rPr>
                <w:rFonts w:hint="default" w:ascii="Times New Roman" w:hAnsi="Times New Roman" w:cs="Times New Roman"/>
                <w:color w:val="auto"/>
                <w:highlight w:val="none"/>
              </w:rPr>
            </w:pPr>
          </w:p>
        </w:tc>
        <w:tc>
          <w:tcPr>
            <w:tcW w:w="435" w:type="pct"/>
            <w:vMerge w:val="continue"/>
            <w:tcBorders>
              <w:tl2br w:val="nil"/>
              <w:tr2bl w:val="nil"/>
            </w:tcBorders>
            <w:vAlign w:val="center"/>
          </w:tcPr>
          <w:p w14:paraId="324283CD">
            <w:pPr>
              <w:pStyle w:val="52"/>
              <w:bidi w:val="0"/>
              <w:jc w:val="center"/>
              <w:rPr>
                <w:rFonts w:hint="default" w:ascii="Times New Roman" w:hAnsi="Times New Roman" w:cs="Times New Roman"/>
                <w:color w:val="auto"/>
                <w:highlight w:val="none"/>
              </w:rPr>
            </w:pPr>
          </w:p>
        </w:tc>
        <w:tc>
          <w:tcPr>
            <w:tcW w:w="284" w:type="pct"/>
            <w:vMerge w:val="continue"/>
            <w:tcBorders>
              <w:tl2br w:val="nil"/>
              <w:tr2bl w:val="nil"/>
            </w:tcBorders>
            <w:vAlign w:val="center"/>
          </w:tcPr>
          <w:p w14:paraId="1927DD3B">
            <w:pPr>
              <w:pStyle w:val="52"/>
              <w:bidi w:val="0"/>
              <w:jc w:val="center"/>
              <w:rPr>
                <w:rFonts w:hint="default" w:ascii="Times New Roman" w:hAnsi="Times New Roman" w:cs="Times New Roman"/>
                <w:color w:val="auto"/>
                <w:highlight w:val="none"/>
              </w:rPr>
            </w:pPr>
          </w:p>
        </w:tc>
        <w:tc>
          <w:tcPr>
            <w:tcW w:w="2121" w:type="pct"/>
            <w:vMerge w:val="continue"/>
            <w:tcBorders>
              <w:tl2br w:val="nil"/>
              <w:tr2bl w:val="nil"/>
            </w:tcBorders>
            <w:vAlign w:val="center"/>
          </w:tcPr>
          <w:p w14:paraId="2A813B59">
            <w:pPr>
              <w:pStyle w:val="52"/>
              <w:bidi w:val="0"/>
              <w:jc w:val="center"/>
              <w:rPr>
                <w:rFonts w:hint="default" w:ascii="Times New Roman" w:hAnsi="Times New Roman" w:cs="Times New Roman"/>
                <w:color w:val="auto"/>
                <w:highlight w:val="none"/>
              </w:rPr>
            </w:pPr>
          </w:p>
        </w:tc>
        <w:tc>
          <w:tcPr>
            <w:tcW w:w="900" w:type="pct"/>
            <w:tcBorders>
              <w:tl2br w:val="nil"/>
              <w:tr2bl w:val="nil"/>
            </w:tcBorders>
            <w:vAlign w:val="center"/>
          </w:tcPr>
          <w:p w14:paraId="1328451E">
            <w:pPr>
              <w:pStyle w:val="5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下游地下水井</w:t>
            </w:r>
          </w:p>
        </w:tc>
        <w:tc>
          <w:tcPr>
            <w:tcW w:w="611" w:type="pct"/>
            <w:vMerge w:val="continue"/>
            <w:tcBorders>
              <w:tl2br w:val="nil"/>
              <w:tr2bl w:val="nil"/>
            </w:tcBorders>
            <w:vAlign w:val="center"/>
          </w:tcPr>
          <w:p w14:paraId="5AB5AE27">
            <w:pPr>
              <w:pStyle w:val="52"/>
              <w:bidi w:val="0"/>
              <w:jc w:val="center"/>
              <w:rPr>
                <w:rFonts w:hint="default" w:ascii="Times New Roman" w:hAnsi="Times New Roman" w:cs="Times New Roman"/>
                <w:color w:val="auto"/>
                <w:highlight w:val="none"/>
              </w:rPr>
            </w:pPr>
          </w:p>
        </w:tc>
      </w:tr>
    </w:tbl>
    <w:p w14:paraId="7D7B05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②监测数据管理</w:t>
      </w:r>
    </w:p>
    <w:p w14:paraId="550C13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上述监测结果应按工程有关规定及时建立档案，并抄送生态环境主管部门，对于常规检测数据应该进行公开，特别是对工程区所在区域的居民公开，满足法律中关于知情权的要求。发现污染和水质恶化时，要及时进行处理，开展系统调查，并上报有关部门。</w:t>
      </w:r>
    </w:p>
    <w:p w14:paraId="0BAD36A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（2）地下水监测管理</w:t>
      </w:r>
    </w:p>
    <w:p w14:paraId="6B60AD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为保证地下水监测有效、有序管理，须制定相关规定、明确职责，采取以下管理措施和技术措施。</w:t>
      </w:r>
    </w:p>
    <w:p w14:paraId="1B4859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①管理措施</w:t>
      </w:r>
    </w:p>
    <w:p w14:paraId="1D133D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a）防止地下水污染管理的职责属于生态环境管理部门的职责之一。建设单位环境保护管理部门指派专人</w:t>
      </w:r>
      <w:r>
        <w:rPr>
          <w:rFonts w:hint="eastAsia" w:cs="Times New Roman"/>
          <w:color w:val="auto"/>
          <w:highlight w:val="none"/>
          <w:lang w:eastAsia="zh-CN"/>
        </w:rPr>
        <w:t>负责</w:t>
      </w:r>
      <w:r>
        <w:rPr>
          <w:rFonts w:hint="default" w:ascii="Times New Roman" w:hAnsi="Times New Roman" w:cs="Times New Roman"/>
          <w:color w:val="auto"/>
          <w:highlight w:val="none"/>
          <w:lang w:eastAsia="zh-CN"/>
        </w:rPr>
        <w:t>防治地下水污染管理工作。</w:t>
      </w:r>
    </w:p>
    <w:p w14:paraId="6DF37B8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b）管理单位生态环境管理部门应委托具有监测资质的单位负责地下水监测工作，按要求及时分析整理原始资料、监测报告的编写工作。</w:t>
      </w:r>
    </w:p>
    <w:p w14:paraId="270592B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c）建立地下水监测数据信息管理系统，与管理单位环境管理系统相联系。</w:t>
      </w:r>
    </w:p>
    <w:p w14:paraId="5D2453D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d）根据实际情况，按事故的性质、类型、影响范围、严重后果分等级地制订相应的预案。在制定预案时要根据本项目环境污染事故潜在威胁的情况，认真细致地考虑各项影响因素，适当的时候组织有关部门、人员进行演练，不断补充完善。</w:t>
      </w:r>
    </w:p>
    <w:p w14:paraId="527786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②技术措施</w:t>
      </w:r>
    </w:p>
    <w:p w14:paraId="14069A7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a）按照《地下水环境监测技术规范》(HJ/T164-2020)要求，及时上报监测数据和有关表格。</w:t>
      </w:r>
    </w:p>
    <w:p w14:paraId="247BF71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b）在日常例行监测中，一旦发现地下水水质监测数据异常，应尽快核查数据，确保数据的正确性</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并将核查过的监测数据通告管理单位生态环境部门，由专人负责对数据进行分析、核实，并密切关注生产设施的运行情况，为防止地下水污染采取措施提供正确的依据。应采取的措施如下：</w:t>
      </w:r>
    </w:p>
    <w:p w14:paraId="13736D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了解运营是否出现异常情况，出现异常情况的位置、原因。加大监测密度，如监测频率由每月(季)一次临时加密为每天一次或更多，连续多天，分析变化动向，周期性地编写地下水动态监测报告，定期对污染区的生产装置进行检查。</w:t>
      </w:r>
    </w:p>
    <w:p w14:paraId="441E2327">
      <w:pPr>
        <w:pStyle w:val="7"/>
        <w:pageBreakBefore w:val="0"/>
        <w:kinsoku/>
        <w:wordWrap/>
        <w:overflowPunct/>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6.2.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.4地下水风险事故应急预案</w:t>
      </w:r>
    </w:p>
    <w:p w14:paraId="49F2EF7E">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（1）应急防范措施</w:t>
      </w:r>
    </w:p>
    <w:p w14:paraId="28521BC2">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建设单位运行期应制定地下水环境事故应急技术及措施，主要包括：</w:t>
      </w:r>
    </w:p>
    <w:p w14:paraId="31C1699F">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①确定工程运行过程中可能发生的环境事故与风险等级；</w:t>
      </w:r>
    </w:p>
    <w:p w14:paraId="6FBF6120">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②监控项目的运行情况，发现运行故障或运行异常情况并及时采取措施。一旦发生污染事故应及时向当地生态环境部门报告，并积极采取控制措施以减小事故对周围环境的污染影响，调查分析事故原因和造成的直接和间接损失。</w:t>
      </w:r>
    </w:p>
    <w:p w14:paraId="700A4CA6">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③一旦发生环境事故，应立即启动应急环境监测，跟踪监测污染物的运移情况，直至事故影响根本消除；</w:t>
      </w:r>
    </w:p>
    <w:p w14:paraId="42D51941">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④根据事故状态下排放污水中的污染物特征，进行地下水环境质量跟踪监测，事故应急监测方案应与地方环境监测站共同制定和实施。企业应与地方环境监测站</w:t>
      </w:r>
      <w:r>
        <w:rPr>
          <w:rFonts w:hint="eastAsia" w:cs="Times New Roman"/>
          <w:color w:val="auto"/>
          <w:kern w:val="0"/>
          <w:sz w:val="24"/>
          <w:highlight w:val="none"/>
          <w:lang w:eastAsia="zh-CN"/>
        </w:rPr>
        <w:t>建立</w:t>
      </w:r>
      <w:r>
        <w:rPr>
          <w:rFonts w:hint="default" w:ascii="Times New Roman" w:hAnsi="Times New Roman" w:eastAsia="宋体" w:cs="Times New Roman"/>
          <w:color w:val="auto"/>
          <w:kern w:val="0"/>
          <w:sz w:val="24"/>
          <w:highlight w:val="none"/>
        </w:rPr>
        <w:t>应急响应体系，由地方监测站实施跟踪监测；</w:t>
      </w:r>
    </w:p>
    <w:p w14:paraId="4C753EF6">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⑤事故情况下地下水环境监测频率不小于1次/天，监测数据应及时上报有关主管部门；</w:t>
      </w:r>
    </w:p>
    <w:p w14:paraId="21160946">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⑥如地下水环境监测井中监测到地下水水质有异常超标现象，应在进行监测的基础上开展地下水风险评估，包括地下水修复和加强监测要求。</w:t>
      </w:r>
    </w:p>
    <w:p w14:paraId="107930A3">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（2）风险应急预案</w:t>
      </w:r>
    </w:p>
    <w:p w14:paraId="242891CD">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①应急预案在制定全</w:t>
      </w:r>
      <w:r>
        <w:rPr>
          <w:rFonts w:hint="default" w:ascii="Times New Roman" w:hAnsi="Times New Roman" w:eastAsia="宋体"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区环保管理体制的基础上，</w:t>
      </w:r>
      <w:r>
        <w:rPr>
          <w:rFonts w:hint="eastAsia" w:cs="Times New Roman"/>
          <w:color w:val="auto"/>
          <w:kern w:val="0"/>
          <w:sz w:val="24"/>
          <w:highlight w:val="none"/>
          <w:lang w:eastAsia="zh-CN"/>
        </w:rPr>
        <w:t>制定</w:t>
      </w:r>
      <w:r>
        <w:rPr>
          <w:rFonts w:hint="default" w:ascii="Times New Roman" w:hAnsi="Times New Roman" w:eastAsia="宋体" w:cs="Times New Roman"/>
          <w:color w:val="auto"/>
          <w:kern w:val="0"/>
          <w:sz w:val="24"/>
          <w:highlight w:val="none"/>
        </w:rPr>
        <w:t>专门的地下水污染事故的应急措施，并与</w:t>
      </w:r>
      <w:r>
        <w:rPr>
          <w:rFonts w:hint="eastAsia" w:cs="Times New Roman"/>
          <w:color w:val="auto"/>
          <w:kern w:val="0"/>
          <w:sz w:val="24"/>
          <w:highlight w:val="none"/>
          <w:lang w:eastAsia="zh-CN"/>
        </w:rPr>
        <w:t>其他</w:t>
      </w:r>
      <w:r>
        <w:rPr>
          <w:rFonts w:hint="default" w:ascii="Times New Roman" w:hAnsi="Times New Roman" w:eastAsia="宋体" w:cs="Times New Roman"/>
          <w:color w:val="auto"/>
          <w:kern w:val="0"/>
          <w:sz w:val="24"/>
          <w:highlight w:val="none"/>
        </w:rPr>
        <w:t>应急预案相协调。地下水应急预案包括以下内容：</w:t>
      </w:r>
    </w:p>
    <w:p w14:paraId="2C217FBF">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a）地下水环境保护目标的确定，采取的紧急处置措施和潜在污染可能性评估；</w:t>
      </w:r>
    </w:p>
    <w:p w14:paraId="283B7B3D">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b）特大事故应急抢险组织状况和人员、装备情况，平常的训练和演习。</w:t>
      </w:r>
    </w:p>
    <w:p w14:paraId="2D4FCA02">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②应急处置</w:t>
      </w:r>
    </w:p>
    <w:p w14:paraId="185A7CC8">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一旦发现地下水发生异常情况，必须按照应急预案马上采取紧急措施：</w:t>
      </w:r>
    </w:p>
    <w:p w14:paraId="54BAAD33">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a）当确定发生地下水异常情况时，按照制订的地下水应急预案，在第一时间内尽快上报主管领导，通知当地生态环境管理主管部门，密切关注地下水水质变化情况；</w:t>
      </w:r>
    </w:p>
    <w:p w14:paraId="684D9ECE">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b）组织专业队伍对事故现场进行调查、监测，查找环境事故发生地点、分析事故原因，切断污染源，阻隔地下水流，防止事故的扩散、蔓延及连锁反应，尽量缩小地下水污染事故对人和财产的影响；</w:t>
      </w:r>
    </w:p>
    <w:p w14:paraId="70FE3E63">
      <w:pPr>
        <w:pageBreakBefore w:val="0"/>
        <w:kinsoku/>
        <w:wordWrap/>
        <w:overflowPunct/>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val="0"/>
          <w:color w:val="auto"/>
          <w:kern w:val="0"/>
          <w:sz w:val="24"/>
          <w:szCs w:val="24"/>
          <w:highlight w:val="none"/>
        </w:rPr>
        <w:t>c）对事故后果进行评估，并制定防止类似事件发生的措施</w:t>
      </w:r>
      <w:r>
        <w:rPr>
          <w:rFonts w:hint="default" w:ascii="Times New Roman" w:hAnsi="Times New Roman" w:eastAsia="宋体" w:cs="Times New Roman"/>
          <w:b w:val="0"/>
          <w:color w:val="auto"/>
          <w:kern w:val="0"/>
          <w:sz w:val="24"/>
          <w:szCs w:val="24"/>
          <w:highlight w:val="none"/>
          <w:lang w:eastAsia="zh-CN"/>
        </w:rPr>
        <w:t>。</w:t>
      </w:r>
    </w:p>
    <w:bookmarkEnd w:id="633"/>
    <w:p w14:paraId="728B6FCD">
      <w:pPr>
        <w:pStyle w:val="5"/>
        <w:pageBreakBefore w:val="0"/>
        <w:widowControl/>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auto"/>
          <w:highlight w:val="none"/>
        </w:rPr>
      </w:pPr>
      <w:bookmarkStart w:id="642" w:name="_Toc75438909"/>
      <w:bookmarkStart w:id="643" w:name="_Toc5748"/>
      <w:bookmarkStart w:id="644" w:name="_Toc15919"/>
      <w:bookmarkStart w:id="645" w:name="_Toc11843"/>
      <w:r>
        <w:rPr>
          <w:rFonts w:hint="default" w:ascii="Times New Roman" w:hAnsi="Times New Roman" w:cs="Times New Roman"/>
          <w:color w:val="auto"/>
          <w:highlight w:val="none"/>
        </w:rPr>
        <w:t>6.3退役期环境保护措施</w:t>
      </w:r>
      <w:bookmarkEnd w:id="642"/>
      <w:bookmarkEnd w:id="643"/>
      <w:bookmarkEnd w:id="644"/>
      <w:bookmarkEnd w:id="645"/>
    </w:p>
    <w:p w14:paraId="25C2D11E">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b w:val="0"/>
          <w:color w:val="auto"/>
          <w:sz w:val="24"/>
          <w:highlight w:val="none"/>
          <w:lang w:eastAsia="zh-CN"/>
        </w:rPr>
      </w:pPr>
      <w:bookmarkStart w:id="646" w:name="_Toc23851"/>
      <w:bookmarkStart w:id="647" w:name="_Toc2520"/>
      <w:bookmarkStart w:id="648" w:name="_Toc4248"/>
      <w:r>
        <w:rPr>
          <w:rFonts w:hint="default" w:ascii="Times New Roman" w:hAnsi="Times New Roman" w:cs="Times New Roman"/>
          <w:color w:val="auto"/>
          <w:highlight w:val="none"/>
        </w:rPr>
        <w:t>6.3.1退役期大气环境保护措施</w:t>
      </w:r>
      <w:bookmarkEnd w:id="646"/>
      <w:bookmarkEnd w:id="647"/>
      <w:bookmarkEnd w:id="648"/>
    </w:p>
    <w:p w14:paraId="279832C4">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（1）运输车辆使用符合国家标准的油品。</w:t>
      </w:r>
    </w:p>
    <w:p w14:paraId="59ABA35A">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（2）在闭井施工操作中应做到文明施工，防止水泥等的洒落与飘散；尽量避开大风天气进行作业。</w:t>
      </w:r>
    </w:p>
    <w:p w14:paraId="48CFCB1E">
      <w:pPr>
        <w:pStyle w:val="9"/>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bidi="ar-SA"/>
        </w:rPr>
        <w:t>（3）退役期封井施工过程中，应加强施工质量管理，避免出现封井不严等非正常工况的烃类泄漏。</w:t>
      </w:r>
    </w:p>
    <w:p w14:paraId="00AA9031">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Cs w:val="22"/>
          <w:highlight w:val="none"/>
          <w:lang w:val="zh-CN"/>
        </w:rPr>
      </w:pPr>
      <w:bookmarkStart w:id="649" w:name="_Toc32705"/>
      <w:bookmarkStart w:id="650" w:name="_Toc2783"/>
      <w:bookmarkStart w:id="651" w:name="_Toc29330"/>
      <w:r>
        <w:rPr>
          <w:rFonts w:hint="default" w:ascii="Times New Roman" w:hAnsi="Times New Roman" w:cs="Times New Roman"/>
          <w:color w:val="auto"/>
          <w:szCs w:val="22"/>
          <w:highlight w:val="none"/>
        </w:rPr>
        <w:t>6.3.2退役期水环境保护</w:t>
      </w:r>
      <w:r>
        <w:rPr>
          <w:rFonts w:hint="default" w:ascii="Times New Roman" w:hAnsi="Times New Roman" w:cs="Times New Roman"/>
          <w:color w:val="auto"/>
          <w:szCs w:val="22"/>
          <w:highlight w:val="none"/>
          <w:lang w:val="zh-CN"/>
        </w:rPr>
        <w:t>措施</w:t>
      </w:r>
      <w:bookmarkEnd w:id="649"/>
      <w:bookmarkEnd w:id="650"/>
      <w:bookmarkEnd w:id="651"/>
    </w:p>
    <w:p w14:paraId="2B764137">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《参照废弃井封井回填技术指南（试行）》（环办土壤函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72号）对废弃井封堵，保证对各类废弃井采取的固井、封井措施有效可行，防止发生油水窜层，污染地下水资源</w:t>
      </w:r>
      <w:r>
        <w:rPr>
          <w:rFonts w:hint="default" w:ascii="Times New Roman" w:hAnsi="Times New Roman" w:cs="Times New Roman"/>
          <w:color w:val="auto"/>
          <w:sz w:val="24"/>
          <w:szCs w:val="22"/>
          <w:highlight w:val="none"/>
          <w:lang w:val="zh-CN"/>
        </w:rPr>
        <w:t>。</w:t>
      </w:r>
    </w:p>
    <w:p w14:paraId="509DC557">
      <w:pPr>
        <w:pStyle w:val="6"/>
        <w:pageBreakBefore w:val="0"/>
        <w:kinsoku/>
        <w:wordWrap/>
        <w:overflowPunct/>
        <w:topLinePunct w:val="0"/>
        <w:autoSpaceDE/>
        <w:autoSpaceDN/>
        <w:bidi w:val="0"/>
        <w:adjustRightInd w:val="0"/>
        <w:snapToGrid w:val="0"/>
        <w:spacing w:beforeLines="0" w:afterLines="0"/>
        <w:textAlignment w:val="auto"/>
        <w:rPr>
          <w:rFonts w:hint="eastAsia" w:ascii="Times New Roman" w:hAnsi="Times New Roman" w:eastAsia="宋体" w:cs="Times New Roman"/>
          <w:b w:val="0"/>
          <w:color w:val="auto"/>
          <w:sz w:val="24"/>
          <w:highlight w:val="none"/>
          <w:lang w:eastAsia="zh-CN"/>
        </w:rPr>
      </w:pPr>
      <w:bookmarkStart w:id="652" w:name="_Toc19000"/>
      <w:bookmarkStart w:id="653" w:name="_Toc12354"/>
      <w:bookmarkStart w:id="654" w:name="_Toc11883"/>
      <w:r>
        <w:rPr>
          <w:rFonts w:hint="default" w:ascii="Times New Roman" w:hAnsi="Times New Roman" w:cs="Times New Roman"/>
          <w:color w:val="auto"/>
          <w:highlight w:val="none"/>
        </w:rPr>
        <w:t>6.3.3退役期噪声污染防治措施</w:t>
      </w:r>
      <w:bookmarkEnd w:id="652"/>
      <w:bookmarkEnd w:id="653"/>
      <w:bookmarkEnd w:id="654"/>
    </w:p>
    <w:p w14:paraId="0CF2A774">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（1）选用低噪声机械和车辆。</w:t>
      </w:r>
    </w:p>
    <w:p w14:paraId="2F8F3602">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（2）加强设备检查维修，保证其正常运行。</w:t>
      </w:r>
    </w:p>
    <w:p w14:paraId="078AF276">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（3）加强运输车辆管理，合理规划运输路线，禁止运输车辆随意高声鸣笛</w:t>
      </w:r>
      <w:r>
        <w:rPr>
          <w:rFonts w:hint="default" w:ascii="Times New Roman" w:hAnsi="Times New Roman" w:eastAsia="宋体" w:cs="Times New Roman"/>
          <w:color w:val="auto"/>
          <w:highlight w:val="none"/>
          <w:lang w:eastAsia="zh-CN"/>
        </w:rPr>
        <w:t>。</w:t>
      </w:r>
    </w:p>
    <w:p w14:paraId="72B37383">
      <w:pPr>
        <w:pStyle w:val="6"/>
        <w:pageBreakBefore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highlight w:val="none"/>
        </w:rPr>
      </w:pPr>
      <w:bookmarkStart w:id="655" w:name="_Toc5315"/>
      <w:bookmarkStart w:id="656" w:name="_Toc20717"/>
      <w:bookmarkStart w:id="657" w:name="_Toc19327"/>
      <w:bookmarkStart w:id="658" w:name="_Hlk48604642"/>
      <w:r>
        <w:rPr>
          <w:rFonts w:hint="default" w:ascii="Times New Roman" w:hAnsi="Times New Roman" w:cs="Times New Roman"/>
          <w:color w:val="auto"/>
          <w:highlight w:val="none"/>
        </w:rPr>
        <w:t>6.3.4退役期固废及土壤污染防治措施</w:t>
      </w:r>
      <w:bookmarkEnd w:id="655"/>
      <w:bookmarkEnd w:id="656"/>
      <w:bookmarkEnd w:id="657"/>
    </w:p>
    <w:bookmarkEnd w:id="658"/>
    <w:p w14:paraId="4D333609">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井场</w:t>
      </w:r>
      <w:r>
        <w:rPr>
          <w:rFonts w:hint="default" w:ascii="Times New Roman" w:hAnsi="Times New Roman" w:eastAsia="宋体" w:cs="Times New Roman"/>
          <w:color w:val="auto"/>
          <w:sz w:val="24"/>
          <w:szCs w:val="24"/>
          <w:highlight w:val="none"/>
        </w:rPr>
        <w:t>处置环保要求</w:t>
      </w:r>
    </w:p>
    <w:p w14:paraId="567CD920">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地面设施拆除、井场清理等工作中会产生废弃管线、废弃建筑残渣，应集中清理收集。管线外运清洗后可回收利用，废弃建筑残渣外运至绿色环保站妥善处置或环保部门指定建筑垃圾填埋场填埋处理，不得遗留在场地内影响土壤环境质量。</w:t>
      </w:r>
    </w:p>
    <w:p w14:paraId="0195B20A">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参照废弃井封井回填技术指南</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环办土壤函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2020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72号</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对完成采油的废弃井封堵，拆除井口装置，最后清理场地，清除各种固体废弃物，自然植被区域自然恢复。</w:t>
      </w:r>
    </w:p>
    <w:p w14:paraId="1B46568A">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③运输过程中运输车辆均加盖篷布，以防止行驶过程中固体废物的散落。</w:t>
      </w:r>
    </w:p>
    <w:p w14:paraId="6C66A795">
      <w:pPr>
        <w:pStyle w:val="10"/>
        <w:keepNext w:val="0"/>
        <w:keepLines w:val="0"/>
        <w:pageBreakBefore w:val="0"/>
        <w:numPr>
          <w:ilvl w:val="0"/>
          <w:numId w:val="0"/>
        </w:numPr>
        <w:kinsoku/>
        <w:wordWrap/>
        <w:overflowPunct/>
        <w:topLinePunct w:val="0"/>
        <w:autoSpaceDE/>
        <w:autoSpaceDN/>
        <w:bidi w:val="0"/>
        <w:adjustRightInd w:val="0"/>
        <w:snapToGrid w:val="0"/>
        <w:ind w:left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管线处置环保要求</w:t>
      </w:r>
    </w:p>
    <w:p w14:paraId="63B422C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4"/>
          <w:szCs w:val="24"/>
          <w:highlight w:val="none"/>
        </w:rPr>
        <w:t>退役期井场集输管道维持现状，避免因开挖管道对区域生态环境造成二次破坏。管道内物质应清空干净，并按要求进行吹扫，确保管道内无残留采出液，管道两端使用盲板封堵。</w:t>
      </w:r>
    </w:p>
    <w:p w14:paraId="1FE25C75">
      <w:pPr>
        <w:pStyle w:val="98"/>
        <w:keepNext w:val="0"/>
        <w:keepLines w:val="0"/>
        <w:pageBreakBefore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rPr>
        <w:t>②工程施工结束后，占用天然牧草地应按照林草部门要求进行恢复，井场恢复后的植被覆盖率不应低于区域范围内同类型土地植被覆盖率，植被类型应</w:t>
      </w:r>
      <w:r>
        <w:rPr>
          <w:rFonts w:hint="eastAsia" w:cs="Times New Roman"/>
          <w:color w:val="auto"/>
          <w:sz w:val="24"/>
          <w:szCs w:val="24"/>
          <w:highlight w:val="none"/>
          <w:lang w:eastAsia="zh-CN"/>
        </w:rPr>
        <w:t>与</w:t>
      </w:r>
      <w:r>
        <w:rPr>
          <w:rFonts w:hint="default" w:ascii="Times New Roman" w:hAnsi="Times New Roman" w:eastAsia="宋体" w:cs="Times New Roman"/>
          <w:color w:val="auto"/>
          <w:sz w:val="24"/>
          <w:szCs w:val="24"/>
          <w:highlight w:val="none"/>
        </w:rPr>
        <w:t>原有类型相似，并与周边自然景观协调，不得使用外来有害物种进行植被恢复</w:t>
      </w:r>
      <w:r>
        <w:rPr>
          <w:rFonts w:hint="default" w:ascii="Times New Roman" w:hAnsi="Times New Roman" w:eastAsia="宋体" w:cs="Times New Roman"/>
          <w:color w:val="auto"/>
          <w:sz w:val="24"/>
          <w:szCs w:val="24"/>
          <w:highlight w:val="none"/>
          <w:lang w:eastAsia="zh-CN"/>
        </w:rPr>
        <w:t>。</w:t>
      </w:r>
    </w:p>
    <w:p w14:paraId="03B57FE0">
      <w:pPr>
        <w:pStyle w:val="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4"/>
          <w:highlight w:val="none"/>
          <w:lang w:val="en-US" w:eastAsia="zh-CN"/>
        </w:rPr>
        <w:t>综上所述，</w:t>
      </w:r>
      <w:r>
        <w:rPr>
          <w:rFonts w:hint="default" w:ascii="Times New Roman" w:hAnsi="Times New Roman" w:eastAsia="宋体" w:cs="Times New Roman"/>
          <w:color w:val="auto"/>
          <w:szCs w:val="24"/>
          <w:highlight w:val="none"/>
        </w:rPr>
        <w:t>采取的</w:t>
      </w:r>
      <w:r>
        <w:rPr>
          <w:rFonts w:hint="default" w:ascii="Times New Roman" w:hAnsi="Times New Roman" w:eastAsia="宋体" w:cs="Times New Roman"/>
          <w:color w:val="auto"/>
          <w:szCs w:val="24"/>
          <w:highlight w:val="none"/>
          <w:lang w:val="en-US" w:eastAsia="zh-CN"/>
        </w:rPr>
        <w:t>固废及土壤污染防治措施</w:t>
      </w:r>
      <w:r>
        <w:rPr>
          <w:rFonts w:hint="default" w:ascii="Times New Roman" w:hAnsi="Times New Roman" w:eastAsia="宋体" w:cs="Times New Roman"/>
          <w:color w:val="auto"/>
          <w:highlight w:val="none"/>
        </w:rPr>
        <w:t>是可行的</w:t>
      </w:r>
      <w:r>
        <w:rPr>
          <w:rFonts w:hint="default" w:ascii="Times New Roman" w:hAnsi="Times New Roman" w:eastAsia="宋体" w:cs="Times New Roman"/>
          <w:color w:val="auto"/>
          <w:highlight w:val="none"/>
          <w:lang w:eastAsia="zh-CN"/>
        </w:rPr>
        <w:t>。</w:t>
      </w:r>
    </w:p>
    <w:p w14:paraId="76C4B6BC">
      <w:pPr>
        <w:pStyle w:val="6"/>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auto"/>
          <w:sz w:val="24"/>
          <w:highlight w:val="none"/>
          <w:lang w:eastAsia="zh-CN"/>
        </w:rPr>
      </w:pPr>
      <w:bookmarkStart w:id="659" w:name="_Toc29704"/>
      <w:bookmarkStart w:id="660" w:name="_Toc16124"/>
      <w:bookmarkStart w:id="661" w:name="_Toc16566"/>
      <w:r>
        <w:rPr>
          <w:rFonts w:hint="default" w:ascii="Times New Roman" w:hAnsi="Times New Roman" w:cs="Times New Roman"/>
          <w:color w:val="auto"/>
          <w:highlight w:val="none"/>
        </w:rPr>
        <w:t>6.3.5退役期生态环境保护措施</w:t>
      </w:r>
      <w:bookmarkEnd w:id="659"/>
      <w:bookmarkEnd w:id="660"/>
      <w:bookmarkEnd w:id="661"/>
    </w:p>
    <w:p w14:paraId="63304DB9">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bookmarkStart w:id="662" w:name="_Toc65847595"/>
      <w:bookmarkStart w:id="663" w:name="_Toc75438910"/>
      <w:r>
        <w:rPr>
          <w:rFonts w:hint="default" w:ascii="Times New Roman" w:hAnsi="Times New Roman" w:cs="Times New Roman"/>
          <w:color w:val="auto"/>
          <w:highlight w:val="none"/>
        </w:rPr>
        <w:t>随着油井开采时间的延长，其储量将逐年降低，最终进入退役期。当开发接近尾声时，各种机械设备将停止使用，井场和管线等设备设施陆续被拆卸、转移，原有的大气污染物、噪声及固体废物等对环境的影响将会逐渐减弱甚至消失。拆除地面设施、清理井场等，拆除的报废设备和建筑废料等由施工单位运至指定位置进行处理；及时清理作业现场，做到“工完、料尽、场地清”，恢复原有地貌；按规范要求对废弃井采取固井、封井措施。</w:t>
      </w:r>
    </w:p>
    <w:p w14:paraId="4F0F5636">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井场经过清理后，永久性占地范围内的水泥平台或砂砾石铺垫应进行清理，然后根据周边区域的自然现状对其进行恢复，使井场恢复到相对自然的一种状态。</w:t>
      </w:r>
    </w:p>
    <w:p w14:paraId="67D64468">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通过宣传教育的形式，使施工工作人员</w:t>
      </w:r>
      <w:r>
        <w:rPr>
          <w:rFonts w:hint="eastAsia" w:cs="Times New Roman"/>
          <w:color w:val="auto"/>
          <w:highlight w:val="none"/>
          <w:lang w:eastAsia="zh-CN"/>
        </w:rPr>
        <w:t>对</w:t>
      </w:r>
      <w:r>
        <w:rPr>
          <w:rFonts w:hint="default" w:ascii="Times New Roman" w:hAnsi="Times New Roman" w:cs="Times New Roman"/>
          <w:color w:val="auto"/>
          <w:highlight w:val="none"/>
        </w:rPr>
        <w:t>在项目区生存的野生动物及植物有基本的认识与了解。在退役期施工过程中，如遇到保护植物应进行避让，严禁随意踩踏破坏；遇到保护动物时，应主动避让，不得惊扰、伤害野生动物，不得破坏保护动物的生息繁衍地，禁止妨碍野生动物生息繁衍的施工活动。</w:t>
      </w:r>
    </w:p>
    <w:p w14:paraId="2EB5897D">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14:paraId="2200420C">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通过采取以上生态保护措施，对于减少植被破坏、减缓水土流失、抵制荒漠化发展起到了一定的积极作用，可有效保护脆弱的荒漠生态环境。</w:t>
      </w:r>
    </w:p>
    <w:p w14:paraId="2CA15EFB">
      <w:pPr>
        <w:keepNext/>
        <w:keepLines/>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b/>
          <w:color w:val="auto"/>
          <w:highlight w:val="none"/>
        </w:rPr>
      </w:pPr>
      <w:r>
        <w:rPr>
          <w:rFonts w:hint="default" w:ascii="Times New Roman" w:hAnsi="Times New Roman" w:cs="Times New Roman"/>
          <w:b/>
          <w:color w:val="auto"/>
          <w:sz w:val="28"/>
          <w:highlight w:val="none"/>
        </w:rPr>
        <w:t>6.3.6生态恢复治理方案</w:t>
      </w:r>
    </w:p>
    <w:p w14:paraId="2ABF7DFA">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（1）生态环境保护与恢复治理的一般要求</w:t>
      </w:r>
    </w:p>
    <w:p w14:paraId="38529924">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生态环境保护与恢复治理方案需遵循以下要求：</w:t>
      </w:r>
    </w:p>
    <w:p w14:paraId="1AA5C644">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采取有效预防和保护措施，避免或减轻矿产资源开发活动造成的生态破坏</w:t>
      </w:r>
    </w:p>
    <w:p w14:paraId="6CCF60B4">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和环境污染。坚持“预防为主、防治结合、过程控制”的原则，将生态环境保护与恢复治理贯穿开采的全过程。</w:t>
      </w:r>
    </w:p>
    <w:p w14:paraId="14A8119D">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（2）井场生态恢复治理</w:t>
      </w:r>
    </w:p>
    <w:p w14:paraId="271EDEF0">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①井场生态恢复治理范围</w:t>
      </w:r>
    </w:p>
    <w:p w14:paraId="3F7E2A5E">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临时占地面积为</w:t>
      </w:r>
      <w:r>
        <w:rPr>
          <w:rFonts w:hint="eastAsia" w:cs="Times New Roman"/>
          <w:color w:val="auto"/>
          <w:highlight w:val="none"/>
          <w:lang w:val="en-US" w:eastAsia="zh-CN"/>
        </w:rPr>
        <w:t>4.8608</w:t>
      </w: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临时占地</w:t>
      </w:r>
      <w:r>
        <w:rPr>
          <w:rFonts w:hint="default" w:ascii="Times New Roman" w:hAnsi="Times New Roman" w:cs="Times New Roman"/>
          <w:color w:val="auto"/>
          <w:highlight w:val="none"/>
          <w:lang w:val="en-US" w:eastAsia="zh-CN"/>
        </w:rPr>
        <w:t>主要集中在本项目井口周边区域</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w:t>
      </w:r>
      <w:r>
        <w:rPr>
          <w:rFonts w:hint="eastAsia" w:cs="Times New Roman"/>
          <w:color w:val="auto"/>
          <w:highlight w:val="none"/>
          <w:lang w:val="en-US" w:eastAsia="zh-CN"/>
        </w:rPr>
        <w:t>部署4口</w:t>
      </w:r>
      <w:r>
        <w:rPr>
          <w:rFonts w:hint="default" w:ascii="Times New Roman" w:hAnsi="Times New Roman" w:cs="Times New Roman"/>
          <w:color w:val="auto"/>
          <w:highlight w:val="none"/>
        </w:rPr>
        <w:t>侧钻井仅</w:t>
      </w:r>
      <w:r>
        <w:rPr>
          <w:rFonts w:hint="default" w:ascii="Times New Roman" w:hAnsi="Times New Roman" w:cs="Times New Roman"/>
          <w:color w:val="auto"/>
          <w:highlight w:val="none"/>
          <w:lang w:val="en-US" w:eastAsia="zh-CN"/>
        </w:rPr>
        <w:t>新增</w:t>
      </w:r>
      <w:r>
        <w:rPr>
          <w:rFonts w:hint="default" w:ascii="Times New Roman" w:hAnsi="Times New Roman" w:cs="Times New Roman"/>
          <w:color w:val="auto"/>
          <w:highlight w:val="none"/>
        </w:rPr>
        <w:t>临时占地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本项目退役期</w:t>
      </w:r>
      <w:r>
        <w:rPr>
          <w:rFonts w:hint="default" w:ascii="Times New Roman" w:hAnsi="Times New Roman" w:cs="Times New Roman"/>
          <w:color w:val="auto"/>
          <w:highlight w:val="none"/>
          <w:lang w:eastAsia="zh-CN"/>
        </w:rPr>
        <w:t>井场生态恢复治理范围</w:t>
      </w:r>
      <w:r>
        <w:rPr>
          <w:rFonts w:hint="default" w:ascii="Times New Roman" w:hAnsi="Times New Roman" w:cs="Times New Roman"/>
          <w:color w:val="auto"/>
          <w:highlight w:val="none"/>
          <w:lang w:val="en-US" w:eastAsia="zh-CN"/>
        </w:rPr>
        <w:t>包括</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口侧钻井井场的</w:t>
      </w:r>
      <w:r>
        <w:rPr>
          <w:rFonts w:hint="default" w:ascii="Times New Roman" w:hAnsi="Times New Roman" w:cs="Times New Roman"/>
          <w:color w:val="auto"/>
          <w:highlight w:val="none"/>
        </w:rPr>
        <w:t>所有临时占地施工范围。</w:t>
      </w:r>
    </w:p>
    <w:p w14:paraId="397DDED7">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default" w:ascii="Times New Roman" w:hAnsi="Times New Roman" w:cs="Times New Roman"/>
          <w:color w:val="auto"/>
          <w:highlight w:val="none"/>
          <w:lang w:val="en-US" w:eastAsia="zh-CN"/>
        </w:rPr>
        <w:t>井场占地</w:t>
      </w:r>
      <w:r>
        <w:rPr>
          <w:rFonts w:hint="default" w:ascii="Times New Roman" w:hAnsi="Times New Roman" w:cs="Times New Roman"/>
          <w:color w:val="auto"/>
          <w:highlight w:val="none"/>
        </w:rPr>
        <w:t>生态环境恢复治理措施</w:t>
      </w:r>
    </w:p>
    <w:p w14:paraId="497C54C5">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工程施工结束后，应对井场临时占地进行平整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充分利用前期已收集的弃土覆盖于井场表层，覆盖厚度根据植被类型和场地用途确定。</w:t>
      </w:r>
    </w:p>
    <w:p w14:paraId="241C9DA4">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（3）管线生态恢复</w:t>
      </w:r>
    </w:p>
    <w:p w14:paraId="2A4FA84E">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①管线生态恢复治理范围</w:t>
      </w:r>
    </w:p>
    <w:p w14:paraId="7CA83D0B">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本项目新建原油、掺稀、燃料气管线长度</w:t>
      </w:r>
      <w:r>
        <w:rPr>
          <w:rFonts w:hint="eastAsia" w:cs="Times New Roman"/>
          <w:color w:val="auto"/>
          <w:highlight w:val="none"/>
          <w:lang w:val="en-US" w:eastAsia="zh-CN"/>
        </w:rPr>
        <w:t>均为601</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，三管同沟敷设；管线施工扰动范围内需进行生态环境恢复治理。</w:t>
      </w:r>
    </w:p>
    <w:p w14:paraId="0A4C6EA9">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生态环境恢复治理措施</w:t>
      </w:r>
    </w:p>
    <w:p w14:paraId="4825AC5A">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管道施工作业带宽度控制作业带范围内，施工过程中保护土壤成分和结构，在管线敷设过程中，分层回填管沟，覆土压实，管沟回填后多余土方应作为管廊覆土，不得随意丢弃。</w:t>
      </w:r>
    </w:p>
    <w:p w14:paraId="20ED4EA6">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（4）植被恢复措施及恢复要求</w:t>
      </w:r>
    </w:p>
    <w:p w14:paraId="640F1380">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sectPr>
          <w:footerReference r:id="rId25" w:type="default"/>
          <w:headerReference r:id="rId24" w:type="even"/>
          <w:pgSz w:w="11906" w:h="16838"/>
          <w:pgMar w:top="1440" w:right="1689" w:bottom="1440" w:left="1689" w:header="794" w:footer="992" w:gutter="0"/>
          <w:pgBorders>
            <w:top w:val="none" w:sz="0" w:space="0"/>
            <w:left w:val="none" w:sz="0" w:space="0"/>
            <w:bottom w:val="none" w:sz="0" w:space="0"/>
            <w:right w:val="none" w:sz="0" w:space="0"/>
          </w:pgBorders>
          <w:pgNumType w:fmt="decimal"/>
          <w:cols w:space="720" w:num="1"/>
          <w:docGrid w:linePitch="326" w:charSpace="0"/>
        </w:sectPr>
      </w:pPr>
      <w:r>
        <w:rPr>
          <w:rFonts w:hint="default" w:ascii="Times New Roman" w:hAnsi="Times New Roman" w:cs="Times New Roman"/>
          <w:color w:val="auto"/>
          <w:highlight w:val="none"/>
        </w:rPr>
        <w:t>项目施工结束后，灌木林地、牧草地按照林草部门要求进行恢复，井场恢复后的植被覆盖率不应低于区域范围内同类型土地植被覆盖率，植被类型应于原有类型相似，并与周边自然景观协调，不得使用外来有害物种进行井场植被恢复。</w:t>
      </w:r>
    </w:p>
    <w:p w14:paraId="1E9348DD">
      <w:pPr>
        <w:keepNext w:val="0"/>
        <w:keepLines w:val="0"/>
        <w:pageBreakBefore w:val="0"/>
        <w:widowControl/>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b/>
          <w:color w:val="auto"/>
          <w:kern w:val="44"/>
          <w:sz w:val="44"/>
          <w:highlight w:val="none"/>
          <w:lang w:val="en-US" w:eastAsia="zh-CN" w:bidi="ar-SA"/>
        </w:rPr>
      </w:pPr>
      <w:bookmarkStart w:id="664" w:name="_Toc27466"/>
      <w:bookmarkStart w:id="665" w:name="_Toc8216"/>
      <w:r>
        <w:rPr>
          <w:rFonts w:hint="eastAsia" w:cs="Times New Roman"/>
          <w:b/>
          <w:color w:val="auto"/>
          <w:kern w:val="44"/>
          <w:sz w:val="44"/>
          <w:highlight w:val="none"/>
          <w:lang w:val="en-US" w:eastAsia="zh-CN" w:bidi="ar-SA"/>
        </w:rPr>
        <w:t>7</w:t>
      </w:r>
      <w:r>
        <w:rPr>
          <w:rFonts w:hint="default" w:ascii="Times New Roman" w:hAnsi="Times New Roman" w:eastAsia="宋体" w:cs="Times New Roman"/>
          <w:b/>
          <w:color w:val="auto"/>
          <w:kern w:val="44"/>
          <w:sz w:val="44"/>
          <w:highlight w:val="none"/>
          <w:lang w:val="en-US" w:eastAsia="zh-CN" w:bidi="ar-SA"/>
        </w:rPr>
        <w:t>.碳排放影响评价</w:t>
      </w:r>
      <w:bookmarkEnd w:id="664"/>
      <w:bookmarkEnd w:id="665"/>
    </w:p>
    <w:p w14:paraId="28DB6617">
      <w:pPr>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pacing w:val="0"/>
          <w:kern w:val="24"/>
          <w:sz w:val="24"/>
          <w:szCs w:val="22"/>
          <w:highlight w:val="none"/>
        </w:rPr>
      </w:pPr>
      <w:r>
        <w:rPr>
          <w:rFonts w:hint="default" w:ascii="Times New Roman" w:hAnsi="Times New Roman" w:eastAsia="宋体" w:cs="Times New Roman"/>
          <w:color w:val="auto"/>
          <w:spacing w:val="0"/>
          <w:kern w:val="24"/>
          <w:sz w:val="24"/>
          <w:szCs w:val="22"/>
          <w:highlight w:val="none"/>
        </w:rPr>
        <w:t>为贯彻落实中央和生态环境部关于“碳达峰、碳中和”相关决策部署和文件精神，充分发挥环境影响评价的源头防控、过程管理中的基础性作用，</w:t>
      </w:r>
      <w:r>
        <w:rPr>
          <w:rFonts w:hint="eastAsia" w:cs="Times New Roman"/>
          <w:color w:val="auto"/>
          <w:spacing w:val="0"/>
          <w:kern w:val="24"/>
          <w:sz w:val="24"/>
          <w:szCs w:val="22"/>
          <w:highlight w:val="none"/>
          <w:lang w:eastAsia="zh-CN"/>
        </w:rPr>
        <w:t>本次</w:t>
      </w:r>
      <w:r>
        <w:rPr>
          <w:rFonts w:hint="default" w:ascii="Times New Roman" w:hAnsi="Times New Roman" w:eastAsia="宋体" w:cs="Times New Roman"/>
          <w:color w:val="auto"/>
          <w:spacing w:val="0"/>
          <w:kern w:val="24"/>
          <w:sz w:val="24"/>
          <w:szCs w:val="22"/>
          <w:highlight w:val="none"/>
        </w:rPr>
        <w:t>评价按照相关政策及文件要求，根据《中国石油天然气生产企业温室气体排放核算方法与报告指南（试行）》核算方法，计算</w:t>
      </w:r>
      <w:r>
        <w:rPr>
          <w:rFonts w:hint="default" w:ascii="Times New Roman" w:hAnsi="Times New Roman" w:cs="Times New Roman"/>
          <w:color w:val="auto"/>
          <w:spacing w:val="0"/>
          <w:kern w:val="24"/>
          <w:sz w:val="24"/>
          <w:szCs w:val="22"/>
          <w:highlight w:val="none"/>
          <w:lang w:eastAsia="zh-CN"/>
        </w:rPr>
        <w:t>本项目</w:t>
      </w:r>
      <w:r>
        <w:rPr>
          <w:rFonts w:hint="default" w:ascii="Times New Roman" w:hAnsi="Times New Roman" w:eastAsia="宋体" w:cs="Times New Roman"/>
          <w:color w:val="auto"/>
          <w:spacing w:val="0"/>
          <w:kern w:val="24"/>
          <w:sz w:val="24"/>
          <w:szCs w:val="22"/>
          <w:highlight w:val="none"/>
        </w:rPr>
        <w:t>实施后碳排放量及碳排放强度，提出碳减排建议，并分析减污降碳措施可行性及碳排放水平。</w:t>
      </w:r>
    </w:p>
    <w:p w14:paraId="52A859AF">
      <w:pPr>
        <w:pStyle w:val="5"/>
        <w:pageBreakBefore w:val="0"/>
        <w:kinsoku/>
        <w:wordWrap/>
        <w:overflowPunct/>
        <w:topLinePunct w:val="0"/>
        <w:autoSpaceDE/>
        <w:autoSpaceDN/>
        <w:bidi w:val="0"/>
        <w:spacing w:beforeLines="0" w:after="0" w:line="360" w:lineRule="auto"/>
        <w:textAlignment w:val="auto"/>
        <w:rPr>
          <w:rFonts w:hint="default" w:ascii="Times New Roman" w:hAnsi="Times New Roman" w:eastAsia="宋体" w:cs="Times New Roman"/>
          <w:color w:val="auto"/>
          <w:highlight w:val="none"/>
        </w:rPr>
      </w:pPr>
      <w:bookmarkStart w:id="666" w:name="_Toc153807749"/>
      <w:bookmarkStart w:id="667" w:name="_Toc151643467"/>
      <w:bookmarkStart w:id="668" w:name="_Toc11150"/>
      <w:bookmarkStart w:id="669" w:name="_Toc3097"/>
      <w:bookmarkStart w:id="670" w:name="_Toc16025"/>
      <w:bookmarkStart w:id="671" w:name="_Toc23180"/>
      <w:r>
        <w:rPr>
          <w:rFonts w:hint="eastAsia"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.1碳排放分析</w:t>
      </w:r>
      <w:bookmarkEnd w:id="666"/>
      <w:bookmarkEnd w:id="667"/>
      <w:bookmarkEnd w:id="668"/>
      <w:bookmarkEnd w:id="669"/>
      <w:bookmarkEnd w:id="670"/>
      <w:bookmarkEnd w:id="671"/>
    </w:p>
    <w:p w14:paraId="4C124876">
      <w:pPr>
        <w:pStyle w:val="49"/>
        <w:pageBreakBefore w:val="0"/>
        <w:kinsoku/>
        <w:wordWrap/>
        <w:overflowPunct/>
        <w:topLinePunct w:val="0"/>
        <w:autoSpaceDE/>
        <w:autoSpaceDN/>
        <w:bidi w:val="0"/>
        <w:spacing w:before="0" w:beforeLines="0" w:after="0" w:afterLines="0" w:line="360" w:lineRule="auto"/>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.1.1碳排放影响因素分析</w:t>
      </w:r>
    </w:p>
    <w:p w14:paraId="50975AD0">
      <w:pPr>
        <w:keepLines/>
        <w:pageBreakBefore w:val="0"/>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color w:val="auto"/>
          <w:szCs w:val="22"/>
          <w:highlight w:val="none"/>
        </w:rPr>
      </w:pPr>
      <w:r>
        <w:rPr>
          <w:rFonts w:hint="eastAsia" w:cs="Times New Roman"/>
          <w:b/>
          <w:color w:val="auto"/>
          <w:szCs w:val="22"/>
          <w:highlight w:val="none"/>
          <w:lang w:val="en-US" w:eastAsia="zh-CN"/>
        </w:rPr>
        <w:t>7</w:t>
      </w:r>
      <w:r>
        <w:rPr>
          <w:rFonts w:hint="default" w:ascii="Times New Roman" w:hAnsi="Times New Roman" w:eastAsia="宋体" w:cs="Times New Roman"/>
          <w:b/>
          <w:color w:val="auto"/>
          <w:szCs w:val="22"/>
          <w:highlight w:val="none"/>
        </w:rPr>
        <w:t>.1.1.1碳排放源分析</w:t>
      </w:r>
    </w:p>
    <w:p w14:paraId="44CAB8BE">
      <w:pPr>
        <w:pageBreakBefore w:val="0"/>
        <w:kinsoku/>
        <w:wordWrap/>
        <w:overflowPunct/>
        <w:topLinePunct w:val="0"/>
        <w:autoSpaceDE/>
        <w:autoSpaceDN/>
        <w:bidi w:val="0"/>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根据《中国石油天然气生产企业温室气体排放核算方法与报告指南（试行）》，石油天然气开采企业碳排放源主要包括：燃料燃烧CO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排放、火炬燃烧排放、工艺放空排放、CH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逃逸排放、CH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回收利用量、CO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回收利用量、净购入电力和热力隐含的CO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w:t>
      </w:r>
    </w:p>
    <w:p w14:paraId="2A978130">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（1）燃料燃烧CO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w:t>
      </w:r>
    </w:p>
    <w:p w14:paraId="3ECD80CE">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主要指石油天然气生产各个业务环节化石燃料用于动力或热力供应的燃烧过程产生的CO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w:t>
      </w:r>
    </w:p>
    <w:p w14:paraId="5754395F">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eastAsia" w:cs="Times New Roman"/>
          <w:color w:val="auto"/>
          <w:spacing w:val="4"/>
          <w:kern w:val="24"/>
          <w:szCs w:val="22"/>
          <w:highlight w:val="none"/>
          <w:lang w:val="en-US" w:eastAsia="zh-CN"/>
        </w:rPr>
        <w:t>侧钻</w:t>
      </w:r>
      <w:r>
        <w:rPr>
          <w:rFonts w:hint="default" w:ascii="Times New Roman" w:hAnsi="Times New Roman" w:eastAsia="宋体" w:cs="Times New Roman"/>
          <w:color w:val="auto"/>
          <w:kern w:val="2"/>
          <w:sz w:val="24"/>
          <w:szCs w:val="32"/>
          <w:highlight w:val="none"/>
        </w:rPr>
        <w:t>井场</w:t>
      </w:r>
      <w:r>
        <w:rPr>
          <w:rFonts w:hint="eastAsia" w:ascii="Times New Roman" w:hAnsi="Times New Roman" w:eastAsia="宋体" w:cs="Times New Roman"/>
          <w:color w:val="auto"/>
          <w:kern w:val="2"/>
          <w:sz w:val="24"/>
          <w:szCs w:val="32"/>
          <w:highlight w:val="none"/>
          <w:lang w:val="en-US" w:eastAsia="zh-CN"/>
        </w:rPr>
        <w:t>不新增</w:t>
      </w:r>
      <w:r>
        <w:rPr>
          <w:rFonts w:hint="default" w:ascii="Times New Roman" w:hAnsi="Times New Roman" w:eastAsia="宋体" w:cs="Times New Roman"/>
          <w:color w:val="auto"/>
          <w:kern w:val="2"/>
          <w:sz w:val="24"/>
          <w:szCs w:val="32"/>
          <w:highlight w:val="none"/>
        </w:rPr>
        <w:t>加热炉，</w:t>
      </w:r>
      <w:r>
        <w:rPr>
          <w:rFonts w:hint="eastAsia" w:ascii="Times New Roman" w:hAnsi="Times New Roman" w:eastAsia="宋体" w:cs="Times New Roman"/>
          <w:color w:val="auto"/>
          <w:kern w:val="2"/>
          <w:sz w:val="24"/>
          <w:szCs w:val="32"/>
          <w:highlight w:val="none"/>
          <w:lang w:val="en-US" w:eastAsia="zh-CN"/>
        </w:rPr>
        <w:t>均利旧，原有加热炉采用天然气为燃料，已核算过</w:t>
      </w:r>
      <w:r>
        <w:rPr>
          <w:rFonts w:hint="default" w:ascii="Times New Roman" w:hAnsi="Times New Roman" w:eastAsia="宋体" w:cs="Times New Roman"/>
          <w:color w:val="auto"/>
          <w:spacing w:val="4"/>
          <w:kern w:val="24"/>
          <w:szCs w:val="22"/>
          <w:highlight w:val="none"/>
        </w:rPr>
        <w:t>该部分产生的CO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排放量</w:t>
      </w:r>
      <w:r>
        <w:rPr>
          <w:rFonts w:hint="eastAsia" w:cs="Times New Roman"/>
          <w:color w:val="auto"/>
          <w:spacing w:val="4"/>
          <w:kern w:val="24"/>
          <w:szCs w:val="22"/>
          <w:highlight w:val="none"/>
          <w:lang w:eastAsia="zh-CN"/>
        </w:rPr>
        <w:t>，</w:t>
      </w:r>
      <w:r>
        <w:rPr>
          <w:rFonts w:hint="eastAsia" w:cs="Times New Roman"/>
          <w:color w:val="auto"/>
          <w:spacing w:val="4"/>
          <w:kern w:val="24"/>
          <w:szCs w:val="22"/>
          <w:highlight w:val="none"/>
          <w:lang w:val="en-US" w:eastAsia="zh-CN"/>
        </w:rPr>
        <w:t>本次评价不再核算</w:t>
      </w:r>
      <w:r>
        <w:rPr>
          <w:rFonts w:hint="default" w:ascii="Times New Roman" w:hAnsi="Times New Roman" w:eastAsia="宋体" w:cs="Times New Roman"/>
          <w:color w:val="auto"/>
          <w:spacing w:val="4"/>
          <w:kern w:val="24"/>
          <w:szCs w:val="22"/>
          <w:highlight w:val="none"/>
        </w:rPr>
        <w:t>。</w:t>
      </w:r>
    </w:p>
    <w:p w14:paraId="5B6DE39F">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（2）火炬燃烧排放</w:t>
      </w:r>
    </w:p>
    <w:p w14:paraId="51E1EDCE">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出于安全等目的，石油天然气生产企业通常将各生产活动产生的可燃废气集中到一至数只火炬系统中进行排放前的燃烧处理。火炬燃烧除了CO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排放外，还可能产生少量的CH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排放，石油天然气生产的火炬系统需同时核算CO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和CH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排放。</w:t>
      </w:r>
    </w:p>
    <w:p w14:paraId="0DB2340F">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井场测试放喷过程中产生的天然气通过井场临时火炬点燃，需核算该部分产生的CO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和CH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排放量。</w:t>
      </w:r>
    </w:p>
    <w:p w14:paraId="5662B871">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（3）工艺放空排放</w:t>
      </w:r>
    </w:p>
    <w:p w14:paraId="5EA56361">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主要指石油天然气生产各业务环节通过工艺装置泄放口或安全阀门有意释放到大气中的CH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或CO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气体，如驱动气动装置运转的天然气排放、泄压排放、设备吹扫排放、工艺过程尾气排放、储罐溶解气排放等。石油天然气生产企业业务环节较多且各具特色，其工艺放空排放应区分不同业务环节分开核算。</w:t>
      </w:r>
    </w:p>
    <w:p w14:paraId="34818A5C">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主要为井场建设内容，不涉及计转站或联合站，不再核算该部分CH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或CO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气体排放量。</w:t>
      </w:r>
    </w:p>
    <w:p w14:paraId="571B3170">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（4）CH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逃逸排放</w:t>
      </w:r>
    </w:p>
    <w:p w14:paraId="780BAF88">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主要是指石油天然气生产各业务环节由于设备泄漏产生的无组织CH4排放，如阀门、法兰、泵轮密封、压缩机密封、减压阀、取样接口、工艺排水、开口管路、套管、储罐泄漏及未被定义为工艺放空的其他压力设备泄漏；石油天然气生产企业业务环节较多且各具特色，其逃逸排放应区分不同业务环节分开核算。</w:t>
      </w:r>
    </w:p>
    <w:p w14:paraId="2C72C066">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井场法兰、阀门等处产生的无组织废气中涉及甲烷排放，需核算该部分气体排放量。</w:t>
      </w:r>
    </w:p>
    <w:p w14:paraId="084E0A24">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（5）CH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回收利用量</w:t>
      </w:r>
    </w:p>
    <w:p w14:paraId="24826395">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主要指企业通过节能减排技术回收工艺放空废气流中携带的CH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从而免于排放到大气中的那部分CH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回收利用量可从企业总排放量中予以扣除。</w:t>
      </w:r>
    </w:p>
    <w:p w14:paraId="3A174101">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未实施甲烷回收利用。</w:t>
      </w:r>
    </w:p>
    <w:p w14:paraId="237B90E0">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（6）CO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回收利用量</w:t>
      </w:r>
    </w:p>
    <w:p w14:paraId="4E25C7DF">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主要指企业回收燃料燃烧或工艺放空过程产生的CO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作为生产原料或外供产品从而免于排放到大气中的那部分CO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回收利用量可从企业总排放量中予以扣除。因缺乏适当的核算方法暂不考虑CO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地质埋存或驱油的减排问题。</w:t>
      </w:r>
    </w:p>
    <w:p w14:paraId="13140C4D">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实施后未回收燃料燃烧或工艺放空过程中产生的CO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，因此该部分回收利用量均为0。</w:t>
      </w:r>
    </w:p>
    <w:p w14:paraId="53955B25">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（7）净购入电力和热力隐含的CO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排放量</w:t>
      </w:r>
    </w:p>
    <w:p w14:paraId="4A1C568B">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该部分排放实际上发生在生产这些电力或热力的企业，但由报告主体的消费活动引起，依照约定也计入报告主体名下。</w:t>
      </w:r>
    </w:p>
    <w:p w14:paraId="351B4E73">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实施后，需消耗电量，不涉及蒸汽用量。</w:t>
      </w:r>
    </w:p>
    <w:p w14:paraId="68D4D0A2">
      <w:pPr>
        <w:keepLines/>
        <w:adjustRightInd w:val="0"/>
        <w:snapToGrid w:val="0"/>
        <w:spacing w:line="360" w:lineRule="auto"/>
        <w:jc w:val="both"/>
        <w:outlineLvl w:val="3"/>
        <w:rPr>
          <w:rFonts w:hint="default" w:ascii="Times New Roman" w:hAnsi="Times New Roman" w:eastAsia="宋体" w:cs="Times New Roman"/>
          <w:b/>
          <w:color w:val="auto"/>
          <w:szCs w:val="22"/>
          <w:highlight w:val="none"/>
        </w:rPr>
      </w:pPr>
      <w:r>
        <w:rPr>
          <w:rFonts w:hint="eastAsia" w:cs="Times New Roman"/>
          <w:b/>
          <w:color w:val="auto"/>
          <w:szCs w:val="22"/>
          <w:highlight w:val="none"/>
          <w:lang w:val="en-US" w:eastAsia="zh-CN"/>
        </w:rPr>
        <w:t>7</w:t>
      </w:r>
      <w:r>
        <w:rPr>
          <w:rFonts w:hint="default" w:ascii="Times New Roman" w:hAnsi="Times New Roman" w:eastAsia="宋体" w:cs="Times New Roman"/>
          <w:b/>
          <w:color w:val="auto"/>
          <w:szCs w:val="22"/>
          <w:highlight w:val="none"/>
        </w:rPr>
        <w:t>.1.1.2二氧化碳产排节点</w:t>
      </w:r>
    </w:p>
    <w:p w14:paraId="38E53524">
      <w:pPr>
        <w:spacing w:line="360" w:lineRule="auto"/>
        <w:ind w:firstLine="496" w:firstLineChars="200"/>
        <w:jc w:val="both"/>
        <w:rPr>
          <w:rFonts w:hint="default" w:ascii="Times New Roman" w:hAnsi="Times New Roman" w:cs="Times New Roman"/>
          <w:color w:val="auto"/>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生产工艺流程中涉及二氧化碳的产排节点表</w:t>
      </w:r>
      <w:r>
        <w:rPr>
          <w:rFonts w:hint="eastAsia" w:cs="Times New Roman"/>
          <w:color w:val="auto"/>
          <w:spacing w:val="4"/>
          <w:kern w:val="24"/>
          <w:szCs w:val="22"/>
          <w:highlight w:val="none"/>
          <w:lang w:val="en-US" w:eastAsia="zh-CN"/>
        </w:rPr>
        <w:t>7</w:t>
      </w:r>
      <w:r>
        <w:rPr>
          <w:rFonts w:hint="default" w:ascii="Times New Roman" w:hAnsi="Times New Roman" w:eastAsia="宋体" w:cs="Times New Roman"/>
          <w:color w:val="auto"/>
          <w:spacing w:val="4"/>
          <w:kern w:val="24"/>
          <w:szCs w:val="22"/>
          <w:highlight w:val="none"/>
        </w:rPr>
        <w:t>.1-1所示。</w:t>
      </w:r>
    </w:p>
    <w:p w14:paraId="3C2D46DF">
      <w:pPr>
        <w:adjustRightInd w:val="0"/>
        <w:ind w:firstLine="420" w:firstLineChars="20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eastAsia" w:eastAsia="黑体" w:cs="Times New Roman"/>
          <w:color w:val="auto"/>
          <w:sz w:val="21"/>
          <w:szCs w:val="21"/>
          <w:highlight w:val="none"/>
          <w:lang w:val="en-US" w:eastAsia="zh-CN"/>
        </w:rPr>
        <w:t>7</w:t>
      </w:r>
      <w:r>
        <w:rPr>
          <w:rFonts w:hint="default" w:ascii="Times New Roman" w:hAnsi="Times New Roman" w:eastAsia="黑体" w:cs="Times New Roman"/>
          <w:color w:val="auto"/>
          <w:sz w:val="21"/>
          <w:szCs w:val="21"/>
          <w:highlight w:val="none"/>
        </w:rPr>
        <w:t>.1-1二氧化碳产排污节点汇总一览表</w:t>
      </w:r>
    </w:p>
    <w:tbl>
      <w:tblPr>
        <w:tblStyle w:val="3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99"/>
        <w:gridCol w:w="2480"/>
        <w:gridCol w:w="2921"/>
        <w:gridCol w:w="1277"/>
        <w:gridCol w:w="980"/>
      </w:tblGrid>
      <w:tr w14:paraId="04569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418" w:type="pct"/>
            <w:noWrap w:val="0"/>
            <w:vAlign w:val="center"/>
          </w:tcPr>
          <w:p w14:paraId="62233849">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序号</w:t>
            </w:r>
          </w:p>
        </w:tc>
        <w:tc>
          <w:tcPr>
            <w:tcW w:w="1483" w:type="pct"/>
            <w:noWrap w:val="0"/>
            <w:vAlign w:val="center"/>
          </w:tcPr>
          <w:p w14:paraId="2F6D9B70">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类别</w:t>
            </w:r>
          </w:p>
        </w:tc>
        <w:tc>
          <w:tcPr>
            <w:tcW w:w="1747" w:type="pct"/>
            <w:noWrap w:val="0"/>
            <w:vAlign w:val="center"/>
          </w:tcPr>
          <w:p w14:paraId="38CFEC36">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产污环节</w:t>
            </w:r>
          </w:p>
        </w:tc>
        <w:tc>
          <w:tcPr>
            <w:tcW w:w="764" w:type="pct"/>
            <w:noWrap w:val="0"/>
            <w:vAlign w:val="center"/>
          </w:tcPr>
          <w:p w14:paraId="1B074F6C">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碳排放因子</w:t>
            </w:r>
          </w:p>
        </w:tc>
        <w:tc>
          <w:tcPr>
            <w:tcW w:w="586" w:type="pct"/>
            <w:noWrap w:val="0"/>
            <w:vAlign w:val="center"/>
          </w:tcPr>
          <w:p w14:paraId="2DBD25E4">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排放形式</w:t>
            </w:r>
          </w:p>
        </w:tc>
      </w:tr>
      <w:tr w14:paraId="5CE0E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pct"/>
            <w:noWrap w:val="0"/>
            <w:vAlign w:val="center"/>
          </w:tcPr>
          <w:p w14:paraId="2CEA4014">
            <w:pPr>
              <w:spacing w:line="0" w:lineRule="atLeast"/>
              <w:jc w:val="center"/>
              <w:rPr>
                <w:rFonts w:hint="eastAsia" w:ascii="Times New Roman" w:hAnsi="Times New Roman" w:eastAsia="宋体"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1</w:t>
            </w:r>
          </w:p>
        </w:tc>
        <w:tc>
          <w:tcPr>
            <w:tcW w:w="1483" w:type="pct"/>
            <w:noWrap w:val="0"/>
            <w:vAlign w:val="center"/>
          </w:tcPr>
          <w:p w14:paraId="5F3395FE">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火炬燃烧排放</w:t>
            </w:r>
          </w:p>
        </w:tc>
        <w:tc>
          <w:tcPr>
            <w:tcW w:w="1747" w:type="pct"/>
            <w:noWrap w:val="0"/>
            <w:vAlign w:val="center"/>
          </w:tcPr>
          <w:p w14:paraId="177F298B">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各井场测试放喷期间火炬燃烧</w:t>
            </w:r>
          </w:p>
        </w:tc>
        <w:tc>
          <w:tcPr>
            <w:tcW w:w="764" w:type="pct"/>
            <w:noWrap w:val="0"/>
            <w:vAlign w:val="center"/>
          </w:tcPr>
          <w:p w14:paraId="26B67CC8">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CO</w:t>
            </w:r>
            <w:r>
              <w:rPr>
                <w:rFonts w:hint="default" w:ascii="Times New Roman" w:hAnsi="Times New Roman" w:eastAsia="宋体" w:cs="Times New Roman"/>
                <w:color w:val="auto"/>
                <w:spacing w:val="0"/>
                <w:sz w:val="21"/>
                <w:szCs w:val="21"/>
                <w:highlight w:val="none"/>
                <w:vertAlign w:val="subscript"/>
              </w:rPr>
              <w:t>2</w:t>
            </w:r>
            <w:r>
              <w:rPr>
                <w:rFonts w:hint="default" w:ascii="Times New Roman" w:hAnsi="Times New Roman" w:eastAsia="宋体" w:cs="Times New Roman"/>
                <w:color w:val="auto"/>
                <w:spacing w:val="0"/>
                <w:sz w:val="21"/>
                <w:szCs w:val="21"/>
                <w:highlight w:val="none"/>
              </w:rPr>
              <w:t>和CH</w:t>
            </w:r>
            <w:r>
              <w:rPr>
                <w:rFonts w:hint="default" w:ascii="Times New Roman" w:hAnsi="Times New Roman" w:eastAsia="宋体" w:cs="Times New Roman"/>
                <w:color w:val="auto"/>
                <w:spacing w:val="0"/>
                <w:sz w:val="21"/>
                <w:szCs w:val="21"/>
                <w:highlight w:val="none"/>
                <w:vertAlign w:val="subscript"/>
              </w:rPr>
              <w:t>4</w:t>
            </w:r>
          </w:p>
        </w:tc>
        <w:tc>
          <w:tcPr>
            <w:tcW w:w="586" w:type="pct"/>
            <w:noWrap w:val="0"/>
            <w:vAlign w:val="center"/>
          </w:tcPr>
          <w:p w14:paraId="170E21F7">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有组织</w:t>
            </w:r>
          </w:p>
        </w:tc>
      </w:tr>
      <w:tr w14:paraId="2BB57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pct"/>
            <w:noWrap w:val="0"/>
            <w:vAlign w:val="center"/>
          </w:tcPr>
          <w:p w14:paraId="7C0E14B3">
            <w:pPr>
              <w:spacing w:line="0" w:lineRule="atLeast"/>
              <w:jc w:val="center"/>
              <w:rPr>
                <w:rFonts w:hint="eastAsia" w:ascii="Times New Roman" w:hAnsi="Times New Roman" w:eastAsia="宋体"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2</w:t>
            </w:r>
          </w:p>
        </w:tc>
        <w:tc>
          <w:tcPr>
            <w:tcW w:w="1483" w:type="pct"/>
            <w:noWrap w:val="0"/>
            <w:vAlign w:val="center"/>
          </w:tcPr>
          <w:p w14:paraId="1ECABA13">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CH</w:t>
            </w:r>
            <w:r>
              <w:rPr>
                <w:rFonts w:hint="default" w:ascii="Times New Roman" w:hAnsi="Times New Roman" w:eastAsia="宋体" w:cs="Times New Roman"/>
                <w:color w:val="auto"/>
                <w:spacing w:val="0"/>
                <w:sz w:val="21"/>
                <w:szCs w:val="21"/>
                <w:highlight w:val="none"/>
                <w:vertAlign w:val="subscript"/>
              </w:rPr>
              <w:t>4</w:t>
            </w:r>
            <w:r>
              <w:rPr>
                <w:rFonts w:hint="default" w:ascii="Times New Roman" w:hAnsi="Times New Roman" w:eastAsia="宋体" w:cs="Times New Roman"/>
                <w:color w:val="auto"/>
                <w:spacing w:val="0"/>
                <w:sz w:val="21"/>
                <w:szCs w:val="21"/>
                <w:highlight w:val="none"/>
              </w:rPr>
              <w:t>逃逸排放</w:t>
            </w:r>
          </w:p>
        </w:tc>
        <w:tc>
          <w:tcPr>
            <w:tcW w:w="1747" w:type="pct"/>
            <w:noWrap w:val="0"/>
            <w:vAlign w:val="center"/>
          </w:tcPr>
          <w:p w14:paraId="01B13249">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井场法兰、阀门等处逸散的废气</w:t>
            </w:r>
          </w:p>
        </w:tc>
        <w:tc>
          <w:tcPr>
            <w:tcW w:w="764" w:type="pct"/>
            <w:noWrap w:val="0"/>
            <w:vAlign w:val="center"/>
          </w:tcPr>
          <w:p w14:paraId="5CB41540">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CH</w:t>
            </w:r>
            <w:r>
              <w:rPr>
                <w:rFonts w:hint="default" w:ascii="Times New Roman" w:hAnsi="Times New Roman" w:eastAsia="宋体" w:cs="Times New Roman"/>
                <w:color w:val="auto"/>
                <w:spacing w:val="0"/>
                <w:sz w:val="21"/>
                <w:szCs w:val="21"/>
                <w:highlight w:val="none"/>
                <w:vertAlign w:val="subscript"/>
              </w:rPr>
              <w:t>4</w:t>
            </w:r>
          </w:p>
        </w:tc>
        <w:tc>
          <w:tcPr>
            <w:tcW w:w="586" w:type="pct"/>
            <w:noWrap w:val="0"/>
            <w:vAlign w:val="center"/>
          </w:tcPr>
          <w:p w14:paraId="753A6EE7">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无组织</w:t>
            </w:r>
          </w:p>
        </w:tc>
      </w:tr>
      <w:tr w14:paraId="347D6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pct"/>
            <w:noWrap w:val="0"/>
            <w:vAlign w:val="center"/>
          </w:tcPr>
          <w:p w14:paraId="0C24F568">
            <w:pPr>
              <w:spacing w:line="0" w:lineRule="atLeast"/>
              <w:jc w:val="center"/>
              <w:rPr>
                <w:rFonts w:hint="eastAsia" w:ascii="Times New Roman" w:hAnsi="Times New Roman" w:eastAsia="宋体"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3</w:t>
            </w:r>
          </w:p>
        </w:tc>
        <w:tc>
          <w:tcPr>
            <w:tcW w:w="1483" w:type="pct"/>
            <w:noWrap w:val="0"/>
            <w:vAlign w:val="center"/>
          </w:tcPr>
          <w:p w14:paraId="2F658574">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净购入电力和热力隐含的CO</w:t>
            </w:r>
            <w:r>
              <w:rPr>
                <w:rFonts w:hint="default" w:ascii="Times New Roman" w:hAnsi="Times New Roman" w:eastAsia="宋体" w:cs="Times New Roman"/>
                <w:color w:val="auto"/>
                <w:spacing w:val="0"/>
                <w:sz w:val="21"/>
                <w:szCs w:val="21"/>
                <w:highlight w:val="none"/>
                <w:vertAlign w:val="subscript"/>
              </w:rPr>
              <w:t>2</w:t>
            </w:r>
            <w:r>
              <w:rPr>
                <w:rFonts w:hint="default" w:ascii="Times New Roman" w:hAnsi="Times New Roman" w:eastAsia="宋体" w:cs="Times New Roman"/>
                <w:color w:val="auto"/>
                <w:spacing w:val="0"/>
                <w:sz w:val="21"/>
                <w:szCs w:val="21"/>
                <w:highlight w:val="none"/>
              </w:rPr>
              <w:t>排放量</w:t>
            </w:r>
          </w:p>
        </w:tc>
        <w:tc>
          <w:tcPr>
            <w:tcW w:w="1747" w:type="pct"/>
            <w:noWrap w:val="0"/>
            <w:vAlign w:val="center"/>
          </w:tcPr>
          <w:p w14:paraId="034CD8DA">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电力隐含排放</w:t>
            </w:r>
          </w:p>
        </w:tc>
        <w:tc>
          <w:tcPr>
            <w:tcW w:w="764" w:type="pct"/>
            <w:noWrap w:val="0"/>
            <w:vAlign w:val="center"/>
          </w:tcPr>
          <w:p w14:paraId="768A942F">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CO</w:t>
            </w:r>
            <w:r>
              <w:rPr>
                <w:rFonts w:hint="default" w:ascii="Times New Roman" w:hAnsi="Times New Roman" w:eastAsia="宋体" w:cs="Times New Roman"/>
                <w:color w:val="auto"/>
                <w:spacing w:val="0"/>
                <w:sz w:val="21"/>
                <w:szCs w:val="21"/>
                <w:highlight w:val="none"/>
                <w:vertAlign w:val="subscript"/>
              </w:rPr>
              <w:t>2</w:t>
            </w:r>
          </w:p>
        </w:tc>
        <w:tc>
          <w:tcPr>
            <w:tcW w:w="586" w:type="pct"/>
            <w:noWrap w:val="0"/>
            <w:vAlign w:val="center"/>
          </w:tcPr>
          <w:p w14:paraId="2DA4B288">
            <w:pPr>
              <w:spacing w:line="0" w:lineRule="atLeast"/>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r>
    </w:tbl>
    <w:p w14:paraId="75C91B75">
      <w:pPr>
        <w:pStyle w:val="49"/>
        <w:spacing w:line="360" w:lineRule="auto"/>
        <w:rPr>
          <w:rFonts w:hint="default" w:ascii="Times New Roman" w:hAnsi="Times New Roman" w:eastAsia="宋体" w:cs="Times New Roman"/>
          <w:color w:val="auto"/>
          <w:highlight w:val="none"/>
        </w:rPr>
      </w:pP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.1.2碳排放量核算</w:t>
      </w:r>
    </w:p>
    <w:p w14:paraId="1D771E1B">
      <w:pPr>
        <w:keepLines/>
        <w:adjustRightInd w:val="0"/>
        <w:snapToGrid w:val="0"/>
        <w:spacing w:line="360" w:lineRule="auto"/>
        <w:jc w:val="both"/>
        <w:outlineLvl w:val="3"/>
        <w:rPr>
          <w:rFonts w:hint="default" w:ascii="Times New Roman" w:hAnsi="Times New Roman" w:eastAsia="宋体" w:cs="Times New Roman"/>
          <w:b/>
          <w:color w:val="auto"/>
          <w:szCs w:val="22"/>
          <w:highlight w:val="none"/>
        </w:rPr>
      </w:pPr>
      <w:r>
        <w:rPr>
          <w:rFonts w:hint="eastAsia" w:cs="Times New Roman"/>
          <w:b/>
          <w:color w:val="auto"/>
          <w:szCs w:val="22"/>
          <w:highlight w:val="none"/>
          <w:lang w:val="en-US" w:eastAsia="zh-CN"/>
        </w:rPr>
        <w:t>7</w:t>
      </w:r>
      <w:r>
        <w:rPr>
          <w:rFonts w:hint="default" w:ascii="Times New Roman" w:hAnsi="Times New Roman" w:eastAsia="宋体" w:cs="Times New Roman"/>
          <w:b/>
          <w:color w:val="auto"/>
          <w:szCs w:val="22"/>
          <w:highlight w:val="none"/>
        </w:rPr>
        <w:t>.1.2.1碳排放核算边界</w:t>
      </w:r>
    </w:p>
    <w:p w14:paraId="2A13EDD2">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碳排放核算边界及核算内容见表</w:t>
      </w:r>
      <w:r>
        <w:rPr>
          <w:rFonts w:hint="eastAsia" w:cs="Times New Roman"/>
          <w:color w:val="auto"/>
          <w:spacing w:val="4"/>
          <w:kern w:val="24"/>
          <w:szCs w:val="22"/>
          <w:highlight w:val="none"/>
          <w:lang w:val="en-US" w:eastAsia="zh-CN"/>
        </w:rPr>
        <w:t>7</w:t>
      </w:r>
      <w:r>
        <w:rPr>
          <w:rFonts w:hint="default" w:ascii="Times New Roman" w:hAnsi="Times New Roman" w:eastAsia="宋体" w:cs="Times New Roman"/>
          <w:color w:val="auto"/>
          <w:spacing w:val="4"/>
          <w:kern w:val="24"/>
          <w:szCs w:val="22"/>
          <w:highlight w:val="none"/>
        </w:rPr>
        <w:t>.1-2所示。</w:t>
      </w:r>
    </w:p>
    <w:p w14:paraId="1461EF17">
      <w:pPr>
        <w:adjustRightInd w:val="0"/>
        <w:ind w:firstLine="420" w:firstLineChars="20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eastAsia" w:eastAsia="黑体" w:cs="Times New Roman"/>
          <w:color w:val="auto"/>
          <w:sz w:val="21"/>
          <w:szCs w:val="21"/>
          <w:highlight w:val="none"/>
          <w:lang w:val="en-US" w:eastAsia="zh-CN"/>
        </w:rPr>
        <w:t>7</w:t>
      </w:r>
      <w:r>
        <w:rPr>
          <w:rFonts w:hint="default" w:ascii="Times New Roman" w:hAnsi="Times New Roman" w:eastAsia="黑体" w:cs="Times New Roman"/>
          <w:color w:val="auto"/>
          <w:sz w:val="21"/>
          <w:szCs w:val="21"/>
          <w:highlight w:val="none"/>
        </w:rPr>
        <w:t>.1-2核算边界及核算内容一览表</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81"/>
        <w:gridCol w:w="2018"/>
        <w:gridCol w:w="5560"/>
      </w:tblGrid>
      <w:tr w14:paraId="223AC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7" w:type="pct"/>
            <w:noWrap w:val="0"/>
            <w:vAlign w:val="center"/>
          </w:tcPr>
          <w:p w14:paraId="07387865">
            <w:pPr>
              <w:adjustRightInd w:val="0"/>
              <w:spacing w:line="0" w:lineRule="atLeast"/>
              <w:jc w:val="center"/>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序号</w:t>
            </w:r>
          </w:p>
        </w:tc>
        <w:tc>
          <w:tcPr>
            <w:tcW w:w="1207" w:type="pct"/>
            <w:noWrap w:val="0"/>
            <w:vAlign w:val="center"/>
          </w:tcPr>
          <w:p w14:paraId="7032E870">
            <w:pPr>
              <w:adjustRightInd w:val="0"/>
              <w:spacing w:line="0" w:lineRule="atLeast"/>
              <w:jc w:val="center"/>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核算主体/核算边界</w:t>
            </w:r>
          </w:p>
        </w:tc>
        <w:tc>
          <w:tcPr>
            <w:tcW w:w="3325" w:type="pct"/>
            <w:noWrap w:val="0"/>
            <w:vAlign w:val="center"/>
          </w:tcPr>
          <w:p w14:paraId="4EB886E8">
            <w:pPr>
              <w:adjustRightInd w:val="0"/>
              <w:spacing w:line="0" w:lineRule="atLeast"/>
              <w:jc w:val="center"/>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碳排放核算内容</w:t>
            </w:r>
          </w:p>
        </w:tc>
      </w:tr>
      <w:tr w14:paraId="152F6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7" w:type="pct"/>
            <w:noWrap w:val="0"/>
            <w:vAlign w:val="center"/>
          </w:tcPr>
          <w:p w14:paraId="74DF0336">
            <w:pPr>
              <w:adjustRightInd w:val="0"/>
              <w:spacing w:line="0" w:lineRule="atLeast"/>
              <w:jc w:val="center"/>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1</w:t>
            </w:r>
          </w:p>
        </w:tc>
        <w:tc>
          <w:tcPr>
            <w:tcW w:w="1207" w:type="pct"/>
            <w:noWrap w:val="0"/>
            <w:vAlign w:val="center"/>
          </w:tcPr>
          <w:p w14:paraId="3187943B">
            <w:pPr>
              <w:adjustRightInd w:val="0"/>
              <w:spacing w:line="0" w:lineRule="atLeast"/>
              <w:jc w:val="center"/>
              <w:rPr>
                <w:rFonts w:hint="default" w:ascii="Times New Roman" w:hAnsi="Times New Roman" w:eastAsia="宋体" w:cs="Times New Roman"/>
                <w:color w:val="auto"/>
                <w:spacing w:val="-10"/>
                <w:sz w:val="23"/>
                <w:szCs w:val="23"/>
                <w:highlight w:val="none"/>
                <w:lang w:eastAsia="zh-CN"/>
              </w:rPr>
            </w:pPr>
            <w:r>
              <w:rPr>
                <w:rFonts w:hint="default" w:ascii="Times New Roman" w:hAnsi="Times New Roman" w:eastAsia="宋体" w:cs="Times New Roman"/>
                <w:color w:val="auto"/>
                <w:spacing w:val="-10"/>
                <w:sz w:val="23"/>
                <w:szCs w:val="23"/>
                <w:highlight w:val="none"/>
                <w:lang w:val="en-US" w:eastAsia="zh-CN"/>
              </w:rPr>
              <w:t>采油三厂2025年第二期短半径</w:t>
            </w:r>
            <w:r>
              <w:rPr>
                <w:rFonts w:hint="default" w:ascii="Times New Roman" w:hAnsi="Times New Roman" w:eastAsia="宋体" w:cs="Times New Roman"/>
                <w:color w:val="auto"/>
                <w:spacing w:val="-10"/>
                <w:sz w:val="23"/>
                <w:szCs w:val="23"/>
                <w:highlight w:val="none"/>
              </w:rPr>
              <w:t>侧钻项目</w:t>
            </w:r>
          </w:p>
          <w:p w14:paraId="4FF4E1C3">
            <w:pPr>
              <w:adjustRightInd w:val="0"/>
              <w:spacing w:line="0" w:lineRule="atLeast"/>
              <w:jc w:val="center"/>
              <w:rPr>
                <w:rFonts w:hint="default" w:ascii="Times New Roman" w:hAnsi="Times New Roman" w:cs="Times New Roman"/>
                <w:color w:val="auto"/>
                <w:spacing w:val="-10"/>
                <w:sz w:val="23"/>
                <w:szCs w:val="23"/>
                <w:highlight w:val="none"/>
              </w:rPr>
            </w:pPr>
          </w:p>
        </w:tc>
        <w:tc>
          <w:tcPr>
            <w:tcW w:w="3325" w:type="pct"/>
            <w:noWrap w:val="0"/>
            <w:vAlign w:val="center"/>
          </w:tcPr>
          <w:p w14:paraId="4FD65377">
            <w:pPr>
              <w:adjustRightInd w:val="0"/>
              <w:spacing w:line="0" w:lineRule="atLeast"/>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包括油气勘探、油气开采、油气处理及油气储运各个业务环节的基本生产系统、辅助生产系统，以及直接为生产服务的附属生产系统。排放量核算内容包括：</w:t>
            </w:r>
          </w:p>
          <w:p w14:paraId="57E954ED">
            <w:pPr>
              <w:numPr>
                <w:ilvl w:val="0"/>
                <w:numId w:val="12"/>
              </w:numPr>
              <w:adjustRightInd w:val="0"/>
              <w:spacing w:line="0" w:lineRule="atLeast"/>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火炬燃烧排放</w:t>
            </w:r>
          </w:p>
          <w:p w14:paraId="308FAD2A">
            <w:pPr>
              <w:adjustRightInd w:val="0"/>
              <w:spacing w:line="0" w:lineRule="atLeast"/>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w:t>
            </w:r>
            <w:r>
              <w:rPr>
                <w:rFonts w:hint="eastAsia" w:cs="Times New Roman"/>
                <w:color w:val="auto"/>
                <w:spacing w:val="-10"/>
                <w:sz w:val="23"/>
                <w:szCs w:val="23"/>
                <w:highlight w:val="none"/>
                <w:lang w:val="en-US" w:eastAsia="zh-CN"/>
              </w:rPr>
              <w:t>2</w:t>
            </w:r>
            <w:r>
              <w:rPr>
                <w:rFonts w:hint="default" w:ascii="Times New Roman" w:hAnsi="Times New Roman" w:cs="Times New Roman"/>
                <w:color w:val="auto"/>
                <w:spacing w:val="-10"/>
                <w:sz w:val="23"/>
                <w:szCs w:val="23"/>
                <w:highlight w:val="none"/>
              </w:rPr>
              <w:t>）CH</w:t>
            </w:r>
            <w:r>
              <w:rPr>
                <w:rFonts w:hint="default" w:ascii="Times New Roman" w:hAnsi="Times New Roman" w:cs="Times New Roman"/>
                <w:color w:val="auto"/>
                <w:spacing w:val="-10"/>
                <w:sz w:val="23"/>
                <w:szCs w:val="23"/>
                <w:highlight w:val="none"/>
                <w:vertAlign w:val="subscript"/>
              </w:rPr>
              <w:t>4</w:t>
            </w:r>
            <w:r>
              <w:rPr>
                <w:rFonts w:hint="default" w:ascii="Times New Roman" w:hAnsi="Times New Roman" w:cs="Times New Roman"/>
                <w:color w:val="auto"/>
                <w:spacing w:val="-10"/>
                <w:sz w:val="23"/>
                <w:szCs w:val="23"/>
                <w:highlight w:val="none"/>
              </w:rPr>
              <w:t>逃逸排放</w:t>
            </w:r>
          </w:p>
          <w:p w14:paraId="2EB00B7D">
            <w:pPr>
              <w:adjustRightInd w:val="0"/>
              <w:spacing w:line="0" w:lineRule="atLeast"/>
              <w:rPr>
                <w:rFonts w:hint="default" w:ascii="Times New Roman" w:hAnsi="Times New Roman" w:cs="Times New Roman"/>
                <w:color w:val="auto"/>
                <w:spacing w:val="-10"/>
                <w:sz w:val="23"/>
                <w:szCs w:val="23"/>
                <w:highlight w:val="none"/>
              </w:rPr>
            </w:pPr>
            <w:r>
              <w:rPr>
                <w:rFonts w:hint="default" w:ascii="Times New Roman" w:hAnsi="Times New Roman" w:cs="Times New Roman"/>
                <w:color w:val="auto"/>
                <w:spacing w:val="-10"/>
                <w:sz w:val="23"/>
                <w:szCs w:val="23"/>
                <w:highlight w:val="none"/>
              </w:rPr>
              <w:t>（</w:t>
            </w:r>
            <w:r>
              <w:rPr>
                <w:rFonts w:hint="eastAsia" w:cs="Times New Roman"/>
                <w:color w:val="auto"/>
                <w:spacing w:val="-10"/>
                <w:sz w:val="23"/>
                <w:szCs w:val="23"/>
                <w:highlight w:val="none"/>
                <w:lang w:val="en-US" w:eastAsia="zh-CN"/>
              </w:rPr>
              <w:t>3</w:t>
            </w:r>
            <w:r>
              <w:rPr>
                <w:rFonts w:hint="default" w:ascii="Times New Roman" w:hAnsi="Times New Roman" w:cs="Times New Roman"/>
                <w:color w:val="auto"/>
                <w:spacing w:val="-10"/>
                <w:sz w:val="23"/>
                <w:szCs w:val="23"/>
                <w:highlight w:val="none"/>
              </w:rPr>
              <w:t>）净购入电力和热力隐含的CO</w:t>
            </w:r>
            <w:r>
              <w:rPr>
                <w:rFonts w:hint="default" w:ascii="Times New Roman" w:hAnsi="Times New Roman" w:cs="Times New Roman"/>
                <w:color w:val="auto"/>
                <w:spacing w:val="-10"/>
                <w:sz w:val="23"/>
                <w:szCs w:val="23"/>
                <w:highlight w:val="none"/>
                <w:vertAlign w:val="subscript"/>
              </w:rPr>
              <w:t>2</w:t>
            </w:r>
            <w:r>
              <w:rPr>
                <w:rFonts w:hint="default" w:ascii="Times New Roman" w:hAnsi="Times New Roman" w:cs="Times New Roman"/>
                <w:color w:val="auto"/>
                <w:spacing w:val="-10"/>
                <w:sz w:val="23"/>
                <w:szCs w:val="23"/>
                <w:highlight w:val="none"/>
              </w:rPr>
              <w:t>排放量</w:t>
            </w:r>
          </w:p>
        </w:tc>
      </w:tr>
    </w:tbl>
    <w:p w14:paraId="6CB340AB">
      <w:pPr>
        <w:keepLines/>
        <w:adjustRightInd w:val="0"/>
        <w:snapToGrid w:val="0"/>
        <w:spacing w:line="360" w:lineRule="auto"/>
        <w:jc w:val="both"/>
        <w:outlineLvl w:val="3"/>
        <w:rPr>
          <w:rFonts w:hint="default" w:ascii="Times New Roman" w:hAnsi="Times New Roman" w:eastAsia="宋体" w:cs="Times New Roman"/>
          <w:b/>
          <w:color w:val="auto"/>
          <w:szCs w:val="22"/>
          <w:highlight w:val="none"/>
        </w:rPr>
      </w:pPr>
      <w:r>
        <w:rPr>
          <w:rFonts w:hint="eastAsia" w:cs="Times New Roman"/>
          <w:b/>
          <w:color w:val="auto"/>
          <w:szCs w:val="22"/>
          <w:highlight w:val="none"/>
          <w:lang w:val="en-US" w:eastAsia="zh-CN"/>
        </w:rPr>
        <w:t>7</w:t>
      </w:r>
      <w:r>
        <w:rPr>
          <w:rFonts w:hint="default" w:ascii="Times New Roman" w:hAnsi="Times New Roman" w:eastAsia="宋体" w:cs="Times New Roman"/>
          <w:b/>
          <w:color w:val="auto"/>
          <w:szCs w:val="22"/>
          <w:highlight w:val="none"/>
        </w:rPr>
        <w:t>.1.2.2碳排放量核算过程</w:t>
      </w:r>
    </w:p>
    <w:p w14:paraId="0006B3B6">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涉及火炬燃烧排放、CH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逃逸排放、净购入电力和热力隐含的CO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排放量。具体核算过程如下：</w:t>
      </w:r>
    </w:p>
    <w:p w14:paraId="5359E58F">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w:t>
      </w:r>
      <w:r>
        <w:rPr>
          <w:rFonts w:hint="eastAsia" w:cs="Times New Roman"/>
          <w:color w:val="auto"/>
          <w:spacing w:val="4"/>
          <w:kern w:val="24"/>
          <w:szCs w:val="22"/>
          <w:highlight w:val="none"/>
          <w:lang w:val="en-US" w:eastAsia="zh-CN"/>
        </w:rPr>
        <w:t>1</w:t>
      </w:r>
      <w:r>
        <w:rPr>
          <w:rFonts w:hint="default" w:ascii="Times New Roman" w:hAnsi="Times New Roman" w:eastAsia="宋体" w:cs="Times New Roman"/>
          <w:color w:val="auto"/>
          <w:spacing w:val="4"/>
          <w:kern w:val="24"/>
          <w:szCs w:val="22"/>
          <w:highlight w:val="none"/>
        </w:rPr>
        <w:t>）火炬燃烧排放</w:t>
      </w:r>
    </w:p>
    <w:p w14:paraId="0453DCE3">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石油天然气生产企业火炬燃烧可分为正常工况下的火炬气燃烧及由于事故导致的火炬气燃烧两种，</w:t>
      </w: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主要核算正常工况下的火炬气燃烧</w:t>
      </w:r>
      <w:r>
        <w:rPr>
          <w:rFonts w:hint="default" w:ascii="Times New Roman" w:hAnsi="Times New Roman" w:eastAsia="宋体" w:cs="Times New Roman"/>
          <w:color w:val="auto"/>
          <w:spacing w:val="4"/>
          <w:kern w:val="24"/>
          <w:szCs w:val="22"/>
          <w:highlight w:val="none"/>
          <w:lang w:eastAsia="zh-CN"/>
        </w:rPr>
        <w:t>（</w:t>
      </w:r>
      <w:r>
        <w:rPr>
          <w:rFonts w:hint="default" w:ascii="Times New Roman" w:hAnsi="Times New Roman" w:eastAsia="宋体" w:cs="Times New Roman"/>
          <w:color w:val="auto"/>
          <w:spacing w:val="4"/>
          <w:kern w:val="24"/>
          <w:szCs w:val="22"/>
          <w:highlight w:val="none"/>
        </w:rPr>
        <w:t>主要为井场测试放喷阶段的火炬燃烧碳排放量</w:t>
      </w:r>
      <w:r>
        <w:rPr>
          <w:rFonts w:hint="default" w:ascii="Times New Roman" w:hAnsi="Times New Roman" w:eastAsia="宋体" w:cs="Times New Roman"/>
          <w:color w:val="auto"/>
          <w:spacing w:val="4"/>
          <w:kern w:val="24"/>
          <w:szCs w:val="22"/>
          <w:highlight w:val="none"/>
          <w:lang w:eastAsia="zh-CN"/>
        </w:rPr>
        <w:t>）</w:t>
      </w:r>
      <w:r>
        <w:rPr>
          <w:rFonts w:hint="default" w:ascii="Times New Roman" w:hAnsi="Times New Roman" w:eastAsia="宋体" w:cs="Times New Roman"/>
          <w:color w:val="auto"/>
          <w:spacing w:val="4"/>
          <w:kern w:val="24"/>
          <w:szCs w:val="22"/>
          <w:highlight w:val="none"/>
        </w:rPr>
        <w:t>。另外，考虑到石油天然气生产企业火炬气CH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含量较高且火炬气燃烧不充分，因此石油天然气生产企业的火炬燃烧排放同时考虑CO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及CH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排放。</w:t>
      </w:r>
    </w:p>
    <w:p w14:paraId="17D39D4A">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①计算公式</w:t>
      </w:r>
    </w:p>
    <w:p w14:paraId="493AD0FD">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a.火炬燃烧排放计算公式：</w:t>
      </w:r>
    </w:p>
    <w:p w14:paraId="2B8C2DB4">
      <w:pP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81792" behindDoc="1" locked="0" layoutInCell="1" allowOverlap="1">
            <wp:simplePos x="0" y="0"/>
            <wp:positionH relativeFrom="column">
              <wp:posOffset>200660</wp:posOffset>
            </wp:positionH>
            <wp:positionV relativeFrom="paragraph">
              <wp:posOffset>127000</wp:posOffset>
            </wp:positionV>
            <wp:extent cx="5410200" cy="559435"/>
            <wp:effectExtent l="0" t="0" r="0" b="12065"/>
            <wp:wrapNone/>
            <wp:docPr id="2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
                    <pic:cNvPicPr>
                      <a:picLocks noChangeAspect="1"/>
                    </pic:cNvPicPr>
                  </pic:nvPicPr>
                  <pic:blipFill>
                    <a:blip r:embed="rId100"/>
                    <a:stretch>
                      <a:fillRect/>
                    </a:stretch>
                  </pic:blipFill>
                  <pic:spPr>
                    <a:xfrm>
                      <a:off x="0" y="0"/>
                      <a:ext cx="5410200" cy="559435"/>
                    </a:xfrm>
                    <a:prstGeom prst="rect">
                      <a:avLst/>
                    </a:prstGeom>
                    <a:noFill/>
                    <a:ln>
                      <a:noFill/>
                    </a:ln>
                  </pic:spPr>
                </pic:pic>
              </a:graphicData>
            </a:graphic>
          </wp:anchor>
        </w:drawing>
      </w:r>
    </w:p>
    <w:p w14:paraId="1B6BC4C8">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p>
    <w:p w14:paraId="15BF397B">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式中，</w:t>
      </w:r>
    </w:p>
    <w:p w14:paraId="2852C8E7">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EGHG-火炬-火炬燃烧产生的CO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排放量，单位为吨CO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w:t>
      </w:r>
    </w:p>
    <w:p w14:paraId="0339E90E">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ECO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-正常火炬-正常工况下火炬系统产生的CO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排放，单位为吨CO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w:t>
      </w:r>
    </w:p>
    <w:p w14:paraId="2E6C5A76">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ECO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-事故火炬-由于事故火炬产生的CO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排放，单位为吨CO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w:t>
      </w:r>
    </w:p>
    <w:p w14:paraId="400A258A">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ECH4-正常火炬-正常工况下火炬系统产生的CH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排放，单位为吨CH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w:t>
      </w:r>
    </w:p>
    <w:p w14:paraId="7CA55E56">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ECH4-事故火炬-事故火炬产生的CH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排放，单位为吨CH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w:t>
      </w:r>
    </w:p>
    <w:p w14:paraId="1E15B5A3">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GWPCH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相比CO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的全球变暖潜势值。根据IPCC第二次评估报告，100年时间尺度内1吨CH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相当于21吨CO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的增温能力，因此GWPCH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等于21。</w:t>
      </w:r>
    </w:p>
    <w:p w14:paraId="0224E073">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b.正常工况下火炬气体温室气体排放公式如下：</w:t>
      </w:r>
    </w:p>
    <w:p w14:paraId="145B4D1E">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82816" behindDoc="1" locked="0" layoutInCell="1" allowOverlap="1">
            <wp:simplePos x="0" y="0"/>
            <wp:positionH relativeFrom="column">
              <wp:posOffset>161290</wp:posOffset>
            </wp:positionH>
            <wp:positionV relativeFrom="paragraph">
              <wp:posOffset>75565</wp:posOffset>
            </wp:positionV>
            <wp:extent cx="4456430" cy="495300"/>
            <wp:effectExtent l="0" t="0" r="1270" b="0"/>
            <wp:wrapNone/>
            <wp:docPr id="2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6"/>
                    <pic:cNvPicPr>
                      <a:picLocks noChangeAspect="1"/>
                    </pic:cNvPicPr>
                  </pic:nvPicPr>
                  <pic:blipFill>
                    <a:blip r:embed="rId101"/>
                    <a:stretch>
                      <a:fillRect/>
                    </a:stretch>
                  </pic:blipFill>
                  <pic:spPr>
                    <a:xfrm>
                      <a:off x="0" y="0"/>
                      <a:ext cx="4456430" cy="495300"/>
                    </a:xfrm>
                    <a:prstGeom prst="rect">
                      <a:avLst/>
                    </a:prstGeom>
                    <a:noFill/>
                    <a:ln>
                      <a:noFill/>
                    </a:ln>
                  </pic:spPr>
                </pic:pic>
              </a:graphicData>
            </a:graphic>
          </wp:anchor>
        </w:drawing>
      </w:r>
    </w:p>
    <w:p w14:paraId="6AE829E1">
      <w:pPr>
        <w:ind w:firstLine="480" w:firstLineChars="200"/>
        <w:rPr>
          <w:rFonts w:hint="default" w:ascii="Times New Roman" w:hAnsi="Times New Roman" w:cs="Times New Roman"/>
          <w:color w:val="auto"/>
          <w:highlight w:val="none"/>
        </w:rPr>
      </w:pPr>
    </w:p>
    <w:p w14:paraId="0C089AEC">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83840" behindDoc="1" locked="0" layoutInCell="1" allowOverlap="1">
            <wp:simplePos x="0" y="0"/>
            <wp:positionH relativeFrom="column">
              <wp:posOffset>82550</wp:posOffset>
            </wp:positionH>
            <wp:positionV relativeFrom="paragraph">
              <wp:posOffset>194310</wp:posOffset>
            </wp:positionV>
            <wp:extent cx="3858260" cy="523875"/>
            <wp:effectExtent l="0" t="0" r="8890" b="9525"/>
            <wp:wrapNone/>
            <wp:docPr id="2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7"/>
                    <pic:cNvPicPr>
                      <a:picLocks noChangeAspect="1"/>
                    </pic:cNvPicPr>
                  </pic:nvPicPr>
                  <pic:blipFill>
                    <a:blip r:embed="rId102"/>
                    <a:stretch>
                      <a:fillRect/>
                    </a:stretch>
                  </pic:blipFill>
                  <pic:spPr>
                    <a:xfrm>
                      <a:off x="0" y="0"/>
                      <a:ext cx="3858260" cy="523875"/>
                    </a:xfrm>
                    <a:prstGeom prst="rect">
                      <a:avLst/>
                    </a:prstGeom>
                    <a:noFill/>
                    <a:ln>
                      <a:noFill/>
                    </a:ln>
                  </pic:spPr>
                </pic:pic>
              </a:graphicData>
            </a:graphic>
          </wp:anchor>
        </w:drawing>
      </w:r>
    </w:p>
    <w:p w14:paraId="236DB51B">
      <w:pPr>
        <w:ind w:firstLine="480" w:firstLineChars="200"/>
        <w:rPr>
          <w:rFonts w:hint="default" w:ascii="Times New Roman" w:hAnsi="Times New Roman" w:cs="Times New Roman"/>
          <w:color w:val="auto"/>
          <w:highlight w:val="none"/>
        </w:rPr>
      </w:pPr>
    </w:p>
    <w:p w14:paraId="4B4A7725">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p>
    <w:p w14:paraId="29794A7C">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式中，</w:t>
      </w:r>
    </w:p>
    <w:p w14:paraId="748C8D9D">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i-火炬系统序号；</w:t>
      </w:r>
    </w:p>
    <w:p w14:paraId="58A2FC6E">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Q正常火炬-正常生产状态下第i号火炬系统的火炬气流量，单位为万Nm</w:t>
      </w:r>
      <w:r>
        <w:rPr>
          <w:rFonts w:hint="default" w:ascii="Times New Roman" w:hAnsi="Times New Roman" w:eastAsia="宋体" w:cs="Times New Roman"/>
          <w:color w:val="auto"/>
          <w:spacing w:val="4"/>
          <w:kern w:val="24"/>
          <w:szCs w:val="22"/>
          <w:highlight w:val="none"/>
          <w:vertAlign w:val="superscript"/>
        </w:rPr>
        <w:t>3</w:t>
      </w:r>
      <w:r>
        <w:rPr>
          <w:rFonts w:hint="default" w:ascii="Times New Roman" w:hAnsi="Times New Roman" w:eastAsia="宋体" w:cs="Times New Roman"/>
          <w:color w:val="auto"/>
          <w:spacing w:val="4"/>
          <w:kern w:val="24"/>
          <w:szCs w:val="22"/>
          <w:highlight w:val="none"/>
        </w:rPr>
        <w:t>；</w:t>
      </w:r>
    </w:p>
    <w:p w14:paraId="06AD1DFC">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CC非CO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-火炬气中除CO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外其他含碳化合物的总含碳量，单位为吨碳/万Nm</w:t>
      </w:r>
      <w:r>
        <w:rPr>
          <w:rFonts w:hint="default" w:ascii="Times New Roman" w:hAnsi="Times New Roman" w:eastAsia="宋体" w:cs="Times New Roman"/>
          <w:color w:val="auto"/>
          <w:spacing w:val="4"/>
          <w:kern w:val="24"/>
          <w:szCs w:val="22"/>
          <w:highlight w:val="none"/>
          <w:vertAlign w:val="superscript"/>
        </w:rPr>
        <w:t>3</w:t>
      </w:r>
      <w:r>
        <w:rPr>
          <w:rFonts w:hint="default" w:ascii="Times New Roman" w:hAnsi="Times New Roman" w:eastAsia="宋体" w:cs="Times New Roman"/>
          <w:color w:val="auto"/>
          <w:spacing w:val="4"/>
          <w:kern w:val="24"/>
          <w:szCs w:val="22"/>
          <w:highlight w:val="none"/>
        </w:rPr>
        <w:t>；</w:t>
      </w:r>
    </w:p>
    <w:p w14:paraId="316B8D7C">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OF-第i号火炬系统的碳氧化率，如无实测数据可采用缺省值0.98；</w:t>
      </w:r>
    </w:p>
    <w:p w14:paraId="5A57B446">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VCO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-火炬气中CO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的体积浓度，取值范围为0～1；</w:t>
      </w:r>
    </w:p>
    <w:p w14:paraId="377F71E8">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VCH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-为火炬气中CH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的体积浓度；</w:t>
      </w:r>
    </w:p>
    <w:p w14:paraId="48CF5DB3">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drawing>
          <wp:anchor distT="0" distB="0" distL="114300" distR="114300" simplePos="0" relativeHeight="251684864" behindDoc="1" locked="0" layoutInCell="1" allowOverlap="1">
            <wp:simplePos x="0" y="0"/>
            <wp:positionH relativeFrom="column">
              <wp:posOffset>172085</wp:posOffset>
            </wp:positionH>
            <wp:positionV relativeFrom="paragraph">
              <wp:posOffset>241300</wp:posOffset>
            </wp:positionV>
            <wp:extent cx="4799330" cy="610235"/>
            <wp:effectExtent l="0" t="0" r="1270" b="18415"/>
            <wp:wrapNone/>
            <wp:docPr id="2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8"/>
                    <pic:cNvPicPr>
                      <a:picLocks noChangeAspect="1"/>
                    </pic:cNvPicPr>
                  </pic:nvPicPr>
                  <pic:blipFill>
                    <a:blip r:embed="rId103"/>
                    <a:stretch>
                      <a:fillRect/>
                    </a:stretch>
                  </pic:blipFill>
                  <pic:spPr>
                    <a:xfrm>
                      <a:off x="0" y="0"/>
                      <a:ext cx="4799330" cy="610235"/>
                    </a:xfrm>
                    <a:prstGeom prst="rect">
                      <a:avLst/>
                    </a:prstGeom>
                    <a:noFill/>
                    <a:ln>
                      <a:noFill/>
                    </a:ln>
                  </pic:spPr>
                </pic:pic>
              </a:graphicData>
            </a:graphic>
          </wp:anchor>
        </w:drawing>
      </w:r>
      <w:r>
        <w:rPr>
          <w:rFonts w:hint="default" w:ascii="Times New Roman" w:hAnsi="Times New Roman" w:eastAsia="宋体" w:cs="Times New Roman"/>
          <w:color w:val="auto"/>
          <w:spacing w:val="4"/>
          <w:kern w:val="24"/>
          <w:szCs w:val="22"/>
          <w:highlight w:val="none"/>
        </w:rPr>
        <w:t>c.事故工况下火炬气体温室气体排放公式如下：</w:t>
      </w:r>
    </w:p>
    <w:p w14:paraId="66F40ACE">
      <w:pPr>
        <w:pStyle w:val="34"/>
        <w:spacing w:line="240" w:lineRule="auto"/>
        <w:ind w:left="527"/>
        <w:rPr>
          <w:rFonts w:hint="default" w:ascii="Times New Roman" w:hAnsi="Times New Roman" w:cs="Times New Roman"/>
          <w:color w:val="auto"/>
          <w:highlight w:val="none"/>
        </w:rPr>
      </w:pPr>
    </w:p>
    <w:p w14:paraId="3A8F24B8">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85888" behindDoc="1" locked="0" layoutInCell="1" allowOverlap="1">
            <wp:simplePos x="0" y="0"/>
            <wp:positionH relativeFrom="column">
              <wp:posOffset>82550</wp:posOffset>
            </wp:positionH>
            <wp:positionV relativeFrom="paragraph">
              <wp:posOffset>132080</wp:posOffset>
            </wp:positionV>
            <wp:extent cx="4444365" cy="586740"/>
            <wp:effectExtent l="0" t="0" r="13335" b="3810"/>
            <wp:wrapNone/>
            <wp:docPr id="2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9"/>
                    <pic:cNvPicPr>
                      <a:picLocks noChangeAspect="1"/>
                    </pic:cNvPicPr>
                  </pic:nvPicPr>
                  <pic:blipFill>
                    <a:blip r:embed="rId104"/>
                    <a:stretch>
                      <a:fillRect/>
                    </a:stretch>
                  </pic:blipFill>
                  <pic:spPr>
                    <a:xfrm>
                      <a:off x="0" y="0"/>
                      <a:ext cx="4444365" cy="586740"/>
                    </a:xfrm>
                    <a:prstGeom prst="rect">
                      <a:avLst/>
                    </a:prstGeom>
                    <a:noFill/>
                    <a:ln>
                      <a:noFill/>
                    </a:ln>
                  </pic:spPr>
                </pic:pic>
              </a:graphicData>
            </a:graphic>
          </wp:anchor>
        </w:drawing>
      </w:r>
    </w:p>
    <w:p w14:paraId="517E16D9">
      <w:pPr>
        <w:ind w:firstLine="480" w:firstLineChars="200"/>
        <w:rPr>
          <w:rFonts w:hint="default" w:ascii="Times New Roman" w:hAnsi="Times New Roman" w:cs="Times New Roman"/>
          <w:color w:val="auto"/>
          <w:highlight w:val="none"/>
        </w:rPr>
      </w:pPr>
    </w:p>
    <w:p w14:paraId="623D1847">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p>
    <w:p w14:paraId="7EED5313">
      <w:pPr>
        <w:spacing w:line="360" w:lineRule="auto"/>
        <w:ind w:firstLine="496" w:firstLineChars="2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上式中</w:t>
      </w:r>
      <w:r>
        <w:rPr>
          <w:rFonts w:hint="default" w:ascii="Times New Roman" w:hAnsi="Times New Roman" w:cs="Times New Roman"/>
          <w:color w:val="auto"/>
          <w:spacing w:val="4"/>
          <w:kern w:val="24"/>
          <w:szCs w:val="22"/>
          <w:highlight w:val="none"/>
          <w:lang w:eastAsia="zh-CN"/>
        </w:rPr>
        <w:t>：</w:t>
      </w:r>
    </w:p>
    <w:p w14:paraId="461ED0C1">
      <w:pPr>
        <w:spacing w:line="360" w:lineRule="auto"/>
        <w:ind w:firstLine="992" w:firstLineChars="4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J-事故次数；</w:t>
      </w:r>
    </w:p>
    <w:p w14:paraId="104840DC">
      <w:pPr>
        <w:spacing w:line="360" w:lineRule="auto"/>
        <w:ind w:firstLine="992" w:firstLineChars="4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GF事故,j-报告期内第j次事故状态时的火炬气流速度，单位为万Nm</w:t>
      </w:r>
      <w:r>
        <w:rPr>
          <w:rFonts w:hint="default" w:ascii="Times New Roman" w:hAnsi="Times New Roman" w:eastAsia="宋体" w:cs="Times New Roman"/>
          <w:color w:val="auto"/>
          <w:spacing w:val="4"/>
          <w:kern w:val="24"/>
          <w:szCs w:val="22"/>
          <w:highlight w:val="none"/>
          <w:vertAlign w:val="superscript"/>
        </w:rPr>
        <w:t>3</w:t>
      </w:r>
      <w:r>
        <w:rPr>
          <w:rFonts w:hint="default" w:ascii="Times New Roman" w:hAnsi="Times New Roman" w:eastAsia="宋体" w:cs="Times New Roman"/>
          <w:color w:val="auto"/>
          <w:spacing w:val="4"/>
          <w:kern w:val="24"/>
          <w:szCs w:val="22"/>
          <w:highlight w:val="none"/>
        </w:rPr>
        <w:t>/小时；</w:t>
      </w:r>
    </w:p>
    <w:p w14:paraId="7A99A5C0">
      <w:pPr>
        <w:spacing w:line="360" w:lineRule="auto"/>
        <w:ind w:firstLine="992" w:firstLineChars="4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T事故,j-报告期内第j次事故的持续时间，单位为小时；</w:t>
      </w:r>
    </w:p>
    <w:p w14:paraId="09805F0B">
      <w:pPr>
        <w:spacing w:line="360" w:lineRule="auto"/>
        <w:ind w:firstLine="992" w:firstLineChars="4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CC（非CO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）j-第j次事故火炬气中除CO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外其他含碳化合物的总含碳量，单位为吨碳/万Nm</w:t>
      </w:r>
      <w:r>
        <w:rPr>
          <w:rFonts w:hint="default" w:ascii="Times New Roman" w:hAnsi="Times New Roman" w:eastAsia="宋体" w:cs="Times New Roman"/>
          <w:color w:val="auto"/>
          <w:spacing w:val="4"/>
          <w:kern w:val="24"/>
          <w:szCs w:val="22"/>
          <w:highlight w:val="none"/>
          <w:vertAlign w:val="superscript"/>
        </w:rPr>
        <w:t>3</w:t>
      </w:r>
      <w:r>
        <w:rPr>
          <w:rFonts w:hint="default" w:ascii="Times New Roman" w:hAnsi="Times New Roman" w:eastAsia="宋体" w:cs="Times New Roman"/>
          <w:color w:val="auto"/>
          <w:spacing w:val="4"/>
          <w:kern w:val="24"/>
          <w:szCs w:val="22"/>
          <w:highlight w:val="none"/>
        </w:rPr>
        <w:t>；</w:t>
      </w:r>
    </w:p>
    <w:p w14:paraId="618BD9A5">
      <w:pPr>
        <w:spacing w:line="360" w:lineRule="auto"/>
        <w:ind w:firstLine="992" w:firstLineChars="400"/>
        <w:jc w:val="both"/>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OF-火炬燃烧的碳氧化率，如无实测数据可采用缺省值0.98；</w:t>
      </w:r>
    </w:p>
    <w:p w14:paraId="3E667355">
      <w:pPr>
        <w:spacing w:line="360" w:lineRule="auto"/>
        <w:ind w:firstLine="992" w:firstLineChars="4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V</w:t>
      </w:r>
      <w:r>
        <w:rPr>
          <w:rFonts w:hint="default" w:ascii="Times New Roman" w:hAnsi="Times New Roman" w:eastAsia="宋体" w:cs="Times New Roman"/>
          <w:color w:val="auto"/>
          <w:spacing w:val="4"/>
          <w:kern w:val="24"/>
          <w:szCs w:val="22"/>
          <w:highlight w:val="none"/>
          <w:lang w:eastAsia="zh-CN"/>
        </w:rPr>
        <w:t>（</w:t>
      </w:r>
      <w:r>
        <w:rPr>
          <w:rFonts w:hint="default" w:ascii="Times New Roman" w:hAnsi="Times New Roman" w:eastAsia="宋体" w:cs="Times New Roman"/>
          <w:color w:val="auto"/>
          <w:spacing w:val="4"/>
          <w:kern w:val="24"/>
          <w:szCs w:val="22"/>
          <w:highlight w:val="none"/>
        </w:rPr>
        <w:t>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lang w:eastAsia="zh-CN"/>
        </w:rPr>
        <w:t>）</w:t>
      </w:r>
      <w:r>
        <w:rPr>
          <w:rFonts w:hint="default" w:ascii="Times New Roman" w:hAnsi="Times New Roman" w:eastAsia="宋体" w:cs="Times New Roman"/>
          <w:color w:val="auto"/>
          <w:spacing w:val="4"/>
          <w:kern w:val="24"/>
          <w:szCs w:val="22"/>
          <w:highlight w:val="none"/>
        </w:rPr>
        <w:t>j-第j次事故火炬气中CO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的体积浓度；</w:t>
      </w:r>
    </w:p>
    <w:p w14:paraId="7C9C7A80">
      <w:pPr>
        <w:spacing w:line="360" w:lineRule="auto"/>
        <w:ind w:firstLine="992" w:firstLineChars="4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VCH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-事故火炬气中CH</w:t>
      </w:r>
      <w:r>
        <w:rPr>
          <w:rFonts w:hint="default" w:ascii="Times New Roman" w:hAnsi="Times New Roman" w:eastAsia="宋体" w:cs="Times New Roman"/>
          <w:color w:val="auto"/>
          <w:spacing w:val="4"/>
          <w:kern w:val="24"/>
          <w:szCs w:val="22"/>
          <w:highlight w:val="none"/>
          <w:vertAlign w:val="subscript"/>
        </w:rPr>
        <w:t>4</w:t>
      </w:r>
      <w:r>
        <w:rPr>
          <w:rFonts w:hint="default" w:ascii="Times New Roman" w:hAnsi="Times New Roman" w:eastAsia="宋体" w:cs="Times New Roman"/>
          <w:color w:val="auto"/>
          <w:spacing w:val="4"/>
          <w:kern w:val="24"/>
          <w:szCs w:val="22"/>
          <w:highlight w:val="none"/>
        </w:rPr>
        <w:t>的体积浓度；</w:t>
      </w:r>
    </w:p>
    <w:p w14:paraId="34CFA4AD">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②计算结果</w:t>
      </w:r>
    </w:p>
    <w:p w14:paraId="0A779D8E">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核算火炬气温室气体排放主要为井场试采过程中火炬气排放量。相关参数如下表。</w:t>
      </w:r>
    </w:p>
    <w:p w14:paraId="23223488">
      <w:pPr>
        <w:adjustRightInd w:val="0"/>
        <w:ind w:firstLine="420" w:firstLineChars="20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eastAsia" w:eastAsia="黑体" w:cs="Times New Roman"/>
          <w:color w:val="auto"/>
          <w:sz w:val="21"/>
          <w:szCs w:val="21"/>
          <w:highlight w:val="none"/>
          <w:lang w:val="en-US" w:eastAsia="zh-CN"/>
        </w:rPr>
        <w:t>7</w:t>
      </w:r>
      <w:r>
        <w:rPr>
          <w:rFonts w:hint="default" w:ascii="Times New Roman" w:hAnsi="Times New Roman" w:eastAsia="黑体" w:cs="Times New Roman"/>
          <w:color w:val="auto"/>
          <w:sz w:val="21"/>
          <w:szCs w:val="21"/>
          <w:highlight w:val="none"/>
        </w:rPr>
        <w:t>.1-3火炬燃烧排放活动相关参数一览表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41"/>
        <w:gridCol w:w="839"/>
        <w:gridCol w:w="726"/>
        <w:gridCol w:w="912"/>
        <w:gridCol w:w="665"/>
        <w:gridCol w:w="1734"/>
        <w:gridCol w:w="885"/>
        <w:gridCol w:w="1080"/>
        <w:gridCol w:w="1080"/>
      </w:tblGrid>
      <w:tr w14:paraId="4E4DE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0" w:type="dxa"/>
            <w:noWrap w:val="0"/>
            <w:vAlign w:val="center"/>
          </w:tcPr>
          <w:p w14:paraId="16653B61">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序号</w:t>
            </w:r>
          </w:p>
        </w:tc>
        <w:tc>
          <w:tcPr>
            <w:tcW w:w="953" w:type="dxa"/>
            <w:noWrap w:val="0"/>
            <w:vAlign w:val="center"/>
          </w:tcPr>
          <w:p w14:paraId="4FC059D5">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场所</w:t>
            </w:r>
          </w:p>
        </w:tc>
        <w:tc>
          <w:tcPr>
            <w:tcW w:w="818" w:type="dxa"/>
            <w:noWrap w:val="0"/>
            <w:vAlign w:val="center"/>
          </w:tcPr>
          <w:p w14:paraId="5015C26E">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工况</w:t>
            </w:r>
          </w:p>
        </w:tc>
        <w:tc>
          <w:tcPr>
            <w:tcW w:w="944" w:type="dxa"/>
            <w:noWrap w:val="0"/>
            <w:vAlign w:val="center"/>
          </w:tcPr>
          <w:p w14:paraId="5CAE76A0">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lang w:eastAsia="zh-CN"/>
              </w:rPr>
            </w:pPr>
            <w:r>
              <w:rPr>
                <w:rFonts w:hint="default" w:ascii="Times New Roman" w:hAnsi="Times New Roman" w:eastAsia="宋体" w:cs="Times New Roman"/>
                <w:b w:val="0"/>
                <w:bCs/>
                <w:color w:val="auto"/>
                <w:spacing w:val="-10"/>
                <w:sz w:val="21"/>
                <w:szCs w:val="21"/>
                <w:highlight w:val="none"/>
              </w:rPr>
              <w:t>火炬气流速</w:t>
            </w:r>
            <w:r>
              <w:rPr>
                <w:rFonts w:hint="default" w:ascii="Times New Roman" w:hAnsi="Times New Roman" w:eastAsia="宋体" w:cs="Times New Roman"/>
                <w:b w:val="0"/>
                <w:bCs/>
                <w:color w:val="auto"/>
                <w:spacing w:val="-10"/>
                <w:sz w:val="21"/>
                <w:szCs w:val="21"/>
                <w:highlight w:val="none"/>
                <w:lang w:eastAsia="zh-CN"/>
              </w:rPr>
              <w:t>（</w:t>
            </w:r>
            <w:r>
              <w:rPr>
                <w:rFonts w:hint="default" w:ascii="Times New Roman" w:hAnsi="Times New Roman" w:eastAsia="宋体" w:cs="Times New Roman"/>
                <w:b w:val="0"/>
                <w:bCs/>
                <w:color w:val="auto"/>
                <w:spacing w:val="-10"/>
                <w:sz w:val="21"/>
                <w:szCs w:val="21"/>
                <w:highlight w:val="none"/>
                <w:lang w:bidi="ar"/>
              </w:rPr>
              <w:t>万Nm</w:t>
            </w:r>
            <w:r>
              <w:rPr>
                <w:rFonts w:hint="default" w:ascii="Times New Roman" w:hAnsi="Times New Roman" w:eastAsia="宋体" w:cs="Times New Roman"/>
                <w:b w:val="0"/>
                <w:bCs/>
                <w:color w:val="auto"/>
                <w:spacing w:val="-10"/>
                <w:sz w:val="21"/>
                <w:szCs w:val="21"/>
                <w:highlight w:val="none"/>
                <w:vertAlign w:val="superscript"/>
                <w:lang w:bidi="ar"/>
              </w:rPr>
              <w:t>3</w:t>
            </w:r>
            <w:r>
              <w:rPr>
                <w:rFonts w:hint="default" w:ascii="Times New Roman" w:hAnsi="Times New Roman" w:eastAsia="宋体" w:cs="Times New Roman"/>
                <w:b w:val="0"/>
                <w:bCs/>
                <w:color w:val="auto"/>
                <w:spacing w:val="-10"/>
                <w:sz w:val="21"/>
                <w:szCs w:val="21"/>
                <w:highlight w:val="none"/>
                <w:lang w:bidi="ar"/>
              </w:rPr>
              <w:t>/h</w:t>
            </w:r>
            <w:r>
              <w:rPr>
                <w:rFonts w:hint="default" w:ascii="Times New Roman" w:hAnsi="Times New Roman" w:eastAsia="宋体" w:cs="Times New Roman"/>
                <w:b w:val="0"/>
                <w:bCs/>
                <w:color w:val="auto"/>
                <w:spacing w:val="-10"/>
                <w:sz w:val="21"/>
                <w:szCs w:val="21"/>
                <w:highlight w:val="none"/>
                <w:lang w:eastAsia="zh-CN"/>
              </w:rPr>
              <w:t>）</w:t>
            </w:r>
          </w:p>
        </w:tc>
        <w:tc>
          <w:tcPr>
            <w:tcW w:w="691" w:type="dxa"/>
            <w:noWrap w:val="0"/>
            <w:vAlign w:val="center"/>
          </w:tcPr>
          <w:p w14:paraId="2025E194">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lang w:eastAsia="zh-CN"/>
              </w:rPr>
            </w:pPr>
            <w:r>
              <w:rPr>
                <w:rFonts w:hint="default" w:ascii="Times New Roman" w:hAnsi="Times New Roman" w:eastAsia="宋体" w:cs="Times New Roman"/>
                <w:b w:val="0"/>
                <w:bCs/>
                <w:color w:val="auto"/>
                <w:spacing w:val="-10"/>
                <w:sz w:val="21"/>
                <w:szCs w:val="21"/>
                <w:highlight w:val="none"/>
              </w:rPr>
              <w:t>持续时间</w:t>
            </w:r>
            <w:r>
              <w:rPr>
                <w:rFonts w:hint="default" w:ascii="Times New Roman" w:hAnsi="Times New Roman" w:eastAsia="宋体" w:cs="Times New Roman"/>
                <w:b w:val="0"/>
                <w:bCs/>
                <w:color w:val="auto"/>
                <w:spacing w:val="-10"/>
                <w:sz w:val="21"/>
                <w:szCs w:val="21"/>
                <w:highlight w:val="none"/>
                <w:lang w:eastAsia="zh-CN"/>
              </w:rPr>
              <w:t>（</w:t>
            </w:r>
            <w:r>
              <w:rPr>
                <w:rFonts w:hint="default" w:ascii="Times New Roman" w:hAnsi="Times New Roman" w:eastAsia="宋体" w:cs="Times New Roman"/>
                <w:b w:val="0"/>
                <w:bCs/>
                <w:color w:val="auto"/>
                <w:spacing w:val="-10"/>
                <w:sz w:val="21"/>
                <w:szCs w:val="21"/>
                <w:highlight w:val="none"/>
              </w:rPr>
              <w:t>h</w:t>
            </w:r>
            <w:r>
              <w:rPr>
                <w:rFonts w:hint="default" w:ascii="Times New Roman" w:hAnsi="Times New Roman" w:eastAsia="宋体" w:cs="Times New Roman"/>
                <w:b w:val="0"/>
                <w:bCs/>
                <w:color w:val="auto"/>
                <w:spacing w:val="-10"/>
                <w:sz w:val="21"/>
                <w:szCs w:val="21"/>
                <w:highlight w:val="none"/>
                <w:lang w:eastAsia="zh-CN"/>
              </w:rPr>
              <w:t>）</w:t>
            </w:r>
          </w:p>
        </w:tc>
        <w:tc>
          <w:tcPr>
            <w:tcW w:w="1953" w:type="dxa"/>
            <w:noWrap w:val="0"/>
            <w:vAlign w:val="center"/>
          </w:tcPr>
          <w:p w14:paraId="73B4A37A">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lang w:eastAsia="zh-CN"/>
              </w:rPr>
            </w:pPr>
            <w:r>
              <w:rPr>
                <w:rFonts w:hint="default" w:ascii="Times New Roman" w:hAnsi="Times New Roman" w:eastAsia="宋体" w:cs="Times New Roman"/>
                <w:b w:val="0"/>
                <w:bCs/>
                <w:color w:val="auto"/>
                <w:spacing w:val="-10"/>
                <w:sz w:val="21"/>
                <w:szCs w:val="21"/>
                <w:highlight w:val="none"/>
              </w:rPr>
              <w:t>火炬气中除CO</w:t>
            </w:r>
            <w:r>
              <w:rPr>
                <w:rFonts w:hint="default" w:ascii="Times New Roman" w:hAnsi="Times New Roman" w:eastAsia="宋体" w:cs="Times New Roman"/>
                <w:b w:val="0"/>
                <w:bCs/>
                <w:color w:val="auto"/>
                <w:spacing w:val="-10"/>
                <w:sz w:val="21"/>
                <w:szCs w:val="21"/>
                <w:highlight w:val="none"/>
                <w:vertAlign w:val="subscript"/>
              </w:rPr>
              <w:t>2</w:t>
            </w:r>
            <w:r>
              <w:rPr>
                <w:rFonts w:hint="default" w:ascii="Times New Roman" w:hAnsi="Times New Roman" w:eastAsia="宋体" w:cs="Times New Roman"/>
                <w:b w:val="0"/>
                <w:bCs/>
                <w:color w:val="auto"/>
                <w:spacing w:val="-10"/>
                <w:sz w:val="21"/>
                <w:szCs w:val="21"/>
                <w:highlight w:val="none"/>
              </w:rPr>
              <w:t>外其他含碳化合物的总含碳量</w:t>
            </w:r>
            <w:r>
              <w:rPr>
                <w:rFonts w:hint="default" w:ascii="Times New Roman" w:hAnsi="Times New Roman" w:eastAsia="宋体" w:cs="Times New Roman"/>
                <w:b w:val="0"/>
                <w:bCs/>
                <w:color w:val="auto"/>
                <w:spacing w:val="-10"/>
                <w:sz w:val="21"/>
                <w:szCs w:val="21"/>
                <w:highlight w:val="none"/>
                <w:lang w:eastAsia="zh-CN"/>
              </w:rPr>
              <w:t>（</w:t>
            </w:r>
            <w:r>
              <w:rPr>
                <w:rFonts w:hint="default" w:ascii="Times New Roman" w:hAnsi="Times New Roman" w:eastAsia="宋体" w:cs="Times New Roman"/>
                <w:b w:val="0"/>
                <w:bCs/>
                <w:color w:val="auto"/>
                <w:spacing w:val="-10"/>
                <w:sz w:val="21"/>
                <w:szCs w:val="21"/>
                <w:highlight w:val="none"/>
              </w:rPr>
              <w:t>吨碳/</w:t>
            </w:r>
            <w:r>
              <w:rPr>
                <w:rFonts w:hint="default" w:ascii="Times New Roman" w:hAnsi="Times New Roman" w:eastAsia="宋体" w:cs="Times New Roman"/>
                <w:b w:val="0"/>
                <w:bCs/>
                <w:color w:val="auto"/>
                <w:spacing w:val="-10"/>
                <w:sz w:val="21"/>
                <w:szCs w:val="21"/>
                <w:highlight w:val="none"/>
                <w:lang w:bidi="ar"/>
              </w:rPr>
              <w:t>万Nm</w:t>
            </w:r>
            <w:r>
              <w:rPr>
                <w:rFonts w:hint="default" w:ascii="Times New Roman" w:hAnsi="Times New Roman" w:eastAsia="宋体" w:cs="Times New Roman"/>
                <w:b w:val="0"/>
                <w:bCs/>
                <w:color w:val="auto"/>
                <w:spacing w:val="-10"/>
                <w:sz w:val="21"/>
                <w:szCs w:val="21"/>
                <w:highlight w:val="none"/>
                <w:vertAlign w:val="superscript"/>
                <w:lang w:bidi="ar"/>
              </w:rPr>
              <w:t>3</w:t>
            </w:r>
            <w:r>
              <w:rPr>
                <w:rFonts w:hint="default" w:ascii="Times New Roman" w:hAnsi="Times New Roman" w:eastAsia="宋体" w:cs="Times New Roman"/>
                <w:b w:val="0"/>
                <w:bCs/>
                <w:color w:val="auto"/>
                <w:spacing w:val="-10"/>
                <w:sz w:val="21"/>
                <w:szCs w:val="21"/>
                <w:highlight w:val="none"/>
                <w:lang w:eastAsia="zh-CN"/>
              </w:rPr>
              <w:t>）</w:t>
            </w:r>
          </w:p>
        </w:tc>
        <w:tc>
          <w:tcPr>
            <w:tcW w:w="982" w:type="dxa"/>
            <w:noWrap w:val="0"/>
            <w:vAlign w:val="center"/>
          </w:tcPr>
          <w:p w14:paraId="11962E8C">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lang w:bidi="ar"/>
              </w:rPr>
              <w:t>火炬燃烧的碳氧化率</w:t>
            </w:r>
          </w:p>
        </w:tc>
        <w:tc>
          <w:tcPr>
            <w:tcW w:w="1177" w:type="dxa"/>
            <w:noWrap w:val="0"/>
            <w:vAlign w:val="center"/>
          </w:tcPr>
          <w:p w14:paraId="6CC9EDB5">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lang w:bidi="ar"/>
              </w:rPr>
              <w:t>火炬气中CO</w:t>
            </w:r>
            <w:r>
              <w:rPr>
                <w:rFonts w:hint="default" w:ascii="Times New Roman" w:hAnsi="Times New Roman" w:eastAsia="宋体" w:cs="Times New Roman"/>
                <w:b w:val="0"/>
                <w:bCs/>
                <w:color w:val="auto"/>
                <w:spacing w:val="-10"/>
                <w:sz w:val="21"/>
                <w:szCs w:val="21"/>
                <w:highlight w:val="none"/>
                <w:vertAlign w:val="subscript"/>
                <w:lang w:bidi="ar"/>
              </w:rPr>
              <w:t>2</w:t>
            </w:r>
            <w:r>
              <w:rPr>
                <w:rFonts w:hint="default" w:ascii="Times New Roman" w:hAnsi="Times New Roman" w:eastAsia="宋体" w:cs="Times New Roman"/>
                <w:b w:val="0"/>
                <w:bCs/>
                <w:color w:val="auto"/>
                <w:spacing w:val="-10"/>
                <w:sz w:val="21"/>
                <w:szCs w:val="21"/>
                <w:highlight w:val="none"/>
                <w:lang w:bidi="ar"/>
              </w:rPr>
              <w:t>的体积浓度</w:t>
            </w:r>
          </w:p>
        </w:tc>
        <w:tc>
          <w:tcPr>
            <w:tcW w:w="1177" w:type="dxa"/>
            <w:noWrap w:val="0"/>
            <w:vAlign w:val="center"/>
          </w:tcPr>
          <w:p w14:paraId="0DA3A230">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lang w:bidi="ar"/>
              </w:rPr>
              <w:t>火炬气中CH</w:t>
            </w:r>
            <w:r>
              <w:rPr>
                <w:rFonts w:hint="default" w:ascii="Times New Roman" w:hAnsi="Times New Roman" w:eastAsia="宋体" w:cs="Times New Roman"/>
                <w:b w:val="0"/>
                <w:bCs/>
                <w:color w:val="auto"/>
                <w:spacing w:val="-10"/>
                <w:sz w:val="21"/>
                <w:szCs w:val="21"/>
                <w:highlight w:val="none"/>
                <w:vertAlign w:val="subscript"/>
                <w:lang w:bidi="ar"/>
              </w:rPr>
              <w:t>4</w:t>
            </w:r>
            <w:r>
              <w:rPr>
                <w:rFonts w:hint="default" w:ascii="Times New Roman" w:hAnsi="Times New Roman" w:eastAsia="宋体" w:cs="Times New Roman"/>
                <w:b w:val="0"/>
                <w:bCs/>
                <w:color w:val="auto"/>
                <w:spacing w:val="-10"/>
                <w:sz w:val="21"/>
                <w:szCs w:val="21"/>
                <w:highlight w:val="none"/>
                <w:lang w:bidi="ar"/>
              </w:rPr>
              <w:t>的体积浓度</w:t>
            </w:r>
          </w:p>
        </w:tc>
      </w:tr>
      <w:tr w14:paraId="39B82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0" w:type="dxa"/>
            <w:noWrap w:val="0"/>
            <w:vAlign w:val="center"/>
          </w:tcPr>
          <w:p w14:paraId="4D560364">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1</w:t>
            </w:r>
          </w:p>
        </w:tc>
        <w:tc>
          <w:tcPr>
            <w:tcW w:w="953" w:type="dxa"/>
            <w:noWrap w:val="0"/>
            <w:vAlign w:val="center"/>
          </w:tcPr>
          <w:p w14:paraId="029EAE39">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eastAsia" w:ascii="Times New Roman" w:hAnsi="Times New Roman" w:cs="Times New Roman"/>
                <w:b w:val="0"/>
                <w:bCs/>
                <w:color w:val="auto"/>
                <w:spacing w:val="-10"/>
                <w:sz w:val="21"/>
                <w:szCs w:val="21"/>
                <w:highlight w:val="none"/>
                <w:lang w:val="en-US" w:eastAsia="zh-CN"/>
              </w:rPr>
              <w:t>4</w:t>
            </w:r>
            <w:r>
              <w:rPr>
                <w:rFonts w:hint="default" w:ascii="Times New Roman" w:hAnsi="Times New Roman" w:eastAsia="宋体" w:cs="Times New Roman"/>
                <w:b w:val="0"/>
                <w:bCs/>
                <w:color w:val="auto"/>
                <w:spacing w:val="-10"/>
                <w:sz w:val="21"/>
                <w:szCs w:val="21"/>
                <w:highlight w:val="none"/>
              </w:rPr>
              <w:t>座井场</w:t>
            </w:r>
          </w:p>
        </w:tc>
        <w:tc>
          <w:tcPr>
            <w:tcW w:w="818" w:type="dxa"/>
            <w:noWrap w:val="0"/>
            <w:vAlign w:val="center"/>
          </w:tcPr>
          <w:p w14:paraId="705E25D2">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正常</w:t>
            </w:r>
          </w:p>
          <w:p w14:paraId="4F11424C">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工况</w:t>
            </w:r>
          </w:p>
        </w:tc>
        <w:tc>
          <w:tcPr>
            <w:tcW w:w="944" w:type="dxa"/>
            <w:noWrap w:val="0"/>
            <w:vAlign w:val="center"/>
          </w:tcPr>
          <w:p w14:paraId="61CFDCBE">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0.18</w:t>
            </w:r>
          </w:p>
        </w:tc>
        <w:tc>
          <w:tcPr>
            <w:tcW w:w="691" w:type="dxa"/>
            <w:noWrap w:val="0"/>
            <w:vAlign w:val="center"/>
          </w:tcPr>
          <w:p w14:paraId="13375CA0">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48</w:t>
            </w:r>
          </w:p>
        </w:tc>
        <w:tc>
          <w:tcPr>
            <w:tcW w:w="1953" w:type="dxa"/>
            <w:noWrap w:val="0"/>
            <w:vAlign w:val="center"/>
          </w:tcPr>
          <w:p w14:paraId="61F5E8D7">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0.5</w:t>
            </w:r>
          </w:p>
        </w:tc>
        <w:tc>
          <w:tcPr>
            <w:tcW w:w="982" w:type="dxa"/>
            <w:noWrap w:val="0"/>
            <w:vAlign w:val="center"/>
          </w:tcPr>
          <w:p w14:paraId="69C49057">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rPr>
            </w:pPr>
            <w:r>
              <w:rPr>
                <w:rFonts w:hint="default" w:ascii="Times New Roman" w:hAnsi="Times New Roman" w:eastAsia="宋体" w:cs="Times New Roman"/>
                <w:b w:val="0"/>
                <w:bCs/>
                <w:color w:val="auto"/>
                <w:spacing w:val="-10"/>
                <w:sz w:val="21"/>
                <w:szCs w:val="21"/>
                <w:highlight w:val="none"/>
              </w:rPr>
              <w:t>0.98</w:t>
            </w:r>
          </w:p>
        </w:tc>
        <w:tc>
          <w:tcPr>
            <w:tcW w:w="1177" w:type="dxa"/>
            <w:noWrap w:val="0"/>
            <w:vAlign w:val="center"/>
          </w:tcPr>
          <w:p w14:paraId="4676D6E0">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lang w:eastAsia="zh-CN"/>
              </w:rPr>
            </w:pPr>
            <w:r>
              <w:rPr>
                <w:rFonts w:hint="default" w:ascii="Times New Roman" w:hAnsi="Times New Roman" w:eastAsia="宋体" w:cs="Times New Roman"/>
                <w:b w:val="0"/>
                <w:bCs/>
                <w:color w:val="auto"/>
                <w:spacing w:val="-10"/>
                <w:sz w:val="21"/>
                <w:szCs w:val="21"/>
                <w:highlight w:val="none"/>
              </w:rPr>
              <w:t>0.0296</w:t>
            </w:r>
            <w:r>
              <w:rPr>
                <w:rFonts w:hint="default" w:ascii="Times New Roman" w:hAnsi="Times New Roman" w:eastAsia="宋体" w:cs="Times New Roman"/>
                <w:b w:val="0"/>
                <w:bCs/>
                <w:color w:val="auto"/>
                <w:spacing w:val="-10"/>
                <w:sz w:val="21"/>
                <w:szCs w:val="21"/>
                <w:highlight w:val="none"/>
                <w:lang w:eastAsia="zh-CN"/>
              </w:rPr>
              <w:t>（</w:t>
            </w:r>
            <w:r>
              <w:rPr>
                <w:rFonts w:hint="default" w:ascii="Times New Roman" w:hAnsi="Times New Roman" w:eastAsia="宋体" w:cs="Times New Roman"/>
                <w:b w:val="0"/>
                <w:bCs/>
                <w:color w:val="auto"/>
                <w:spacing w:val="-10"/>
                <w:sz w:val="21"/>
                <w:szCs w:val="21"/>
                <w:highlight w:val="none"/>
              </w:rPr>
              <w:t>按塔河油田主体区奥陶系油藏中参数给出</w:t>
            </w:r>
            <w:r>
              <w:rPr>
                <w:rFonts w:hint="default" w:ascii="Times New Roman" w:hAnsi="Times New Roman" w:eastAsia="宋体" w:cs="Times New Roman"/>
                <w:b w:val="0"/>
                <w:bCs/>
                <w:color w:val="auto"/>
                <w:spacing w:val="-10"/>
                <w:sz w:val="21"/>
                <w:szCs w:val="21"/>
                <w:highlight w:val="none"/>
                <w:lang w:eastAsia="zh-CN"/>
              </w:rPr>
              <w:t>）</w:t>
            </w:r>
          </w:p>
        </w:tc>
        <w:tc>
          <w:tcPr>
            <w:tcW w:w="1177" w:type="dxa"/>
            <w:noWrap w:val="0"/>
            <w:vAlign w:val="center"/>
          </w:tcPr>
          <w:p w14:paraId="53982896">
            <w:pPr>
              <w:pStyle w:val="34"/>
              <w:spacing w:after="0" w:line="0" w:lineRule="atLeast"/>
              <w:ind w:left="0" w:leftChars="0" w:firstLine="0" w:firstLineChars="0"/>
              <w:jc w:val="center"/>
              <w:rPr>
                <w:rFonts w:hint="default" w:ascii="Times New Roman" w:hAnsi="Times New Roman" w:eastAsia="宋体" w:cs="Times New Roman"/>
                <w:b w:val="0"/>
                <w:bCs/>
                <w:color w:val="auto"/>
                <w:spacing w:val="-10"/>
                <w:sz w:val="21"/>
                <w:szCs w:val="21"/>
                <w:highlight w:val="none"/>
                <w:lang w:eastAsia="zh-CN"/>
              </w:rPr>
            </w:pPr>
            <w:r>
              <w:rPr>
                <w:rFonts w:hint="default" w:ascii="Times New Roman" w:hAnsi="Times New Roman" w:eastAsia="宋体" w:cs="Times New Roman"/>
                <w:b w:val="0"/>
                <w:bCs/>
                <w:color w:val="auto"/>
                <w:spacing w:val="-10"/>
                <w:sz w:val="21"/>
                <w:szCs w:val="21"/>
                <w:highlight w:val="none"/>
              </w:rPr>
              <w:t>0.7396</w:t>
            </w:r>
            <w:r>
              <w:rPr>
                <w:rFonts w:hint="default" w:ascii="Times New Roman" w:hAnsi="Times New Roman" w:eastAsia="宋体" w:cs="Times New Roman"/>
                <w:b w:val="0"/>
                <w:bCs/>
                <w:color w:val="auto"/>
                <w:spacing w:val="-10"/>
                <w:sz w:val="21"/>
                <w:szCs w:val="21"/>
                <w:highlight w:val="none"/>
                <w:lang w:eastAsia="zh-CN"/>
              </w:rPr>
              <w:t>（</w:t>
            </w:r>
            <w:r>
              <w:rPr>
                <w:rFonts w:hint="default" w:ascii="Times New Roman" w:hAnsi="Times New Roman" w:eastAsia="宋体" w:cs="Times New Roman"/>
                <w:b w:val="0"/>
                <w:bCs/>
                <w:color w:val="auto"/>
                <w:spacing w:val="-10"/>
                <w:sz w:val="21"/>
                <w:szCs w:val="21"/>
                <w:highlight w:val="none"/>
              </w:rPr>
              <w:t>按塔河油田主体区奥陶系油藏中参数给出</w:t>
            </w:r>
            <w:r>
              <w:rPr>
                <w:rFonts w:hint="default" w:ascii="Times New Roman" w:hAnsi="Times New Roman" w:eastAsia="宋体" w:cs="Times New Roman"/>
                <w:b w:val="0"/>
                <w:bCs/>
                <w:color w:val="auto"/>
                <w:spacing w:val="-10"/>
                <w:sz w:val="21"/>
                <w:szCs w:val="21"/>
                <w:highlight w:val="none"/>
                <w:lang w:eastAsia="zh-CN"/>
              </w:rPr>
              <w:t>）</w:t>
            </w:r>
          </w:p>
        </w:tc>
      </w:tr>
    </w:tbl>
    <w:p w14:paraId="2E06E1C5">
      <w:pPr>
        <w:spacing w:line="360" w:lineRule="auto"/>
        <w:ind w:firstLine="496" w:firstLineChars="200"/>
        <w:jc w:val="both"/>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根据表中参数结合公式计算可知，火炬燃烧排放温室气体量为</w:t>
      </w:r>
      <w:r>
        <w:rPr>
          <w:rFonts w:hint="default" w:ascii="Times New Roman" w:hAnsi="Times New Roman" w:cs="Times New Roman"/>
          <w:color w:val="auto"/>
          <w:spacing w:val="4"/>
          <w:kern w:val="24"/>
          <w:szCs w:val="22"/>
          <w:highlight w:val="none"/>
          <w:lang w:val="en-US" w:eastAsia="zh-CN"/>
        </w:rPr>
        <w:t>0.</w:t>
      </w:r>
      <w:r>
        <w:rPr>
          <w:rFonts w:hint="eastAsia" w:cs="Times New Roman"/>
          <w:color w:val="auto"/>
          <w:spacing w:val="4"/>
          <w:kern w:val="24"/>
          <w:szCs w:val="22"/>
          <w:highlight w:val="none"/>
          <w:lang w:val="en-US" w:eastAsia="zh-CN"/>
        </w:rPr>
        <w:t>33</w:t>
      </w:r>
      <w:r>
        <w:rPr>
          <w:rFonts w:hint="default" w:ascii="Times New Roman" w:hAnsi="Times New Roman" w:eastAsia="宋体" w:cs="Times New Roman"/>
          <w:color w:val="auto"/>
          <w:spacing w:val="4"/>
          <w:kern w:val="24"/>
          <w:szCs w:val="22"/>
          <w:highlight w:val="none"/>
        </w:rPr>
        <w:t>吨CO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w:t>
      </w:r>
    </w:p>
    <w:p w14:paraId="0AD3DD11">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（2）CH</w:t>
      </w:r>
      <w:r>
        <w:rPr>
          <w:rFonts w:hint="default" w:ascii="Times New Roman" w:hAnsi="Times New Roman" w:eastAsia="宋体" w:cs="Times New Roman"/>
          <w:color w:val="auto"/>
          <w:spacing w:val="4"/>
          <w:kern w:val="24"/>
          <w:sz w:val="24"/>
          <w:szCs w:val="24"/>
          <w:highlight w:val="none"/>
          <w:vertAlign w:val="subscript"/>
        </w:rPr>
        <w:t>4</w:t>
      </w:r>
      <w:r>
        <w:rPr>
          <w:rFonts w:hint="default" w:ascii="Times New Roman" w:hAnsi="Times New Roman" w:eastAsia="宋体" w:cs="Times New Roman"/>
          <w:color w:val="auto"/>
          <w:spacing w:val="4"/>
          <w:kern w:val="24"/>
          <w:sz w:val="24"/>
          <w:szCs w:val="24"/>
          <w:highlight w:val="none"/>
        </w:rPr>
        <w:t>逃逸排放</w:t>
      </w:r>
    </w:p>
    <w:p w14:paraId="41DA0365">
      <w:pPr>
        <w:pStyle w:val="63"/>
        <w:keepNext w:val="0"/>
        <w:keepLines w:val="0"/>
        <w:pageBreakBefore w:val="0"/>
        <w:kinsoku/>
        <w:wordWrap/>
        <w:overflowPunct/>
        <w:autoSpaceDN/>
        <w:bidi w:val="0"/>
        <w:adjustRightInd w:val="0"/>
        <w:snapToGrid w:val="0"/>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运营期无燃料燃烧和工艺放空装置，主要排放的温室气体为原油开采过程中井口装置和接转站逃逸排放的CH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。《中国石油和天然气生产企业温室气体排放核算方法与报告指南（试行）》（发改办气候〔2014〕2920号）中“油气开采业务CH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逃逸排放”计算公式进行计算：</w:t>
      </w:r>
    </w:p>
    <w:p w14:paraId="43AADCFD">
      <w:pPr>
        <w:pStyle w:val="63"/>
        <w:keepNext w:val="0"/>
        <w:keepLines w:val="0"/>
        <w:pageBreakBefore w:val="0"/>
        <w:kinsoku/>
        <w:wordWrap/>
        <w:overflowPunct/>
        <w:autoSpaceDN/>
        <w:bidi w:val="0"/>
        <w:adjustRightInd w:val="0"/>
        <w:snapToGrid w:val="0"/>
        <w:spacing w:after="0" w:line="360" w:lineRule="auto"/>
        <w:ind w:firstLine="480" w:firstLineChars="2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4901565" cy="661670"/>
            <wp:effectExtent l="0" t="0" r="13335" b="5080"/>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105"/>
                    <a:stretch>
                      <a:fillRect/>
                    </a:stretch>
                  </pic:blipFill>
                  <pic:spPr>
                    <a:xfrm>
                      <a:off x="0" y="0"/>
                      <a:ext cx="4901565" cy="661670"/>
                    </a:xfrm>
                    <a:prstGeom prst="rect">
                      <a:avLst/>
                    </a:prstGeom>
                    <a:noFill/>
                    <a:ln>
                      <a:noFill/>
                    </a:ln>
                  </pic:spPr>
                </pic:pic>
              </a:graphicData>
            </a:graphic>
          </wp:inline>
        </w:drawing>
      </w:r>
    </w:p>
    <w:p w14:paraId="3EE6F067">
      <w:pPr>
        <w:keepNext w:val="0"/>
        <w:keepLines w:val="0"/>
        <w:pageBreakBefore w:val="0"/>
        <w:kinsoku/>
        <w:wordWrap/>
        <w:overflowPunct/>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zh-CN"/>
        </w:rPr>
        <w:t>式中：</w:t>
      </w:r>
      <w:r>
        <w:rPr>
          <w:rFonts w:hint="default" w:ascii="Times New Roman" w:hAnsi="Times New Roman" w:cs="Times New Roman"/>
          <w:i/>
          <w:iCs/>
          <w:color w:val="auto"/>
          <w:sz w:val="24"/>
          <w:szCs w:val="24"/>
          <w:highlight w:val="none"/>
        </w:rPr>
        <w:t>E</w:t>
      </w:r>
      <w:r>
        <w:rPr>
          <w:rFonts w:hint="default" w:ascii="Times New Roman" w:hAnsi="Times New Roman" w:cs="Times New Roman"/>
          <w:i/>
          <w:iCs/>
          <w:color w:val="auto"/>
          <w:sz w:val="24"/>
          <w:szCs w:val="24"/>
          <w:highlight w:val="none"/>
          <w:vertAlign w:val="subscript"/>
        </w:rPr>
        <w:t>CH4_</w:t>
      </w:r>
      <w:r>
        <w:rPr>
          <w:rFonts w:hint="default" w:ascii="Times New Roman" w:hAnsi="Times New Roman" w:cs="Times New Roman"/>
          <w:color w:val="auto"/>
          <w:sz w:val="24"/>
          <w:szCs w:val="24"/>
          <w:highlight w:val="none"/>
          <w:vertAlign w:val="subscript"/>
        </w:rPr>
        <w:t>开采逃逸</w:t>
      </w:r>
      <w:r>
        <w:rPr>
          <w:rFonts w:hint="default" w:ascii="Times New Roman" w:hAnsi="Times New Roman" w:cs="Times New Roman"/>
          <w:color w:val="auto"/>
          <w:sz w:val="24"/>
          <w:szCs w:val="24"/>
          <w:highlight w:val="none"/>
        </w:rPr>
        <w:t>——原油开采或天然气开采中所有设施类型（包括原油开采的井口装置、单井储油装置、接转站、联合站及天然气开采中的井口装置、集气站、计量/配气站、储气站等）产生的CH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逃逸排放，单位为吨CH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w:t>
      </w:r>
    </w:p>
    <w:p w14:paraId="5550152B">
      <w:pPr>
        <w:keepNext w:val="0"/>
        <w:keepLines w:val="0"/>
        <w:pageBreakBefore w:val="0"/>
        <w:kinsoku/>
        <w:wordWrap/>
        <w:overflowPunct/>
        <w:autoSpaceDN/>
        <w:bidi w:val="0"/>
        <w:adjustRightInd w:val="0"/>
        <w:snapToGrid w:val="0"/>
        <w:spacing w:line="360" w:lineRule="auto"/>
        <w:ind w:firstLine="1200" w:firstLineChars="500"/>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iCs/>
          <w:color w:val="auto"/>
          <w:sz w:val="24"/>
          <w:szCs w:val="24"/>
          <w:highlight w:val="none"/>
        </w:rPr>
        <w:t>j</w:t>
      </w:r>
      <w:r>
        <w:rPr>
          <w:rFonts w:hint="default" w:ascii="Times New Roman" w:hAnsi="Times New Roman" w:cs="Times New Roman"/>
          <w:color w:val="auto"/>
          <w:sz w:val="24"/>
          <w:szCs w:val="24"/>
          <w:highlight w:val="none"/>
        </w:rPr>
        <w:t>——不同的设施类型；</w:t>
      </w:r>
    </w:p>
    <w:p w14:paraId="3CFFB0C7">
      <w:pPr>
        <w:keepNext w:val="0"/>
        <w:keepLines w:val="0"/>
        <w:pageBreakBefore w:val="0"/>
        <w:kinsoku/>
        <w:wordWrap/>
        <w:overflowPunct/>
        <w:autoSpaceDN/>
        <w:bidi w:val="0"/>
        <w:adjustRightInd w:val="0"/>
        <w:snapToGrid w:val="0"/>
        <w:spacing w:line="360" w:lineRule="auto"/>
        <w:ind w:firstLine="960" w:firstLineChars="400"/>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iCs/>
          <w:color w:val="auto"/>
          <w:sz w:val="24"/>
          <w:szCs w:val="24"/>
          <w:highlight w:val="none"/>
        </w:rPr>
        <w:t>Num</w:t>
      </w:r>
      <w:r>
        <w:rPr>
          <w:rFonts w:hint="default" w:ascii="Times New Roman" w:hAnsi="Times New Roman" w:cs="Times New Roman"/>
          <w:i/>
          <w:iCs/>
          <w:color w:val="auto"/>
          <w:sz w:val="24"/>
          <w:szCs w:val="24"/>
          <w:highlight w:val="none"/>
          <w:vertAlign w:val="subscript"/>
        </w:rPr>
        <w:t>oil,j</w:t>
      </w:r>
      <w:r>
        <w:rPr>
          <w:rFonts w:hint="default" w:ascii="Times New Roman" w:hAnsi="Times New Roman" w:cs="Times New Roman"/>
          <w:color w:val="auto"/>
          <w:sz w:val="24"/>
          <w:szCs w:val="24"/>
          <w:highlight w:val="none"/>
        </w:rPr>
        <w:t>——原油开采业务所涉及的泄漏设施类型数量，单位为个；</w:t>
      </w:r>
    </w:p>
    <w:p w14:paraId="070B75AF">
      <w:pPr>
        <w:keepNext w:val="0"/>
        <w:keepLines w:val="0"/>
        <w:pageBreakBefore w:val="0"/>
        <w:kinsoku/>
        <w:wordWrap/>
        <w:overflowPunct/>
        <w:autoSpaceDN/>
        <w:bidi w:val="0"/>
        <w:adjustRightInd w:val="0"/>
        <w:snapToGrid w:val="0"/>
        <w:spacing w:line="360" w:lineRule="auto"/>
        <w:ind w:firstLine="960" w:firstLineChars="400"/>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iCs/>
          <w:color w:val="auto"/>
          <w:sz w:val="24"/>
          <w:szCs w:val="24"/>
          <w:highlight w:val="none"/>
        </w:rPr>
        <w:t>EF</w:t>
      </w:r>
      <w:r>
        <w:rPr>
          <w:rFonts w:hint="default" w:ascii="Times New Roman" w:hAnsi="Times New Roman" w:cs="Times New Roman"/>
          <w:i/>
          <w:iCs/>
          <w:color w:val="auto"/>
          <w:sz w:val="24"/>
          <w:szCs w:val="24"/>
          <w:highlight w:val="none"/>
          <w:vertAlign w:val="subscript"/>
        </w:rPr>
        <w:t>oil,j</w:t>
      </w:r>
      <w:r>
        <w:rPr>
          <w:rFonts w:hint="default" w:ascii="Times New Roman" w:hAnsi="Times New Roman" w:cs="Times New Roman"/>
          <w:color w:val="auto"/>
          <w:sz w:val="24"/>
          <w:szCs w:val="24"/>
          <w:highlight w:val="none"/>
        </w:rPr>
        <w:t>——原油开采业务中涉及的每种设施类型j的CH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逃逸排放因子，单位为吨CH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/（年·个）；井口装置为0.23；</w:t>
      </w:r>
    </w:p>
    <w:p w14:paraId="21CBEBB7">
      <w:pPr>
        <w:keepNext w:val="0"/>
        <w:keepLines w:val="0"/>
        <w:pageBreakBefore w:val="0"/>
        <w:kinsoku/>
        <w:wordWrap/>
        <w:overflowPunct/>
        <w:autoSpaceDN/>
        <w:bidi w:val="0"/>
        <w:adjustRightInd w:val="0"/>
        <w:snapToGrid w:val="0"/>
        <w:spacing w:line="360" w:lineRule="auto"/>
        <w:ind w:firstLine="960" w:firstLineChars="400"/>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iCs/>
          <w:color w:val="auto"/>
          <w:sz w:val="24"/>
          <w:szCs w:val="24"/>
          <w:highlight w:val="none"/>
        </w:rPr>
        <w:t>Num</w:t>
      </w:r>
      <w:r>
        <w:rPr>
          <w:rFonts w:hint="default" w:ascii="Times New Roman" w:hAnsi="Times New Roman" w:cs="Times New Roman"/>
          <w:i/>
          <w:iCs/>
          <w:color w:val="auto"/>
          <w:sz w:val="24"/>
          <w:szCs w:val="24"/>
          <w:highlight w:val="none"/>
          <w:vertAlign w:val="subscript"/>
        </w:rPr>
        <w:t>gas,j</w:t>
      </w:r>
      <w:r>
        <w:rPr>
          <w:rFonts w:hint="default" w:ascii="Times New Roman" w:hAnsi="Times New Roman" w:cs="Times New Roman"/>
          <w:color w:val="auto"/>
          <w:sz w:val="24"/>
          <w:szCs w:val="24"/>
          <w:highlight w:val="none"/>
        </w:rPr>
        <w:t>——天然气开采业务所涉及的泄漏设施类型数量，单位为个；</w:t>
      </w:r>
      <w:r>
        <w:rPr>
          <w:rFonts w:hint="default" w:ascii="Times New Roman" w:hAnsi="Times New Roman" w:cs="Times New Roman"/>
          <w:i/>
          <w:iCs/>
          <w:color w:val="auto"/>
          <w:sz w:val="24"/>
          <w:szCs w:val="24"/>
          <w:highlight w:val="none"/>
        </w:rPr>
        <w:t>EF</w:t>
      </w:r>
      <w:r>
        <w:rPr>
          <w:rFonts w:hint="default" w:ascii="Times New Roman" w:hAnsi="Times New Roman" w:cs="Times New Roman"/>
          <w:i/>
          <w:iCs/>
          <w:color w:val="auto"/>
          <w:sz w:val="24"/>
          <w:szCs w:val="24"/>
          <w:highlight w:val="none"/>
          <w:vertAlign w:val="subscript"/>
        </w:rPr>
        <w:t>gas,j</w:t>
      </w:r>
      <w:r>
        <w:rPr>
          <w:rFonts w:hint="default" w:ascii="Times New Roman" w:hAnsi="Times New Roman" w:cs="Times New Roman"/>
          <w:color w:val="auto"/>
          <w:sz w:val="24"/>
          <w:szCs w:val="24"/>
          <w:highlight w:val="none"/>
        </w:rPr>
        <w:t>——天然气开采业务中涉及的每种设施类型j的CH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逃逸排放因子，单位为吨CH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/（年·个）；井口装置为2.5。</w:t>
      </w:r>
    </w:p>
    <w:p w14:paraId="1A02DA4B">
      <w:pPr>
        <w:pStyle w:val="119"/>
        <w:keepNext w:val="0"/>
        <w:keepLines w:val="0"/>
        <w:pageBreakBefore w:val="0"/>
        <w:kinsoku/>
        <w:wordWrap/>
        <w:overflowPunct/>
        <w:topLinePunct/>
        <w:autoSpaceDE w:val="0"/>
        <w:autoSpaceDN/>
        <w:bidi w:val="0"/>
        <w:adjustRightInd w:val="0"/>
        <w:snapToGrid w:val="0"/>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开采逃逸的CH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为：</w:t>
      </w:r>
    </w:p>
    <w:p w14:paraId="676CA210">
      <w:pPr>
        <w:pStyle w:val="119"/>
        <w:keepNext w:val="0"/>
        <w:keepLines w:val="0"/>
        <w:pageBreakBefore w:val="0"/>
        <w:kinsoku/>
        <w:wordWrap/>
        <w:overflowPunct/>
        <w:topLinePunct/>
        <w:autoSpaceDE w:val="0"/>
        <w:autoSpaceDN/>
        <w:bidi w:val="0"/>
        <w:adjustRightInd w:val="0"/>
        <w:snapToGrid w:val="0"/>
        <w:spacing w:line="360" w:lineRule="auto"/>
        <w:ind w:left="480" w:leftChars="200" w:firstLine="480" w:firstLineChars="200"/>
        <w:textAlignment w:val="auto"/>
        <w:rPr>
          <w:rFonts w:hint="default" w:ascii="Times New Roman" w:hAnsi="Times New Roman" w:cs="Times New Roman"/>
          <w:i/>
          <w:iCs/>
          <w:color w:val="auto"/>
          <w:kern w:val="0"/>
          <w:sz w:val="24"/>
          <w:szCs w:val="24"/>
          <w:highlight w:val="none"/>
          <w:vertAlign w:val="subscript"/>
        </w:rPr>
      </w:pPr>
      <w:r>
        <w:rPr>
          <w:rFonts w:hint="default" w:ascii="Times New Roman" w:hAnsi="Times New Roman" w:cs="Times New Roman"/>
          <w:color w:val="auto"/>
          <w:sz w:val="24"/>
          <w:szCs w:val="24"/>
          <w:highlight w:val="none"/>
        </w:rPr>
        <w:t>E</w:t>
      </w:r>
      <w:r>
        <w:rPr>
          <w:rFonts w:hint="default" w:ascii="Times New Roman" w:hAnsi="Times New Roman" w:cs="Times New Roman"/>
          <w:color w:val="auto"/>
          <w:sz w:val="24"/>
          <w:szCs w:val="24"/>
          <w:highlight w:val="none"/>
          <w:vertAlign w:val="subscript"/>
        </w:rPr>
        <w:t>CH4-开采逃逸</w:t>
      </w:r>
      <w:r>
        <w:rPr>
          <w:rFonts w:hint="default" w:ascii="Times New Roman" w:hAnsi="Times New Roman" w:cs="Times New Roman"/>
          <w:color w:val="auto"/>
          <w:sz w:val="24"/>
          <w:szCs w:val="24"/>
          <w:highlight w:val="none"/>
        </w:rPr>
        <w:t>=</w:t>
      </w:r>
      <w:r>
        <w:rPr>
          <w:rFonts w:hint="default" w:ascii="Times New Roman" w:hAnsi="Times New Roman" w:cs="Times New Roman"/>
          <w:i/>
          <w:iCs/>
          <w:color w:val="auto"/>
          <w:kern w:val="0"/>
          <w:sz w:val="24"/>
          <w:szCs w:val="24"/>
          <w:highlight w:val="none"/>
        </w:rPr>
        <w:t>Num</w:t>
      </w:r>
      <w:r>
        <w:rPr>
          <w:rFonts w:hint="default" w:ascii="Times New Roman" w:hAnsi="Times New Roman" w:cs="Times New Roman"/>
          <w:i/>
          <w:iCs/>
          <w:color w:val="auto"/>
          <w:kern w:val="0"/>
          <w:sz w:val="24"/>
          <w:szCs w:val="24"/>
          <w:highlight w:val="none"/>
          <w:vertAlign w:val="subscript"/>
        </w:rPr>
        <w:t>oil,油井井口</w:t>
      </w:r>
      <w:r>
        <w:rPr>
          <w:rFonts w:hint="default" w:ascii="Times New Roman" w:hAnsi="Times New Roman" w:cs="Times New Roman"/>
          <w:color w:val="auto"/>
          <w:sz w:val="24"/>
          <w:szCs w:val="24"/>
          <w:highlight w:val="none"/>
        </w:rPr>
        <w:t>×</w:t>
      </w:r>
      <w:r>
        <w:rPr>
          <w:rFonts w:hint="default" w:ascii="Times New Roman" w:hAnsi="Times New Roman" w:cs="Times New Roman"/>
          <w:i/>
          <w:iCs/>
          <w:color w:val="auto"/>
          <w:kern w:val="0"/>
          <w:sz w:val="24"/>
          <w:szCs w:val="24"/>
          <w:highlight w:val="none"/>
        </w:rPr>
        <w:t>EF</w:t>
      </w:r>
      <w:r>
        <w:rPr>
          <w:rFonts w:hint="default" w:ascii="Times New Roman" w:hAnsi="Times New Roman" w:cs="Times New Roman"/>
          <w:i/>
          <w:iCs/>
          <w:color w:val="auto"/>
          <w:kern w:val="0"/>
          <w:sz w:val="24"/>
          <w:szCs w:val="24"/>
          <w:highlight w:val="none"/>
          <w:vertAlign w:val="subscript"/>
        </w:rPr>
        <w:t>oil,油井井口</w:t>
      </w:r>
      <w:r>
        <w:rPr>
          <w:rFonts w:hint="default" w:ascii="Times New Roman" w:hAnsi="Times New Roman" w:cs="Times New Roman"/>
          <w:i/>
          <w:iCs/>
          <w:color w:val="auto"/>
          <w:kern w:val="0"/>
          <w:sz w:val="24"/>
          <w:szCs w:val="24"/>
          <w:highlight w:val="none"/>
        </w:rPr>
        <w:t>+Num</w:t>
      </w:r>
      <w:r>
        <w:rPr>
          <w:rFonts w:hint="default" w:ascii="Times New Roman" w:hAnsi="Times New Roman" w:cs="Times New Roman"/>
          <w:i/>
          <w:iCs/>
          <w:color w:val="auto"/>
          <w:kern w:val="0"/>
          <w:sz w:val="24"/>
          <w:szCs w:val="24"/>
          <w:highlight w:val="none"/>
          <w:vertAlign w:val="subscript"/>
        </w:rPr>
        <w:t>oil,油井加热炉</w:t>
      </w:r>
      <w:r>
        <w:rPr>
          <w:rFonts w:hint="default" w:ascii="Times New Roman" w:hAnsi="Times New Roman" w:cs="Times New Roman"/>
          <w:color w:val="auto"/>
          <w:sz w:val="24"/>
          <w:szCs w:val="24"/>
          <w:highlight w:val="none"/>
        </w:rPr>
        <w:t>×</w:t>
      </w:r>
      <w:r>
        <w:rPr>
          <w:rFonts w:hint="default" w:ascii="Times New Roman" w:hAnsi="Times New Roman" w:cs="Times New Roman"/>
          <w:i/>
          <w:iCs/>
          <w:color w:val="auto"/>
          <w:kern w:val="0"/>
          <w:sz w:val="24"/>
          <w:szCs w:val="24"/>
          <w:highlight w:val="none"/>
        </w:rPr>
        <w:t>EF</w:t>
      </w:r>
      <w:r>
        <w:rPr>
          <w:rFonts w:hint="default" w:ascii="Times New Roman" w:hAnsi="Times New Roman" w:cs="Times New Roman"/>
          <w:i/>
          <w:iCs/>
          <w:color w:val="auto"/>
          <w:kern w:val="0"/>
          <w:sz w:val="24"/>
          <w:szCs w:val="24"/>
          <w:highlight w:val="none"/>
          <w:vertAlign w:val="subscript"/>
        </w:rPr>
        <w:t>oil,油井加热炉</w:t>
      </w:r>
      <w:r>
        <w:rPr>
          <w:rFonts w:hint="default" w:ascii="Times New Roman" w:hAnsi="Times New Roman" w:cs="Times New Roman"/>
          <w:i/>
          <w:iCs/>
          <w:color w:val="auto"/>
          <w:kern w:val="0"/>
          <w:sz w:val="24"/>
          <w:szCs w:val="24"/>
          <w:highlight w:val="none"/>
        </w:rPr>
        <w:t>+Num</w:t>
      </w:r>
      <w:r>
        <w:rPr>
          <w:rFonts w:hint="default" w:ascii="Times New Roman" w:hAnsi="Times New Roman" w:cs="Times New Roman"/>
          <w:i/>
          <w:iCs/>
          <w:color w:val="auto"/>
          <w:kern w:val="0"/>
          <w:sz w:val="24"/>
          <w:szCs w:val="24"/>
          <w:highlight w:val="none"/>
          <w:vertAlign w:val="subscript"/>
        </w:rPr>
        <w:t>oil,接转站</w:t>
      </w:r>
      <w:r>
        <w:rPr>
          <w:rFonts w:hint="default" w:ascii="Times New Roman" w:hAnsi="Times New Roman" w:cs="Times New Roman"/>
          <w:color w:val="auto"/>
          <w:sz w:val="24"/>
          <w:szCs w:val="24"/>
          <w:highlight w:val="none"/>
        </w:rPr>
        <w:t>×</w:t>
      </w:r>
      <w:r>
        <w:rPr>
          <w:rFonts w:hint="default" w:ascii="Times New Roman" w:hAnsi="Times New Roman" w:cs="Times New Roman"/>
          <w:i/>
          <w:iCs/>
          <w:color w:val="auto"/>
          <w:kern w:val="0"/>
          <w:sz w:val="24"/>
          <w:szCs w:val="24"/>
          <w:highlight w:val="none"/>
        </w:rPr>
        <w:t>EF</w:t>
      </w:r>
      <w:r>
        <w:rPr>
          <w:rFonts w:hint="default" w:ascii="Times New Roman" w:hAnsi="Times New Roman" w:cs="Times New Roman"/>
          <w:i/>
          <w:iCs/>
          <w:color w:val="auto"/>
          <w:kern w:val="0"/>
          <w:sz w:val="24"/>
          <w:szCs w:val="24"/>
          <w:highlight w:val="none"/>
          <w:vertAlign w:val="subscript"/>
        </w:rPr>
        <w:t>oil,接转站</w:t>
      </w:r>
      <w:r>
        <w:rPr>
          <w:rFonts w:hint="default" w:ascii="Times New Roman" w:hAnsi="Times New Roman" w:cs="Times New Roman"/>
          <w:i/>
          <w:iCs/>
          <w:color w:val="auto"/>
          <w:kern w:val="0"/>
          <w:sz w:val="24"/>
          <w:szCs w:val="24"/>
          <w:highlight w:val="none"/>
        </w:rPr>
        <w:t>+Num</w:t>
      </w:r>
      <w:r>
        <w:rPr>
          <w:rFonts w:hint="default" w:ascii="Times New Roman" w:hAnsi="Times New Roman" w:cs="Times New Roman"/>
          <w:i/>
          <w:iCs/>
          <w:color w:val="auto"/>
          <w:kern w:val="0"/>
          <w:sz w:val="24"/>
          <w:szCs w:val="24"/>
          <w:highlight w:val="none"/>
          <w:vertAlign w:val="subscript"/>
        </w:rPr>
        <w:t>oil,气井井口</w:t>
      </w:r>
      <w:r>
        <w:rPr>
          <w:rFonts w:hint="default" w:ascii="Times New Roman" w:hAnsi="Times New Roman" w:cs="Times New Roman"/>
          <w:color w:val="auto"/>
          <w:sz w:val="24"/>
          <w:szCs w:val="24"/>
          <w:highlight w:val="none"/>
        </w:rPr>
        <w:t>×</w:t>
      </w:r>
      <w:r>
        <w:rPr>
          <w:rFonts w:hint="default" w:ascii="Times New Roman" w:hAnsi="Times New Roman" w:cs="Times New Roman"/>
          <w:i/>
          <w:iCs/>
          <w:color w:val="auto"/>
          <w:kern w:val="0"/>
          <w:sz w:val="24"/>
          <w:szCs w:val="24"/>
          <w:highlight w:val="none"/>
        </w:rPr>
        <w:t>EF</w:t>
      </w:r>
      <w:r>
        <w:rPr>
          <w:rFonts w:hint="default" w:ascii="Times New Roman" w:hAnsi="Times New Roman" w:cs="Times New Roman"/>
          <w:i/>
          <w:iCs/>
          <w:color w:val="auto"/>
          <w:kern w:val="0"/>
          <w:sz w:val="24"/>
          <w:szCs w:val="24"/>
          <w:highlight w:val="none"/>
          <w:vertAlign w:val="subscript"/>
        </w:rPr>
        <w:t>oil,气井井口</w:t>
      </w:r>
      <w:r>
        <w:rPr>
          <w:rFonts w:hint="default" w:ascii="Times New Roman" w:hAnsi="Times New Roman" w:cs="Times New Roman"/>
          <w:i/>
          <w:iCs/>
          <w:color w:val="auto"/>
          <w:kern w:val="0"/>
          <w:sz w:val="24"/>
          <w:szCs w:val="24"/>
          <w:highlight w:val="none"/>
        </w:rPr>
        <w:t>+Num</w:t>
      </w:r>
      <w:r>
        <w:rPr>
          <w:rFonts w:hint="default" w:ascii="Times New Roman" w:hAnsi="Times New Roman" w:cs="Times New Roman"/>
          <w:i/>
          <w:iCs/>
          <w:color w:val="auto"/>
          <w:kern w:val="0"/>
          <w:sz w:val="24"/>
          <w:szCs w:val="24"/>
          <w:highlight w:val="none"/>
          <w:vertAlign w:val="subscript"/>
        </w:rPr>
        <w:t>oil,气井加热炉</w:t>
      </w:r>
      <w:r>
        <w:rPr>
          <w:rFonts w:hint="default" w:ascii="Times New Roman" w:hAnsi="Times New Roman" w:cs="Times New Roman"/>
          <w:color w:val="auto"/>
          <w:sz w:val="24"/>
          <w:szCs w:val="24"/>
          <w:highlight w:val="none"/>
        </w:rPr>
        <w:t>×</w:t>
      </w:r>
      <w:r>
        <w:rPr>
          <w:rFonts w:hint="default" w:ascii="Times New Roman" w:hAnsi="Times New Roman" w:cs="Times New Roman"/>
          <w:i/>
          <w:iCs/>
          <w:color w:val="auto"/>
          <w:kern w:val="0"/>
          <w:sz w:val="24"/>
          <w:szCs w:val="24"/>
          <w:highlight w:val="none"/>
        </w:rPr>
        <w:t>EF</w:t>
      </w:r>
      <w:r>
        <w:rPr>
          <w:rFonts w:hint="default" w:ascii="Times New Roman" w:hAnsi="Times New Roman" w:cs="Times New Roman"/>
          <w:i/>
          <w:iCs/>
          <w:color w:val="auto"/>
          <w:kern w:val="0"/>
          <w:sz w:val="24"/>
          <w:szCs w:val="24"/>
          <w:highlight w:val="none"/>
          <w:vertAlign w:val="subscript"/>
        </w:rPr>
        <w:t>oil,气井加热炉</w:t>
      </w:r>
    </w:p>
    <w:p w14:paraId="2B5B5C8C">
      <w:pPr>
        <w:pStyle w:val="119"/>
        <w:keepNext w:val="0"/>
        <w:keepLines w:val="0"/>
        <w:pageBreakBefore w:val="0"/>
        <w:kinsoku/>
        <w:wordWrap/>
        <w:overflowPunct/>
        <w:topLinePunct/>
        <w:autoSpaceDE w:val="0"/>
        <w:autoSpaceDN/>
        <w:bidi w:val="0"/>
        <w:adjustRightInd w:val="0"/>
        <w:snapToGrid w:val="0"/>
        <w:spacing w:line="360" w:lineRule="auto"/>
        <w:ind w:left="480" w:leftChars="200" w:firstLine="480" w:firstLineChars="200"/>
        <w:textAlignment w:val="auto"/>
        <w:rPr>
          <w:rFonts w:hint="default" w:ascii="Times New Roman" w:hAnsi="Times New Roman" w:cs="Times New Roman"/>
          <w:color w:val="auto"/>
          <w:kern w:val="0"/>
          <w:sz w:val="24"/>
          <w:szCs w:val="24"/>
          <w:highlight w:val="none"/>
          <w:vertAlign w:val="subscript"/>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×0.23t</w:t>
      </w:r>
      <w:r>
        <w:rPr>
          <w:rFonts w:hint="default" w:ascii="Times New Roman" w:hAnsi="Times New Roman" w:cs="Times New Roman"/>
          <w:color w:val="auto"/>
          <w:kern w:val="0"/>
          <w:sz w:val="24"/>
          <w:szCs w:val="24"/>
          <w:highlight w:val="none"/>
        </w:rPr>
        <w:t>CH</w:t>
      </w:r>
      <w:r>
        <w:rPr>
          <w:rFonts w:hint="default" w:ascii="Times New Roman" w:hAnsi="Times New Roman" w:cs="Times New Roman"/>
          <w:color w:val="auto"/>
          <w:kern w:val="0"/>
          <w:sz w:val="24"/>
          <w:szCs w:val="24"/>
          <w:highlight w:val="none"/>
          <w:vertAlign w:val="subscript"/>
        </w:rPr>
        <w:t>4</w:t>
      </w:r>
      <w:r>
        <w:rPr>
          <w:rFonts w:hint="default" w:ascii="Times New Roman" w:hAnsi="Times New Roman" w:cs="Times New Roman"/>
          <w:color w:val="auto"/>
          <w:kern w:val="0"/>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0.23</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kern w:val="0"/>
          <w:sz w:val="24"/>
          <w:szCs w:val="24"/>
          <w:highlight w:val="none"/>
        </w:rPr>
        <w:t>CH</w:t>
      </w:r>
      <w:r>
        <w:rPr>
          <w:rFonts w:hint="default" w:ascii="Times New Roman" w:hAnsi="Times New Roman" w:cs="Times New Roman"/>
          <w:color w:val="auto"/>
          <w:kern w:val="0"/>
          <w:sz w:val="24"/>
          <w:szCs w:val="24"/>
          <w:highlight w:val="none"/>
          <w:vertAlign w:val="subscript"/>
        </w:rPr>
        <w:t>4</w:t>
      </w:r>
    </w:p>
    <w:p w14:paraId="51872D1C">
      <w:pPr>
        <w:pStyle w:val="119"/>
        <w:keepNext w:val="0"/>
        <w:keepLines w:val="0"/>
        <w:pageBreakBefore w:val="0"/>
        <w:kinsoku/>
        <w:wordWrap/>
        <w:overflowPunct/>
        <w:topLinePunct/>
        <w:autoSpaceDE w:val="0"/>
        <w:autoSpaceDN/>
        <w:bidi w:val="0"/>
        <w:adjustRightInd w:val="0"/>
        <w:snapToGrid w:val="0"/>
        <w:spacing w:line="360" w:lineRule="auto"/>
        <w:ind w:firstLine="960" w:firstLineChars="400"/>
        <w:textAlignment w:val="auto"/>
        <w:rPr>
          <w:rFonts w:hint="default" w:ascii="Times New Roman" w:hAnsi="Times New Roman" w:cs="Times New Roman"/>
          <w:i/>
          <w:iCs/>
          <w:color w:val="auto"/>
          <w:kern w:val="0"/>
          <w:sz w:val="24"/>
          <w:szCs w:val="24"/>
          <w:highlight w:val="none"/>
          <w:vertAlign w:val="subscript"/>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1.84</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kern w:val="0"/>
          <w:sz w:val="24"/>
          <w:szCs w:val="24"/>
          <w:highlight w:val="none"/>
        </w:rPr>
        <w:t>CH</w:t>
      </w:r>
      <w:r>
        <w:rPr>
          <w:rFonts w:hint="default" w:ascii="Times New Roman" w:hAnsi="Times New Roman" w:cs="Times New Roman"/>
          <w:color w:val="auto"/>
          <w:kern w:val="0"/>
          <w:sz w:val="24"/>
          <w:szCs w:val="24"/>
          <w:highlight w:val="none"/>
          <w:vertAlign w:val="subscript"/>
        </w:rPr>
        <w:t>4</w:t>
      </w:r>
    </w:p>
    <w:p w14:paraId="15ACED6F">
      <w:pPr>
        <w:keepNext w:val="0"/>
        <w:keepLines w:val="0"/>
        <w:pageBreakBefore w:val="0"/>
        <w:kinsoku/>
        <w:wordWrap/>
        <w:overflowPunct/>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cs="Times New Roman"/>
          <w:color w:val="auto"/>
          <w:sz w:val="24"/>
          <w:szCs w:val="24"/>
          <w:highlight w:val="none"/>
        </w:rPr>
        <w:t>根据上述公式计算可得</w:t>
      </w: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开采逃逸的CH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1.84</w:t>
      </w:r>
      <w:r>
        <w:rPr>
          <w:rFonts w:hint="default" w:ascii="Times New Roman" w:hAnsi="Times New Roman" w:cs="Times New Roman"/>
          <w:color w:val="auto"/>
          <w:sz w:val="24"/>
          <w:szCs w:val="24"/>
          <w:highlight w:val="none"/>
        </w:rPr>
        <w:t>t</w:t>
      </w:r>
      <w:r>
        <w:rPr>
          <w:rFonts w:hint="default" w:ascii="Times New Roman" w:hAnsi="Times New Roman" w:eastAsia="宋体" w:cs="Times New Roman"/>
          <w:color w:val="auto"/>
          <w:spacing w:val="4"/>
          <w:kern w:val="24"/>
          <w:sz w:val="24"/>
          <w:szCs w:val="24"/>
          <w:highlight w:val="none"/>
        </w:rPr>
        <w:t>，折算成CO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排放量为</w:t>
      </w:r>
      <w:r>
        <w:rPr>
          <w:rFonts w:hint="eastAsia" w:cs="Times New Roman"/>
          <w:color w:val="auto"/>
          <w:spacing w:val="4"/>
          <w:kern w:val="24"/>
          <w:sz w:val="24"/>
          <w:szCs w:val="24"/>
          <w:highlight w:val="none"/>
          <w:lang w:val="en-US" w:eastAsia="zh-CN"/>
        </w:rPr>
        <w:t>38.64</w:t>
      </w:r>
      <w:r>
        <w:rPr>
          <w:rFonts w:hint="default" w:ascii="Times New Roman" w:hAnsi="Times New Roman" w:eastAsia="宋体" w:cs="Times New Roman"/>
          <w:color w:val="auto"/>
          <w:spacing w:val="4"/>
          <w:kern w:val="24"/>
          <w:sz w:val="24"/>
          <w:szCs w:val="24"/>
          <w:highlight w:val="none"/>
          <w:lang w:val="en-US" w:eastAsia="zh-CN"/>
        </w:rPr>
        <w:t>t</w:t>
      </w:r>
      <w:r>
        <w:rPr>
          <w:rFonts w:hint="default" w:ascii="Times New Roman" w:hAnsi="Times New Roman" w:eastAsia="宋体" w:cs="Times New Roman"/>
          <w:color w:val="auto"/>
          <w:spacing w:val="4"/>
          <w:kern w:val="24"/>
          <w:sz w:val="24"/>
          <w:szCs w:val="24"/>
          <w:highlight w:val="none"/>
        </w:rPr>
        <w:t>。</w:t>
      </w:r>
    </w:p>
    <w:p w14:paraId="4342F730">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（3）净购入电力和热力隐含的CO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w:t>
      </w:r>
    </w:p>
    <w:p w14:paraId="516C5891">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①计算公式</w:t>
      </w:r>
    </w:p>
    <w:p w14:paraId="68310B5E">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a.净购入电力的CO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排放计算公式</w:t>
      </w:r>
    </w:p>
    <w:p w14:paraId="572DE639">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eastAsia" w:ascii="Times New Roman" w:hAnsi="Times New Roman" w:eastAsia="宋体" w:cs="Times New Roman"/>
          <w:color w:val="auto"/>
          <w:spacing w:val="4"/>
          <w:kern w:val="24"/>
          <w:sz w:val="24"/>
          <w:szCs w:val="24"/>
          <w:highlight w:val="none"/>
          <w:lang w:eastAsia="zh-CN"/>
        </w:rPr>
      </w:pPr>
      <w:r>
        <w:rPr>
          <w:rFonts w:hint="default" w:ascii="Times New Roman" w:hAnsi="Times New Roman" w:eastAsia="宋体" w:cs="Times New Roman"/>
          <w:color w:val="auto"/>
          <w:spacing w:val="4"/>
          <w:kern w:val="24"/>
          <w:sz w:val="24"/>
          <w:szCs w:val="24"/>
          <w:highlight w:val="none"/>
        </w:rPr>
        <w:drawing>
          <wp:inline distT="0" distB="0" distL="114300" distR="114300">
            <wp:extent cx="1610360" cy="180975"/>
            <wp:effectExtent l="0" t="0" r="8890" b="8890"/>
            <wp:docPr id="24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9"/>
                    <pic:cNvPicPr>
                      <a:picLocks noChangeAspect="1"/>
                    </pic:cNvPicPr>
                  </pic:nvPicPr>
                  <pic:blipFill>
                    <a:blip r:embed="rId106"/>
                    <a:stretch>
                      <a:fillRect/>
                    </a:stretch>
                  </pic:blipFill>
                  <pic:spPr>
                    <a:xfrm>
                      <a:off x="0" y="0"/>
                      <a:ext cx="1610360" cy="180975"/>
                    </a:xfrm>
                    <a:prstGeom prst="rect">
                      <a:avLst/>
                    </a:prstGeom>
                    <a:noFill/>
                    <a:ln>
                      <a:noFill/>
                    </a:ln>
                  </pic:spPr>
                </pic:pic>
              </a:graphicData>
            </a:graphic>
          </wp:inline>
        </w:drawing>
      </w:r>
    </w:p>
    <w:p w14:paraId="33A9B417">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式中：</w:t>
      </w:r>
    </w:p>
    <w:p w14:paraId="6293749A">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-净电为报告主体净购入电力隐含的CO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排放量，单位为吨CO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w:t>
      </w:r>
    </w:p>
    <w:p w14:paraId="5A0E51BF">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AD电力为企业净购入的电力消费量，单位为兆瓦时（MWh）；</w:t>
      </w:r>
    </w:p>
    <w:p w14:paraId="15D962E0">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EF电力为电力供应的CO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排放因子，单位为吨CO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/MWh。</w:t>
      </w:r>
    </w:p>
    <w:p w14:paraId="3840A594">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b.净购入热力的CO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排放计算公式</w:t>
      </w:r>
    </w:p>
    <w:p w14:paraId="6C1B1DE1">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eastAsia" w:ascii="Times New Roman" w:hAnsi="Times New Roman" w:eastAsia="宋体" w:cs="Times New Roman"/>
          <w:color w:val="auto"/>
          <w:spacing w:val="4"/>
          <w:kern w:val="24"/>
          <w:sz w:val="24"/>
          <w:szCs w:val="24"/>
          <w:highlight w:val="none"/>
          <w:lang w:eastAsia="zh-CN"/>
        </w:rPr>
      </w:pPr>
      <w:r>
        <w:rPr>
          <w:rFonts w:hint="default" w:ascii="Times New Roman" w:hAnsi="Times New Roman" w:eastAsia="宋体" w:cs="Times New Roman"/>
          <w:color w:val="auto"/>
          <w:spacing w:val="4"/>
          <w:kern w:val="24"/>
          <w:sz w:val="24"/>
          <w:szCs w:val="24"/>
          <w:highlight w:val="none"/>
        </w:rPr>
        <w:drawing>
          <wp:inline distT="0" distB="0" distL="114300" distR="114300">
            <wp:extent cx="1610360" cy="180975"/>
            <wp:effectExtent l="0" t="0" r="8890" b="8890"/>
            <wp:docPr id="24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0"/>
                    <pic:cNvPicPr>
                      <a:picLocks noChangeAspect="1"/>
                    </pic:cNvPicPr>
                  </pic:nvPicPr>
                  <pic:blipFill>
                    <a:blip r:embed="rId107"/>
                    <a:stretch>
                      <a:fillRect/>
                    </a:stretch>
                  </pic:blipFill>
                  <pic:spPr>
                    <a:xfrm>
                      <a:off x="0" y="0"/>
                      <a:ext cx="1610360" cy="180975"/>
                    </a:xfrm>
                    <a:prstGeom prst="rect">
                      <a:avLst/>
                    </a:prstGeom>
                    <a:noFill/>
                    <a:ln>
                      <a:noFill/>
                    </a:ln>
                  </pic:spPr>
                </pic:pic>
              </a:graphicData>
            </a:graphic>
          </wp:inline>
        </w:drawing>
      </w:r>
    </w:p>
    <w:p w14:paraId="183A2B77">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式中:</w:t>
      </w:r>
    </w:p>
    <w:p w14:paraId="1694A196">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-净热为报告主体净购入热力隐含的CO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排放量，单位为吨CO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w:t>
      </w:r>
    </w:p>
    <w:p w14:paraId="7E74D390">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AD热力为企业净购入的热力消费量，单位为GJ；</w:t>
      </w:r>
    </w:p>
    <w:p w14:paraId="294D2B65">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EF热力为热力供应的CO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排放因子，单位为吨CO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/GJ。</w:t>
      </w:r>
    </w:p>
    <w:p w14:paraId="07890A31">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fldChar w:fldCharType="begin"/>
      </w:r>
      <w:r>
        <w:rPr>
          <w:rFonts w:hint="default" w:ascii="Times New Roman" w:hAnsi="Times New Roman" w:eastAsia="宋体" w:cs="Times New Roman"/>
          <w:color w:val="auto"/>
          <w:spacing w:val="4"/>
          <w:kern w:val="24"/>
          <w:sz w:val="24"/>
          <w:szCs w:val="24"/>
          <w:highlight w:val="none"/>
        </w:rPr>
        <w:instrText xml:space="preserve"> = 2 \* GB3 \* MERGEFORMAT </w:instrText>
      </w:r>
      <w:r>
        <w:rPr>
          <w:rFonts w:hint="default" w:ascii="Times New Roman" w:hAnsi="Times New Roman" w:eastAsia="宋体" w:cs="Times New Roman"/>
          <w:color w:val="auto"/>
          <w:spacing w:val="4"/>
          <w:kern w:val="24"/>
          <w:sz w:val="24"/>
          <w:szCs w:val="24"/>
          <w:highlight w:val="none"/>
        </w:rPr>
        <w:fldChar w:fldCharType="separate"/>
      </w:r>
      <w:r>
        <w:rPr>
          <w:rFonts w:hint="default" w:ascii="Times New Roman" w:hAnsi="Times New Roman" w:eastAsia="宋体" w:cs="Times New Roman"/>
          <w:color w:val="auto"/>
          <w:spacing w:val="4"/>
          <w:kern w:val="24"/>
          <w:sz w:val="24"/>
          <w:szCs w:val="24"/>
          <w:highlight w:val="none"/>
        </w:rPr>
        <w:t>②</w:t>
      </w:r>
      <w:r>
        <w:rPr>
          <w:rFonts w:hint="default" w:ascii="Times New Roman" w:hAnsi="Times New Roman" w:eastAsia="宋体" w:cs="Times New Roman"/>
          <w:color w:val="auto"/>
          <w:spacing w:val="4"/>
          <w:kern w:val="24"/>
          <w:sz w:val="24"/>
          <w:szCs w:val="24"/>
          <w:highlight w:val="none"/>
        </w:rPr>
        <w:fldChar w:fldCharType="end"/>
      </w:r>
      <w:r>
        <w:rPr>
          <w:rFonts w:hint="default" w:ascii="Times New Roman" w:hAnsi="Times New Roman" w:eastAsia="宋体" w:cs="Times New Roman"/>
          <w:color w:val="auto"/>
          <w:spacing w:val="4"/>
          <w:kern w:val="24"/>
          <w:sz w:val="24"/>
          <w:szCs w:val="24"/>
          <w:highlight w:val="none"/>
        </w:rPr>
        <w:t>计算结果</w:t>
      </w:r>
    </w:p>
    <w:p w14:paraId="6D287FDB">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cs="Times New Roman"/>
          <w:color w:val="auto"/>
          <w:spacing w:val="4"/>
          <w:kern w:val="24"/>
          <w:sz w:val="24"/>
          <w:szCs w:val="24"/>
          <w:highlight w:val="none"/>
          <w:lang w:eastAsia="zh-CN"/>
        </w:rPr>
        <w:t>本项目</w:t>
      </w:r>
      <w:r>
        <w:rPr>
          <w:rFonts w:hint="default" w:ascii="Times New Roman" w:hAnsi="Times New Roman" w:eastAsia="宋体" w:cs="Times New Roman"/>
          <w:color w:val="auto"/>
          <w:spacing w:val="4"/>
          <w:kern w:val="24"/>
          <w:sz w:val="24"/>
          <w:szCs w:val="24"/>
          <w:highlight w:val="none"/>
        </w:rPr>
        <w:t>生产过程中不涉及使用蒸汽，不涉及发电内容，使用的电力消耗量为</w:t>
      </w:r>
      <w:r>
        <w:rPr>
          <w:rFonts w:hint="eastAsia" w:cs="Times New Roman"/>
          <w:color w:val="auto"/>
          <w:spacing w:val="4"/>
          <w:kern w:val="24"/>
          <w:sz w:val="24"/>
          <w:szCs w:val="24"/>
          <w:highlight w:val="none"/>
          <w:lang w:val="en-US" w:eastAsia="zh-CN"/>
        </w:rPr>
        <w:t>1584</w:t>
      </w:r>
      <w:r>
        <w:rPr>
          <w:rFonts w:hint="default" w:ascii="Times New Roman" w:hAnsi="Times New Roman" w:eastAsia="宋体" w:cs="Times New Roman"/>
          <w:color w:val="auto"/>
          <w:spacing w:val="4"/>
          <w:kern w:val="24"/>
          <w:sz w:val="24"/>
          <w:szCs w:val="24"/>
          <w:highlight w:val="none"/>
        </w:rPr>
        <w:t>MWh</w:t>
      </w:r>
      <w:r>
        <w:rPr>
          <w:rFonts w:hint="default" w:ascii="Times New Roman" w:hAnsi="Times New Roman" w:eastAsia="宋体" w:cs="Times New Roman"/>
          <w:color w:val="auto"/>
          <w:spacing w:val="4"/>
          <w:kern w:val="24"/>
          <w:sz w:val="24"/>
          <w:szCs w:val="24"/>
          <w:highlight w:val="none"/>
          <w:lang w:eastAsia="zh-CN"/>
        </w:rPr>
        <w:t>，</w:t>
      </w:r>
      <w:r>
        <w:rPr>
          <w:rFonts w:hint="default" w:ascii="Times New Roman" w:hAnsi="Times New Roman" w:eastAsia="宋体" w:cs="Times New Roman"/>
          <w:color w:val="auto"/>
          <w:spacing w:val="4"/>
          <w:kern w:val="24"/>
          <w:sz w:val="24"/>
          <w:szCs w:val="24"/>
          <w:highlight w:val="none"/>
        </w:rPr>
        <w:t>电力排放因子按照西北地区电力排放因子0.6671吨CO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/MWh。根据前述公式计算可知，核算净购入电力和热力隐含的CO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排放量为</w:t>
      </w:r>
      <w:r>
        <w:rPr>
          <w:rFonts w:hint="eastAsia" w:cs="Times New Roman"/>
          <w:color w:val="auto"/>
          <w:spacing w:val="4"/>
          <w:kern w:val="24"/>
          <w:sz w:val="24"/>
          <w:szCs w:val="24"/>
          <w:highlight w:val="none"/>
          <w:lang w:val="en-US" w:eastAsia="zh-CN"/>
        </w:rPr>
        <w:t>1056.7</w:t>
      </w:r>
      <w:r>
        <w:rPr>
          <w:rFonts w:hint="default" w:ascii="Times New Roman" w:hAnsi="Times New Roman" w:eastAsia="宋体" w:cs="Times New Roman"/>
          <w:color w:val="auto"/>
          <w:spacing w:val="4"/>
          <w:kern w:val="24"/>
          <w:sz w:val="24"/>
          <w:szCs w:val="24"/>
          <w:highlight w:val="none"/>
        </w:rPr>
        <w:t>t。</w:t>
      </w:r>
    </w:p>
    <w:p w14:paraId="42999250">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（4）碳排放核算结果汇总</w:t>
      </w:r>
    </w:p>
    <w:p w14:paraId="7EE7C4FE">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根据《中国石油天然气生产企业温室气体排放核算方法与报告指南（试行）》，化工企业的CO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排放总量计算公式为：</w:t>
      </w:r>
    </w:p>
    <w:p w14:paraId="404F053C">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eastAsia" w:ascii="Times New Roman" w:hAnsi="Times New Roman" w:eastAsia="宋体" w:cs="Times New Roman"/>
          <w:color w:val="auto"/>
          <w:spacing w:val="4"/>
          <w:kern w:val="24"/>
          <w:sz w:val="24"/>
          <w:szCs w:val="24"/>
          <w:highlight w:val="none"/>
          <w:lang w:eastAsia="zh-CN"/>
        </w:rPr>
      </w:pPr>
      <w:r>
        <w:rPr>
          <w:rFonts w:hint="default" w:ascii="Times New Roman" w:hAnsi="Times New Roman" w:eastAsia="宋体" w:cs="Times New Roman"/>
          <w:color w:val="auto"/>
          <w:spacing w:val="4"/>
          <w:kern w:val="24"/>
          <w:sz w:val="24"/>
          <w:szCs w:val="24"/>
          <w:highlight w:val="none"/>
        </w:rPr>
        <w:drawing>
          <wp:anchor distT="0" distB="0" distL="114300" distR="114300" simplePos="0" relativeHeight="251686912" behindDoc="1" locked="0" layoutInCell="1" allowOverlap="1">
            <wp:simplePos x="0" y="0"/>
            <wp:positionH relativeFrom="column">
              <wp:posOffset>0</wp:posOffset>
            </wp:positionH>
            <wp:positionV relativeFrom="paragraph">
              <wp:posOffset>0</wp:posOffset>
            </wp:positionV>
            <wp:extent cx="5629275" cy="1038225"/>
            <wp:effectExtent l="0" t="0" r="9525" b="9525"/>
            <wp:wrapNone/>
            <wp:docPr id="2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1"/>
                    <pic:cNvPicPr>
                      <a:picLocks noChangeAspect="1"/>
                    </pic:cNvPicPr>
                  </pic:nvPicPr>
                  <pic:blipFill>
                    <a:blip r:embed="rId108"/>
                    <a:stretch>
                      <a:fillRect/>
                    </a:stretch>
                  </pic:blipFill>
                  <pic:spPr>
                    <a:xfrm>
                      <a:off x="0" y="0"/>
                      <a:ext cx="5629275" cy="1038225"/>
                    </a:xfrm>
                    <a:prstGeom prst="rect">
                      <a:avLst/>
                    </a:prstGeom>
                    <a:noFill/>
                    <a:ln>
                      <a:noFill/>
                    </a:ln>
                  </pic:spPr>
                </pic:pic>
              </a:graphicData>
            </a:graphic>
          </wp:anchor>
        </w:drawing>
      </w:r>
    </w:p>
    <w:p w14:paraId="192B2F59">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p>
    <w:p w14:paraId="484266A9">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p>
    <w:p w14:paraId="2E3C09A9">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p>
    <w:p w14:paraId="6421E7FB">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式中，EGHG-温室气体排放总量，单位为吨CO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w:t>
      </w:r>
    </w:p>
    <w:p w14:paraId="5C270B26">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-燃烧-核算边界内由于化石燃料燃烧活动产生的CO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排放量，单位为吨CO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w:t>
      </w:r>
    </w:p>
    <w:p w14:paraId="071F3D3A">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EGHG-火炬-企业因火炬燃烧导致的温室气体排放，单位为吨CO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当量；</w:t>
      </w:r>
    </w:p>
    <w:p w14:paraId="0AC062ED">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EGHG-工艺-企业各业务类型的工艺放空排放，单位为吨CO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当量；</w:t>
      </w:r>
    </w:p>
    <w:p w14:paraId="4C002E44">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EGHG-逃逸-企业各业务类型的设备逃逸排放，单位为吨CO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当量；</w:t>
      </w:r>
    </w:p>
    <w:p w14:paraId="57893131">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S-企业涉及的业务类型，包括油气勘探、油气开采、油气处理、油气储运业务；</w:t>
      </w:r>
    </w:p>
    <w:p w14:paraId="49A18401">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RCH</w:t>
      </w:r>
      <w:r>
        <w:rPr>
          <w:rFonts w:hint="default" w:ascii="Times New Roman" w:hAnsi="Times New Roman" w:eastAsia="宋体" w:cs="Times New Roman"/>
          <w:color w:val="auto"/>
          <w:spacing w:val="4"/>
          <w:kern w:val="24"/>
          <w:sz w:val="24"/>
          <w:szCs w:val="24"/>
          <w:highlight w:val="none"/>
          <w:vertAlign w:val="subscript"/>
        </w:rPr>
        <w:t>4</w:t>
      </w:r>
      <w:r>
        <w:rPr>
          <w:rFonts w:hint="default" w:ascii="Times New Roman" w:hAnsi="Times New Roman" w:eastAsia="宋体" w:cs="Times New Roman"/>
          <w:color w:val="auto"/>
          <w:spacing w:val="4"/>
          <w:kern w:val="24"/>
          <w:sz w:val="24"/>
          <w:szCs w:val="24"/>
          <w:highlight w:val="none"/>
        </w:rPr>
        <w:t>-回收-企业的CH</w:t>
      </w:r>
      <w:r>
        <w:rPr>
          <w:rFonts w:hint="default" w:ascii="Times New Roman" w:hAnsi="Times New Roman" w:eastAsia="宋体" w:cs="Times New Roman"/>
          <w:color w:val="auto"/>
          <w:spacing w:val="4"/>
          <w:kern w:val="24"/>
          <w:sz w:val="24"/>
          <w:szCs w:val="24"/>
          <w:highlight w:val="none"/>
          <w:vertAlign w:val="subscript"/>
        </w:rPr>
        <w:t>4</w:t>
      </w:r>
      <w:r>
        <w:rPr>
          <w:rFonts w:hint="default" w:ascii="Times New Roman" w:hAnsi="Times New Roman" w:eastAsia="宋体" w:cs="Times New Roman"/>
          <w:color w:val="auto"/>
          <w:spacing w:val="4"/>
          <w:kern w:val="24"/>
          <w:sz w:val="24"/>
          <w:szCs w:val="24"/>
          <w:highlight w:val="none"/>
        </w:rPr>
        <w:t>回收利用量，单位为吨CH</w:t>
      </w:r>
      <w:r>
        <w:rPr>
          <w:rFonts w:hint="default" w:ascii="Times New Roman" w:hAnsi="Times New Roman" w:eastAsia="宋体" w:cs="Times New Roman"/>
          <w:color w:val="auto"/>
          <w:spacing w:val="4"/>
          <w:kern w:val="24"/>
          <w:sz w:val="24"/>
          <w:szCs w:val="24"/>
          <w:highlight w:val="none"/>
          <w:vertAlign w:val="subscript"/>
        </w:rPr>
        <w:t>4</w:t>
      </w:r>
      <w:r>
        <w:rPr>
          <w:rFonts w:hint="default" w:ascii="Times New Roman" w:hAnsi="Times New Roman" w:eastAsia="宋体" w:cs="Times New Roman"/>
          <w:color w:val="auto"/>
          <w:spacing w:val="4"/>
          <w:kern w:val="24"/>
          <w:sz w:val="24"/>
          <w:szCs w:val="24"/>
          <w:highlight w:val="none"/>
        </w:rPr>
        <w:t>；</w:t>
      </w:r>
    </w:p>
    <w:p w14:paraId="12F87253">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GWPCH</w:t>
      </w:r>
      <w:r>
        <w:rPr>
          <w:rFonts w:hint="default" w:ascii="Times New Roman" w:hAnsi="Times New Roman" w:eastAsia="宋体" w:cs="Times New Roman"/>
          <w:color w:val="auto"/>
          <w:spacing w:val="4"/>
          <w:kern w:val="24"/>
          <w:sz w:val="24"/>
          <w:szCs w:val="24"/>
          <w:highlight w:val="none"/>
          <w:vertAlign w:val="subscript"/>
        </w:rPr>
        <w:t>4</w:t>
      </w:r>
      <w:r>
        <w:rPr>
          <w:rFonts w:hint="default" w:ascii="Times New Roman" w:hAnsi="Times New Roman" w:eastAsia="宋体" w:cs="Times New Roman"/>
          <w:color w:val="auto"/>
          <w:spacing w:val="4"/>
          <w:kern w:val="24"/>
          <w:sz w:val="24"/>
          <w:szCs w:val="24"/>
          <w:highlight w:val="none"/>
        </w:rPr>
        <w:t>-CH</w:t>
      </w:r>
      <w:r>
        <w:rPr>
          <w:rFonts w:hint="default" w:ascii="Times New Roman" w:hAnsi="Times New Roman" w:eastAsia="宋体" w:cs="Times New Roman"/>
          <w:color w:val="auto"/>
          <w:spacing w:val="4"/>
          <w:kern w:val="24"/>
          <w:sz w:val="24"/>
          <w:szCs w:val="24"/>
          <w:highlight w:val="none"/>
          <w:vertAlign w:val="subscript"/>
        </w:rPr>
        <w:t>4</w:t>
      </w:r>
      <w:r>
        <w:rPr>
          <w:rFonts w:hint="default" w:ascii="Times New Roman" w:hAnsi="Times New Roman" w:eastAsia="宋体" w:cs="Times New Roman"/>
          <w:color w:val="auto"/>
          <w:spacing w:val="4"/>
          <w:kern w:val="24"/>
          <w:sz w:val="24"/>
          <w:szCs w:val="24"/>
          <w:highlight w:val="none"/>
        </w:rPr>
        <w:t>相比CO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的全球变暖潜势值。取值21；</w:t>
      </w:r>
    </w:p>
    <w:p w14:paraId="4BD92D82">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RCO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-回收-企业的CO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回收利用量，单位为吨CO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w:t>
      </w:r>
    </w:p>
    <w:p w14:paraId="5305D683">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-净电-报告主体净购入电力隐含的CO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排放量，单位为吨CO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w:t>
      </w:r>
    </w:p>
    <w:p w14:paraId="6BBC22EA">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ECO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-净热为报告主体净购入热力隐含的CO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排放量，单位为吨CO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w:t>
      </w:r>
    </w:p>
    <w:p w14:paraId="45E3BAFE">
      <w:pPr>
        <w:keepNext w:val="0"/>
        <w:keepLines w:val="0"/>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color w:val="auto"/>
          <w:spacing w:val="0"/>
          <w:sz w:val="24"/>
          <w:szCs w:val="24"/>
          <w:highlight w:val="none"/>
        </w:rPr>
      </w:pPr>
      <w:r>
        <w:rPr>
          <w:rFonts w:hint="default" w:ascii="Times New Roman" w:hAnsi="Times New Roman" w:eastAsia="宋体" w:cs="Times New Roman"/>
          <w:color w:val="auto"/>
          <w:spacing w:val="4"/>
          <w:kern w:val="24"/>
          <w:sz w:val="24"/>
          <w:szCs w:val="24"/>
          <w:highlight w:val="none"/>
        </w:rPr>
        <w:t>按照上述CO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排放总量计算公式，则</w:t>
      </w:r>
      <w:r>
        <w:rPr>
          <w:rFonts w:hint="default" w:ascii="Times New Roman" w:hAnsi="Times New Roman" w:cs="Times New Roman"/>
          <w:color w:val="auto"/>
          <w:spacing w:val="4"/>
          <w:kern w:val="24"/>
          <w:sz w:val="24"/>
          <w:szCs w:val="24"/>
          <w:highlight w:val="none"/>
          <w:lang w:eastAsia="zh-CN"/>
        </w:rPr>
        <w:t>本项目</w:t>
      </w:r>
      <w:r>
        <w:rPr>
          <w:rFonts w:hint="default" w:ascii="Times New Roman" w:hAnsi="Times New Roman" w:eastAsia="宋体" w:cs="Times New Roman"/>
          <w:color w:val="auto"/>
          <w:spacing w:val="4"/>
          <w:kern w:val="24"/>
          <w:sz w:val="24"/>
          <w:szCs w:val="24"/>
          <w:highlight w:val="none"/>
        </w:rPr>
        <w:t>实施后CO</w:t>
      </w:r>
      <w:r>
        <w:rPr>
          <w:rFonts w:hint="default" w:ascii="Times New Roman" w:hAnsi="Times New Roman" w:eastAsia="宋体" w:cs="Times New Roman"/>
          <w:color w:val="auto"/>
          <w:spacing w:val="4"/>
          <w:kern w:val="24"/>
          <w:sz w:val="24"/>
          <w:szCs w:val="24"/>
          <w:highlight w:val="none"/>
          <w:vertAlign w:val="subscript"/>
        </w:rPr>
        <w:t>2</w:t>
      </w:r>
      <w:r>
        <w:rPr>
          <w:rFonts w:hint="default" w:ascii="Times New Roman" w:hAnsi="Times New Roman" w:eastAsia="宋体" w:cs="Times New Roman"/>
          <w:color w:val="auto"/>
          <w:spacing w:val="4"/>
          <w:kern w:val="24"/>
          <w:sz w:val="24"/>
          <w:szCs w:val="24"/>
          <w:highlight w:val="none"/>
        </w:rPr>
        <w:t>排放总量见表</w:t>
      </w:r>
      <w:r>
        <w:rPr>
          <w:rFonts w:hint="eastAsia" w:cs="Times New Roman"/>
          <w:color w:val="auto"/>
          <w:spacing w:val="4"/>
          <w:kern w:val="24"/>
          <w:sz w:val="24"/>
          <w:szCs w:val="24"/>
          <w:highlight w:val="none"/>
          <w:lang w:val="en-US" w:eastAsia="zh-CN"/>
        </w:rPr>
        <w:t>7.1</w:t>
      </w:r>
      <w:r>
        <w:rPr>
          <w:rFonts w:hint="default" w:ascii="Times New Roman" w:hAnsi="Times New Roman" w:eastAsia="宋体" w:cs="Times New Roman"/>
          <w:color w:val="auto"/>
          <w:spacing w:val="4"/>
          <w:kern w:val="24"/>
          <w:sz w:val="24"/>
          <w:szCs w:val="24"/>
          <w:highlight w:val="none"/>
        </w:rPr>
        <w:t>-</w:t>
      </w:r>
      <w:r>
        <w:rPr>
          <w:rFonts w:hint="default" w:ascii="Times New Roman" w:hAnsi="Times New Roman" w:cs="Times New Roman"/>
          <w:color w:val="auto"/>
          <w:spacing w:val="4"/>
          <w:kern w:val="24"/>
          <w:sz w:val="24"/>
          <w:szCs w:val="24"/>
          <w:highlight w:val="none"/>
          <w:lang w:val="en-US" w:eastAsia="zh-CN"/>
        </w:rPr>
        <w:t>4</w:t>
      </w:r>
      <w:r>
        <w:rPr>
          <w:rFonts w:hint="default" w:ascii="Times New Roman" w:hAnsi="Times New Roman" w:eastAsia="宋体" w:cs="Times New Roman"/>
          <w:color w:val="auto"/>
          <w:spacing w:val="4"/>
          <w:kern w:val="24"/>
          <w:sz w:val="24"/>
          <w:szCs w:val="24"/>
          <w:highlight w:val="none"/>
        </w:rPr>
        <w:t>所示。</w:t>
      </w:r>
    </w:p>
    <w:p w14:paraId="418C8ABD">
      <w:pPr>
        <w:adjustRightInd w:val="0"/>
        <w:ind w:firstLine="420" w:firstLineChars="20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eastAsia" w:eastAsia="黑体" w:cs="Times New Roman"/>
          <w:color w:val="auto"/>
          <w:sz w:val="21"/>
          <w:szCs w:val="21"/>
          <w:highlight w:val="none"/>
          <w:lang w:val="en-US" w:eastAsia="zh-CN"/>
        </w:rPr>
        <w:t>7</w:t>
      </w:r>
      <w:r>
        <w:rPr>
          <w:rFonts w:hint="default" w:ascii="Times New Roman" w:hAnsi="Times New Roman" w:eastAsia="黑体" w:cs="Times New Roman"/>
          <w:color w:val="auto"/>
          <w:sz w:val="21"/>
          <w:szCs w:val="21"/>
          <w:highlight w:val="none"/>
        </w:rPr>
        <w:t>.1-</w:t>
      </w:r>
      <w:r>
        <w:rPr>
          <w:rFonts w:hint="default" w:ascii="Times New Roman" w:hAnsi="Times New Roman" w:eastAsia="黑体" w:cs="Times New Roman"/>
          <w:color w:val="auto"/>
          <w:sz w:val="21"/>
          <w:szCs w:val="21"/>
          <w:highlight w:val="none"/>
          <w:lang w:val="en-US" w:eastAsia="zh-CN"/>
        </w:rPr>
        <w:t>4</w:t>
      </w:r>
      <w:r>
        <w:rPr>
          <w:rFonts w:hint="eastAsia" w:eastAsia="黑体"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CO</w:t>
      </w:r>
      <w:r>
        <w:rPr>
          <w:rFonts w:hint="default" w:ascii="Times New Roman" w:hAnsi="Times New Roman" w:eastAsia="黑体" w:cs="Times New Roman"/>
          <w:color w:val="auto"/>
          <w:sz w:val="21"/>
          <w:szCs w:val="21"/>
          <w:highlight w:val="none"/>
          <w:vertAlign w:val="subscript"/>
        </w:rPr>
        <w:t>2</w:t>
      </w:r>
      <w:r>
        <w:rPr>
          <w:rFonts w:hint="default" w:ascii="Times New Roman" w:hAnsi="Times New Roman" w:eastAsia="黑体" w:cs="Times New Roman"/>
          <w:color w:val="auto"/>
          <w:sz w:val="21"/>
          <w:szCs w:val="21"/>
          <w:highlight w:val="none"/>
        </w:rPr>
        <w:t>排放总量汇总一览表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50"/>
        <w:gridCol w:w="3352"/>
        <w:gridCol w:w="1935"/>
        <w:gridCol w:w="1825"/>
      </w:tblGrid>
      <w:tr w14:paraId="05577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noWrap w:val="0"/>
            <w:vAlign w:val="center"/>
          </w:tcPr>
          <w:p w14:paraId="4E335342">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项目</w:t>
            </w:r>
          </w:p>
        </w:tc>
        <w:tc>
          <w:tcPr>
            <w:tcW w:w="2004" w:type="pct"/>
            <w:noWrap w:val="0"/>
            <w:vAlign w:val="center"/>
          </w:tcPr>
          <w:p w14:paraId="0550D541">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源类别</w:t>
            </w:r>
          </w:p>
        </w:tc>
        <w:tc>
          <w:tcPr>
            <w:tcW w:w="1157" w:type="pct"/>
            <w:noWrap w:val="0"/>
            <w:vAlign w:val="center"/>
          </w:tcPr>
          <w:p w14:paraId="162B43CC">
            <w:pPr>
              <w:adjustRightInd w:val="0"/>
              <w:spacing w:line="0" w:lineRule="atLeast"/>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rPr>
              <w:t>排放量</w:t>
            </w:r>
            <w:r>
              <w:rPr>
                <w:rFonts w:hint="default" w:ascii="Times New Roman" w:hAnsi="Times New Roman"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吨CO</w:t>
            </w:r>
            <w:r>
              <w:rPr>
                <w:rFonts w:hint="default" w:ascii="Times New Roman" w:hAnsi="Times New Roman" w:cs="Times New Roman"/>
                <w:color w:val="auto"/>
                <w:spacing w:val="0"/>
                <w:sz w:val="21"/>
                <w:szCs w:val="21"/>
                <w:highlight w:val="none"/>
                <w:vertAlign w:val="subscript"/>
              </w:rPr>
              <w:t>2</w:t>
            </w:r>
            <w:r>
              <w:rPr>
                <w:rFonts w:hint="default" w:ascii="Times New Roman" w:hAnsi="Times New Roman" w:cs="Times New Roman"/>
                <w:color w:val="auto"/>
                <w:spacing w:val="0"/>
                <w:sz w:val="21"/>
                <w:szCs w:val="21"/>
                <w:highlight w:val="none"/>
                <w:lang w:eastAsia="zh-CN"/>
              </w:rPr>
              <w:t>）</w:t>
            </w:r>
          </w:p>
        </w:tc>
        <w:tc>
          <w:tcPr>
            <w:tcW w:w="1091" w:type="pct"/>
            <w:noWrap w:val="0"/>
            <w:vAlign w:val="center"/>
          </w:tcPr>
          <w:p w14:paraId="17CF9B0E">
            <w:pPr>
              <w:adjustRightInd w:val="0"/>
              <w:spacing w:line="0" w:lineRule="atLeast"/>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rPr>
              <w:t>占比</w:t>
            </w:r>
            <w:r>
              <w:rPr>
                <w:rFonts w:hint="default" w:ascii="Times New Roman" w:hAnsi="Times New Roman"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w:t>
            </w:r>
            <w:r>
              <w:rPr>
                <w:rFonts w:hint="default" w:ascii="Times New Roman" w:hAnsi="Times New Roman" w:cs="Times New Roman"/>
                <w:color w:val="auto"/>
                <w:spacing w:val="0"/>
                <w:sz w:val="21"/>
                <w:szCs w:val="21"/>
                <w:highlight w:val="none"/>
                <w:lang w:eastAsia="zh-CN"/>
              </w:rPr>
              <w:t>）</w:t>
            </w:r>
          </w:p>
        </w:tc>
      </w:tr>
      <w:tr w14:paraId="65480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restart"/>
            <w:noWrap w:val="0"/>
            <w:vAlign w:val="center"/>
          </w:tcPr>
          <w:p w14:paraId="2DDE1C99">
            <w:pPr>
              <w:adjustRightInd w:val="0"/>
              <w:spacing w:line="0" w:lineRule="atLeast"/>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本项目</w:t>
            </w:r>
          </w:p>
        </w:tc>
        <w:tc>
          <w:tcPr>
            <w:tcW w:w="2004" w:type="pct"/>
            <w:noWrap w:val="0"/>
            <w:vAlign w:val="center"/>
          </w:tcPr>
          <w:p w14:paraId="622A0326">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燃料燃烧CO</w:t>
            </w:r>
            <w:r>
              <w:rPr>
                <w:rFonts w:hint="default" w:ascii="Times New Roman" w:hAnsi="Times New Roman" w:cs="Times New Roman"/>
                <w:color w:val="auto"/>
                <w:spacing w:val="0"/>
                <w:sz w:val="21"/>
                <w:szCs w:val="21"/>
                <w:highlight w:val="none"/>
                <w:vertAlign w:val="subscript"/>
              </w:rPr>
              <w:t>2</w:t>
            </w:r>
            <w:r>
              <w:rPr>
                <w:rFonts w:hint="default" w:ascii="Times New Roman" w:hAnsi="Times New Roman" w:cs="Times New Roman"/>
                <w:color w:val="auto"/>
                <w:spacing w:val="0"/>
                <w:sz w:val="21"/>
                <w:szCs w:val="21"/>
                <w:highlight w:val="none"/>
              </w:rPr>
              <w:t>排放</w:t>
            </w:r>
          </w:p>
        </w:tc>
        <w:tc>
          <w:tcPr>
            <w:tcW w:w="1157" w:type="pct"/>
            <w:noWrap w:val="0"/>
            <w:vAlign w:val="center"/>
          </w:tcPr>
          <w:p w14:paraId="127A375E">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w:t>
            </w:r>
          </w:p>
        </w:tc>
        <w:tc>
          <w:tcPr>
            <w:tcW w:w="1825" w:type="dxa"/>
            <w:noWrap w:val="0"/>
            <w:vAlign w:val="center"/>
          </w:tcPr>
          <w:p w14:paraId="0DA9D34A">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0.00</w:t>
            </w:r>
          </w:p>
        </w:tc>
      </w:tr>
      <w:tr w14:paraId="715C5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continue"/>
            <w:noWrap w:val="0"/>
            <w:vAlign w:val="center"/>
          </w:tcPr>
          <w:p w14:paraId="24BF0C04">
            <w:pPr>
              <w:spacing w:line="0" w:lineRule="atLeast"/>
              <w:rPr>
                <w:rFonts w:hint="default" w:ascii="Times New Roman" w:hAnsi="Times New Roman" w:cs="Times New Roman"/>
                <w:color w:val="auto"/>
                <w:spacing w:val="0"/>
                <w:sz w:val="21"/>
                <w:szCs w:val="21"/>
                <w:highlight w:val="none"/>
              </w:rPr>
            </w:pPr>
          </w:p>
        </w:tc>
        <w:tc>
          <w:tcPr>
            <w:tcW w:w="2004" w:type="pct"/>
            <w:noWrap w:val="0"/>
            <w:vAlign w:val="center"/>
          </w:tcPr>
          <w:p w14:paraId="12937529">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火炬燃烧排放</w:t>
            </w:r>
          </w:p>
        </w:tc>
        <w:tc>
          <w:tcPr>
            <w:tcW w:w="1157" w:type="pct"/>
            <w:noWrap w:val="0"/>
            <w:vAlign w:val="center"/>
          </w:tcPr>
          <w:p w14:paraId="5E7FE3AC">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0.33</w:t>
            </w:r>
          </w:p>
        </w:tc>
        <w:tc>
          <w:tcPr>
            <w:tcW w:w="1825" w:type="dxa"/>
            <w:noWrap w:val="0"/>
            <w:vAlign w:val="center"/>
          </w:tcPr>
          <w:p w14:paraId="096FACE1">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0.03</w:t>
            </w:r>
          </w:p>
        </w:tc>
      </w:tr>
      <w:tr w14:paraId="6B764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continue"/>
            <w:noWrap w:val="0"/>
            <w:vAlign w:val="center"/>
          </w:tcPr>
          <w:p w14:paraId="1F5F6B66">
            <w:pPr>
              <w:spacing w:line="0" w:lineRule="atLeast"/>
              <w:rPr>
                <w:rFonts w:hint="default" w:ascii="Times New Roman" w:hAnsi="Times New Roman" w:cs="Times New Roman"/>
                <w:color w:val="auto"/>
                <w:spacing w:val="0"/>
                <w:sz w:val="21"/>
                <w:szCs w:val="21"/>
                <w:highlight w:val="none"/>
              </w:rPr>
            </w:pPr>
          </w:p>
        </w:tc>
        <w:tc>
          <w:tcPr>
            <w:tcW w:w="2004" w:type="pct"/>
            <w:noWrap w:val="0"/>
            <w:vAlign w:val="center"/>
          </w:tcPr>
          <w:p w14:paraId="3166C12E">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工艺放空排放</w:t>
            </w:r>
          </w:p>
        </w:tc>
        <w:tc>
          <w:tcPr>
            <w:tcW w:w="1157" w:type="pct"/>
            <w:noWrap w:val="0"/>
            <w:vAlign w:val="center"/>
          </w:tcPr>
          <w:p w14:paraId="65D10D0C">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0</w:t>
            </w:r>
          </w:p>
        </w:tc>
        <w:tc>
          <w:tcPr>
            <w:tcW w:w="1825" w:type="dxa"/>
            <w:noWrap w:val="0"/>
            <w:vAlign w:val="center"/>
          </w:tcPr>
          <w:p w14:paraId="0BEB3A1C">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0.00</w:t>
            </w:r>
          </w:p>
        </w:tc>
      </w:tr>
      <w:tr w14:paraId="412F9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continue"/>
            <w:noWrap w:val="0"/>
            <w:vAlign w:val="center"/>
          </w:tcPr>
          <w:p w14:paraId="1808AB6F">
            <w:pPr>
              <w:spacing w:line="0" w:lineRule="atLeast"/>
              <w:rPr>
                <w:rFonts w:hint="default" w:ascii="Times New Roman" w:hAnsi="Times New Roman" w:cs="Times New Roman"/>
                <w:color w:val="auto"/>
                <w:spacing w:val="0"/>
                <w:sz w:val="21"/>
                <w:szCs w:val="21"/>
                <w:highlight w:val="none"/>
              </w:rPr>
            </w:pPr>
          </w:p>
        </w:tc>
        <w:tc>
          <w:tcPr>
            <w:tcW w:w="2004" w:type="pct"/>
            <w:noWrap w:val="0"/>
            <w:vAlign w:val="center"/>
          </w:tcPr>
          <w:p w14:paraId="079BD7EF">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CH</w:t>
            </w:r>
            <w:r>
              <w:rPr>
                <w:rFonts w:hint="default" w:ascii="Times New Roman" w:hAnsi="Times New Roman" w:cs="Times New Roman"/>
                <w:color w:val="auto"/>
                <w:spacing w:val="0"/>
                <w:sz w:val="21"/>
                <w:szCs w:val="21"/>
                <w:highlight w:val="none"/>
                <w:vertAlign w:val="subscript"/>
              </w:rPr>
              <w:t>4</w:t>
            </w:r>
            <w:r>
              <w:rPr>
                <w:rFonts w:hint="default" w:ascii="Times New Roman" w:hAnsi="Times New Roman" w:cs="Times New Roman"/>
                <w:color w:val="auto"/>
                <w:spacing w:val="0"/>
                <w:sz w:val="21"/>
                <w:szCs w:val="21"/>
                <w:highlight w:val="none"/>
              </w:rPr>
              <w:t>逃逸排放</w:t>
            </w:r>
          </w:p>
        </w:tc>
        <w:tc>
          <w:tcPr>
            <w:tcW w:w="1157" w:type="pct"/>
            <w:noWrap w:val="0"/>
            <w:vAlign w:val="center"/>
          </w:tcPr>
          <w:p w14:paraId="36941041">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38.64</w:t>
            </w:r>
          </w:p>
        </w:tc>
        <w:tc>
          <w:tcPr>
            <w:tcW w:w="1825" w:type="dxa"/>
            <w:noWrap w:val="0"/>
            <w:vAlign w:val="center"/>
          </w:tcPr>
          <w:p w14:paraId="0F42EAA1">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3.53</w:t>
            </w:r>
          </w:p>
        </w:tc>
      </w:tr>
      <w:tr w14:paraId="1EAD5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continue"/>
            <w:noWrap w:val="0"/>
            <w:vAlign w:val="center"/>
          </w:tcPr>
          <w:p w14:paraId="4C5CDEE7">
            <w:pPr>
              <w:spacing w:line="0" w:lineRule="atLeast"/>
              <w:rPr>
                <w:rFonts w:hint="default" w:ascii="Times New Roman" w:hAnsi="Times New Roman" w:cs="Times New Roman"/>
                <w:color w:val="auto"/>
                <w:spacing w:val="0"/>
                <w:sz w:val="21"/>
                <w:szCs w:val="21"/>
                <w:highlight w:val="none"/>
              </w:rPr>
            </w:pPr>
          </w:p>
        </w:tc>
        <w:tc>
          <w:tcPr>
            <w:tcW w:w="2004" w:type="pct"/>
            <w:noWrap w:val="0"/>
            <w:vAlign w:val="center"/>
          </w:tcPr>
          <w:p w14:paraId="3FA571EA">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CH</w:t>
            </w:r>
            <w:r>
              <w:rPr>
                <w:rFonts w:hint="default" w:ascii="Times New Roman" w:hAnsi="Times New Roman" w:cs="Times New Roman"/>
                <w:color w:val="auto"/>
                <w:spacing w:val="0"/>
                <w:sz w:val="21"/>
                <w:szCs w:val="21"/>
                <w:highlight w:val="none"/>
                <w:vertAlign w:val="subscript"/>
              </w:rPr>
              <w:t>4</w:t>
            </w:r>
            <w:r>
              <w:rPr>
                <w:rFonts w:hint="default" w:ascii="Times New Roman" w:hAnsi="Times New Roman" w:cs="Times New Roman"/>
                <w:color w:val="auto"/>
                <w:spacing w:val="0"/>
                <w:sz w:val="21"/>
                <w:szCs w:val="21"/>
                <w:highlight w:val="none"/>
              </w:rPr>
              <w:t>回收利用量</w:t>
            </w:r>
          </w:p>
        </w:tc>
        <w:tc>
          <w:tcPr>
            <w:tcW w:w="1157" w:type="pct"/>
            <w:noWrap w:val="0"/>
            <w:vAlign w:val="center"/>
          </w:tcPr>
          <w:p w14:paraId="24B2C31A">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0</w:t>
            </w:r>
          </w:p>
        </w:tc>
        <w:tc>
          <w:tcPr>
            <w:tcW w:w="1825" w:type="dxa"/>
            <w:noWrap w:val="0"/>
            <w:vAlign w:val="center"/>
          </w:tcPr>
          <w:p w14:paraId="5DEF3B32">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0.00</w:t>
            </w:r>
          </w:p>
        </w:tc>
      </w:tr>
      <w:tr w14:paraId="1A3A8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continue"/>
            <w:noWrap w:val="0"/>
            <w:vAlign w:val="center"/>
          </w:tcPr>
          <w:p w14:paraId="1EA84D2A">
            <w:pPr>
              <w:spacing w:line="0" w:lineRule="atLeast"/>
              <w:rPr>
                <w:rFonts w:hint="default" w:ascii="Times New Roman" w:hAnsi="Times New Roman" w:cs="Times New Roman"/>
                <w:color w:val="auto"/>
                <w:spacing w:val="0"/>
                <w:sz w:val="21"/>
                <w:szCs w:val="21"/>
                <w:highlight w:val="none"/>
              </w:rPr>
            </w:pPr>
          </w:p>
        </w:tc>
        <w:tc>
          <w:tcPr>
            <w:tcW w:w="2004" w:type="pct"/>
            <w:noWrap w:val="0"/>
            <w:vAlign w:val="center"/>
          </w:tcPr>
          <w:p w14:paraId="3970236B">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eastAsia="宋体" w:cs="Times New Roman"/>
                <w:color w:val="auto"/>
                <w:spacing w:val="0"/>
                <w:kern w:val="24"/>
                <w:sz w:val="21"/>
                <w:szCs w:val="21"/>
                <w:highlight w:val="none"/>
              </w:rPr>
              <w:t>CO</w:t>
            </w:r>
            <w:r>
              <w:rPr>
                <w:rFonts w:hint="default" w:ascii="Times New Roman" w:hAnsi="Times New Roman" w:eastAsia="宋体" w:cs="Times New Roman"/>
                <w:color w:val="auto"/>
                <w:spacing w:val="0"/>
                <w:kern w:val="24"/>
                <w:sz w:val="21"/>
                <w:szCs w:val="21"/>
                <w:highlight w:val="none"/>
                <w:vertAlign w:val="subscript"/>
              </w:rPr>
              <w:t>2</w:t>
            </w:r>
            <w:r>
              <w:rPr>
                <w:rFonts w:hint="default" w:ascii="Times New Roman" w:hAnsi="Times New Roman" w:cs="Times New Roman"/>
                <w:color w:val="auto"/>
                <w:spacing w:val="0"/>
                <w:sz w:val="21"/>
                <w:szCs w:val="21"/>
                <w:highlight w:val="none"/>
              </w:rPr>
              <w:t>回收利用量</w:t>
            </w:r>
          </w:p>
        </w:tc>
        <w:tc>
          <w:tcPr>
            <w:tcW w:w="1157" w:type="pct"/>
            <w:noWrap w:val="0"/>
            <w:vAlign w:val="center"/>
          </w:tcPr>
          <w:p w14:paraId="4CAE7F23">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0</w:t>
            </w:r>
          </w:p>
        </w:tc>
        <w:tc>
          <w:tcPr>
            <w:tcW w:w="1825" w:type="dxa"/>
            <w:noWrap w:val="0"/>
            <w:vAlign w:val="center"/>
          </w:tcPr>
          <w:p w14:paraId="7E89D769">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0.00</w:t>
            </w:r>
          </w:p>
        </w:tc>
      </w:tr>
      <w:tr w14:paraId="0939A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continue"/>
            <w:noWrap w:val="0"/>
            <w:vAlign w:val="center"/>
          </w:tcPr>
          <w:p w14:paraId="395CA210">
            <w:pPr>
              <w:spacing w:line="0" w:lineRule="atLeast"/>
              <w:rPr>
                <w:rFonts w:hint="default" w:ascii="Times New Roman" w:hAnsi="Times New Roman" w:cs="Times New Roman"/>
                <w:color w:val="auto"/>
                <w:spacing w:val="0"/>
                <w:sz w:val="21"/>
                <w:szCs w:val="21"/>
                <w:highlight w:val="none"/>
              </w:rPr>
            </w:pPr>
          </w:p>
        </w:tc>
        <w:tc>
          <w:tcPr>
            <w:tcW w:w="2004" w:type="pct"/>
            <w:noWrap w:val="0"/>
            <w:vAlign w:val="center"/>
          </w:tcPr>
          <w:p w14:paraId="12E1FD60">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净购入电力、热力隐含的CO</w:t>
            </w:r>
            <w:r>
              <w:rPr>
                <w:rFonts w:hint="default" w:ascii="Times New Roman" w:hAnsi="Times New Roman" w:cs="Times New Roman"/>
                <w:color w:val="auto"/>
                <w:spacing w:val="0"/>
                <w:sz w:val="21"/>
                <w:szCs w:val="21"/>
                <w:highlight w:val="none"/>
                <w:vertAlign w:val="subscript"/>
              </w:rPr>
              <w:t>2</w:t>
            </w:r>
            <w:r>
              <w:rPr>
                <w:rFonts w:hint="default" w:ascii="Times New Roman" w:hAnsi="Times New Roman" w:cs="Times New Roman"/>
                <w:color w:val="auto"/>
                <w:spacing w:val="0"/>
                <w:sz w:val="21"/>
                <w:szCs w:val="21"/>
                <w:highlight w:val="none"/>
              </w:rPr>
              <w:t>排放</w:t>
            </w:r>
          </w:p>
        </w:tc>
        <w:tc>
          <w:tcPr>
            <w:tcW w:w="1157" w:type="pct"/>
            <w:noWrap w:val="0"/>
            <w:vAlign w:val="center"/>
          </w:tcPr>
          <w:p w14:paraId="25D83857">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1056.7</w:t>
            </w:r>
          </w:p>
        </w:tc>
        <w:tc>
          <w:tcPr>
            <w:tcW w:w="1825" w:type="dxa"/>
            <w:noWrap w:val="0"/>
            <w:vAlign w:val="center"/>
          </w:tcPr>
          <w:p w14:paraId="501EDA07">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96.44</w:t>
            </w:r>
          </w:p>
        </w:tc>
      </w:tr>
      <w:tr w14:paraId="6A0D5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7" w:type="pct"/>
            <w:vMerge w:val="continue"/>
            <w:noWrap w:val="0"/>
            <w:vAlign w:val="center"/>
          </w:tcPr>
          <w:p w14:paraId="5625688E">
            <w:pPr>
              <w:spacing w:line="0" w:lineRule="atLeast"/>
              <w:rPr>
                <w:rFonts w:hint="default" w:ascii="Times New Roman" w:hAnsi="Times New Roman" w:cs="Times New Roman"/>
                <w:color w:val="auto"/>
                <w:spacing w:val="0"/>
                <w:sz w:val="21"/>
                <w:szCs w:val="21"/>
                <w:highlight w:val="none"/>
              </w:rPr>
            </w:pPr>
          </w:p>
        </w:tc>
        <w:tc>
          <w:tcPr>
            <w:tcW w:w="2004" w:type="pct"/>
            <w:noWrap w:val="0"/>
            <w:vAlign w:val="center"/>
          </w:tcPr>
          <w:p w14:paraId="14FFB03C">
            <w:pPr>
              <w:adjustRightInd w:val="0"/>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合计</w:t>
            </w:r>
          </w:p>
        </w:tc>
        <w:tc>
          <w:tcPr>
            <w:tcW w:w="1157" w:type="pct"/>
            <w:noWrap w:val="0"/>
            <w:vAlign w:val="center"/>
          </w:tcPr>
          <w:p w14:paraId="49887D2C">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1095.67</w:t>
            </w:r>
          </w:p>
        </w:tc>
        <w:tc>
          <w:tcPr>
            <w:tcW w:w="1091" w:type="pct"/>
            <w:noWrap w:val="0"/>
            <w:vAlign w:val="center"/>
          </w:tcPr>
          <w:p w14:paraId="4D0A3895">
            <w:pPr>
              <w:adjustRightInd w:val="0"/>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100</w:t>
            </w:r>
            <w:r>
              <w:rPr>
                <w:rFonts w:hint="eastAsia" w:ascii="Times New Roman" w:hAnsi="Times New Roman" w:eastAsia="宋体" w:cs="Times New Roman"/>
                <w:color w:val="auto"/>
                <w:spacing w:val="0"/>
                <w:sz w:val="21"/>
                <w:szCs w:val="21"/>
                <w:highlight w:val="none"/>
                <w:lang w:val="en-US" w:eastAsia="zh-CN"/>
              </w:rPr>
              <w:t>.00</w:t>
            </w:r>
          </w:p>
        </w:tc>
      </w:tr>
    </w:tbl>
    <w:p w14:paraId="3C56265E">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由上表</w:t>
      </w:r>
      <w:r>
        <w:rPr>
          <w:rFonts w:hint="eastAsia" w:cs="Times New Roman"/>
          <w:color w:val="auto"/>
          <w:spacing w:val="4"/>
          <w:kern w:val="24"/>
          <w:szCs w:val="22"/>
          <w:highlight w:val="none"/>
          <w:lang w:val="en-US" w:eastAsia="zh-CN"/>
        </w:rPr>
        <w:t>7</w:t>
      </w:r>
      <w:r>
        <w:rPr>
          <w:rFonts w:hint="default" w:ascii="Times New Roman" w:hAnsi="Times New Roman" w:eastAsia="宋体" w:cs="Times New Roman"/>
          <w:color w:val="auto"/>
          <w:spacing w:val="4"/>
          <w:kern w:val="24"/>
          <w:szCs w:val="22"/>
          <w:highlight w:val="none"/>
        </w:rPr>
        <w:t>.1-</w:t>
      </w:r>
      <w:r>
        <w:rPr>
          <w:rFonts w:hint="default" w:ascii="Times New Roman" w:hAnsi="Times New Roman" w:cs="Times New Roman"/>
          <w:color w:val="auto"/>
          <w:spacing w:val="4"/>
          <w:kern w:val="24"/>
          <w:szCs w:val="22"/>
          <w:highlight w:val="none"/>
          <w:lang w:val="en-US" w:eastAsia="zh-CN"/>
        </w:rPr>
        <w:t>4</w:t>
      </w:r>
      <w:r>
        <w:rPr>
          <w:rFonts w:hint="default" w:ascii="Times New Roman" w:hAnsi="Times New Roman" w:eastAsia="宋体" w:cs="Times New Roman"/>
          <w:color w:val="auto"/>
          <w:spacing w:val="4"/>
          <w:kern w:val="24"/>
          <w:szCs w:val="22"/>
          <w:highlight w:val="none"/>
        </w:rPr>
        <w:t>分析可知，</w:t>
      </w: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总排放量为</w:t>
      </w:r>
      <w:r>
        <w:rPr>
          <w:rFonts w:hint="eastAsia" w:cs="Times New Roman"/>
          <w:color w:val="auto"/>
          <w:spacing w:val="4"/>
          <w:kern w:val="24"/>
          <w:szCs w:val="22"/>
          <w:highlight w:val="none"/>
          <w:lang w:val="en-US" w:eastAsia="zh-CN"/>
        </w:rPr>
        <w:t>1095.67</w:t>
      </w:r>
      <w:r>
        <w:rPr>
          <w:rFonts w:hint="default" w:ascii="Times New Roman" w:hAnsi="Times New Roman" w:eastAsia="宋体" w:cs="Times New Roman"/>
          <w:color w:val="auto"/>
          <w:spacing w:val="4"/>
          <w:kern w:val="24"/>
          <w:szCs w:val="22"/>
          <w:highlight w:val="none"/>
        </w:rPr>
        <w:t>吨。</w:t>
      </w:r>
    </w:p>
    <w:p w14:paraId="3E20D48C">
      <w:pPr>
        <w:pStyle w:val="5"/>
        <w:pageBreakBefore w:val="0"/>
        <w:kinsoku/>
        <w:wordWrap/>
        <w:overflowPunct/>
        <w:topLinePunct w:val="0"/>
        <w:autoSpaceDE/>
        <w:autoSpaceDN/>
        <w:bidi w:val="0"/>
        <w:adjustRightInd/>
        <w:snapToGrid/>
        <w:spacing w:beforeLines="0" w:after="0" w:line="360" w:lineRule="auto"/>
        <w:textAlignment w:val="auto"/>
        <w:rPr>
          <w:rFonts w:hint="default" w:ascii="Times New Roman" w:hAnsi="Times New Roman" w:eastAsia="宋体" w:cs="Times New Roman"/>
          <w:color w:val="auto"/>
          <w:highlight w:val="none"/>
        </w:rPr>
      </w:pPr>
      <w:bookmarkStart w:id="672" w:name="_Toc17977"/>
      <w:bookmarkStart w:id="673" w:name="_Toc21674"/>
      <w:bookmarkStart w:id="674" w:name="_Toc74874409"/>
      <w:bookmarkStart w:id="675" w:name="_Toc151643468"/>
      <w:bookmarkStart w:id="676" w:name="_Toc3303"/>
      <w:bookmarkStart w:id="677" w:name="_Toc153807750"/>
      <w:bookmarkStart w:id="678" w:name="_Toc13255"/>
      <w:r>
        <w:rPr>
          <w:rFonts w:hint="eastAsia"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.2减污降碳措施</w:t>
      </w:r>
      <w:bookmarkEnd w:id="672"/>
      <w:bookmarkEnd w:id="673"/>
      <w:bookmarkEnd w:id="674"/>
      <w:bookmarkEnd w:id="675"/>
      <w:bookmarkEnd w:id="676"/>
      <w:bookmarkEnd w:id="677"/>
      <w:bookmarkEnd w:id="678"/>
    </w:p>
    <w:p w14:paraId="364175D2">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从工艺技术、节能设备和能源及碳排放管理等方面均采取了一系列减污降碳措施，具体如下。</w:t>
      </w:r>
    </w:p>
    <w:p w14:paraId="6D12AEE5">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.2.1工艺技术减污降碳措施</w:t>
      </w:r>
    </w:p>
    <w:p w14:paraId="1B6B6EF5">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井场开采采用无人值守井场，减少人工干预和经常整定调节参数，实现全自动过程。定期组织人员对井场进行巡检，及时更换存在故障的阀门、法兰等部件，减少无组织泄漏量。同时加强工艺系统的优化管理，减少井场测试放喷作业时间。</w:t>
      </w:r>
    </w:p>
    <w:p w14:paraId="68C239DC">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.2.2电气设施减污降碳措施</w:t>
      </w:r>
    </w:p>
    <w:p w14:paraId="73EC0929">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在电气设备设施上采用多种节能措施，从而间接减少了电力隐含的CO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排放量。具体措施主要有：</w:t>
      </w:r>
    </w:p>
    <w:p w14:paraId="3C54B11E">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（1）根据项目用电性质、用电容量等选择合理的供电电压和供电方式，有效减少电能损耗。</w:t>
      </w:r>
    </w:p>
    <w:p w14:paraId="50BED15C">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2）选用高功率因数电气设备。采用无功功率补偿，为减少线路损失，设计采用高低压同时补偿的方式，补偿后功率因数达0.95以上。低压设置自动无功补偿电容器装置，高压采用高压并联电容器进行功率因数补偿，补偿后使功率因数在装置负荷正常运行时提高，有效减少无功损耗，从而减少电能损耗，实现节能运行。</w:t>
      </w:r>
    </w:p>
    <w:p w14:paraId="29F5AABF">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（3）选用节能型干式变压器，能效等级为1级，具有低损耗（空载和负载损耗相对较低）、维护方便等显著特点。</w:t>
      </w:r>
    </w:p>
    <w:p w14:paraId="6A10C502">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lang w:eastAsia="zh-CN"/>
        </w:rPr>
      </w:pPr>
      <w:r>
        <w:rPr>
          <w:rFonts w:hint="default" w:ascii="Times New Roman" w:hAnsi="Times New Roman" w:eastAsia="宋体" w:cs="Times New Roman"/>
          <w:color w:val="auto"/>
          <w:spacing w:val="4"/>
          <w:kern w:val="24"/>
          <w:szCs w:val="22"/>
          <w:highlight w:val="none"/>
        </w:rPr>
        <w:t>（4）各种电力设备均选用能效等级为1级的节能产品，实际功率和负荷相适应，达到降低能耗，提高工作效率的作用。</w:t>
      </w:r>
    </w:p>
    <w:p w14:paraId="743CDB04">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.2.3减污降碳管理措施</w:t>
      </w:r>
    </w:p>
    <w:p w14:paraId="552CE60E">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采油</w:t>
      </w:r>
      <w:r>
        <w:rPr>
          <w:rFonts w:hint="default" w:ascii="Times New Roman" w:hAnsi="Times New Roman" w:cs="Times New Roman"/>
          <w:color w:val="auto"/>
          <w:spacing w:val="4"/>
          <w:kern w:val="24"/>
          <w:szCs w:val="22"/>
          <w:highlight w:val="none"/>
          <w:lang w:val="en-US" w:eastAsia="zh-CN"/>
        </w:rPr>
        <w:t>三厂</w:t>
      </w:r>
      <w:r>
        <w:rPr>
          <w:rFonts w:hint="default" w:ascii="Times New Roman" w:hAnsi="Times New Roman" w:eastAsia="宋体" w:cs="Times New Roman"/>
          <w:color w:val="auto"/>
          <w:spacing w:val="4"/>
          <w:kern w:val="24"/>
          <w:szCs w:val="22"/>
          <w:highlight w:val="none"/>
        </w:rPr>
        <w:t>建立有碳排放管理组织机构，对整个作业区能源及碳排放管理实行管理，并制定能源及碳排放管理制度，将碳排放管理工作作为重要事项纳入日常管理；能源及碳排放管理制度对各类能源的购入、贮存、使用、加工转换、输送分配以及最终使用等环节</w:t>
      </w:r>
      <w:r>
        <w:rPr>
          <w:rFonts w:hint="eastAsia" w:cs="Times New Roman"/>
          <w:color w:val="auto"/>
          <w:spacing w:val="4"/>
          <w:kern w:val="24"/>
          <w:szCs w:val="22"/>
          <w:highlight w:val="none"/>
          <w:lang w:eastAsia="zh-CN"/>
        </w:rPr>
        <w:t>进行详细的</w:t>
      </w:r>
      <w:r>
        <w:rPr>
          <w:rFonts w:hint="default" w:ascii="Times New Roman" w:hAnsi="Times New Roman" w:eastAsia="宋体" w:cs="Times New Roman"/>
          <w:color w:val="auto"/>
          <w:spacing w:val="4"/>
          <w:kern w:val="24"/>
          <w:szCs w:val="22"/>
          <w:highlight w:val="none"/>
        </w:rPr>
        <w:t>规定，尽可能从管理上做到对各类能源高效使用，同时对碳排放情况进行有效管理。</w:t>
      </w:r>
    </w:p>
    <w:p w14:paraId="58F2BAAF">
      <w:pPr>
        <w:pStyle w:val="5"/>
        <w:pageBreakBefore w:val="0"/>
        <w:kinsoku/>
        <w:wordWrap/>
        <w:overflowPunct/>
        <w:topLinePunct w:val="0"/>
        <w:autoSpaceDE/>
        <w:autoSpaceDN/>
        <w:bidi w:val="0"/>
        <w:adjustRightInd/>
        <w:snapToGrid/>
        <w:spacing w:beforeLines="0" w:after="0" w:line="360" w:lineRule="auto"/>
        <w:textAlignment w:val="auto"/>
        <w:rPr>
          <w:rFonts w:hint="default" w:ascii="Times New Roman" w:hAnsi="Times New Roman" w:eastAsia="宋体" w:cs="Times New Roman"/>
          <w:color w:val="auto"/>
          <w:highlight w:val="none"/>
        </w:rPr>
      </w:pPr>
      <w:bookmarkStart w:id="679" w:name="_Toc151643469"/>
      <w:bookmarkStart w:id="680" w:name="_Toc74874411"/>
      <w:bookmarkStart w:id="681" w:name="_Toc6299"/>
      <w:bookmarkStart w:id="682" w:name="_Toc14727"/>
      <w:bookmarkStart w:id="683" w:name="_Toc17292"/>
      <w:bookmarkStart w:id="684" w:name="_Toc153807751"/>
      <w:bookmarkStart w:id="685" w:name="_Toc9475"/>
      <w:r>
        <w:rPr>
          <w:rFonts w:hint="eastAsia"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.3碳排放评价结论及建议</w:t>
      </w:r>
      <w:bookmarkEnd w:id="679"/>
      <w:bookmarkEnd w:id="680"/>
      <w:bookmarkEnd w:id="681"/>
      <w:bookmarkEnd w:id="682"/>
      <w:bookmarkEnd w:id="683"/>
      <w:bookmarkEnd w:id="684"/>
      <w:bookmarkEnd w:id="685"/>
    </w:p>
    <w:p w14:paraId="02EA3314">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.3.1碳排放评价结论</w:t>
      </w:r>
    </w:p>
    <w:p w14:paraId="0EB10370">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cs="Times New Roman"/>
          <w:color w:val="auto"/>
          <w:spacing w:val="4"/>
          <w:kern w:val="24"/>
          <w:szCs w:val="22"/>
          <w:highlight w:val="none"/>
          <w:lang w:val="en-US" w:eastAsia="zh-CN"/>
        </w:rPr>
        <w:t>本项目</w:t>
      </w:r>
      <w:r>
        <w:rPr>
          <w:rFonts w:hint="default" w:ascii="Times New Roman" w:hAnsi="Times New Roman" w:eastAsia="宋体" w:cs="Times New Roman"/>
          <w:color w:val="auto"/>
          <w:spacing w:val="4"/>
          <w:kern w:val="24"/>
          <w:szCs w:val="22"/>
          <w:highlight w:val="none"/>
        </w:rPr>
        <w:t>实施后，CO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总排放量为</w:t>
      </w:r>
      <w:r>
        <w:rPr>
          <w:rFonts w:hint="eastAsia" w:cs="Times New Roman"/>
          <w:color w:val="auto"/>
          <w:spacing w:val="4"/>
          <w:kern w:val="24"/>
          <w:szCs w:val="22"/>
          <w:highlight w:val="none"/>
          <w:lang w:val="en-US" w:eastAsia="zh-CN"/>
        </w:rPr>
        <w:t>1095.67</w:t>
      </w:r>
      <w:r>
        <w:rPr>
          <w:rFonts w:hint="default" w:ascii="Times New Roman" w:hAnsi="Times New Roman" w:eastAsia="宋体" w:cs="Times New Roman"/>
          <w:color w:val="auto"/>
          <w:spacing w:val="4"/>
          <w:kern w:val="24"/>
          <w:szCs w:val="22"/>
          <w:highlight w:val="none"/>
        </w:rPr>
        <w:t>吨。在工艺技术、节能设备和能源及碳排放管理等方面均采取了较完善的减污降碳措施，有利于减少二氧化碳排放，对比同类企业碳排放水平，</w:t>
      </w:r>
      <w:r>
        <w:rPr>
          <w:rFonts w:hint="default" w:ascii="Times New Roman" w:hAnsi="Times New Roman" w:cs="Times New Roman"/>
          <w:color w:val="auto"/>
          <w:spacing w:val="4"/>
          <w:kern w:val="24"/>
          <w:szCs w:val="22"/>
          <w:highlight w:val="none"/>
          <w:lang w:val="en-US" w:eastAsia="zh-CN"/>
        </w:rPr>
        <w:t>本项目</w:t>
      </w:r>
      <w:r>
        <w:rPr>
          <w:rFonts w:hint="default" w:ascii="Times New Roman" w:hAnsi="Times New Roman" w:eastAsia="宋体" w:cs="Times New Roman"/>
          <w:color w:val="auto"/>
          <w:spacing w:val="4"/>
          <w:kern w:val="24"/>
          <w:szCs w:val="22"/>
          <w:highlight w:val="none"/>
        </w:rPr>
        <w:t>吨产品CO</w:t>
      </w:r>
      <w:r>
        <w:rPr>
          <w:rFonts w:hint="default" w:ascii="Times New Roman" w:hAnsi="Times New Roman" w:eastAsia="宋体" w:cs="Times New Roman"/>
          <w:color w:val="auto"/>
          <w:spacing w:val="4"/>
          <w:kern w:val="24"/>
          <w:szCs w:val="22"/>
          <w:highlight w:val="none"/>
          <w:vertAlign w:val="subscript"/>
        </w:rPr>
        <w:t>2</w:t>
      </w:r>
      <w:r>
        <w:rPr>
          <w:rFonts w:hint="default" w:ascii="Times New Roman" w:hAnsi="Times New Roman" w:eastAsia="宋体" w:cs="Times New Roman"/>
          <w:color w:val="auto"/>
          <w:spacing w:val="4"/>
          <w:kern w:val="24"/>
          <w:szCs w:val="22"/>
          <w:highlight w:val="none"/>
        </w:rPr>
        <w:t>排放强度相对较低。</w:t>
      </w:r>
    </w:p>
    <w:p w14:paraId="68C900B7">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.3.2碳排放建议</w:t>
      </w:r>
    </w:p>
    <w:p w14:paraId="25650D17">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（1）加强企业能源管理，减少甲烷逸散损耗，定期开展能源及碳排放管理培训，提升管理水平；</w:t>
      </w:r>
    </w:p>
    <w:p w14:paraId="1C280A13">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（2）积极开展源头控制，优先选择绿色节能工艺、产品和技术，降低化石燃料消费量；</w:t>
      </w:r>
    </w:p>
    <w:p w14:paraId="7C37B32F">
      <w:pPr>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kern w:val="24"/>
          <w:szCs w:val="22"/>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4"/>
          <w:kern w:val="24"/>
          <w:szCs w:val="22"/>
          <w:highlight w:val="none"/>
        </w:rPr>
        <w:t>（3）积极开展碳捕获、利用与封存（CCUS）技术，进一步挖掘和提升减污降碳潜力</w:t>
      </w:r>
      <w:r>
        <w:rPr>
          <w:rFonts w:hint="default" w:ascii="Times New Roman" w:hAnsi="Times New Roman" w:cs="Times New Roman"/>
          <w:color w:val="auto"/>
          <w:spacing w:val="4"/>
          <w:kern w:val="24"/>
          <w:szCs w:val="22"/>
          <w:highlight w:val="none"/>
          <w:lang w:eastAsia="zh-CN"/>
        </w:rPr>
        <w:t>。</w:t>
      </w:r>
    </w:p>
    <w:p w14:paraId="77CF11E9">
      <w:pPr>
        <w:pStyle w:val="122"/>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bookmarkStart w:id="686" w:name="_Toc9773"/>
      <w:bookmarkStart w:id="687" w:name="_Toc22133"/>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环境影响经济损益分析</w:t>
      </w:r>
      <w:bookmarkEnd w:id="686"/>
      <w:bookmarkEnd w:id="687"/>
    </w:p>
    <w:p w14:paraId="6A0FE2A0">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rPr>
        <w:t>项目的开发建设，除对国民经济的发展起着促进作用外，同时也在一定程度上影响着项目地区环境的变化。进行环境影响经济损益分析的目的在于分析建设项目的社会、经济和环境损益，评价建设项目环境保护投资的合理性以及环境保护投资的效益，促进项目建设的社会、经济和环境效益的协调统一和可持续发展。</w:t>
      </w:r>
    </w:p>
    <w:p w14:paraId="359827F9">
      <w:pPr>
        <w:pStyle w:val="5"/>
        <w:pageBreakBefore w:val="0"/>
        <w:kinsoku/>
        <w:wordWrap/>
        <w:overflowPunct/>
        <w:topLinePunct w:val="0"/>
        <w:autoSpaceDE/>
        <w:autoSpaceDN/>
        <w:bidi w:val="0"/>
        <w:adjustRightInd/>
        <w:snapToGrid/>
        <w:spacing w:beforeLines="0" w:after="0" w:line="360" w:lineRule="auto"/>
        <w:textAlignment w:val="auto"/>
        <w:rPr>
          <w:rFonts w:hint="eastAsia" w:ascii="Times New Roman" w:hAnsi="Times New Roman" w:eastAsia="宋体" w:cs="Times New Roman"/>
          <w:color w:val="auto"/>
          <w:highlight w:val="none"/>
          <w:lang w:val="en-US" w:eastAsia="zh-CN"/>
        </w:rPr>
      </w:pPr>
      <w:bookmarkStart w:id="688" w:name="_Toc184971613"/>
      <w:bookmarkStart w:id="689" w:name="_Toc32478"/>
      <w:r>
        <w:rPr>
          <w:rFonts w:hint="eastAsia" w:ascii="Times New Roman" w:hAnsi="Times New Roman" w:eastAsia="宋体" w:cs="Times New Roman"/>
          <w:color w:val="auto"/>
          <w:highlight w:val="none"/>
          <w:lang w:val="en-US" w:eastAsia="zh-CN"/>
        </w:rPr>
        <w:t>8.1 经济效益分析</w:t>
      </w:r>
      <w:bookmarkEnd w:id="688"/>
      <w:bookmarkEnd w:id="689"/>
    </w:p>
    <w:p w14:paraId="6CA22296">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default" w:ascii="Times New Roman" w:hAnsi="Times New Roman" w:eastAsia="宋体" w:cs="Times New Roman"/>
          <w:color w:val="auto"/>
          <w:spacing w:val="4"/>
          <w:kern w:val="24"/>
          <w:szCs w:val="22"/>
          <w:highlight w:val="none"/>
          <w:lang w:eastAsia="zh-CN"/>
        </w:rPr>
        <w:t>本项目</w:t>
      </w:r>
      <w:r>
        <w:rPr>
          <w:rFonts w:hint="default" w:ascii="Times New Roman" w:hAnsi="Times New Roman" w:eastAsia="宋体" w:cs="Times New Roman"/>
          <w:color w:val="auto"/>
          <w:spacing w:val="4"/>
          <w:kern w:val="24"/>
          <w:szCs w:val="22"/>
          <w:highlight w:val="none"/>
        </w:rPr>
        <w:t>总投资为</w:t>
      </w:r>
      <w:r>
        <w:rPr>
          <w:rFonts w:hint="eastAsia" w:ascii="Times New Roman" w:hAnsi="Times New Roman" w:eastAsia="宋体" w:cs="Times New Roman"/>
          <w:color w:val="auto"/>
          <w:spacing w:val="4"/>
          <w:kern w:val="24"/>
          <w:szCs w:val="22"/>
          <w:highlight w:val="none"/>
          <w:lang w:val="en-US" w:eastAsia="zh-CN"/>
        </w:rPr>
        <w:t>5408</w:t>
      </w:r>
      <w:r>
        <w:rPr>
          <w:rFonts w:hint="default" w:ascii="Times New Roman" w:hAnsi="Times New Roman" w:eastAsia="宋体" w:cs="Times New Roman"/>
          <w:color w:val="auto"/>
          <w:spacing w:val="4"/>
          <w:kern w:val="24"/>
          <w:szCs w:val="22"/>
          <w:highlight w:val="none"/>
        </w:rPr>
        <w:t>万元，其中环保投资</w:t>
      </w:r>
      <w:r>
        <w:rPr>
          <w:rFonts w:hint="eastAsia" w:ascii="Times New Roman" w:hAnsi="Times New Roman" w:eastAsia="宋体" w:cs="Times New Roman"/>
          <w:color w:val="auto"/>
          <w:spacing w:val="4"/>
          <w:kern w:val="24"/>
          <w:szCs w:val="22"/>
          <w:highlight w:val="none"/>
          <w:lang w:val="en-US" w:eastAsia="zh-CN"/>
        </w:rPr>
        <w:t>163</w:t>
      </w:r>
      <w:r>
        <w:rPr>
          <w:rFonts w:hint="default" w:ascii="Times New Roman" w:hAnsi="Times New Roman" w:eastAsia="宋体" w:cs="Times New Roman"/>
          <w:color w:val="auto"/>
          <w:spacing w:val="4"/>
          <w:kern w:val="24"/>
          <w:szCs w:val="22"/>
          <w:highlight w:val="none"/>
        </w:rPr>
        <w:t>万元，占总投资</w:t>
      </w:r>
      <w:r>
        <w:rPr>
          <w:rFonts w:hint="default" w:ascii="Times New Roman" w:hAnsi="Times New Roman" w:eastAsia="宋体" w:cs="Times New Roman"/>
          <w:color w:val="auto"/>
          <w:spacing w:val="4"/>
          <w:kern w:val="24"/>
          <w:szCs w:val="22"/>
          <w:highlight w:val="none"/>
          <w:lang w:val="en-US" w:eastAsia="zh-CN"/>
        </w:rPr>
        <w:t>3</w:t>
      </w:r>
      <w:r>
        <w:rPr>
          <w:rFonts w:hint="eastAsia" w:ascii="Times New Roman" w:hAnsi="Times New Roman" w:eastAsia="宋体" w:cs="Times New Roman"/>
          <w:color w:val="auto"/>
          <w:spacing w:val="4"/>
          <w:kern w:val="24"/>
          <w:szCs w:val="22"/>
          <w:highlight w:val="none"/>
          <w:lang w:val="en-US" w:eastAsia="zh-CN"/>
        </w:rPr>
        <w:t>.0</w:t>
      </w:r>
      <w:r>
        <w:rPr>
          <w:rFonts w:hint="default" w:ascii="Times New Roman" w:hAnsi="Times New Roman" w:eastAsia="宋体" w:cs="Times New Roman"/>
          <w:color w:val="auto"/>
          <w:spacing w:val="4"/>
          <w:kern w:val="24"/>
          <w:szCs w:val="22"/>
          <w:highlight w:val="none"/>
        </w:rPr>
        <w:t>%。</w:t>
      </w:r>
      <w:r>
        <w:rPr>
          <w:rFonts w:hint="eastAsia" w:ascii="Times New Roman" w:hAnsi="Times New Roman" w:eastAsia="宋体" w:cs="Times New Roman"/>
          <w:color w:val="auto"/>
          <w:spacing w:val="4"/>
          <w:kern w:val="24"/>
          <w:szCs w:val="22"/>
          <w:highlight w:val="none"/>
        </w:rPr>
        <w:t>由于涉及国家能源商业机密，故对项目本身的经济效益在本环评报告中不作描述。</w:t>
      </w:r>
      <w:r>
        <w:rPr>
          <w:rFonts w:hint="eastAsia" w:ascii="Times New Roman" w:hAnsi="Times New Roman" w:eastAsia="宋体" w:cs="Times New Roman"/>
          <w:color w:val="auto"/>
          <w:spacing w:val="4"/>
          <w:kern w:val="24"/>
          <w:szCs w:val="22"/>
          <w:highlight w:val="none"/>
          <w:lang w:val="en-US" w:eastAsia="zh-CN"/>
        </w:rPr>
        <w:t>本项目环保投资</w:t>
      </w:r>
      <w:r>
        <w:rPr>
          <w:rFonts w:hint="default" w:ascii="Times New Roman" w:hAnsi="Times New Roman" w:eastAsia="宋体" w:cs="Times New Roman"/>
          <w:color w:val="auto"/>
          <w:spacing w:val="4"/>
          <w:kern w:val="24"/>
          <w:szCs w:val="22"/>
          <w:highlight w:val="none"/>
        </w:rPr>
        <w:t>估算见表</w:t>
      </w:r>
      <w:r>
        <w:rPr>
          <w:rFonts w:hint="eastAsia" w:ascii="Times New Roman" w:hAnsi="Times New Roman" w:eastAsia="宋体" w:cs="Times New Roman"/>
          <w:color w:val="auto"/>
          <w:spacing w:val="4"/>
          <w:kern w:val="24"/>
          <w:szCs w:val="22"/>
          <w:highlight w:val="none"/>
          <w:lang w:val="en-US" w:eastAsia="zh-CN"/>
        </w:rPr>
        <w:t>8.1</w:t>
      </w:r>
      <w:r>
        <w:rPr>
          <w:rFonts w:hint="default" w:ascii="Times New Roman" w:hAnsi="Times New Roman" w:eastAsia="宋体" w:cs="Times New Roman"/>
          <w:color w:val="auto"/>
          <w:spacing w:val="4"/>
          <w:kern w:val="24"/>
          <w:szCs w:val="22"/>
          <w:highlight w:val="none"/>
        </w:rPr>
        <w:t>-1。</w:t>
      </w:r>
    </w:p>
    <w:p w14:paraId="3DD8489B">
      <w:pPr>
        <w:pStyle w:val="78"/>
        <w:keepNext w:val="0"/>
        <w:keepLines w:val="0"/>
        <w:pageBreakBefore w:val="0"/>
        <w:kinsoku/>
        <w:wordWrap/>
        <w:topLinePunct w:val="0"/>
        <w:bidi w:val="0"/>
        <w:spacing w:line="240" w:lineRule="auto"/>
        <w:ind w:left="0" w:leftChars="0" w:firstLine="0" w:firstLineChars="0"/>
        <w:jc w:val="center"/>
        <w:rPr>
          <w:rFonts w:hint="eastAsia"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rPr>
        <w:t>表</w:t>
      </w:r>
      <w:r>
        <w:rPr>
          <w:rFonts w:hint="eastAsia" w:ascii="Times New Roman" w:hAnsi="Times New Roman" w:eastAsia="黑体" w:cs="Times New Roman"/>
          <w:b w:val="0"/>
          <w:bCs/>
          <w:color w:val="auto"/>
          <w:sz w:val="21"/>
          <w:szCs w:val="21"/>
          <w:highlight w:val="none"/>
          <w:lang w:val="en-US" w:eastAsia="zh-CN"/>
        </w:rPr>
        <w:t>8.1</w:t>
      </w:r>
      <w:r>
        <w:rPr>
          <w:rFonts w:hint="default" w:ascii="Times New Roman" w:hAnsi="Times New Roman" w:eastAsia="黑体" w:cs="Times New Roman"/>
          <w:b w:val="0"/>
          <w:bCs/>
          <w:color w:val="auto"/>
          <w:sz w:val="21"/>
          <w:szCs w:val="21"/>
          <w:highlight w:val="none"/>
        </w:rPr>
        <w:t>-1</w:t>
      </w:r>
      <w:r>
        <w:rPr>
          <w:rFonts w:hint="eastAsia" w:eastAsia="黑体" w:cs="Times New Roman"/>
          <w:b w:val="0"/>
          <w:bCs/>
          <w:color w:val="auto"/>
          <w:sz w:val="21"/>
          <w:szCs w:val="21"/>
          <w:highlight w:val="none"/>
          <w:lang w:val="en-US" w:eastAsia="zh-CN"/>
        </w:rPr>
        <w:t xml:space="preserve">  本项目</w:t>
      </w:r>
      <w:r>
        <w:rPr>
          <w:rFonts w:hint="default" w:ascii="Times New Roman" w:hAnsi="Times New Roman" w:eastAsia="黑体" w:cs="Times New Roman"/>
          <w:b w:val="0"/>
          <w:bCs/>
          <w:color w:val="auto"/>
          <w:sz w:val="21"/>
          <w:szCs w:val="21"/>
          <w:highlight w:val="none"/>
        </w:rPr>
        <w:t>环保投资估算</w:t>
      </w:r>
      <w:r>
        <w:rPr>
          <w:rFonts w:hint="eastAsia" w:eastAsia="黑体" w:cs="Times New Roman"/>
          <w:b w:val="0"/>
          <w:bCs/>
          <w:color w:val="auto"/>
          <w:sz w:val="21"/>
          <w:szCs w:val="21"/>
          <w:highlight w:val="none"/>
          <w:lang w:val="en-US" w:eastAsia="zh-CN"/>
        </w:rPr>
        <w:t>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4"/>
        <w:gridCol w:w="636"/>
        <w:gridCol w:w="734"/>
        <w:gridCol w:w="3150"/>
        <w:gridCol w:w="2310"/>
        <w:gridCol w:w="858"/>
      </w:tblGrid>
      <w:tr w14:paraId="1030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403" w:type="pct"/>
            <w:vAlign w:val="center"/>
          </w:tcPr>
          <w:p w14:paraId="2160B2E5">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类别</w:t>
            </w:r>
          </w:p>
        </w:tc>
        <w:tc>
          <w:tcPr>
            <w:tcW w:w="819" w:type="pct"/>
            <w:gridSpan w:val="2"/>
            <w:vAlign w:val="center"/>
          </w:tcPr>
          <w:p w14:paraId="4D154CA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污染源</w:t>
            </w:r>
          </w:p>
        </w:tc>
        <w:tc>
          <w:tcPr>
            <w:tcW w:w="1883" w:type="pct"/>
            <w:vAlign w:val="center"/>
          </w:tcPr>
          <w:p w14:paraId="7029455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环保措施</w:t>
            </w:r>
          </w:p>
        </w:tc>
        <w:tc>
          <w:tcPr>
            <w:tcW w:w="1381" w:type="pct"/>
            <w:vAlign w:val="center"/>
          </w:tcPr>
          <w:p w14:paraId="50EDB991">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治理效果</w:t>
            </w:r>
          </w:p>
        </w:tc>
        <w:tc>
          <w:tcPr>
            <w:tcW w:w="513" w:type="pct"/>
            <w:vAlign w:val="center"/>
          </w:tcPr>
          <w:p w14:paraId="038BFEE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投资</w:t>
            </w:r>
          </w:p>
          <w:p w14:paraId="00EE38D5">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万元</w:t>
            </w:r>
            <w:r>
              <w:rPr>
                <w:rFonts w:hint="default" w:ascii="Times New Roman" w:hAnsi="Times New Roman" w:eastAsia="宋体" w:cs="Times New Roman"/>
                <w:b w:val="0"/>
                <w:bCs w:val="0"/>
                <w:color w:val="auto"/>
                <w:spacing w:val="-10"/>
                <w:sz w:val="21"/>
                <w:szCs w:val="21"/>
                <w:highlight w:val="none"/>
                <w:lang w:eastAsia="zh-CN"/>
              </w:rPr>
              <w:t>）</w:t>
            </w:r>
          </w:p>
        </w:tc>
      </w:tr>
      <w:tr w14:paraId="1395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restart"/>
            <w:vAlign w:val="center"/>
          </w:tcPr>
          <w:p w14:paraId="5F394D33">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19" w:type="pct"/>
            <w:gridSpan w:val="2"/>
            <w:vAlign w:val="center"/>
          </w:tcPr>
          <w:p w14:paraId="6F1A4059">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1883" w:type="pct"/>
            <w:vAlign w:val="center"/>
          </w:tcPr>
          <w:p w14:paraId="63C280BE">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临时抑尘覆盖物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草包、帆布等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、洒水（防尘、洒水等）</w:t>
            </w:r>
          </w:p>
        </w:tc>
        <w:tc>
          <w:tcPr>
            <w:tcW w:w="1381" w:type="pct"/>
            <w:vAlign w:val="center"/>
          </w:tcPr>
          <w:p w14:paraId="602B211F">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13" w:type="pct"/>
            <w:vAlign w:val="center"/>
          </w:tcPr>
          <w:p w14:paraId="358E73BD">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r>
      <w:tr w14:paraId="1CB2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0" w:type="auto"/>
            <w:vMerge w:val="continue"/>
            <w:vAlign w:val="center"/>
          </w:tcPr>
          <w:p w14:paraId="40B091E7">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19" w:type="pct"/>
            <w:gridSpan w:val="2"/>
            <w:vAlign w:val="center"/>
          </w:tcPr>
          <w:p w14:paraId="4BF69FB3">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c>
          <w:tcPr>
            <w:tcW w:w="1883" w:type="pct"/>
            <w:vAlign w:val="center"/>
          </w:tcPr>
          <w:p w14:paraId="29ED08B0">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rPr>
              <w:t>装置做好</w:t>
            </w:r>
            <w:r>
              <w:rPr>
                <w:rFonts w:hint="default" w:ascii="Times New Roman" w:hAnsi="Times New Roman" w:eastAsia="宋体" w:cs="Times New Roman"/>
                <w:color w:val="auto"/>
                <w:sz w:val="21"/>
                <w:szCs w:val="21"/>
                <w:highlight w:val="none"/>
                <w:lang w:bidi="ar"/>
              </w:rPr>
              <w:t>日常维护，做好密闭措施</w:t>
            </w:r>
          </w:p>
        </w:tc>
        <w:tc>
          <w:tcPr>
            <w:tcW w:w="1381" w:type="pct"/>
            <w:vAlign w:val="center"/>
          </w:tcPr>
          <w:p w14:paraId="32C6E07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p w14:paraId="4A35E4E0">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p w14:paraId="3B5FBC22">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S≤0.06mg/m</w:t>
            </w:r>
            <w:r>
              <w:rPr>
                <w:rFonts w:hint="default" w:ascii="Times New Roman" w:hAnsi="Times New Roman" w:eastAsia="宋体" w:cs="Times New Roman"/>
                <w:color w:val="auto"/>
                <w:sz w:val="21"/>
                <w:szCs w:val="21"/>
                <w:highlight w:val="none"/>
                <w:vertAlign w:val="superscript"/>
              </w:rPr>
              <w:t>3</w:t>
            </w:r>
          </w:p>
        </w:tc>
        <w:tc>
          <w:tcPr>
            <w:tcW w:w="513" w:type="pct"/>
            <w:vAlign w:val="center"/>
          </w:tcPr>
          <w:p w14:paraId="1B55D57A">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r>
      <w:tr w14:paraId="389A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restart"/>
            <w:vAlign w:val="center"/>
          </w:tcPr>
          <w:p w14:paraId="5F951FC5">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80" w:type="pct"/>
            <w:vMerge w:val="restart"/>
            <w:vAlign w:val="center"/>
          </w:tcPr>
          <w:p w14:paraId="37A7ADFA">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439" w:type="pct"/>
            <w:vAlign w:val="center"/>
          </w:tcPr>
          <w:p w14:paraId="4BF49DBD">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采油树</w:t>
            </w:r>
          </w:p>
        </w:tc>
        <w:tc>
          <w:tcPr>
            <w:tcW w:w="1883" w:type="pct"/>
            <w:vMerge w:val="restart"/>
            <w:vAlign w:val="center"/>
          </w:tcPr>
          <w:p w14:paraId="74EB5F7F">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加强设备维护，基础减振</w:t>
            </w:r>
          </w:p>
        </w:tc>
        <w:tc>
          <w:tcPr>
            <w:tcW w:w="1381" w:type="pct"/>
            <w:vMerge w:val="restart"/>
            <w:vAlign w:val="center"/>
          </w:tcPr>
          <w:p w14:paraId="66084AA3">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场界：</w:t>
            </w:r>
          </w:p>
          <w:p w14:paraId="3E6DFFFE">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昼间≤65dB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p w14:paraId="073317A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夜间≤55dB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513" w:type="pct"/>
            <w:vMerge w:val="restart"/>
            <w:vAlign w:val="center"/>
          </w:tcPr>
          <w:p w14:paraId="003C989F">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r>
      <w:tr w14:paraId="5D36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0" w:type="auto"/>
            <w:vMerge w:val="continue"/>
            <w:vAlign w:val="center"/>
          </w:tcPr>
          <w:p w14:paraId="1ED4B3D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0" w:type="auto"/>
            <w:vMerge w:val="continue"/>
            <w:vAlign w:val="center"/>
          </w:tcPr>
          <w:p w14:paraId="40799956">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439" w:type="pct"/>
            <w:vAlign w:val="center"/>
          </w:tcPr>
          <w:p w14:paraId="7B685DC7">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加热炉</w:t>
            </w:r>
          </w:p>
        </w:tc>
        <w:tc>
          <w:tcPr>
            <w:tcW w:w="1883" w:type="pct"/>
            <w:vMerge w:val="continue"/>
            <w:vAlign w:val="center"/>
          </w:tcPr>
          <w:p w14:paraId="5C5AE71E">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381" w:type="pct"/>
            <w:vMerge w:val="continue"/>
            <w:vAlign w:val="center"/>
          </w:tcPr>
          <w:p w14:paraId="04C0EF1C">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513" w:type="pct"/>
            <w:vMerge w:val="continue"/>
            <w:vAlign w:val="center"/>
          </w:tcPr>
          <w:p w14:paraId="0C4FA3DB">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rPr>
            </w:pPr>
          </w:p>
        </w:tc>
      </w:tr>
      <w:tr w14:paraId="2615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restart"/>
            <w:vAlign w:val="center"/>
          </w:tcPr>
          <w:p w14:paraId="7754590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819" w:type="pct"/>
            <w:gridSpan w:val="2"/>
            <w:vAlign w:val="center"/>
          </w:tcPr>
          <w:p w14:paraId="4DA29389">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地面工程施工</w:t>
            </w:r>
          </w:p>
        </w:tc>
        <w:tc>
          <w:tcPr>
            <w:tcW w:w="1883" w:type="pct"/>
            <w:vAlign w:val="center"/>
          </w:tcPr>
          <w:p w14:paraId="1BC1D402">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施工期固废</w:t>
            </w:r>
            <w:r>
              <w:rPr>
                <w:rFonts w:hint="default" w:ascii="Times New Roman" w:hAnsi="Times New Roman" w:cs="Times New Roman"/>
                <w:color w:val="auto"/>
                <w:sz w:val="21"/>
                <w:szCs w:val="21"/>
                <w:highlight w:val="none"/>
                <w:lang w:eastAsia="zh-CN"/>
              </w:rPr>
              <w:t>清运处置</w:t>
            </w:r>
          </w:p>
        </w:tc>
        <w:tc>
          <w:tcPr>
            <w:tcW w:w="1381" w:type="pct"/>
            <w:vAlign w:val="center"/>
          </w:tcPr>
          <w:p w14:paraId="006AABB6">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妥善处理</w:t>
            </w:r>
          </w:p>
        </w:tc>
        <w:tc>
          <w:tcPr>
            <w:tcW w:w="513" w:type="pct"/>
            <w:vAlign w:val="center"/>
          </w:tcPr>
          <w:p w14:paraId="0B2AC514">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r>
      <w:tr w14:paraId="1271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continue"/>
            <w:vAlign w:val="center"/>
          </w:tcPr>
          <w:p w14:paraId="4840D746">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19" w:type="pct"/>
            <w:gridSpan w:val="2"/>
            <w:vAlign w:val="center"/>
          </w:tcPr>
          <w:p w14:paraId="30DC3C37">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钻井废弃物</w:t>
            </w:r>
          </w:p>
        </w:tc>
        <w:tc>
          <w:tcPr>
            <w:tcW w:w="1883" w:type="pct"/>
            <w:vAlign w:val="center"/>
          </w:tcPr>
          <w:p w14:paraId="5C0761B2">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泥浆不落地系统</w:t>
            </w:r>
          </w:p>
        </w:tc>
        <w:tc>
          <w:tcPr>
            <w:tcW w:w="1381" w:type="pct"/>
            <w:vAlign w:val="center"/>
          </w:tcPr>
          <w:p w14:paraId="3358A60B">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妥善处理</w:t>
            </w:r>
          </w:p>
        </w:tc>
        <w:tc>
          <w:tcPr>
            <w:tcW w:w="513" w:type="pct"/>
            <w:vAlign w:val="center"/>
          </w:tcPr>
          <w:p w14:paraId="6A44C84E">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lang w:val="en-US"/>
              </w:rPr>
            </w:pPr>
            <w:r>
              <w:rPr>
                <w:rFonts w:hint="eastAsia" w:cs="Times New Roman"/>
                <w:i w:val="0"/>
                <w:iCs w:val="0"/>
                <w:color w:val="auto"/>
                <w:kern w:val="0"/>
                <w:sz w:val="22"/>
                <w:szCs w:val="22"/>
                <w:highlight w:val="none"/>
                <w:u w:val="none"/>
                <w:lang w:val="en-US" w:eastAsia="zh-CN" w:bidi="ar"/>
              </w:rPr>
              <w:t>80</w:t>
            </w:r>
          </w:p>
        </w:tc>
      </w:tr>
      <w:tr w14:paraId="3817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continue"/>
            <w:vAlign w:val="center"/>
          </w:tcPr>
          <w:p w14:paraId="65FC73B3">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19" w:type="pct"/>
            <w:gridSpan w:val="2"/>
            <w:vAlign w:val="center"/>
          </w:tcPr>
          <w:p w14:paraId="791E8532">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含油废物、废防渗材料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清管废渣</w:t>
            </w:r>
          </w:p>
        </w:tc>
        <w:tc>
          <w:tcPr>
            <w:tcW w:w="1883" w:type="pct"/>
            <w:vAlign w:val="center"/>
          </w:tcPr>
          <w:p w14:paraId="0A651EE0">
            <w:pPr>
              <w:pStyle w:val="69"/>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井场作业落地油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清管废渣</w:t>
            </w:r>
            <w:r>
              <w:rPr>
                <w:rFonts w:hint="default" w:ascii="Times New Roman" w:hAnsi="Times New Roman" w:eastAsia="宋体" w:cs="Times New Roman"/>
                <w:color w:val="auto"/>
                <w:sz w:val="21"/>
                <w:szCs w:val="21"/>
                <w:highlight w:val="none"/>
              </w:rPr>
              <w:t>回收进入塔河油田绿色环保站处置；废防渗材料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废润滑油等</w:t>
            </w:r>
            <w:r>
              <w:rPr>
                <w:rFonts w:hint="default" w:ascii="Times New Roman" w:hAnsi="Times New Roman" w:eastAsia="宋体" w:cs="Times New Roman"/>
                <w:color w:val="auto"/>
                <w:sz w:val="21"/>
                <w:szCs w:val="21"/>
                <w:highlight w:val="none"/>
              </w:rPr>
              <w:t>交由持有危险废物经营许可证的单位接收处置。</w:t>
            </w:r>
          </w:p>
        </w:tc>
        <w:tc>
          <w:tcPr>
            <w:tcW w:w="1381" w:type="pct"/>
            <w:vAlign w:val="center"/>
          </w:tcPr>
          <w:p w14:paraId="3769A2C5">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妥善处理</w:t>
            </w:r>
          </w:p>
        </w:tc>
        <w:tc>
          <w:tcPr>
            <w:tcW w:w="513" w:type="pct"/>
            <w:vAlign w:val="center"/>
          </w:tcPr>
          <w:p w14:paraId="724AE4C4">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lang w:val="en-US"/>
              </w:rPr>
            </w:pPr>
            <w:r>
              <w:rPr>
                <w:rFonts w:hint="eastAsia" w:cs="Times New Roman"/>
                <w:i w:val="0"/>
                <w:iCs w:val="0"/>
                <w:color w:val="auto"/>
                <w:kern w:val="0"/>
                <w:sz w:val="22"/>
                <w:szCs w:val="22"/>
                <w:highlight w:val="none"/>
                <w:u w:val="none"/>
                <w:lang w:val="en-US" w:eastAsia="zh-CN" w:bidi="ar"/>
              </w:rPr>
              <w:t>10</w:t>
            </w:r>
          </w:p>
        </w:tc>
      </w:tr>
      <w:tr w14:paraId="6B9A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restart"/>
            <w:vAlign w:val="center"/>
          </w:tcPr>
          <w:p w14:paraId="41B862ED">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819" w:type="pct"/>
            <w:gridSpan w:val="2"/>
            <w:vAlign w:val="center"/>
          </w:tcPr>
          <w:p w14:paraId="1C3BEA4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c>
          <w:tcPr>
            <w:tcW w:w="1883" w:type="pct"/>
            <w:vAlign w:val="center"/>
          </w:tcPr>
          <w:p w14:paraId="29B7E10E">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施工结束后进行场地平整；控制施工作业带宽度；水土保持措施、防沙治沙等</w:t>
            </w:r>
          </w:p>
        </w:tc>
        <w:tc>
          <w:tcPr>
            <w:tcW w:w="1381" w:type="pct"/>
            <w:vAlign w:val="center"/>
          </w:tcPr>
          <w:p w14:paraId="60221B9C">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施工结束后场地平整</w:t>
            </w:r>
          </w:p>
        </w:tc>
        <w:tc>
          <w:tcPr>
            <w:tcW w:w="513" w:type="pct"/>
            <w:vAlign w:val="center"/>
          </w:tcPr>
          <w:p w14:paraId="4C4A0660">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lang w:val="en-US"/>
              </w:rPr>
            </w:pPr>
            <w:r>
              <w:rPr>
                <w:rFonts w:hint="eastAsia" w:cs="Times New Roman"/>
                <w:i w:val="0"/>
                <w:iCs w:val="0"/>
                <w:color w:val="auto"/>
                <w:kern w:val="0"/>
                <w:sz w:val="22"/>
                <w:szCs w:val="22"/>
                <w:highlight w:val="none"/>
                <w:u w:val="none"/>
                <w:lang w:val="en-US" w:eastAsia="zh-CN" w:bidi="ar"/>
              </w:rPr>
              <w:t>10</w:t>
            </w:r>
          </w:p>
        </w:tc>
      </w:tr>
      <w:tr w14:paraId="5074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continue"/>
            <w:vAlign w:val="center"/>
          </w:tcPr>
          <w:p w14:paraId="2875085D">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19" w:type="pct"/>
            <w:gridSpan w:val="2"/>
            <w:vAlign w:val="center"/>
          </w:tcPr>
          <w:p w14:paraId="3303AB9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区块遗留问题整改</w:t>
            </w:r>
          </w:p>
        </w:tc>
        <w:tc>
          <w:tcPr>
            <w:tcW w:w="1883" w:type="pct"/>
            <w:vAlign w:val="center"/>
          </w:tcPr>
          <w:p w14:paraId="3D94526A">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区域遗留的生态环境问题需按要求整改完成，如</w:t>
            </w:r>
            <w:r>
              <w:rPr>
                <w:rFonts w:hint="default" w:ascii="Times New Roman" w:hAnsi="Times New Roman" w:eastAsia="宋体" w:cs="Times New Roman"/>
                <w:color w:val="auto"/>
                <w:sz w:val="21"/>
                <w:szCs w:val="21"/>
                <w:highlight w:val="none"/>
                <w:lang w:val="en-US" w:eastAsia="zh-CN"/>
              </w:rPr>
              <w:t>井场</w:t>
            </w:r>
            <w:r>
              <w:rPr>
                <w:rFonts w:hint="default" w:ascii="Times New Roman" w:hAnsi="Times New Roman" w:eastAsia="宋体" w:cs="Times New Roman"/>
                <w:color w:val="auto"/>
                <w:sz w:val="21"/>
                <w:szCs w:val="21"/>
                <w:highlight w:val="none"/>
              </w:rPr>
              <w:t>遗留弃渣及时清运；老井临时占地内的水泥块按期清理或综合利用</w:t>
            </w:r>
          </w:p>
        </w:tc>
        <w:tc>
          <w:tcPr>
            <w:tcW w:w="1381" w:type="pct"/>
            <w:vAlign w:val="center"/>
          </w:tcPr>
          <w:p w14:paraId="0AE5701B">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井场无固废遗留</w:t>
            </w:r>
          </w:p>
        </w:tc>
        <w:tc>
          <w:tcPr>
            <w:tcW w:w="513" w:type="pct"/>
            <w:vAlign w:val="center"/>
          </w:tcPr>
          <w:p w14:paraId="369E81A1">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eastAsia" w:cs="Times New Roman"/>
                <w:i w:val="0"/>
                <w:iCs w:val="0"/>
                <w:color w:val="auto"/>
                <w:kern w:val="0"/>
                <w:sz w:val="22"/>
                <w:szCs w:val="22"/>
                <w:highlight w:val="none"/>
                <w:u w:val="none"/>
                <w:lang w:val="en-US" w:eastAsia="zh-CN" w:bidi="ar"/>
              </w:rPr>
              <w:t>/</w:t>
            </w:r>
          </w:p>
        </w:tc>
      </w:tr>
      <w:tr w14:paraId="4BFD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restart"/>
            <w:vAlign w:val="center"/>
          </w:tcPr>
          <w:p w14:paraId="167EEEAE">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环境风险管理</w:t>
            </w:r>
          </w:p>
        </w:tc>
        <w:tc>
          <w:tcPr>
            <w:tcW w:w="819" w:type="pct"/>
            <w:gridSpan w:val="2"/>
            <w:vAlign w:val="center"/>
          </w:tcPr>
          <w:p w14:paraId="1294E053">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p w14:paraId="37886E1E">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防范措施</w:t>
            </w:r>
          </w:p>
        </w:tc>
        <w:tc>
          <w:tcPr>
            <w:tcW w:w="1883" w:type="pct"/>
            <w:vAlign w:val="center"/>
          </w:tcPr>
          <w:p w14:paraId="16CDA133">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地上管道涂刷相应识别色、消防器材、警戒标语标牌、设置可燃气体检测报警仪、硫化氢检测报警仪等防范设施</w:t>
            </w:r>
          </w:p>
        </w:tc>
        <w:tc>
          <w:tcPr>
            <w:tcW w:w="1381" w:type="pct"/>
            <w:vAlign w:val="center"/>
          </w:tcPr>
          <w:p w14:paraId="261CD3A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风险防范设施数量按照消防、安全等相关要求设置</w:t>
            </w:r>
          </w:p>
        </w:tc>
        <w:tc>
          <w:tcPr>
            <w:tcW w:w="513" w:type="pct"/>
            <w:vAlign w:val="center"/>
          </w:tcPr>
          <w:p w14:paraId="17D5B7D4">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r>
      <w:tr w14:paraId="6A3A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0" w:type="auto"/>
            <w:vMerge w:val="continue"/>
            <w:vAlign w:val="center"/>
          </w:tcPr>
          <w:p w14:paraId="1C6E258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19" w:type="pct"/>
            <w:gridSpan w:val="2"/>
            <w:vAlign w:val="center"/>
          </w:tcPr>
          <w:p w14:paraId="617D1E3F">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应急预案</w:t>
            </w:r>
          </w:p>
        </w:tc>
        <w:tc>
          <w:tcPr>
            <w:tcW w:w="1883" w:type="pct"/>
            <w:vAlign w:val="center"/>
          </w:tcPr>
          <w:p w14:paraId="73F5EE68">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根据管线泄漏应急处理经验，完善现有突发环境事件应急预案</w:t>
            </w:r>
          </w:p>
        </w:tc>
        <w:tc>
          <w:tcPr>
            <w:tcW w:w="1381" w:type="pct"/>
            <w:vAlign w:val="center"/>
          </w:tcPr>
          <w:p w14:paraId="1AE7E51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修改完善，并定期演练</w:t>
            </w:r>
          </w:p>
        </w:tc>
        <w:tc>
          <w:tcPr>
            <w:tcW w:w="513" w:type="pct"/>
            <w:vAlign w:val="center"/>
          </w:tcPr>
          <w:p w14:paraId="2032DDF5">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r>
      <w:tr w14:paraId="1C39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0" w:type="auto"/>
            <w:vMerge w:val="restart"/>
            <w:vAlign w:val="center"/>
          </w:tcPr>
          <w:p w14:paraId="7F49795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废水处理</w:t>
            </w:r>
          </w:p>
        </w:tc>
        <w:tc>
          <w:tcPr>
            <w:tcW w:w="819" w:type="pct"/>
            <w:gridSpan w:val="2"/>
            <w:vAlign w:val="center"/>
          </w:tcPr>
          <w:p w14:paraId="1A47F28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施工废水、生活污水</w:t>
            </w:r>
          </w:p>
        </w:tc>
        <w:tc>
          <w:tcPr>
            <w:tcW w:w="1883" w:type="pct"/>
            <w:vAlign w:val="center"/>
          </w:tcPr>
          <w:p w14:paraId="05162C2C">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经井场撬装式污水处理站处理后，用于生活区、井场及通井路降尘</w:t>
            </w:r>
          </w:p>
        </w:tc>
        <w:tc>
          <w:tcPr>
            <w:tcW w:w="1381" w:type="pct"/>
            <w:vAlign w:val="center"/>
          </w:tcPr>
          <w:p w14:paraId="32387722">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施工废水、生活污水不外排</w:t>
            </w:r>
          </w:p>
        </w:tc>
        <w:tc>
          <w:tcPr>
            <w:tcW w:w="513" w:type="pct"/>
            <w:vAlign w:val="center"/>
          </w:tcPr>
          <w:p w14:paraId="184AE5CB">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lang w:val="en-US"/>
              </w:rPr>
            </w:pPr>
            <w:r>
              <w:rPr>
                <w:rFonts w:hint="eastAsia" w:cs="Times New Roman"/>
                <w:i w:val="0"/>
                <w:iCs w:val="0"/>
                <w:color w:val="auto"/>
                <w:kern w:val="0"/>
                <w:sz w:val="22"/>
                <w:szCs w:val="22"/>
                <w:highlight w:val="none"/>
                <w:u w:val="none"/>
                <w:lang w:val="en-US" w:eastAsia="zh-CN" w:bidi="ar"/>
              </w:rPr>
              <w:t>10</w:t>
            </w:r>
          </w:p>
        </w:tc>
      </w:tr>
      <w:tr w14:paraId="72B0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0" w:type="auto"/>
            <w:vMerge w:val="continue"/>
            <w:vAlign w:val="center"/>
          </w:tcPr>
          <w:p w14:paraId="5451FE2F">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19" w:type="pct"/>
            <w:gridSpan w:val="2"/>
            <w:vAlign w:val="center"/>
          </w:tcPr>
          <w:p w14:paraId="5C3E25C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井下作业废液</w:t>
            </w:r>
          </w:p>
        </w:tc>
        <w:tc>
          <w:tcPr>
            <w:tcW w:w="1883" w:type="pct"/>
            <w:vAlign w:val="center"/>
          </w:tcPr>
          <w:p w14:paraId="15AF69F8">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井下作业废液采用专用罐拉运至绿色环保站处置</w:t>
            </w:r>
          </w:p>
        </w:tc>
        <w:tc>
          <w:tcPr>
            <w:tcW w:w="1381" w:type="pct"/>
            <w:vAlign w:val="center"/>
          </w:tcPr>
          <w:p w14:paraId="30A5E5A8">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废水不外排</w:t>
            </w:r>
          </w:p>
        </w:tc>
        <w:tc>
          <w:tcPr>
            <w:tcW w:w="513" w:type="pct"/>
            <w:vAlign w:val="center"/>
          </w:tcPr>
          <w:p w14:paraId="039CB480">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eastAsia" w:cs="Times New Roman"/>
                <w:i w:val="0"/>
                <w:iCs w:val="0"/>
                <w:color w:val="auto"/>
                <w:kern w:val="0"/>
                <w:sz w:val="22"/>
                <w:szCs w:val="22"/>
                <w:highlight w:val="none"/>
                <w:u w:val="none"/>
                <w:lang w:val="en-US" w:eastAsia="zh-CN" w:bidi="ar"/>
              </w:rPr>
              <w:t>4</w:t>
            </w:r>
          </w:p>
        </w:tc>
      </w:tr>
      <w:tr w14:paraId="2277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3" w:type="pct"/>
            <w:vMerge w:val="restart"/>
            <w:vAlign w:val="center"/>
          </w:tcPr>
          <w:p w14:paraId="481CDB9D">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地下水、土壤</w:t>
            </w:r>
          </w:p>
        </w:tc>
        <w:tc>
          <w:tcPr>
            <w:tcW w:w="380" w:type="pct"/>
            <w:vAlign w:val="center"/>
          </w:tcPr>
          <w:p w14:paraId="46502C4D">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一般防渗区</w:t>
            </w:r>
          </w:p>
        </w:tc>
        <w:tc>
          <w:tcPr>
            <w:tcW w:w="439" w:type="pct"/>
            <w:vAlign w:val="center"/>
          </w:tcPr>
          <w:p w14:paraId="69E1A3E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井口区</w:t>
            </w:r>
          </w:p>
        </w:tc>
        <w:tc>
          <w:tcPr>
            <w:tcW w:w="1883" w:type="pct"/>
            <w:vAlign w:val="center"/>
          </w:tcPr>
          <w:p w14:paraId="6BFCDAF1">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等效黏土防渗层Mb≥1.5m，K≤1.0×10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cm/s；或参照GB18598执行</w:t>
            </w:r>
          </w:p>
        </w:tc>
        <w:tc>
          <w:tcPr>
            <w:tcW w:w="1381" w:type="pct"/>
            <w:vAlign w:val="center"/>
          </w:tcPr>
          <w:p w14:paraId="7CDBB9EF">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渗透系数小于1.0×10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tc>
        <w:tc>
          <w:tcPr>
            <w:tcW w:w="513" w:type="pct"/>
            <w:vMerge w:val="restart"/>
            <w:vAlign w:val="center"/>
          </w:tcPr>
          <w:p w14:paraId="2DD7D0E2">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eastAsia" w:cs="Times New Roman"/>
                <w:i w:val="0"/>
                <w:iCs w:val="0"/>
                <w:color w:val="auto"/>
                <w:kern w:val="0"/>
                <w:sz w:val="22"/>
                <w:szCs w:val="22"/>
                <w:highlight w:val="none"/>
                <w:u w:val="none"/>
                <w:lang w:val="en-US" w:eastAsia="zh-CN" w:bidi="ar"/>
              </w:rPr>
              <w:t>4</w:t>
            </w:r>
          </w:p>
        </w:tc>
      </w:tr>
      <w:tr w14:paraId="422B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0" w:type="auto"/>
            <w:vMerge w:val="continue"/>
            <w:vAlign w:val="center"/>
          </w:tcPr>
          <w:p w14:paraId="063DC8E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380" w:type="pct"/>
            <w:vAlign w:val="center"/>
          </w:tcPr>
          <w:p w14:paraId="72842B8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简单防渗区</w:t>
            </w:r>
          </w:p>
        </w:tc>
        <w:tc>
          <w:tcPr>
            <w:tcW w:w="439" w:type="pct"/>
            <w:vAlign w:val="center"/>
          </w:tcPr>
          <w:p w14:paraId="4AFCB809">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其他区域</w:t>
            </w:r>
          </w:p>
        </w:tc>
        <w:tc>
          <w:tcPr>
            <w:tcW w:w="1883" w:type="pct"/>
            <w:vAlign w:val="center"/>
          </w:tcPr>
          <w:p w14:paraId="7C09BDA5">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实施地面硬化</w:t>
            </w:r>
          </w:p>
        </w:tc>
        <w:tc>
          <w:tcPr>
            <w:tcW w:w="1381" w:type="pct"/>
            <w:vAlign w:val="center"/>
          </w:tcPr>
          <w:p w14:paraId="112D0CF9">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地面硬化</w:t>
            </w:r>
          </w:p>
        </w:tc>
        <w:tc>
          <w:tcPr>
            <w:tcW w:w="513" w:type="pct"/>
            <w:vMerge w:val="continue"/>
            <w:vAlign w:val="center"/>
          </w:tcPr>
          <w:p w14:paraId="348A9456">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rPr>
            </w:pPr>
          </w:p>
        </w:tc>
      </w:tr>
      <w:tr w14:paraId="0B57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0" w:type="auto"/>
            <w:vMerge w:val="continue"/>
            <w:vAlign w:val="center"/>
          </w:tcPr>
          <w:p w14:paraId="3180E8AD">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19" w:type="pct"/>
            <w:gridSpan w:val="2"/>
            <w:vAlign w:val="center"/>
          </w:tcPr>
          <w:p w14:paraId="3DC8AD51">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管道防腐</w:t>
            </w:r>
          </w:p>
        </w:tc>
        <w:tc>
          <w:tcPr>
            <w:tcW w:w="1883" w:type="pct"/>
            <w:vAlign w:val="center"/>
          </w:tcPr>
          <w:p w14:paraId="326F6834">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集油管线采用管线+外防腐、燃料气供给管线采用普通级二层PE防腐，补口采用聚乙烯热收缩套</w:t>
            </w:r>
          </w:p>
        </w:tc>
        <w:tc>
          <w:tcPr>
            <w:tcW w:w="1381" w:type="pct"/>
            <w:vAlign w:val="center"/>
          </w:tcPr>
          <w:p w14:paraId="129F13E8">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防腐性能良好</w:t>
            </w:r>
          </w:p>
        </w:tc>
        <w:tc>
          <w:tcPr>
            <w:tcW w:w="513" w:type="pct"/>
            <w:vAlign w:val="center"/>
          </w:tcPr>
          <w:p w14:paraId="1C72CA70">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eastAsia" w:cs="Times New Roman"/>
                <w:i w:val="0"/>
                <w:iCs w:val="0"/>
                <w:color w:val="auto"/>
                <w:kern w:val="0"/>
                <w:sz w:val="22"/>
                <w:szCs w:val="22"/>
                <w:highlight w:val="none"/>
                <w:u w:val="none"/>
                <w:lang w:val="en-US" w:eastAsia="zh-CN" w:bidi="ar"/>
              </w:rPr>
              <w:t>4</w:t>
            </w:r>
          </w:p>
        </w:tc>
      </w:tr>
      <w:tr w14:paraId="1DC6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22" w:type="pct"/>
            <w:gridSpan w:val="3"/>
            <w:vMerge w:val="restart"/>
            <w:vAlign w:val="center"/>
          </w:tcPr>
          <w:p w14:paraId="414B388A">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w:t>
            </w:r>
          </w:p>
        </w:tc>
        <w:tc>
          <w:tcPr>
            <w:tcW w:w="3264" w:type="pct"/>
            <w:gridSpan w:val="2"/>
            <w:vAlign w:val="center"/>
          </w:tcPr>
          <w:p w14:paraId="5B5C3599">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环境影响评价、环境保护竣工验收、运营期环境监测</w:t>
            </w:r>
          </w:p>
        </w:tc>
        <w:tc>
          <w:tcPr>
            <w:tcW w:w="513" w:type="pct"/>
            <w:vAlign w:val="center"/>
          </w:tcPr>
          <w:p w14:paraId="6E5436F8">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25</w:t>
            </w:r>
          </w:p>
        </w:tc>
      </w:tr>
      <w:tr w14:paraId="29A1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22" w:type="pct"/>
            <w:gridSpan w:val="3"/>
            <w:vMerge w:val="continue"/>
            <w:vAlign w:val="center"/>
          </w:tcPr>
          <w:p w14:paraId="5D8E41AE">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3264" w:type="pct"/>
            <w:gridSpan w:val="2"/>
            <w:vAlign w:val="center"/>
          </w:tcPr>
          <w:p w14:paraId="4099647E">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环保培训，演练</w:t>
            </w:r>
          </w:p>
        </w:tc>
        <w:tc>
          <w:tcPr>
            <w:tcW w:w="513" w:type="pct"/>
            <w:vAlign w:val="center"/>
          </w:tcPr>
          <w:p w14:paraId="3B1C9BDF">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10"/>
                <w:sz w:val="21"/>
                <w:szCs w:val="21"/>
                <w:highlight w:val="none"/>
              </w:rPr>
            </w:pPr>
            <w:r>
              <w:rPr>
                <w:rFonts w:hint="eastAsia" w:cs="Times New Roman"/>
                <w:i w:val="0"/>
                <w:iCs w:val="0"/>
                <w:color w:val="auto"/>
                <w:kern w:val="0"/>
                <w:sz w:val="22"/>
                <w:szCs w:val="22"/>
                <w:highlight w:val="none"/>
                <w:u w:val="none"/>
                <w:lang w:val="en-US" w:eastAsia="zh-CN" w:bidi="ar"/>
              </w:rPr>
              <w:t>5</w:t>
            </w:r>
          </w:p>
        </w:tc>
      </w:tr>
      <w:tr w14:paraId="4379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86" w:type="pct"/>
            <w:gridSpan w:val="5"/>
            <w:vAlign w:val="center"/>
          </w:tcPr>
          <w:p w14:paraId="5B646EBC">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环保投资合计</w:t>
            </w:r>
          </w:p>
        </w:tc>
        <w:tc>
          <w:tcPr>
            <w:tcW w:w="513" w:type="pct"/>
            <w:vAlign w:val="center"/>
          </w:tcPr>
          <w:p w14:paraId="252EDD31">
            <w:pPr>
              <w:keepNext w:val="0"/>
              <w:keepLines w:val="0"/>
              <w:pageBreakBefore w:val="0"/>
              <w:widowControl/>
              <w:kinsoku/>
              <w:wordWrap/>
              <w:topLinePunct w:val="0"/>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163</w:t>
            </w:r>
          </w:p>
        </w:tc>
      </w:tr>
    </w:tbl>
    <w:p w14:paraId="47F04067">
      <w:pPr>
        <w:pStyle w:val="5"/>
        <w:pageBreakBefore w:val="0"/>
        <w:kinsoku/>
        <w:wordWrap/>
        <w:overflowPunct/>
        <w:topLinePunct w:val="0"/>
        <w:autoSpaceDE/>
        <w:autoSpaceDN/>
        <w:bidi w:val="0"/>
        <w:adjustRightInd/>
        <w:snapToGrid/>
        <w:spacing w:beforeLines="0" w:after="0" w:line="360" w:lineRule="auto"/>
        <w:textAlignment w:val="auto"/>
        <w:rPr>
          <w:rFonts w:hint="eastAsia" w:ascii="Times New Roman" w:hAnsi="Times New Roman" w:eastAsia="宋体" w:cs="Times New Roman"/>
          <w:color w:val="auto"/>
          <w:highlight w:val="none"/>
          <w:lang w:val="en-US" w:eastAsia="zh-CN"/>
        </w:rPr>
      </w:pPr>
      <w:bookmarkStart w:id="690" w:name="_Toc184971614"/>
      <w:bookmarkStart w:id="691" w:name="_Toc10964"/>
      <w:r>
        <w:rPr>
          <w:rFonts w:hint="eastAsia" w:ascii="Times New Roman" w:hAnsi="Times New Roman" w:eastAsia="宋体" w:cs="Times New Roman"/>
          <w:color w:val="auto"/>
          <w:highlight w:val="none"/>
          <w:lang w:val="en-US" w:eastAsia="zh-CN"/>
        </w:rPr>
        <w:t>8.2 社会效益分析</w:t>
      </w:r>
      <w:bookmarkEnd w:id="690"/>
      <w:bookmarkEnd w:id="691"/>
    </w:p>
    <w:p w14:paraId="5B0BC60F">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本项目的实施可以支持国家的经济建设，缓解当前原油供应紧张、与时俱进的形势，同时，油气田</w:t>
      </w:r>
      <w:r>
        <w:rPr>
          <w:rFonts w:hint="default" w:ascii="Times New Roman" w:hAnsi="Times New Roman" w:eastAsia="宋体" w:cs="Times New Roman"/>
          <w:color w:val="auto"/>
          <w:spacing w:val="4"/>
          <w:kern w:val="24"/>
          <w:szCs w:val="22"/>
          <w:highlight w:val="none"/>
        </w:rPr>
        <w:t>开发对当地工业和经济的发展具有明显的促进作用，能够带动一批相关工业、第三产业的发展，给当地经济发展注入新的活力</w:t>
      </w:r>
      <w:r>
        <w:rPr>
          <w:rFonts w:hint="eastAsia" w:ascii="Times New Roman" w:hAnsi="Times New Roman" w:eastAsia="宋体" w:cs="Times New Roman"/>
          <w:color w:val="auto"/>
          <w:spacing w:val="4"/>
          <w:kern w:val="24"/>
          <w:szCs w:val="22"/>
          <w:highlight w:val="none"/>
        </w:rPr>
        <w:t>。本项目的实施还补充和加快了油气田基础设施的建设。</w:t>
      </w:r>
    </w:p>
    <w:p w14:paraId="2F849939">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因此本项目具有良好的社会效益。</w:t>
      </w:r>
    </w:p>
    <w:p w14:paraId="01212515">
      <w:pPr>
        <w:pStyle w:val="5"/>
        <w:pageBreakBefore w:val="0"/>
        <w:kinsoku/>
        <w:wordWrap/>
        <w:overflowPunct/>
        <w:topLinePunct w:val="0"/>
        <w:autoSpaceDE/>
        <w:autoSpaceDN/>
        <w:bidi w:val="0"/>
        <w:adjustRightInd/>
        <w:snapToGrid/>
        <w:spacing w:beforeLines="0" w:after="0" w:line="360" w:lineRule="auto"/>
        <w:textAlignment w:val="auto"/>
        <w:rPr>
          <w:rFonts w:hint="eastAsia" w:ascii="Times New Roman" w:hAnsi="Times New Roman" w:eastAsia="宋体" w:cs="Times New Roman"/>
          <w:color w:val="auto"/>
          <w:highlight w:val="none"/>
          <w:lang w:val="en-US" w:eastAsia="zh-CN"/>
        </w:rPr>
      </w:pPr>
      <w:bookmarkStart w:id="692" w:name="_Toc184971615"/>
      <w:bookmarkStart w:id="693" w:name="_Toc25873"/>
      <w:r>
        <w:rPr>
          <w:rFonts w:hint="eastAsia" w:ascii="Times New Roman" w:hAnsi="Times New Roman" w:eastAsia="宋体" w:cs="Times New Roman"/>
          <w:color w:val="auto"/>
          <w:highlight w:val="none"/>
          <w:lang w:val="en-US" w:eastAsia="zh-CN"/>
        </w:rPr>
        <w:t>8.3 环境措施效益分析</w:t>
      </w:r>
      <w:bookmarkEnd w:id="692"/>
      <w:bookmarkEnd w:id="693"/>
    </w:p>
    <w:p w14:paraId="137B65EE">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在设计中充分考虑了环境保护的要求，严格执行各项环境保护标准。同时还针对在生产运行过程中产生的“三废”，从实际出发采取多种相应的治理措施。由此看来，本项目采取的环保措施保护了环境，但未产生明显的经济效益。</w:t>
      </w:r>
    </w:p>
    <w:p w14:paraId="3F61D4CA">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8.3.1 环保措施的环境效益</w:t>
      </w:r>
    </w:p>
    <w:p w14:paraId="69020100">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(1)废气</w:t>
      </w:r>
    </w:p>
    <w:p w14:paraId="7E36C06D">
      <w:pPr>
        <w:pageBreakBefore w:val="0"/>
        <w:kinsoku/>
        <w:wordWrap/>
        <w:overflowPunct/>
        <w:topLinePunct w:val="0"/>
        <w:autoSpaceDE/>
        <w:autoSpaceDN/>
        <w:bidi w:val="0"/>
        <w:adjustRightInd/>
        <w:snapToGrid/>
        <w:spacing w:line="360" w:lineRule="auto"/>
        <w:ind w:firstLine="496" w:firstLineChars="200"/>
        <w:jc w:val="both"/>
        <w:textAlignment w:val="auto"/>
        <w:rPr>
          <w:rFonts w:hint="default"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w:t>
      </w:r>
      <w:r>
        <w:rPr>
          <w:rFonts w:hint="eastAsia" w:ascii="Times New Roman" w:hAnsi="Times New Roman" w:eastAsia="宋体" w:cs="Times New Roman"/>
          <w:color w:val="auto"/>
          <w:spacing w:val="4"/>
          <w:kern w:val="24"/>
          <w:szCs w:val="22"/>
          <w:highlight w:val="none"/>
          <w:lang w:val="en-US" w:eastAsia="zh-CN"/>
        </w:rPr>
        <w:t>油气集输</w:t>
      </w:r>
      <w:r>
        <w:rPr>
          <w:rFonts w:hint="eastAsia" w:ascii="Times New Roman" w:hAnsi="Times New Roman" w:eastAsia="宋体" w:cs="Times New Roman"/>
          <w:color w:val="auto"/>
          <w:spacing w:val="4"/>
          <w:kern w:val="24"/>
          <w:szCs w:val="22"/>
          <w:highlight w:val="none"/>
        </w:rPr>
        <w:t>采取管道密闭输送，加强阀门的检修与维护，从源头减少烃类气体的挥发量，通过采取相关治理措施后有效减少了废气中污染物的排放量，减少对大气的污染，污染物能达标排放，对周围环境的影响可接受。</w:t>
      </w:r>
    </w:p>
    <w:p w14:paraId="0BEB85E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(2)废水</w:t>
      </w:r>
    </w:p>
    <w:p w14:paraId="589E9B89">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本项目运营期废水包括采出水和井下作业废水，采出水随采出液最终输送至</w:t>
      </w:r>
      <w:r>
        <w:rPr>
          <w:rFonts w:hint="eastAsia" w:ascii="Times New Roman" w:hAnsi="Times New Roman" w:eastAsia="宋体" w:cs="Times New Roman"/>
          <w:color w:val="auto"/>
          <w:spacing w:val="4"/>
          <w:kern w:val="24"/>
          <w:szCs w:val="22"/>
          <w:highlight w:val="none"/>
          <w:lang w:val="en-US" w:eastAsia="zh-CN"/>
        </w:rPr>
        <w:t>塔河油田三号</w:t>
      </w:r>
      <w:r>
        <w:rPr>
          <w:rFonts w:hint="eastAsia" w:ascii="Times New Roman" w:hAnsi="Times New Roman" w:eastAsia="宋体" w:cs="Times New Roman"/>
          <w:color w:val="auto"/>
          <w:spacing w:val="4"/>
          <w:kern w:val="24"/>
          <w:szCs w:val="22"/>
          <w:highlight w:val="none"/>
        </w:rPr>
        <w:t>联合站处理，满足《碎屑岩油藏注水水质指标技术要求及分析方法》(SY/T5329-2022)标准后回注地层，井下作业废水送至塔河油田绿色环保站处理。</w:t>
      </w:r>
    </w:p>
    <w:p w14:paraId="08139FEC">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(3)固体废弃物</w:t>
      </w:r>
    </w:p>
    <w:p w14:paraId="6A30D748">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本项目运营期固体废物主要为落地油、废防渗材料，收集后直接委托有危废处置资质的单位接收处置。</w:t>
      </w:r>
    </w:p>
    <w:p w14:paraId="67D52C02">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(4)噪声</w:t>
      </w:r>
    </w:p>
    <w:p w14:paraId="141ABC0C">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通过采取选用低噪声设备、减振等措施，减低了噪声污染。</w:t>
      </w:r>
    </w:p>
    <w:p w14:paraId="68E79E31">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(5)生态保护措施</w:t>
      </w:r>
    </w:p>
    <w:p w14:paraId="17288E7D">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在施工期间，采取严格控制地表扰动范围，严格控制施工作业带，</w:t>
      </w:r>
      <w:r>
        <w:rPr>
          <w:rFonts w:hint="eastAsia" w:ascii="Times New Roman" w:hAnsi="Times New Roman" w:eastAsia="宋体" w:cs="Times New Roman"/>
          <w:color w:val="auto"/>
          <w:spacing w:val="4"/>
          <w:kern w:val="24"/>
          <w:szCs w:val="22"/>
          <w:highlight w:val="none"/>
          <w:lang w:val="en-GB"/>
        </w:rPr>
        <w:t>采用拉设彩条方式限定运输车辆行驶范围</w:t>
      </w:r>
      <w:r>
        <w:rPr>
          <w:rFonts w:hint="eastAsia" w:ascii="Times New Roman" w:hAnsi="Times New Roman" w:eastAsia="宋体" w:cs="Times New Roman"/>
          <w:color w:val="auto"/>
          <w:spacing w:val="4"/>
          <w:kern w:val="24"/>
          <w:szCs w:val="22"/>
          <w:highlight w:val="none"/>
        </w:rPr>
        <w:t>；</w:t>
      </w:r>
      <w:r>
        <w:rPr>
          <w:rFonts w:hint="eastAsia" w:ascii="Times New Roman" w:hAnsi="Times New Roman" w:eastAsia="宋体" w:cs="Times New Roman"/>
          <w:color w:val="auto"/>
          <w:spacing w:val="4"/>
          <w:kern w:val="24"/>
          <w:szCs w:val="22"/>
          <w:highlight w:val="none"/>
          <w:lang w:val="en-GB"/>
        </w:rPr>
        <w:t>井场地表</w:t>
      </w:r>
      <w:r>
        <w:rPr>
          <w:rFonts w:hint="eastAsia" w:ascii="Times New Roman" w:hAnsi="Times New Roman" w:eastAsia="宋体" w:cs="Times New Roman"/>
          <w:color w:val="auto"/>
          <w:spacing w:val="4"/>
          <w:kern w:val="24"/>
          <w:szCs w:val="22"/>
          <w:highlight w:val="none"/>
        </w:rPr>
        <w:t>采取砾石压盖，减少水土流失。</w:t>
      </w:r>
    </w:p>
    <w:p w14:paraId="50A03D72">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本项目各项环保措施通过充分有效地实施，可以使污染物的排放在生产过程中得到有效</w:t>
      </w:r>
      <w:r>
        <w:rPr>
          <w:rFonts w:hint="eastAsia" w:cs="Times New Roman"/>
          <w:color w:val="auto"/>
          <w:spacing w:val="4"/>
          <w:kern w:val="24"/>
          <w:szCs w:val="22"/>
          <w:highlight w:val="none"/>
          <w:lang w:eastAsia="zh-CN"/>
        </w:rPr>
        <w:t>地</w:t>
      </w:r>
      <w:r>
        <w:rPr>
          <w:rFonts w:hint="eastAsia" w:ascii="Times New Roman" w:hAnsi="Times New Roman" w:eastAsia="宋体" w:cs="Times New Roman"/>
          <w:color w:val="auto"/>
          <w:spacing w:val="4"/>
          <w:kern w:val="24"/>
          <w:szCs w:val="22"/>
          <w:highlight w:val="none"/>
        </w:rPr>
        <w:t>控制。本项目选用先进、成熟、可靠、具有节能和环保效果的技术，使各种污染物在排放前得以尽可能大的削减。在生产过程中充分、有效地利用了资源，减少各种资源的损失，大大降低其对周围环境的影响。</w:t>
      </w:r>
    </w:p>
    <w:p w14:paraId="66F68679">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8.3.2 环境损失分析</w:t>
      </w:r>
    </w:p>
    <w:p w14:paraId="231A9492">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在建设过程中，由于井场地面设施建设、敷设管线等都需要占用一定量的土地，并因此带来一定的环境损失。环境损失包括直接损失和间接损失，直接损失指由于项目建设对土壤、地表植被及其生境破坏所造成的环境经济损失，即土地资源破坏的经济损失。间接损失指由土地资源损失而引起的生态问题，如生物多样性等造成的环境经济损失。</w:t>
      </w:r>
    </w:p>
    <w:p w14:paraId="044CA741">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 xml:space="preserve">施工期结束后，临时占地将被恢复，临时占地对土地资源和生态的破坏程度较小，时间较短。只有在油气田停止开发后，永久占地才有可能被恢复，永久占地对土地资源和生态的破坏严重，时间长。 </w:t>
      </w:r>
    </w:p>
    <w:p w14:paraId="307C3A93">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根据生态影响评价分析，项目占地类型主要为</w:t>
      </w:r>
      <w:r>
        <w:rPr>
          <w:rFonts w:hint="eastAsia" w:cs="Times New Roman"/>
          <w:color w:val="auto"/>
          <w:kern w:val="0"/>
          <w:szCs w:val="20"/>
          <w:highlight w:val="none"/>
          <w:lang w:val="en-US" w:eastAsia="zh-CN"/>
        </w:rPr>
        <w:t>灌木林地、</w:t>
      </w:r>
      <w:r>
        <w:rPr>
          <w:rFonts w:hint="default" w:ascii="Times New Roman" w:hAnsi="Times New Roman" w:eastAsia="宋体" w:cs="Times New Roman"/>
          <w:color w:val="auto"/>
          <w:kern w:val="0"/>
          <w:szCs w:val="20"/>
          <w:highlight w:val="none"/>
        </w:rPr>
        <w:t>天然牧草地</w:t>
      </w:r>
      <w:r>
        <w:rPr>
          <w:rFonts w:hint="default" w:ascii="Times New Roman" w:hAnsi="Times New Roman" w:eastAsia="宋体" w:cs="Times New Roman"/>
          <w:color w:val="auto"/>
          <w:kern w:val="0"/>
          <w:szCs w:val="20"/>
          <w:highlight w:val="none"/>
          <w:lang w:val="en-US" w:eastAsia="zh-CN"/>
        </w:rPr>
        <w:t>等</w:t>
      </w:r>
      <w:r>
        <w:rPr>
          <w:rFonts w:hint="eastAsia" w:ascii="Times New Roman" w:hAnsi="Times New Roman" w:eastAsia="宋体" w:cs="Times New Roman"/>
          <w:color w:val="auto"/>
          <w:spacing w:val="4"/>
          <w:kern w:val="24"/>
          <w:szCs w:val="22"/>
          <w:highlight w:val="none"/>
        </w:rPr>
        <w:t>，</w:t>
      </w:r>
      <w:r>
        <w:rPr>
          <w:rFonts w:hint="eastAsia" w:ascii="Times New Roman" w:hAnsi="Times New Roman" w:eastAsia="宋体" w:cs="Times New Roman"/>
          <w:color w:val="auto"/>
          <w:spacing w:val="4"/>
          <w:kern w:val="24"/>
          <w:szCs w:val="22"/>
          <w:highlight w:val="none"/>
          <w:lang w:val="en-US" w:eastAsia="zh-CN"/>
        </w:rPr>
        <w:t>本</w:t>
      </w:r>
      <w:r>
        <w:rPr>
          <w:rFonts w:hint="eastAsia" w:ascii="Times New Roman" w:hAnsi="Times New Roman" w:eastAsia="宋体" w:cs="Times New Roman"/>
          <w:color w:val="auto"/>
          <w:spacing w:val="4"/>
          <w:kern w:val="24"/>
          <w:szCs w:val="22"/>
          <w:highlight w:val="none"/>
        </w:rPr>
        <w:t>项目在开发建设过程中，不可避免</w:t>
      </w:r>
      <w:r>
        <w:rPr>
          <w:rFonts w:hint="eastAsia" w:cs="Times New Roman"/>
          <w:color w:val="auto"/>
          <w:spacing w:val="4"/>
          <w:kern w:val="24"/>
          <w:szCs w:val="22"/>
          <w:highlight w:val="none"/>
          <w:lang w:eastAsia="zh-CN"/>
        </w:rPr>
        <w:t>地</w:t>
      </w:r>
      <w:r>
        <w:rPr>
          <w:rFonts w:hint="eastAsia" w:ascii="Times New Roman" w:hAnsi="Times New Roman" w:eastAsia="宋体" w:cs="Times New Roman"/>
          <w:color w:val="auto"/>
          <w:spacing w:val="4"/>
          <w:kern w:val="24"/>
          <w:szCs w:val="22"/>
          <w:highlight w:val="none"/>
        </w:rPr>
        <w:t xml:space="preserve">会产生一些污染物，这些污染物都会对油气田周围的环境造成一定的影响，如果处理不当或者管理措施不到位，就可能会危害油气田开发区域内的环境。 </w:t>
      </w:r>
    </w:p>
    <w:p w14:paraId="667427FA">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项目的开发建设中对土地的占用产生一定程度的生态负效应。在数年内附之以有效的防护措施和生态修复措施，这种影响将会被局限在较小的范围内，不会呈现放大的效应。</w:t>
      </w:r>
    </w:p>
    <w:p w14:paraId="7A05E8D9">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8.3.2 环保措施的经济效益</w:t>
      </w:r>
    </w:p>
    <w:p w14:paraId="3447BE2A">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本项目通过采用多种环保措施，具有重要的环境效益，但整体对经济效益影响较小。</w:t>
      </w:r>
    </w:p>
    <w:p w14:paraId="7D915421">
      <w:pPr>
        <w:pStyle w:val="5"/>
        <w:pageBreakBefore w:val="0"/>
        <w:kinsoku/>
        <w:wordWrap/>
        <w:overflowPunct/>
        <w:topLinePunct w:val="0"/>
        <w:autoSpaceDE/>
        <w:autoSpaceDN/>
        <w:bidi w:val="0"/>
        <w:adjustRightInd/>
        <w:snapToGrid/>
        <w:spacing w:beforeLines="0" w:after="0" w:line="360" w:lineRule="auto"/>
        <w:textAlignment w:val="auto"/>
        <w:rPr>
          <w:rFonts w:hint="eastAsia" w:ascii="Times New Roman" w:hAnsi="Times New Roman" w:eastAsia="宋体" w:cs="Times New Roman"/>
          <w:color w:val="auto"/>
          <w:highlight w:val="none"/>
          <w:lang w:val="en-US" w:eastAsia="zh-CN"/>
        </w:rPr>
      </w:pPr>
      <w:bookmarkStart w:id="694" w:name="_Toc184971616"/>
      <w:bookmarkStart w:id="695" w:name="_Toc13032"/>
      <w:r>
        <w:rPr>
          <w:rFonts w:hint="eastAsia" w:ascii="Times New Roman" w:hAnsi="Times New Roman" w:eastAsia="宋体" w:cs="Times New Roman"/>
          <w:color w:val="auto"/>
          <w:highlight w:val="none"/>
          <w:lang w:val="en-US" w:eastAsia="zh-CN"/>
        </w:rPr>
        <w:t>8.4 环境经济损益分析结论</w:t>
      </w:r>
      <w:bookmarkEnd w:id="694"/>
      <w:bookmarkEnd w:id="695"/>
    </w:p>
    <w:p w14:paraId="014268B7">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本项目经分析具有良好的经济效益和社会效益。</w:t>
      </w:r>
    </w:p>
    <w:p w14:paraId="00D3760C">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在建设过程中，由于井场地面设施建设、敷设管线等都需要占用一定量的土地，并因此带来一定的环境损失。因而在油气田开发过程中，需要投入必要的资金用于污染防治和恢复地貌等，经估算该项目环境保护投资约</w:t>
      </w:r>
      <w:r>
        <w:rPr>
          <w:rFonts w:hint="eastAsia" w:ascii="Times New Roman" w:hAnsi="Times New Roman" w:eastAsia="宋体" w:cs="Times New Roman"/>
          <w:color w:val="auto"/>
          <w:spacing w:val="4"/>
          <w:kern w:val="24"/>
          <w:szCs w:val="22"/>
          <w:highlight w:val="none"/>
          <w:lang w:val="en-US" w:eastAsia="zh-CN"/>
        </w:rPr>
        <w:t>163</w:t>
      </w:r>
      <w:r>
        <w:rPr>
          <w:rFonts w:hint="eastAsia" w:ascii="Times New Roman" w:hAnsi="Times New Roman" w:eastAsia="宋体" w:cs="Times New Roman"/>
          <w:color w:val="auto"/>
          <w:spacing w:val="4"/>
          <w:kern w:val="24"/>
          <w:szCs w:val="22"/>
          <w:highlight w:val="none"/>
        </w:rPr>
        <w:t>万元，环境保护投资占总投资的</w:t>
      </w:r>
      <w:r>
        <w:rPr>
          <w:rFonts w:hint="eastAsia" w:ascii="Times New Roman" w:hAnsi="Times New Roman" w:eastAsia="宋体" w:cs="Times New Roman"/>
          <w:color w:val="auto"/>
          <w:spacing w:val="4"/>
          <w:kern w:val="24"/>
          <w:szCs w:val="22"/>
          <w:highlight w:val="none"/>
          <w:lang w:val="en-US" w:eastAsia="zh-CN"/>
        </w:rPr>
        <w:t>3.0</w:t>
      </w:r>
      <w:r>
        <w:rPr>
          <w:rFonts w:hint="eastAsia" w:ascii="Times New Roman" w:hAnsi="Times New Roman" w:eastAsia="宋体" w:cs="Times New Roman"/>
          <w:color w:val="auto"/>
          <w:spacing w:val="4"/>
          <w:kern w:val="24"/>
          <w:szCs w:val="22"/>
          <w:highlight w:val="none"/>
        </w:rPr>
        <w:t>%。实施相应的环保措施后，可以起到保护环境的效果。</w:t>
      </w:r>
    </w:p>
    <w:p w14:paraId="691AEA78">
      <w:pPr>
        <w:bidi w:val="0"/>
        <w:rPr>
          <w:rFonts w:hint="default" w:ascii="Times New Roman" w:hAnsi="Times New Roman" w:cs="Times New Roman"/>
          <w:color w:val="auto"/>
          <w:highlight w:val="none"/>
          <w:lang w:val="en-US" w:eastAsia="zh-CN"/>
        </w:rPr>
      </w:pPr>
    </w:p>
    <w:p w14:paraId="4991F5CA">
      <w:pPr>
        <w:bidi w:val="0"/>
        <w:rPr>
          <w:rFonts w:hint="default" w:ascii="Times New Roman" w:hAnsi="Times New Roman" w:cs="Times New Roman"/>
          <w:color w:val="auto"/>
          <w:highlight w:val="none"/>
          <w:lang w:val="en-US" w:eastAsia="zh-CN"/>
        </w:rPr>
      </w:pPr>
    </w:p>
    <w:p w14:paraId="160EBC21">
      <w:pPr>
        <w:tabs>
          <w:tab w:val="left" w:pos="2572"/>
        </w:tabs>
        <w:bidi w:val="0"/>
        <w:jc w:val="left"/>
        <w:rPr>
          <w:rFonts w:hint="default" w:ascii="Times New Roman" w:hAnsi="Times New Roman" w:cs="Times New Roman"/>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highlight w:val="none"/>
          <w:lang w:val="en-US" w:eastAsia="zh-CN"/>
        </w:rPr>
        <w:tab/>
      </w:r>
    </w:p>
    <w:bookmarkEnd w:id="662"/>
    <w:bookmarkEnd w:id="663"/>
    <w:p w14:paraId="51DF6F06">
      <w:pPr>
        <w:pStyle w:val="122"/>
        <w:numPr>
          <w:ilvl w:val="0"/>
          <w:numId w:val="13"/>
        </w:numPr>
        <w:bidi w:val="0"/>
        <w:rPr>
          <w:rFonts w:hint="default" w:ascii="Times New Roman" w:hAnsi="Times New Roman" w:cs="Times New Roman"/>
          <w:color w:val="auto"/>
          <w:highlight w:val="none"/>
        </w:rPr>
      </w:pPr>
      <w:bookmarkStart w:id="696" w:name="_Toc32125"/>
      <w:bookmarkStart w:id="697" w:name="_Toc5222"/>
      <w:bookmarkStart w:id="698" w:name="_Toc28397"/>
      <w:bookmarkStart w:id="699" w:name="_Hlk48604982"/>
      <w:r>
        <w:rPr>
          <w:rFonts w:hint="default" w:ascii="Times New Roman" w:hAnsi="Times New Roman" w:cs="Times New Roman"/>
          <w:color w:val="auto"/>
          <w:highlight w:val="none"/>
        </w:rPr>
        <w:t>环境管理与监测计划</w:t>
      </w:r>
      <w:bookmarkEnd w:id="696"/>
      <w:bookmarkEnd w:id="697"/>
      <w:bookmarkEnd w:id="698"/>
    </w:p>
    <w:p w14:paraId="2A63321E">
      <w:pPr>
        <w:pStyle w:val="5"/>
        <w:pageBreakBefore w:val="0"/>
        <w:kinsoku/>
        <w:wordWrap/>
        <w:overflowPunct/>
        <w:topLinePunct w:val="0"/>
        <w:autoSpaceDE/>
        <w:autoSpaceDN/>
        <w:bidi w:val="0"/>
        <w:adjustRightInd/>
        <w:snapToGrid/>
        <w:spacing w:beforeLines="0" w:after="0" w:line="360" w:lineRule="auto"/>
        <w:textAlignment w:val="auto"/>
        <w:rPr>
          <w:rFonts w:hint="eastAsia" w:ascii="Times New Roman" w:hAnsi="Times New Roman" w:eastAsia="宋体" w:cs="Times New Roman"/>
          <w:color w:val="auto"/>
          <w:highlight w:val="none"/>
          <w:lang w:val="en-US" w:eastAsia="zh-CN"/>
        </w:rPr>
      </w:pPr>
      <w:bookmarkStart w:id="700" w:name="_Toc184971618"/>
      <w:bookmarkStart w:id="701" w:name="_Toc14516"/>
      <w:r>
        <w:rPr>
          <w:rFonts w:hint="eastAsia" w:ascii="Times New Roman" w:hAnsi="Times New Roman" w:eastAsia="宋体" w:cs="Times New Roman"/>
          <w:color w:val="auto"/>
          <w:highlight w:val="none"/>
          <w:lang w:val="en-US" w:eastAsia="zh-CN"/>
        </w:rPr>
        <w:t>9.1 环境管理</w:t>
      </w:r>
      <w:bookmarkEnd w:id="700"/>
      <w:bookmarkEnd w:id="701"/>
    </w:p>
    <w:p w14:paraId="09429367">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管理是对人类生产、生活和社会活动实行控制性</w:t>
      </w:r>
      <w:r>
        <w:rPr>
          <w:rFonts w:hint="eastAsia" w:cs="Times New Roman"/>
          <w:color w:val="auto"/>
          <w:spacing w:val="4"/>
          <w:kern w:val="24"/>
          <w:szCs w:val="22"/>
          <w:highlight w:val="none"/>
          <w:lang w:eastAsia="zh-CN"/>
        </w:rPr>
        <w:t>的影响</w:t>
      </w:r>
      <w:r>
        <w:rPr>
          <w:rFonts w:hint="eastAsia" w:ascii="Times New Roman" w:hAnsi="Times New Roman" w:eastAsia="宋体" w:cs="Times New Roman"/>
          <w:color w:val="auto"/>
          <w:spacing w:val="4"/>
          <w:kern w:val="24"/>
          <w:szCs w:val="22"/>
          <w:highlight w:val="none"/>
        </w:rPr>
        <w:t>，使外界事物按照人们的决策和计划方向进行和发展。随着我国环保法规的完善及严格执法，环境污染问题将极大地影响着企业的生存与发展。因此，环境管理应作为企业管理工作中的重要组成部分，企业应积极并主动地预防和治理，增强全体职工的环境意识，避免因管理不善而造成的环境污染风险。</w:t>
      </w:r>
    </w:p>
    <w:p w14:paraId="5E481C92">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9.1.1 管理机构及职责</w:t>
      </w:r>
    </w:p>
    <w:p w14:paraId="29CD3E67">
      <w:pPr>
        <w:keepLines/>
        <w:adjustRightInd w:val="0"/>
        <w:snapToGrid w:val="0"/>
        <w:spacing w:line="360" w:lineRule="auto"/>
        <w:jc w:val="both"/>
        <w:outlineLvl w:val="3"/>
        <w:rPr>
          <w:rFonts w:hint="eastAsia" w:ascii="Times New Roman" w:hAnsi="Times New Roman" w:eastAsia="宋体" w:cs="Times New Roman"/>
          <w:b/>
          <w:color w:val="auto"/>
          <w:szCs w:val="22"/>
          <w:highlight w:val="none"/>
        </w:rPr>
      </w:pPr>
      <w:r>
        <w:rPr>
          <w:rFonts w:hint="eastAsia" w:ascii="Times New Roman" w:hAnsi="Times New Roman" w:eastAsia="宋体" w:cs="Times New Roman"/>
          <w:b/>
          <w:color w:val="auto"/>
          <w:szCs w:val="22"/>
          <w:highlight w:val="none"/>
        </w:rPr>
        <w:t>9.1.1.1 管理机构</w:t>
      </w:r>
    </w:p>
    <w:p w14:paraId="2A5EE27A">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本项目日常环境管理工作纳入</w:t>
      </w:r>
      <w:r>
        <w:rPr>
          <w:rFonts w:hint="eastAsia" w:ascii="Times New Roman" w:hAnsi="Times New Roman" w:eastAsia="宋体" w:cs="Times New Roman"/>
          <w:color w:val="auto"/>
          <w:spacing w:val="4"/>
          <w:kern w:val="24"/>
          <w:szCs w:val="22"/>
          <w:highlight w:val="none"/>
          <w:lang w:val="en-US" w:eastAsia="zh-CN"/>
        </w:rPr>
        <w:t>西北油田分公司</w:t>
      </w:r>
      <w:r>
        <w:rPr>
          <w:rFonts w:hint="eastAsia" w:ascii="Times New Roman" w:hAnsi="Times New Roman" w:eastAsia="宋体" w:cs="Times New Roman"/>
          <w:color w:val="auto"/>
          <w:spacing w:val="4"/>
          <w:kern w:val="24"/>
          <w:szCs w:val="22"/>
          <w:highlight w:val="none"/>
        </w:rPr>
        <w:t>采油三厂现有QHSE管理体系。</w:t>
      </w:r>
    </w:p>
    <w:p w14:paraId="3ED7A9BD">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采油三厂建立了三级环境保护管理机构，形成了环境管理网络。环境保护管理委员会及其办公室为一级管理职能机构，基层单位环境保护管理领导小组及其办公室为二级管理职能机构，班组为三级管理职能机构。</w:t>
      </w:r>
    </w:p>
    <w:p w14:paraId="45CA5C1D">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采油三厂设置有QHSE(质量、健康、安全和环境)管理科，负责采油厂工业现场“三标”、QHSE管理体系执行、环境保护、工业动火、防暑降温、交通安全、工伤、特种设备、防雷防静电、井控管理、劳动保护等工作的管理，为采油厂有效地开展环保工作提供了依据。</w:t>
      </w:r>
    </w:p>
    <w:p w14:paraId="68C71A4A">
      <w:pPr>
        <w:keepLines/>
        <w:adjustRightInd w:val="0"/>
        <w:snapToGrid w:val="0"/>
        <w:spacing w:line="360" w:lineRule="auto"/>
        <w:jc w:val="both"/>
        <w:outlineLvl w:val="3"/>
        <w:rPr>
          <w:rFonts w:hint="eastAsia" w:ascii="Times New Roman" w:hAnsi="Times New Roman" w:eastAsia="宋体" w:cs="Times New Roman"/>
          <w:b/>
          <w:color w:val="auto"/>
          <w:szCs w:val="22"/>
          <w:highlight w:val="none"/>
        </w:rPr>
      </w:pPr>
      <w:r>
        <w:rPr>
          <w:rFonts w:hint="eastAsia" w:ascii="Times New Roman" w:hAnsi="Times New Roman" w:eastAsia="宋体" w:cs="Times New Roman"/>
          <w:b/>
          <w:color w:val="auto"/>
          <w:szCs w:val="22"/>
          <w:highlight w:val="none"/>
        </w:rPr>
        <w:t>9.1.1.2 职责</w:t>
      </w:r>
    </w:p>
    <w:p w14:paraId="386FABE5">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(1)西北油田分公司采油三厂QHSE管理委员会</w:t>
      </w:r>
    </w:p>
    <w:p w14:paraId="3B2BD934">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——贯彻并监督执行国家关于环境保护的方针、政策、法令。</w:t>
      </w:r>
    </w:p>
    <w:p w14:paraId="2EC58DB9">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——作为最高管理部门负责组织制定QHSE方针、目标和管理实施细则。</w:t>
      </w:r>
    </w:p>
    <w:p w14:paraId="44091C0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——每季召开一次QHSE例会，全面掌握QHSE管理工作动态，研究、部署、布置、总结、表彰本单位的QHSE工作，讨论、处理本单位QHSE工作中存在的重大问题。</w:t>
      </w:r>
    </w:p>
    <w:p w14:paraId="29859215">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——组织本单位QHSE工作大检查，每季度至少一次。</w:t>
      </w:r>
    </w:p>
    <w:p w14:paraId="4F22D773">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——负责对方案和体系进行定期审核，并根据审核结果对方案进行修正和改进。</w:t>
      </w:r>
    </w:p>
    <w:p w14:paraId="028E7235">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——组织开展本单位清洁文明生产活动。</w:t>
      </w:r>
    </w:p>
    <w:p w14:paraId="1A8EEDB1">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——组织开展本单位环境宣传、教育工作。</w:t>
      </w:r>
    </w:p>
    <w:p w14:paraId="19620800">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——直接领导开发公司管理委员会。</w:t>
      </w:r>
    </w:p>
    <w:p w14:paraId="44F7F30A">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(2)下辖管理区QHSE管理委员会职责</w:t>
      </w:r>
    </w:p>
    <w:p w14:paraId="6E036BC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——负责运行期间QHSE管理措施的制定、实施和检查。</w:t>
      </w:r>
    </w:p>
    <w:p w14:paraId="74FE766D">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——对运行期间出现的问题加以分析，监督生产现场对QHSE管理措施的落实情况。</w:t>
      </w:r>
    </w:p>
    <w:p w14:paraId="65FBB78C">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——协助上级主管部门宣传贯彻国家和地方政府有关环境保护方面的法律法规，地方政府关于自然保护区方面的法律、条例，环境保护方面的法律法规及中国石油化工股份有限公司西北油田分公司的QHSE方针。</w:t>
      </w:r>
    </w:p>
    <w:p w14:paraId="2A396074">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——配合上级主管部门组织全体员工进行环境保护知识的教育和培训。</w:t>
      </w:r>
    </w:p>
    <w:p w14:paraId="063133B8">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——及时向上级主管部门汇报QHSE管理现状，提出合理化建议，为环境审查和改进提供依据。</w:t>
      </w:r>
    </w:p>
    <w:p w14:paraId="7754771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(3)QHSE兼职管理人员和全体人员</w:t>
      </w:r>
    </w:p>
    <w:p w14:paraId="42B1849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——QHSE兼职管理人员和全体人员应清</w:t>
      </w:r>
      <w:r>
        <w:rPr>
          <w:rFonts w:hint="eastAsia" w:cs="Times New Roman"/>
          <w:color w:val="auto"/>
          <w:spacing w:val="4"/>
          <w:kern w:val="24"/>
          <w:szCs w:val="22"/>
          <w:highlight w:val="none"/>
          <w:lang w:eastAsia="zh-CN"/>
        </w:rPr>
        <w:t>楚地</w:t>
      </w:r>
      <w:r>
        <w:rPr>
          <w:rFonts w:hint="eastAsia" w:ascii="Times New Roman" w:hAnsi="Times New Roman" w:eastAsia="宋体" w:cs="Times New Roman"/>
          <w:color w:val="auto"/>
          <w:spacing w:val="4"/>
          <w:kern w:val="24"/>
          <w:szCs w:val="22"/>
          <w:highlight w:val="none"/>
        </w:rPr>
        <w:t>意识到环境保护的重要性。</w:t>
      </w:r>
    </w:p>
    <w:p w14:paraId="495701E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——严格执行QHSE管理规程和标准。</w:t>
      </w:r>
    </w:p>
    <w:p w14:paraId="35518C73">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——了解工程建设对环境的影响和可能发生的事故。</w:t>
      </w:r>
    </w:p>
    <w:p w14:paraId="4C817415">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color w:val="auto"/>
          <w:highlight w:val="none"/>
        </w:rPr>
      </w:pPr>
      <w:r>
        <w:rPr>
          <w:rFonts w:hint="eastAsia" w:ascii="Times New Roman" w:hAnsi="Times New Roman" w:eastAsia="宋体" w:cs="Times New Roman"/>
          <w:color w:val="auto"/>
          <w:spacing w:val="4"/>
          <w:kern w:val="24"/>
          <w:szCs w:val="22"/>
          <w:highlight w:val="none"/>
        </w:rPr>
        <w:t>——严格按规章制度操作，发现问题及时向上面汇报，并提出改进意见。</w:t>
      </w:r>
    </w:p>
    <w:p w14:paraId="221C9A77">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9.1.2施工期的环境管理任务</w:t>
      </w:r>
    </w:p>
    <w:p w14:paraId="0C9E6A09">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(1)建立和实施施工作业队伍的QHSE管理体系。</w:t>
      </w:r>
    </w:p>
    <w:p w14:paraId="0A632EE1">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(2)工程建设单位应将项目建设计划表呈报环境管理部门，以便对工程建设全过程进行环境保护措施和环境保护工程的监督和检查。</w:t>
      </w:r>
    </w:p>
    <w:p w14:paraId="70619CC8">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(3)实施施工作业环境监理制度，以确保施工作业对生态造成的破坏降到最低限度。</w:t>
      </w:r>
    </w:p>
    <w:p w14:paraId="618311AC">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(4)工程建设结束后，会同当地环保主管部门共同参与检查验收。</w:t>
      </w:r>
    </w:p>
    <w:p w14:paraId="420E15EC">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9.1.3运营期的环境管理任务</w:t>
      </w:r>
    </w:p>
    <w:p w14:paraId="1B4BB64B">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(1)本项目运行期的QHSE管理体系纳入西北油田分公司采油三厂QHSE系统统一管理。</w:t>
      </w:r>
    </w:p>
    <w:p w14:paraId="52BEEABE">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(2)协助进行环境保护设施的竣工验收工作，贯彻执行国家、地方及上级部门有关环境保护方针、政策、法律法规。</w:t>
      </w:r>
    </w:p>
    <w:p w14:paraId="21D53004">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(3)负责集输管线的日常环境保护管理工作及定期进行环保安全检查，如生态恢复、环境监测等。</w:t>
      </w:r>
    </w:p>
    <w:p w14:paraId="2E92E2E8">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(4)编制各种突发事故的应急计划。</w:t>
      </w:r>
    </w:p>
    <w:p w14:paraId="1F7078B3">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(5)组织开展环境保护宣传教育、技术和经验交流活动，推广先进技术和科研成果，对全体员工组织开展环境保护培训。</w:t>
      </w:r>
    </w:p>
    <w:p w14:paraId="7F2C48FC">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(6)强化基础工作，建立完整、规范、准确的环境基础资料，环境统计报表和环境保护技术档案。</w:t>
      </w:r>
    </w:p>
    <w:p w14:paraId="20E3C315">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(7)参加调查、分析、处理环境污染事故，并负责统计上报事故的基本情况及处理结果，协同有关部门制定防治污染事故的措施，并监督实施。</w:t>
      </w:r>
    </w:p>
    <w:p w14:paraId="50FCB4BF">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9.1.4 环境管理计划</w:t>
      </w:r>
    </w:p>
    <w:p w14:paraId="5EB3E8C7">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为了最大限度地减轻施工期作业活动对沿线生态的不利影响，减少运营期事故的发生，确保管道安全运行，建立科学有效的环境管理体制，落实各项环保和安全措施显得尤为重要。根据QHSE管理体系及清洁生产的要求，结合区域环境特征，分施工期和运营期提出本项目的环境管理计划。各个阶段环境管理/监理的内容、实施部门及监督机构见表 9.1-1。</w:t>
      </w:r>
    </w:p>
    <w:p w14:paraId="5FA0376E">
      <w:pPr>
        <w:topLinePunct/>
        <w:ind w:firstLine="420" w:firstLineChars="200"/>
        <w:jc w:val="center"/>
        <w:rPr>
          <w:rFonts w:hint="eastAsia" w:ascii="黑体" w:hAnsi="黑体" w:eastAsia="黑体"/>
          <w:color w:val="auto"/>
          <w:highlight w:val="none"/>
        </w:rPr>
      </w:pPr>
      <w:r>
        <w:rPr>
          <w:rFonts w:hint="eastAsia" w:ascii="黑体" w:hAnsi="黑体" w:eastAsia="黑体" w:cs="黑体"/>
          <w:color w:val="auto"/>
          <w:sz w:val="21"/>
          <w:szCs w:val="21"/>
          <w:highlight w:val="none"/>
        </w:rPr>
        <w:t>表9.1-1       本项目环境管理和监督计划</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14"/>
        <w:gridCol w:w="421"/>
        <w:gridCol w:w="543"/>
        <w:gridCol w:w="545"/>
        <w:gridCol w:w="1"/>
        <w:gridCol w:w="4"/>
        <w:gridCol w:w="4106"/>
        <w:gridCol w:w="10"/>
        <w:gridCol w:w="666"/>
        <w:gridCol w:w="10"/>
        <w:gridCol w:w="2"/>
        <w:gridCol w:w="1860"/>
        <w:gridCol w:w="2"/>
      </w:tblGrid>
      <w:tr w14:paraId="0881A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0" w:type="pct"/>
            <w:noWrap w:val="0"/>
            <w:vAlign w:val="center"/>
          </w:tcPr>
          <w:p w14:paraId="498985F8">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阶</w:t>
            </w:r>
          </w:p>
          <w:p w14:paraId="5CD4C76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段</w:t>
            </w:r>
          </w:p>
        </w:tc>
        <w:tc>
          <w:tcPr>
            <w:tcW w:w="878" w:type="pct"/>
            <w:gridSpan w:val="3"/>
            <w:noWrap w:val="0"/>
            <w:vAlign w:val="center"/>
          </w:tcPr>
          <w:p w14:paraId="6C7EB109">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影响因素</w:t>
            </w:r>
          </w:p>
        </w:tc>
        <w:tc>
          <w:tcPr>
            <w:tcW w:w="2394" w:type="pct"/>
            <w:gridSpan w:val="3"/>
            <w:noWrap w:val="0"/>
            <w:vAlign w:val="center"/>
          </w:tcPr>
          <w:p w14:paraId="7579B0B6">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防治措施建议</w:t>
            </w:r>
          </w:p>
        </w:tc>
        <w:tc>
          <w:tcPr>
            <w:tcW w:w="393" w:type="pct"/>
            <w:gridSpan w:val="2"/>
            <w:noWrap w:val="0"/>
            <w:vAlign w:val="center"/>
          </w:tcPr>
          <w:p w14:paraId="6DCB01A1">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实施</w:t>
            </w:r>
          </w:p>
          <w:p w14:paraId="703ED43A">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机构</w:t>
            </w:r>
          </w:p>
        </w:tc>
        <w:tc>
          <w:tcPr>
            <w:tcW w:w="1091" w:type="pct"/>
            <w:gridSpan w:val="4"/>
            <w:noWrap w:val="0"/>
            <w:vAlign w:val="center"/>
          </w:tcPr>
          <w:p w14:paraId="2D5308C6">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监督管理机构</w:t>
            </w:r>
          </w:p>
        </w:tc>
      </w:tr>
      <w:tr w14:paraId="10A2C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5" w:hRule="atLeast"/>
          <w:jc w:val="center"/>
        </w:trPr>
        <w:tc>
          <w:tcPr>
            <w:tcW w:w="240" w:type="pct"/>
            <w:vMerge w:val="restart"/>
            <w:noWrap w:val="0"/>
            <w:vAlign w:val="center"/>
          </w:tcPr>
          <w:p w14:paraId="1A2B4C86">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施工期</w:t>
            </w:r>
          </w:p>
        </w:tc>
        <w:tc>
          <w:tcPr>
            <w:tcW w:w="245" w:type="pct"/>
            <w:vMerge w:val="restart"/>
            <w:noWrap w:val="0"/>
            <w:vAlign w:val="center"/>
          </w:tcPr>
          <w:p w14:paraId="06BD462D">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生态保护</w:t>
            </w:r>
          </w:p>
        </w:tc>
        <w:tc>
          <w:tcPr>
            <w:tcW w:w="316" w:type="pct"/>
            <w:vMerge w:val="restart"/>
            <w:noWrap w:val="0"/>
            <w:vAlign w:val="center"/>
          </w:tcPr>
          <w:p w14:paraId="35430854">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土地占用</w:t>
            </w:r>
          </w:p>
        </w:tc>
        <w:tc>
          <w:tcPr>
            <w:tcW w:w="317" w:type="pct"/>
            <w:noWrap w:val="0"/>
            <w:vAlign w:val="center"/>
          </w:tcPr>
          <w:p w14:paraId="306380AD">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永久占地</w:t>
            </w:r>
          </w:p>
        </w:tc>
        <w:tc>
          <w:tcPr>
            <w:tcW w:w="2394" w:type="pct"/>
            <w:gridSpan w:val="3"/>
            <w:noWrap w:val="0"/>
            <w:vAlign w:val="center"/>
          </w:tcPr>
          <w:p w14:paraId="1B59409E">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严格控制施工占地面积，严格控制井位外围作业范围，施工现场严格管理；</w:t>
            </w:r>
            <w:r>
              <w:rPr>
                <w:rFonts w:hint="eastAsia" w:hAnsi="宋体"/>
                <w:color w:val="auto"/>
                <w:spacing w:val="-10"/>
                <w:sz w:val="23"/>
                <w:szCs w:val="23"/>
                <w:highlight w:val="none"/>
                <w:lang w:val="en-GB"/>
              </w:rPr>
              <w:t>井场地表进行砾石压盖，防止由于地表扰动造成的水土流失</w:t>
            </w:r>
          </w:p>
        </w:tc>
        <w:tc>
          <w:tcPr>
            <w:tcW w:w="393" w:type="pct"/>
            <w:gridSpan w:val="2"/>
            <w:vMerge w:val="restart"/>
            <w:noWrap w:val="0"/>
            <w:vAlign w:val="center"/>
          </w:tcPr>
          <w:p w14:paraId="6FA5435A">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施工单位、环境监理单位及建设单位</w:t>
            </w:r>
          </w:p>
        </w:tc>
        <w:tc>
          <w:tcPr>
            <w:tcW w:w="1091" w:type="pct"/>
            <w:gridSpan w:val="4"/>
            <w:vMerge w:val="restart"/>
            <w:noWrap w:val="0"/>
            <w:vAlign w:val="center"/>
          </w:tcPr>
          <w:p w14:paraId="2906FF28">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环境监理单位、建设单位相关部门及当地生态环境主管</w:t>
            </w:r>
          </w:p>
          <w:p w14:paraId="74AE8C7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部门</w:t>
            </w:r>
          </w:p>
        </w:tc>
      </w:tr>
      <w:tr w14:paraId="3E1E3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0" w:type="pct"/>
            <w:vMerge w:val="continue"/>
            <w:noWrap w:val="0"/>
            <w:vAlign w:val="center"/>
          </w:tcPr>
          <w:p w14:paraId="2346F990">
            <w:pPr>
              <w:spacing w:line="0" w:lineRule="atLeast"/>
              <w:jc w:val="center"/>
              <w:rPr>
                <w:rFonts w:hAnsi="宋体"/>
                <w:color w:val="auto"/>
                <w:spacing w:val="-10"/>
                <w:sz w:val="23"/>
                <w:szCs w:val="23"/>
                <w:highlight w:val="none"/>
              </w:rPr>
            </w:pPr>
          </w:p>
        </w:tc>
        <w:tc>
          <w:tcPr>
            <w:tcW w:w="245" w:type="pct"/>
            <w:vMerge w:val="continue"/>
            <w:noWrap w:val="0"/>
            <w:vAlign w:val="center"/>
          </w:tcPr>
          <w:p w14:paraId="4BA40D05">
            <w:pPr>
              <w:spacing w:line="0" w:lineRule="atLeast"/>
              <w:jc w:val="center"/>
              <w:rPr>
                <w:rFonts w:hAnsi="宋体"/>
                <w:color w:val="auto"/>
                <w:spacing w:val="-10"/>
                <w:sz w:val="23"/>
                <w:szCs w:val="23"/>
                <w:highlight w:val="none"/>
              </w:rPr>
            </w:pPr>
          </w:p>
        </w:tc>
        <w:tc>
          <w:tcPr>
            <w:tcW w:w="316" w:type="pct"/>
            <w:vMerge w:val="continue"/>
            <w:noWrap w:val="0"/>
            <w:vAlign w:val="center"/>
          </w:tcPr>
          <w:p w14:paraId="18944C90">
            <w:pPr>
              <w:spacing w:line="0" w:lineRule="atLeast"/>
              <w:jc w:val="center"/>
              <w:rPr>
                <w:rFonts w:hAnsi="宋体"/>
                <w:color w:val="auto"/>
                <w:spacing w:val="-10"/>
                <w:sz w:val="23"/>
                <w:szCs w:val="23"/>
                <w:highlight w:val="none"/>
              </w:rPr>
            </w:pPr>
          </w:p>
        </w:tc>
        <w:tc>
          <w:tcPr>
            <w:tcW w:w="317" w:type="pct"/>
            <w:noWrap w:val="0"/>
            <w:vAlign w:val="center"/>
          </w:tcPr>
          <w:p w14:paraId="1DBC10FF">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临时占地</w:t>
            </w:r>
          </w:p>
        </w:tc>
        <w:tc>
          <w:tcPr>
            <w:tcW w:w="2394" w:type="pct"/>
            <w:gridSpan w:val="3"/>
            <w:noWrap w:val="0"/>
            <w:vAlign w:val="center"/>
          </w:tcPr>
          <w:p w14:paraId="2255F416">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设计选线过程中，尽量避开植被较丰富的区域；在管线施工作业区两侧拉彩条旗以示明车辆行驶的边界，以避免增加对地表的扰动和破坏；工程结束后，建设单位应承担恢复生态的责任，及时对临时占地区域进行平整、恢复</w:t>
            </w:r>
          </w:p>
        </w:tc>
        <w:tc>
          <w:tcPr>
            <w:tcW w:w="393" w:type="pct"/>
            <w:gridSpan w:val="2"/>
            <w:vMerge w:val="continue"/>
            <w:noWrap w:val="0"/>
            <w:vAlign w:val="center"/>
          </w:tcPr>
          <w:p w14:paraId="31F7CB98">
            <w:pPr>
              <w:spacing w:line="0" w:lineRule="atLeast"/>
              <w:jc w:val="center"/>
              <w:rPr>
                <w:rFonts w:hAnsi="宋体"/>
                <w:color w:val="auto"/>
                <w:spacing w:val="-10"/>
                <w:sz w:val="23"/>
                <w:szCs w:val="23"/>
                <w:highlight w:val="none"/>
              </w:rPr>
            </w:pPr>
          </w:p>
        </w:tc>
        <w:tc>
          <w:tcPr>
            <w:tcW w:w="1091" w:type="pct"/>
            <w:gridSpan w:val="4"/>
            <w:vMerge w:val="continue"/>
            <w:noWrap w:val="0"/>
            <w:vAlign w:val="center"/>
          </w:tcPr>
          <w:p w14:paraId="1BFF85C1">
            <w:pPr>
              <w:spacing w:line="0" w:lineRule="atLeast"/>
              <w:jc w:val="center"/>
              <w:rPr>
                <w:rFonts w:hAnsi="宋体"/>
                <w:color w:val="auto"/>
                <w:spacing w:val="-10"/>
                <w:sz w:val="23"/>
                <w:szCs w:val="23"/>
                <w:highlight w:val="none"/>
              </w:rPr>
            </w:pPr>
          </w:p>
        </w:tc>
      </w:tr>
      <w:tr w14:paraId="6B367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3D7CC587">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1F1459A7">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7FC37C68">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动物</w:t>
            </w:r>
          </w:p>
        </w:tc>
        <w:tc>
          <w:tcPr>
            <w:tcW w:w="2399" w:type="pct"/>
            <w:gridSpan w:val="3"/>
            <w:noWrap w:val="0"/>
            <w:vAlign w:val="center"/>
          </w:tcPr>
          <w:p w14:paraId="733965F3">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加强施工人员的管理，强化保护野生动物的观念，禁止捕猎</w:t>
            </w:r>
          </w:p>
        </w:tc>
        <w:tc>
          <w:tcPr>
            <w:tcW w:w="393" w:type="pct"/>
            <w:gridSpan w:val="2"/>
            <w:vMerge w:val="restart"/>
            <w:noWrap w:val="0"/>
            <w:vAlign w:val="center"/>
          </w:tcPr>
          <w:p w14:paraId="60972B1F">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施工单位、环境监理单位及建设单位</w:t>
            </w:r>
          </w:p>
        </w:tc>
        <w:tc>
          <w:tcPr>
            <w:tcW w:w="1085" w:type="pct"/>
            <w:gridSpan w:val="3"/>
            <w:vMerge w:val="restart"/>
            <w:noWrap w:val="0"/>
            <w:vAlign w:val="center"/>
          </w:tcPr>
          <w:p w14:paraId="3B767883">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环境监理单位、建设单位相关部门及当地生态环境主管</w:t>
            </w:r>
          </w:p>
          <w:p w14:paraId="2E3E8048">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部门</w:t>
            </w:r>
          </w:p>
        </w:tc>
      </w:tr>
      <w:tr w14:paraId="410AD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0356890A">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248D5F19">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54F543EF">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植被</w:t>
            </w:r>
          </w:p>
        </w:tc>
        <w:tc>
          <w:tcPr>
            <w:tcW w:w="2399" w:type="pct"/>
            <w:gridSpan w:val="3"/>
            <w:noWrap w:val="0"/>
            <w:vAlign w:val="center"/>
          </w:tcPr>
          <w:p w14:paraId="3059296C">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施工过程中严格规定车辆和各类工作人员的活动范围，使之限于在施工区范围内活动，严禁破坏占地范围外的植被</w:t>
            </w:r>
          </w:p>
        </w:tc>
        <w:tc>
          <w:tcPr>
            <w:tcW w:w="393" w:type="pct"/>
            <w:gridSpan w:val="2"/>
            <w:vMerge w:val="continue"/>
            <w:noWrap w:val="0"/>
            <w:vAlign w:val="center"/>
          </w:tcPr>
          <w:p w14:paraId="7401C944">
            <w:pPr>
              <w:spacing w:line="0" w:lineRule="atLeast"/>
              <w:jc w:val="center"/>
              <w:rPr>
                <w:rFonts w:hint="eastAsia" w:hAnsi="宋体"/>
                <w:color w:val="auto"/>
                <w:spacing w:val="-10"/>
                <w:sz w:val="23"/>
                <w:szCs w:val="23"/>
                <w:highlight w:val="none"/>
              </w:rPr>
            </w:pPr>
          </w:p>
        </w:tc>
        <w:tc>
          <w:tcPr>
            <w:tcW w:w="1085" w:type="pct"/>
            <w:gridSpan w:val="3"/>
            <w:vMerge w:val="continue"/>
            <w:noWrap w:val="0"/>
            <w:vAlign w:val="center"/>
          </w:tcPr>
          <w:p w14:paraId="186C845C">
            <w:pPr>
              <w:spacing w:line="0" w:lineRule="atLeast"/>
              <w:jc w:val="center"/>
              <w:rPr>
                <w:rFonts w:hint="eastAsia" w:hAnsi="宋体"/>
                <w:color w:val="auto"/>
                <w:spacing w:val="-10"/>
                <w:sz w:val="23"/>
                <w:szCs w:val="23"/>
                <w:highlight w:val="none"/>
              </w:rPr>
            </w:pPr>
          </w:p>
        </w:tc>
      </w:tr>
      <w:tr w14:paraId="48422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5CBCF21C">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162ADEBC">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48A77D3C">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水土保持</w:t>
            </w:r>
          </w:p>
        </w:tc>
        <w:tc>
          <w:tcPr>
            <w:tcW w:w="2399" w:type="pct"/>
            <w:gridSpan w:val="3"/>
            <w:noWrap w:val="0"/>
            <w:vAlign w:val="center"/>
          </w:tcPr>
          <w:p w14:paraId="1949CCAE">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①工程措施：井场采取砾石压盖，施工结束后进行场地平整。</w:t>
            </w:r>
          </w:p>
          <w:p w14:paraId="7069E8E1">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②临时措施：对临时堆土区采取防尘网苫盖的方式进行防护；在施工作业带两侧拉彩条旗以示明车辆行驶的边界；定时洒水，减少施工过程中因风蚀造成的水土流失，在风季施工期内，增加洒水防护措施</w:t>
            </w:r>
          </w:p>
        </w:tc>
        <w:tc>
          <w:tcPr>
            <w:tcW w:w="393" w:type="pct"/>
            <w:gridSpan w:val="2"/>
            <w:vMerge w:val="continue"/>
            <w:noWrap w:val="0"/>
            <w:vAlign w:val="center"/>
          </w:tcPr>
          <w:p w14:paraId="1FC1B852">
            <w:pPr>
              <w:spacing w:line="0" w:lineRule="atLeast"/>
              <w:jc w:val="center"/>
              <w:rPr>
                <w:rFonts w:hint="eastAsia" w:hAnsi="宋体"/>
                <w:color w:val="auto"/>
                <w:spacing w:val="-10"/>
                <w:sz w:val="23"/>
                <w:szCs w:val="23"/>
                <w:highlight w:val="none"/>
              </w:rPr>
            </w:pPr>
          </w:p>
        </w:tc>
        <w:tc>
          <w:tcPr>
            <w:tcW w:w="1085" w:type="pct"/>
            <w:gridSpan w:val="3"/>
            <w:vMerge w:val="restart"/>
            <w:noWrap w:val="0"/>
            <w:vAlign w:val="center"/>
          </w:tcPr>
          <w:p w14:paraId="7CFBA6E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环境监理单位、建设单位相关部门及当地生态环境主管</w:t>
            </w:r>
          </w:p>
          <w:p w14:paraId="11149563">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部门</w:t>
            </w:r>
          </w:p>
        </w:tc>
      </w:tr>
      <w:tr w14:paraId="2A4FB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3C901090">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4F953FA3">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578B4E85">
            <w:pPr>
              <w:spacing w:line="0" w:lineRule="atLeast"/>
              <w:jc w:val="center"/>
              <w:rPr>
                <w:rFonts w:hAnsi="宋体"/>
                <w:color w:val="auto"/>
                <w:spacing w:val="-10"/>
                <w:sz w:val="23"/>
                <w:szCs w:val="23"/>
                <w:highlight w:val="none"/>
              </w:rPr>
            </w:pPr>
            <w:r>
              <w:rPr>
                <w:rFonts w:hint="eastAsia" w:hAnsi="宋体"/>
                <w:color w:val="auto"/>
                <w:spacing w:val="-10"/>
                <w:sz w:val="23"/>
                <w:szCs w:val="23"/>
                <w:highlight w:val="none"/>
              </w:rPr>
              <w:t>防沙治沙</w:t>
            </w:r>
          </w:p>
        </w:tc>
        <w:tc>
          <w:tcPr>
            <w:tcW w:w="2399" w:type="pct"/>
            <w:gridSpan w:val="3"/>
            <w:noWrap w:val="0"/>
            <w:vAlign w:val="center"/>
          </w:tcPr>
          <w:p w14:paraId="5A4BFC26">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主体工程与防沙治沙措施同时施工，并加强临时防护措施，做好防护措施等</w:t>
            </w:r>
          </w:p>
        </w:tc>
        <w:tc>
          <w:tcPr>
            <w:tcW w:w="393" w:type="pct"/>
            <w:gridSpan w:val="2"/>
            <w:vMerge w:val="continue"/>
            <w:noWrap w:val="0"/>
            <w:vAlign w:val="center"/>
          </w:tcPr>
          <w:p w14:paraId="304A798D">
            <w:pPr>
              <w:spacing w:line="0" w:lineRule="atLeast"/>
              <w:jc w:val="center"/>
              <w:rPr>
                <w:rFonts w:hint="eastAsia" w:hAnsi="宋体"/>
                <w:color w:val="auto"/>
                <w:spacing w:val="-10"/>
                <w:sz w:val="23"/>
                <w:szCs w:val="23"/>
                <w:highlight w:val="none"/>
              </w:rPr>
            </w:pPr>
          </w:p>
        </w:tc>
        <w:tc>
          <w:tcPr>
            <w:tcW w:w="1085" w:type="pct"/>
            <w:gridSpan w:val="3"/>
            <w:vMerge w:val="continue"/>
            <w:noWrap w:val="0"/>
            <w:vAlign w:val="center"/>
          </w:tcPr>
          <w:p w14:paraId="6CDD565C">
            <w:pPr>
              <w:spacing w:line="0" w:lineRule="atLeast"/>
              <w:jc w:val="center"/>
              <w:rPr>
                <w:rFonts w:hint="eastAsia" w:hAnsi="宋体"/>
                <w:color w:val="auto"/>
                <w:spacing w:val="-10"/>
                <w:sz w:val="23"/>
                <w:szCs w:val="23"/>
                <w:highlight w:val="none"/>
              </w:rPr>
            </w:pPr>
          </w:p>
        </w:tc>
      </w:tr>
      <w:tr w14:paraId="35F37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106FADCA">
            <w:pPr>
              <w:spacing w:line="0" w:lineRule="atLeast"/>
              <w:jc w:val="center"/>
              <w:rPr>
                <w:rFonts w:hint="eastAsia" w:hAnsi="宋体"/>
                <w:color w:val="auto"/>
                <w:spacing w:val="-10"/>
                <w:sz w:val="23"/>
                <w:szCs w:val="23"/>
                <w:highlight w:val="none"/>
              </w:rPr>
            </w:pPr>
          </w:p>
        </w:tc>
        <w:tc>
          <w:tcPr>
            <w:tcW w:w="245" w:type="pct"/>
            <w:vMerge w:val="restart"/>
            <w:noWrap w:val="0"/>
            <w:vAlign w:val="center"/>
          </w:tcPr>
          <w:p w14:paraId="7D1923EF">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污染防治</w:t>
            </w:r>
          </w:p>
        </w:tc>
        <w:tc>
          <w:tcPr>
            <w:tcW w:w="634" w:type="pct"/>
            <w:gridSpan w:val="3"/>
            <w:noWrap w:val="0"/>
            <w:vAlign w:val="center"/>
          </w:tcPr>
          <w:p w14:paraId="211F4E6A">
            <w:pPr>
              <w:snapToGrid w:val="0"/>
              <w:spacing w:line="0" w:lineRule="atLeast"/>
              <w:jc w:val="center"/>
              <w:rPr>
                <w:rFonts w:hint="eastAsia" w:hAnsi="宋体" w:cs="宋体"/>
                <w:color w:val="auto"/>
                <w:spacing w:val="-16"/>
                <w:kern w:val="0"/>
                <w:sz w:val="23"/>
                <w:szCs w:val="23"/>
                <w:highlight w:val="none"/>
              </w:rPr>
            </w:pPr>
            <w:r>
              <w:rPr>
                <w:rFonts w:hint="eastAsia" w:hAnsi="宋体" w:cs="宋体"/>
                <w:color w:val="auto"/>
                <w:spacing w:val="-16"/>
                <w:sz w:val="23"/>
                <w:szCs w:val="23"/>
                <w:highlight w:val="none"/>
              </w:rPr>
              <w:t>施工扬尘、测试放喷废气、焊接烟尘、车辆尾气</w:t>
            </w:r>
          </w:p>
        </w:tc>
        <w:tc>
          <w:tcPr>
            <w:tcW w:w="2399" w:type="pct"/>
            <w:gridSpan w:val="3"/>
            <w:noWrap w:val="0"/>
            <w:vAlign w:val="center"/>
          </w:tcPr>
          <w:p w14:paraId="5FE8BC7C">
            <w:pPr>
              <w:spacing w:line="0" w:lineRule="atLeast"/>
              <w:rPr>
                <w:rFonts w:hAnsi="宋体"/>
                <w:color w:val="auto"/>
                <w:spacing w:val="-10"/>
                <w:sz w:val="23"/>
                <w:szCs w:val="23"/>
                <w:highlight w:val="none"/>
              </w:rPr>
            </w:pPr>
            <w:r>
              <w:rPr>
                <w:rFonts w:hint="eastAsia" w:hAnsi="宋体" w:cs="宋体"/>
                <w:color w:val="auto"/>
                <w:spacing w:val="-10"/>
                <w:sz w:val="23"/>
                <w:szCs w:val="23"/>
                <w:highlight w:val="none"/>
              </w:rPr>
              <w:t>施工扬尘采取进出车辆减速慢行、物料苫盖的措施；试油放喷分离出的天然气引至放空火炬点燃，同时控制测试放喷时间；焊接作业时使用</w:t>
            </w:r>
            <w:r>
              <w:rPr>
                <w:rFonts w:hint="eastAsia" w:hAnsi="宋体" w:cs="宋体"/>
                <w:color w:val="auto"/>
                <w:spacing w:val="-10"/>
                <w:kern w:val="0"/>
                <w:sz w:val="23"/>
                <w:szCs w:val="23"/>
                <w:highlight w:val="none"/>
              </w:rPr>
              <w:t>无毒低尘焊条</w:t>
            </w:r>
          </w:p>
        </w:tc>
        <w:tc>
          <w:tcPr>
            <w:tcW w:w="393" w:type="pct"/>
            <w:gridSpan w:val="2"/>
            <w:vMerge w:val="restart"/>
            <w:noWrap w:val="0"/>
            <w:vAlign w:val="center"/>
          </w:tcPr>
          <w:p w14:paraId="5C3A9AEB">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施工单位、环境监理单位及建设单位</w:t>
            </w:r>
          </w:p>
        </w:tc>
        <w:tc>
          <w:tcPr>
            <w:tcW w:w="1085" w:type="pct"/>
            <w:gridSpan w:val="3"/>
            <w:vMerge w:val="restart"/>
            <w:noWrap w:val="0"/>
            <w:vAlign w:val="center"/>
          </w:tcPr>
          <w:p w14:paraId="3582D03D">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环境监理单位、建设单位相关部门及当地生态环境主管</w:t>
            </w:r>
          </w:p>
          <w:p w14:paraId="5BFB62C9">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部门</w:t>
            </w:r>
          </w:p>
        </w:tc>
      </w:tr>
      <w:tr w14:paraId="6E3B6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12C62071">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21921FF5">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5C634B32">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废水</w:t>
            </w:r>
          </w:p>
        </w:tc>
        <w:tc>
          <w:tcPr>
            <w:tcW w:w="2399" w:type="pct"/>
            <w:gridSpan w:val="3"/>
            <w:noWrap w:val="0"/>
            <w:vAlign w:val="center"/>
          </w:tcPr>
          <w:p w14:paraId="0E627603">
            <w:pPr>
              <w:topLinePunct/>
              <w:spacing w:line="0" w:lineRule="atLeast"/>
              <w:rPr>
                <w:rFonts w:hint="eastAsia" w:hAnsi="宋体"/>
                <w:color w:val="auto"/>
                <w:spacing w:val="-16"/>
                <w:sz w:val="23"/>
                <w:szCs w:val="23"/>
                <w:highlight w:val="none"/>
              </w:rPr>
            </w:pPr>
            <w:r>
              <w:rPr>
                <w:rFonts w:hint="eastAsia" w:hAnsi="宋体"/>
                <w:color w:val="auto"/>
                <w:spacing w:val="-16"/>
                <w:sz w:val="23"/>
                <w:szCs w:val="23"/>
                <w:highlight w:val="none"/>
              </w:rPr>
              <w:t>钻井废水在钻井期间综合利用；</w:t>
            </w:r>
            <w:r>
              <w:rPr>
                <w:rFonts w:hint="eastAsia" w:hAnsi="宋体" w:cs="宋体"/>
                <w:color w:val="auto"/>
                <w:spacing w:val="-16"/>
                <w:sz w:val="23"/>
                <w:szCs w:val="23"/>
                <w:highlight w:val="none"/>
              </w:rPr>
              <w:t>酸化压裂作业结束后返排的压裂废水收集在酸液罐内，拉运至塔河油田绿色环保站处理；</w:t>
            </w:r>
            <w:r>
              <w:rPr>
                <w:rFonts w:hint="eastAsia" w:hAnsi="宋体"/>
                <w:color w:val="auto"/>
                <w:spacing w:val="-16"/>
                <w:sz w:val="23"/>
                <w:szCs w:val="23"/>
                <w:highlight w:val="none"/>
              </w:rPr>
              <w:t>生活污水经井场撬装式污水处理站处理后，用于荒漠灌溉；试压结束后，试压废水就地泼洒抑尘</w:t>
            </w:r>
          </w:p>
        </w:tc>
        <w:tc>
          <w:tcPr>
            <w:tcW w:w="393" w:type="pct"/>
            <w:gridSpan w:val="2"/>
            <w:vMerge w:val="continue"/>
            <w:noWrap w:val="0"/>
            <w:vAlign w:val="center"/>
          </w:tcPr>
          <w:p w14:paraId="1CACC08F">
            <w:pPr>
              <w:spacing w:line="0" w:lineRule="atLeast"/>
              <w:jc w:val="center"/>
              <w:rPr>
                <w:rFonts w:hint="eastAsia" w:hAnsi="宋体"/>
                <w:color w:val="auto"/>
                <w:spacing w:val="-10"/>
                <w:sz w:val="23"/>
                <w:szCs w:val="23"/>
                <w:highlight w:val="none"/>
              </w:rPr>
            </w:pPr>
          </w:p>
        </w:tc>
        <w:tc>
          <w:tcPr>
            <w:tcW w:w="1085" w:type="pct"/>
            <w:gridSpan w:val="3"/>
            <w:vMerge w:val="continue"/>
            <w:noWrap w:val="0"/>
            <w:vAlign w:val="center"/>
          </w:tcPr>
          <w:p w14:paraId="6C9DB00A">
            <w:pPr>
              <w:spacing w:line="0" w:lineRule="atLeast"/>
              <w:jc w:val="center"/>
              <w:rPr>
                <w:rFonts w:hint="eastAsia" w:hAnsi="宋体"/>
                <w:color w:val="auto"/>
                <w:spacing w:val="-10"/>
                <w:sz w:val="23"/>
                <w:szCs w:val="23"/>
                <w:highlight w:val="none"/>
              </w:rPr>
            </w:pPr>
          </w:p>
        </w:tc>
      </w:tr>
      <w:tr w14:paraId="3C82C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5BDB79C6">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06C46E4F">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409931BF">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固体废物</w:t>
            </w:r>
          </w:p>
        </w:tc>
        <w:tc>
          <w:tcPr>
            <w:tcW w:w="2399" w:type="pct"/>
            <w:gridSpan w:val="3"/>
            <w:noWrap w:val="0"/>
            <w:vAlign w:val="center"/>
          </w:tcPr>
          <w:p w14:paraId="7497AD4E">
            <w:pPr>
              <w:topLinePunct/>
              <w:spacing w:line="0" w:lineRule="atLeast"/>
              <w:rPr>
                <w:rFonts w:ascii="宋体" w:hAnsi="宋体"/>
                <w:b w:val="0"/>
                <w:color w:val="auto"/>
                <w:spacing w:val="-16"/>
                <w:sz w:val="23"/>
                <w:szCs w:val="23"/>
                <w:highlight w:val="none"/>
              </w:rPr>
            </w:pPr>
            <w:r>
              <w:rPr>
                <w:rFonts w:hint="eastAsia" w:ascii="Times New Roman" w:hAnsi="宋体" w:eastAsia="宋体" w:cs="宋体"/>
                <w:b w:val="0"/>
                <w:i w:val="0"/>
                <w:color w:val="auto"/>
                <w:spacing w:val="-16"/>
                <w:kern w:val="0"/>
                <w:sz w:val="23"/>
                <w:szCs w:val="23"/>
                <w:highlight w:val="none"/>
                <w:lang w:val="en-US" w:eastAsia="zh-CN" w:bidi="ar-SA"/>
              </w:rPr>
              <w:t>施工土方全部用于</w:t>
            </w:r>
            <w:r>
              <w:rPr>
                <w:rFonts w:hint="eastAsia" w:ascii="Times New Roman" w:hAnsi="宋体" w:eastAsia="宋体" w:cs="宋体"/>
                <w:color w:val="auto"/>
                <w:spacing w:val="-16"/>
                <w:sz w:val="23"/>
                <w:szCs w:val="23"/>
                <w:highlight w:val="none"/>
                <w:lang w:val="en-US" w:eastAsia="zh-CN"/>
              </w:rPr>
              <w:t>管沟</w:t>
            </w:r>
            <w:r>
              <w:rPr>
                <w:rFonts w:hint="eastAsia" w:ascii="Times New Roman" w:hAnsi="宋体" w:eastAsia="宋体" w:cs="宋体"/>
                <w:b w:val="0"/>
                <w:i w:val="0"/>
                <w:color w:val="auto"/>
                <w:spacing w:val="-16"/>
                <w:kern w:val="0"/>
                <w:sz w:val="23"/>
                <w:szCs w:val="23"/>
                <w:highlight w:val="none"/>
                <w:lang w:val="en-US" w:eastAsia="zh-CN" w:bidi="ar-SA"/>
              </w:rPr>
              <w:t>和井场回填；岩屑随泥浆一同进入不落地系统，分离后的液相回用于钻井液配制，分离后的固相经检测满足《油气田钻井固体废物综合利用污染控制要求》(DB65/T3997-2017)中污染物限值要求后，用于铺垫油区内的井场、道路等；危险废物，收集后暂存在井场撬装式危废暂存间内，完井后将由井队联系有危险废物处置资质的单位回收处理</w:t>
            </w:r>
          </w:p>
        </w:tc>
        <w:tc>
          <w:tcPr>
            <w:tcW w:w="393" w:type="pct"/>
            <w:gridSpan w:val="2"/>
            <w:vMerge w:val="continue"/>
            <w:noWrap w:val="0"/>
            <w:vAlign w:val="center"/>
          </w:tcPr>
          <w:p w14:paraId="6A49F987">
            <w:pPr>
              <w:spacing w:line="0" w:lineRule="atLeast"/>
              <w:jc w:val="center"/>
              <w:rPr>
                <w:rFonts w:hint="eastAsia" w:hAnsi="宋体"/>
                <w:color w:val="auto"/>
                <w:spacing w:val="-10"/>
                <w:sz w:val="23"/>
                <w:szCs w:val="23"/>
                <w:highlight w:val="none"/>
              </w:rPr>
            </w:pPr>
          </w:p>
        </w:tc>
        <w:tc>
          <w:tcPr>
            <w:tcW w:w="1085" w:type="pct"/>
            <w:gridSpan w:val="3"/>
            <w:vMerge w:val="continue"/>
            <w:noWrap w:val="0"/>
            <w:vAlign w:val="center"/>
          </w:tcPr>
          <w:p w14:paraId="792AC785">
            <w:pPr>
              <w:spacing w:line="0" w:lineRule="atLeast"/>
              <w:jc w:val="center"/>
              <w:rPr>
                <w:rFonts w:hint="eastAsia" w:hAnsi="宋体"/>
                <w:color w:val="auto"/>
                <w:spacing w:val="-10"/>
                <w:sz w:val="23"/>
                <w:szCs w:val="23"/>
                <w:highlight w:val="none"/>
              </w:rPr>
            </w:pPr>
          </w:p>
        </w:tc>
      </w:tr>
      <w:tr w14:paraId="1B5EF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6FB195F0">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0D48FD7E">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53F4BCB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噪声</w:t>
            </w:r>
          </w:p>
        </w:tc>
        <w:tc>
          <w:tcPr>
            <w:tcW w:w="2399" w:type="pct"/>
            <w:gridSpan w:val="3"/>
            <w:noWrap w:val="0"/>
            <w:vAlign w:val="center"/>
          </w:tcPr>
          <w:p w14:paraId="37A9FACF">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选用低噪声的设备、保持设施良好的运行工况，选择合理的施工时间等</w:t>
            </w:r>
          </w:p>
        </w:tc>
        <w:tc>
          <w:tcPr>
            <w:tcW w:w="393" w:type="pct"/>
            <w:gridSpan w:val="2"/>
            <w:noWrap w:val="0"/>
            <w:vAlign w:val="center"/>
          </w:tcPr>
          <w:p w14:paraId="1A552C41">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环境监理及建设单位</w:t>
            </w:r>
          </w:p>
        </w:tc>
        <w:tc>
          <w:tcPr>
            <w:tcW w:w="1085" w:type="pct"/>
            <w:gridSpan w:val="3"/>
            <w:noWrap w:val="0"/>
            <w:vAlign w:val="center"/>
          </w:tcPr>
          <w:p w14:paraId="04C57AA5">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环境监理单位、建设单位相关部门及当地生态环境主管</w:t>
            </w:r>
          </w:p>
          <w:p w14:paraId="70FBDBB7">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部门</w:t>
            </w:r>
          </w:p>
        </w:tc>
      </w:tr>
      <w:tr w14:paraId="0431B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restart"/>
            <w:noWrap w:val="0"/>
            <w:vAlign w:val="center"/>
          </w:tcPr>
          <w:p w14:paraId="04E33309">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运营期</w:t>
            </w:r>
          </w:p>
        </w:tc>
        <w:tc>
          <w:tcPr>
            <w:tcW w:w="245" w:type="pct"/>
            <w:vMerge w:val="restart"/>
            <w:noWrap w:val="0"/>
            <w:vAlign w:val="center"/>
          </w:tcPr>
          <w:p w14:paraId="7FC811CA">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正常工况</w:t>
            </w:r>
          </w:p>
        </w:tc>
        <w:tc>
          <w:tcPr>
            <w:tcW w:w="634" w:type="pct"/>
            <w:gridSpan w:val="3"/>
            <w:noWrap w:val="0"/>
            <w:vAlign w:val="center"/>
          </w:tcPr>
          <w:p w14:paraId="1DBEBF16">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废水</w:t>
            </w:r>
          </w:p>
        </w:tc>
        <w:tc>
          <w:tcPr>
            <w:tcW w:w="2399" w:type="pct"/>
            <w:gridSpan w:val="3"/>
            <w:noWrap w:val="0"/>
            <w:vAlign w:val="center"/>
          </w:tcPr>
          <w:p w14:paraId="29DEA88D">
            <w:pPr>
              <w:spacing w:line="0" w:lineRule="atLeast"/>
              <w:rPr>
                <w:rFonts w:hint="eastAsia" w:hAnsi="宋体"/>
                <w:color w:val="auto"/>
                <w:spacing w:val="-10"/>
                <w:sz w:val="23"/>
                <w:szCs w:val="23"/>
                <w:highlight w:val="none"/>
              </w:rPr>
            </w:pPr>
            <w:r>
              <w:rPr>
                <w:rFonts w:hint="eastAsia" w:hAnsi="宋体"/>
                <w:color w:val="auto"/>
                <w:spacing w:val="-10"/>
                <w:sz w:val="23"/>
                <w:szCs w:val="23"/>
                <w:highlight w:val="none"/>
              </w:rPr>
              <w:t>采出水随采出液最终输送至周边联合站处理，满足标准后回注地层，井下作业废水送至塔河油田绿色环保站处理</w:t>
            </w:r>
          </w:p>
        </w:tc>
        <w:tc>
          <w:tcPr>
            <w:tcW w:w="393" w:type="pct"/>
            <w:gridSpan w:val="2"/>
            <w:vMerge w:val="restart"/>
            <w:noWrap w:val="0"/>
            <w:vAlign w:val="center"/>
          </w:tcPr>
          <w:p w14:paraId="391074AE">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建设</w:t>
            </w:r>
          </w:p>
          <w:p w14:paraId="5245B031">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单位</w:t>
            </w:r>
          </w:p>
        </w:tc>
        <w:tc>
          <w:tcPr>
            <w:tcW w:w="1085" w:type="pct"/>
            <w:gridSpan w:val="3"/>
            <w:vMerge w:val="restart"/>
            <w:noWrap w:val="0"/>
            <w:vAlign w:val="center"/>
          </w:tcPr>
          <w:p w14:paraId="06AE7F98">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建设单位相关部门及当地生态环境主管部门</w:t>
            </w:r>
          </w:p>
        </w:tc>
      </w:tr>
      <w:tr w14:paraId="7E70E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 w:type="pct"/>
            <w:vMerge w:val="continue"/>
            <w:noWrap w:val="0"/>
            <w:vAlign w:val="center"/>
          </w:tcPr>
          <w:p w14:paraId="6948A106">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133CDBBD">
            <w:pPr>
              <w:spacing w:line="0" w:lineRule="atLeast"/>
              <w:jc w:val="center"/>
              <w:rPr>
                <w:rFonts w:hint="eastAsia" w:hAnsi="宋体"/>
                <w:color w:val="auto"/>
                <w:spacing w:val="-10"/>
                <w:sz w:val="23"/>
                <w:szCs w:val="23"/>
                <w:highlight w:val="none"/>
              </w:rPr>
            </w:pPr>
          </w:p>
        </w:tc>
        <w:tc>
          <w:tcPr>
            <w:tcW w:w="634" w:type="pct"/>
            <w:gridSpan w:val="3"/>
            <w:noWrap w:val="0"/>
            <w:vAlign w:val="center"/>
          </w:tcPr>
          <w:p w14:paraId="57C4F8B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废气</w:t>
            </w:r>
          </w:p>
        </w:tc>
        <w:tc>
          <w:tcPr>
            <w:tcW w:w="2399" w:type="pct"/>
            <w:gridSpan w:val="3"/>
            <w:noWrap w:val="0"/>
            <w:vAlign w:val="center"/>
          </w:tcPr>
          <w:p w14:paraId="14C8B4D9">
            <w:pPr>
              <w:spacing w:line="0" w:lineRule="atLeast"/>
              <w:jc w:val="left"/>
              <w:rPr>
                <w:rFonts w:hint="eastAsia" w:hAnsi="宋体"/>
                <w:color w:val="auto"/>
                <w:spacing w:val="-10"/>
                <w:sz w:val="23"/>
                <w:szCs w:val="23"/>
                <w:highlight w:val="none"/>
              </w:rPr>
            </w:pPr>
            <w:r>
              <w:rPr>
                <w:rFonts w:hint="eastAsia" w:hAnsi="宋体"/>
                <w:color w:val="auto"/>
                <w:spacing w:val="-10"/>
                <w:sz w:val="23"/>
                <w:szCs w:val="23"/>
                <w:highlight w:val="none"/>
              </w:rPr>
              <w:t>加热炉使用净化后的天然气作为燃料；采出液采取密闭输送</w:t>
            </w:r>
          </w:p>
        </w:tc>
        <w:tc>
          <w:tcPr>
            <w:tcW w:w="393" w:type="pct"/>
            <w:gridSpan w:val="2"/>
            <w:vMerge w:val="continue"/>
            <w:noWrap w:val="0"/>
            <w:vAlign w:val="center"/>
          </w:tcPr>
          <w:p w14:paraId="2BE89B44">
            <w:pPr>
              <w:spacing w:line="0" w:lineRule="atLeast"/>
              <w:jc w:val="center"/>
              <w:rPr>
                <w:rFonts w:hint="eastAsia" w:hAnsi="宋体"/>
                <w:color w:val="auto"/>
                <w:spacing w:val="-10"/>
                <w:sz w:val="23"/>
                <w:szCs w:val="23"/>
                <w:highlight w:val="none"/>
              </w:rPr>
            </w:pPr>
          </w:p>
        </w:tc>
        <w:tc>
          <w:tcPr>
            <w:tcW w:w="1085" w:type="pct"/>
            <w:gridSpan w:val="3"/>
            <w:vMerge w:val="continue"/>
            <w:noWrap w:val="0"/>
            <w:vAlign w:val="center"/>
          </w:tcPr>
          <w:p w14:paraId="09C0B6A5">
            <w:pPr>
              <w:spacing w:line="0" w:lineRule="atLeast"/>
              <w:jc w:val="center"/>
              <w:rPr>
                <w:rFonts w:hint="eastAsia" w:hAnsi="宋体"/>
                <w:color w:val="auto"/>
                <w:spacing w:val="-10"/>
                <w:sz w:val="23"/>
                <w:szCs w:val="23"/>
                <w:highlight w:val="none"/>
              </w:rPr>
            </w:pPr>
          </w:p>
        </w:tc>
      </w:tr>
      <w:tr w14:paraId="79B8B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40" w:hRule="atLeast"/>
          <w:jc w:val="center"/>
        </w:trPr>
        <w:tc>
          <w:tcPr>
            <w:tcW w:w="240" w:type="pct"/>
            <w:vMerge w:val="restart"/>
            <w:noWrap w:val="0"/>
            <w:vAlign w:val="center"/>
          </w:tcPr>
          <w:p w14:paraId="47805DAB">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运营期</w:t>
            </w:r>
          </w:p>
        </w:tc>
        <w:tc>
          <w:tcPr>
            <w:tcW w:w="245" w:type="pct"/>
            <w:vMerge w:val="restart"/>
            <w:noWrap w:val="0"/>
            <w:vAlign w:val="center"/>
          </w:tcPr>
          <w:p w14:paraId="38BC3E54">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正常工况</w:t>
            </w:r>
          </w:p>
        </w:tc>
        <w:tc>
          <w:tcPr>
            <w:tcW w:w="636" w:type="pct"/>
            <w:gridSpan w:val="4"/>
            <w:noWrap w:val="0"/>
            <w:vAlign w:val="center"/>
          </w:tcPr>
          <w:p w14:paraId="6C974029">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固体废弃物</w:t>
            </w:r>
          </w:p>
        </w:tc>
        <w:tc>
          <w:tcPr>
            <w:tcW w:w="2397" w:type="pct"/>
            <w:gridSpan w:val="2"/>
            <w:noWrap w:val="0"/>
            <w:vAlign w:val="center"/>
          </w:tcPr>
          <w:p w14:paraId="25E9AAF7">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落地油、废防渗材料收集后由有危废处置资质单位接收处置</w:t>
            </w:r>
          </w:p>
        </w:tc>
        <w:tc>
          <w:tcPr>
            <w:tcW w:w="395" w:type="pct"/>
            <w:gridSpan w:val="3"/>
            <w:vMerge w:val="restart"/>
            <w:noWrap w:val="0"/>
            <w:vAlign w:val="center"/>
          </w:tcPr>
          <w:p w14:paraId="0C78E6A5">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建设</w:t>
            </w:r>
          </w:p>
          <w:p w14:paraId="46069695">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单位</w:t>
            </w:r>
          </w:p>
        </w:tc>
        <w:tc>
          <w:tcPr>
            <w:tcW w:w="1083" w:type="pct"/>
            <w:vMerge w:val="restart"/>
            <w:noWrap w:val="0"/>
            <w:vAlign w:val="center"/>
          </w:tcPr>
          <w:p w14:paraId="31203279">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建设单位相关部门及当地生态环境主管部门</w:t>
            </w:r>
          </w:p>
        </w:tc>
      </w:tr>
      <w:tr w14:paraId="47FE6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40" w:hRule="atLeast"/>
          <w:jc w:val="center"/>
        </w:trPr>
        <w:tc>
          <w:tcPr>
            <w:tcW w:w="240" w:type="pct"/>
            <w:vMerge w:val="continue"/>
            <w:noWrap w:val="0"/>
            <w:vAlign w:val="center"/>
          </w:tcPr>
          <w:p w14:paraId="292689E9">
            <w:pPr>
              <w:spacing w:line="0" w:lineRule="atLeast"/>
              <w:jc w:val="center"/>
              <w:rPr>
                <w:rFonts w:hint="eastAsia" w:hAnsi="宋体"/>
                <w:color w:val="auto"/>
                <w:spacing w:val="-10"/>
                <w:sz w:val="23"/>
                <w:szCs w:val="23"/>
                <w:highlight w:val="none"/>
              </w:rPr>
            </w:pPr>
          </w:p>
        </w:tc>
        <w:tc>
          <w:tcPr>
            <w:tcW w:w="245" w:type="pct"/>
            <w:vMerge w:val="continue"/>
            <w:noWrap w:val="0"/>
            <w:vAlign w:val="center"/>
          </w:tcPr>
          <w:p w14:paraId="73FBC064">
            <w:pPr>
              <w:spacing w:line="0" w:lineRule="atLeast"/>
              <w:jc w:val="center"/>
              <w:rPr>
                <w:rFonts w:hint="eastAsia" w:hAnsi="宋体"/>
                <w:color w:val="auto"/>
                <w:spacing w:val="-10"/>
                <w:sz w:val="23"/>
                <w:szCs w:val="23"/>
                <w:highlight w:val="none"/>
              </w:rPr>
            </w:pPr>
          </w:p>
        </w:tc>
        <w:tc>
          <w:tcPr>
            <w:tcW w:w="636" w:type="pct"/>
            <w:gridSpan w:val="4"/>
            <w:noWrap w:val="0"/>
            <w:vAlign w:val="center"/>
          </w:tcPr>
          <w:p w14:paraId="6D0F09D4">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噪声</w:t>
            </w:r>
          </w:p>
        </w:tc>
        <w:tc>
          <w:tcPr>
            <w:tcW w:w="2397" w:type="pct"/>
            <w:gridSpan w:val="2"/>
            <w:noWrap w:val="0"/>
            <w:vAlign w:val="center"/>
          </w:tcPr>
          <w:p w14:paraId="110655B2">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选用低噪声设备、基础减振措施</w:t>
            </w:r>
          </w:p>
        </w:tc>
        <w:tc>
          <w:tcPr>
            <w:tcW w:w="395" w:type="pct"/>
            <w:gridSpan w:val="3"/>
            <w:vMerge w:val="continue"/>
            <w:noWrap w:val="0"/>
            <w:vAlign w:val="center"/>
          </w:tcPr>
          <w:p w14:paraId="0CBCE134">
            <w:pPr>
              <w:spacing w:line="0" w:lineRule="atLeast"/>
              <w:jc w:val="center"/>
              <w:rPr>
                <w:rFonts w:hint="eastAsia" w:hAnsi="宋体"/>
                <w:color w:val="auto"/>
                <w:spacing w:val="-10"/>
                <w:sz w:val="23"/>
                <w:szCs w:val="23"/>
                <w:highlight w:val="none"/>
              </w:rPr>
            </w:pPr>
          </w:p>
        </w:tc>
        <w:tc>
          <w:tcPr>
            <w:tcW w:w="1083" w:type="pct"/>
            <w:vMerge w:val="continue"/>
            <w:noWrap w:val="0"/>
            <w:vAlign w:val="center"/>
          </w:tcPr>
          <w:p w14:paraId="0D352220">
            <w:pPr>
              <w:spacing w:line="0" w:lineRule="atLeast"/>
              <w:jc w:val="center"/>
              <w:rPr>
                <w:rFonts w:hint="eastAsia" w:hAnsi="宋体"/>
                <w:color w:val="auto"/>
                <w:spacing w:val="-10"/>
                <w:sz w:val="23"/>
                <w:szCs w:val="23"/>
                <w:highlight w:val="none"/>
              </w:rPr>
            </w:pPr>
          </w:p>
        </w:tc>
      </w:tr>
      <w:tr w14:paraId="3AED6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40" w:hRule="atLeast"/>
          <w:jc w:val="center"/>
        </w:trPr>
        <w:tc>
          <w:tcPr>
            <w:tcW w:w="240" w:type="pct"/>
            <w:vMerge w:val="continue"/>
            <w:noWrap w:val="0"/>
            <w:vAlign w:val="center"/>
          </w:tcPr>
          <w:p w14:paraId="1F512F65">
            <w:pPr>
              <w:spacing w:line="0" w:lineRule="atLeast"/>
              <w:jc w:val="center"/>
              <w:rPr>
                <w:rFonts w:hint="eastAsia" w:hAnsi="宋体"/>
                <w:color w:val="auto"/>
                <w:spacing w:val="-10"/>
                <w:sz w:val="23"/>
                <w:szCs w:val="23"/>
                <w:highlight w:val="none"/>
              </w:rPr>
            </w:pPr>
          </w:p>
        </w:tc>
        <w:tc>
          <w:tcPr>
            <w:tcW w:w="881" w:type="pct"/>
            <w:gridSpan w:val="5"/>
            <w:noWrap w:val="0"/>
            <w:vAlign w:val="center"/>
          </w:tcPr>
          <w:p w14:paraId="0780A5D8">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事故风险</w:t>
            </w:r>
          </w:p>
        </w:tc>
        <w:tc>
          <w:tcPr>
            <w:tcW w:w="2397" w:type="pct"/>
            <w:gridSpan w:val="2"/>
            <w:noWrap w:val="0"/>
            <w:vAlign w:val="center"/>
          </w:tcPr>
          <w:p w14:paraId="4A88973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事故预防及油气泄漏应急预案</w:t>
            </w:r>
          </w:p>
        </w:tc>
        <w:tc>
          <w:tcPr>
            <w:tcW w:w="395" w:type="pct"/>
            <w:gridSpan w:val="3"/>
            <w:vMerge w:val="continue"/>
            <w:noWrap w:val="0"/>
            <w:vAlign w:val="center"/>
          </w:tcPr>
          <w:p w14:paraId="19490962">
            <w:pPr>
              <w:spacing w:line="0" w:lineRule="atLeast"/>
              <w:jc w:val="center"/>
              <w:rPr>
                <w:rFonts w:hint="eastAsia" w:hAnsi="宋体"/>
                <w:color w:val="auto"/>
                <w:spacing w:val="-10"/>
                <w:sz w:val="23"/>
                <w:szCs w:val="23"/>
                <w:highlight w:val="none"/>
              </w:rPr>
            </w:pPr>
          </w:p>
        </w:tc>
        <w:tc>
          <w:tcPr>
            <w:tcW w:w="1083" w:type="pct"/>
            <w:noWrap w:val="0"/>
            <w:vAlign w:val="center"/>
          </w:tcPr>
          <w:p w14:paraId="7BC147B0">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当地生态环境主管部门</w:t>
            </w:r>
          </w:p>
        </w:tc>
      </w:tr>
      <w:tr w14:paraId="05F57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40" w:hRule="atLeast"/>
          <w:jc w:val="center"/>
        </w:trPr>
        <w:tc>
          <w:tcPr>
            <w:tcW w:w="240" w:type="pct"/>
            <w:vMerge w:val="restart"/>
            <w:noWrap w:val="0"/>
            <w:vAlign w:val="center"/>
          </w:tcPr>
          <w:p w14:paraId="28474A33">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退役期</w:t>
            </w:r>
          </w:p>
        </w:tc>
        <w:tc>
          <w:tcPr>
            <w:tcW w:w="881" w:type="pct"/>
            <w:gridSpan w:val="5"/>
            <w:noWrap w:val="0"/>
            <w:vAlign w:val="center"/>
          </w:tcPr>
          <w:p w14:paraId="76639693">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施工扬尘</w:t>
            </w:r>
          </w:p>
        </w:tc>
        <w:tc>
          <w:tcPr>
            <w:tcW w:w="2397" w:type="pct"/>
            <w:gridSpan w:val="2"/>
            <w:noWrap w:val="0"/>
            <w:vAlign w:val="center"/>
          </w:tcPr>
          <w:p w14:paraId="78DD9A15">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施工现场洒水抑尘</w:t>
            </w:r>
          </w:p>
        </w:tc>
        <w:tc>
          <w:tcPr>
            <w:tcW w:w="395" w:type="pct"/>
            <w:gridSpan w:val="3"/>
            <w:vMerge w:val="restart"/>
            <w:noWrap w:val="0"/>
            <w:vAlign w:val="center"/>
          </w:tcPr>
          <w:p w14:paraId="5612537C">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施工单位及建设单位</w:t>
            </w:r>
          </w:p>
        </w:tc>
        <w:tc>
          <w:tcPr>
            <w:tcW w:w="1083" w:type="pct"/>
            <w:vMerge w:val="restart"/>
            <w:noWrap w:val="0"/>
            <w:vAlign w:val="center"/>
          </w:tcPr>
          <w:p w14:paraId="0FD378E2">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建设单位相关部门及当地生态环境主管部门</w:t>
            </w:r>
          </w:p>
        </w:tc>
      </w:tr>
      <w:tr w14:paraId="025E8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40" w:hRule="atLeast"/>
          <w:jc w:val="center"/>
        </w:trPr>
        <w:tc>
          <w:tcPr>
            <w:tcW w:w="240" w:type="pct"/>
            <w:vMerge w:val="continue"/>
            <w:noWrap w:val="0"/>
            <w:vAlign w:val="center"/>
          </w:tcPr>
          <w:p w14:paraId="27AF2178">
            <w:pPr>
              <w:spacing w:line="0" w:lineRule="atLeast"/>
              <w:jc w:val="center"/>
              <w:rPr>
                <w:rFonts w:hint="eastAsia" w:hAnsi="宋体"/>
                <w:color w:val="auto"/>
                <w:spacing w:val="-10"/>
                <w:sz w:val="23"/>
                <w:szCs w:val="23"/>
                <w:highlight w:val="none"/>
              </w:rPr>
            </w:pPr>
          </w:p>
        </w:tc>
        <w:tc>
          <w:tcPr>
            <w:tcW w:w="881" w:type="pct"/>
            <w:gridSpan w:val="5"/>
            <w:noWrap w:val="0"/>
            <w:vAlign w:val="center"/>
          </w:tcPr>
          <w:p w14:paraId="72E065A5">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固体废物</w:t>
            </w:r>
          </w:p>
        </w:tc>
        <w:tc>
          <w:tcPr>
            <w:tcW w:w="2397" w:type="pct"/>
            <w:gridSpan w:val="2"/>
            <w:noWrap w:val="0"/>
            <w:vAlign w:val="center"/>
          </w:tcPr>
          <w:p w14:paraId="2C8F926A">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落地油收集后委托有资质单位接收处置；建筑垃圾收集后送周边工业固体废物填埋场填埋处置；废弃管线维持现状，避免因开挖管线对区域生态环境造成二次破坏，管线内物质应清空干净，并按要求进行吹扫，管线两端使用盲板封堵</w:t>
            </w:r>
          </w:p>
        </w:tc>
        <w:tc>
          <w:tcPr>
            <w:tcW w:w="395" w:type="pct"/>
            <w:gridSpan w:val="3"/>
            <w:vMerge w:val="continue"/>
            <w:noWrap w:val="0"/>
            <w:vAlign w:val="center"/>
          </w:tcPr>
          <w:p w14:paraId="7FA4F738">
            <w:pPr>
              <w:spacing w:line="0" w:lineRule="atLeast"/>
              <w:jc w:val="center"/>
              <w:rPr>
                <w:rFonts w:hint="eastAsia" w:hAnsi="宋体"/>
                <w:color w:val="auto"/>
                <w:spacing w:val="-10"/>
                <w:sz w:val="23"/>
                <w:szCs w:val="23"/>
                <w:highlight w:val="none"/>
              </w:rPr>
            </w:pPr>
          </w:p>
        </w:tc>
        <w:tc>
          <w:tcPr>
            <w:tcW w:w="1083" w:type="pct"/>
            <w:vMerge w:val="continue"/>
            <w:noWrap w:val="0"/>
            <w:vAlign w:val="center"/>
          </w:tcPr>
          <w:p w14:paraId="047DDA33">
            <w:pPr>
              <w:spacing w:line="0" w:lineRule="atLeast"/>
              <w:jc w:val="center"/>
              <w:rPr>
                <w:rFonts w:hint="eastAsia" w:hAnsi="宋体"/>
                <w:color w:val="auto"/>
                <w:spacing w:val="-10"/>
                <w:sz w:val="23"/>
                <w:szCs w:val="23"/>
                <w:highlight w:val="none"/>
              </w:rPr>
            </w:pPr>
          </w:p>
        </w:tc>
      </w:tr>
      <w:tr w14:paraId="30B3C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40" w:hRule="atLeast"/>
          <w:jc w:val="center"/>
        </w:trPr>
        <w:tc>
          <w:tcPr>
            <w:tcW w:w="240" w:type="pct"/>
            <w:vMerge w:val="continue"/>
            <w:noWrap w:val="0"/>
            <w:vAlign w:val="center"/>
          </w:tcPr>
          <w:p w14:paraId="4512BF4B">
            <w:pPr>
              <w:spacing w:line="0" w:lineRule="atLeast"/>
              <w:jc w:val="center"/>
              <w:rPr>
                <w:rFonts w:hint="eastAsia" w:hAnsi="宋体"/>
                <w:color w:val="auto"/>
                <w:spacing w:val="-10"/>
                <w:sz w:val="23"/>
                <w:szCs w:val="23"/>
                <w:highlight w:val="none"/>
              </w:rPr>
            </w:pPr>
          </w:p>
        </w:tc>
        <w:tc>
          <w:tcPr>
            <w:tcW w:w="881" w:type="pct"/>
            <w:gridSpan w:val="5"/>
            <w:noWrap w:val="0"/>
            <w:vAlign w:val="center"/>
          </w:tcPr>
          <w:p w14:paraId="2010E5E3">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噪声</w:t>
            </w:r>
          </w:p>
        </w:tc>
        <w:tc>
          <w:tcPr>
            <w:tcW w:w="2397" w:type="pct"/>
            <w:gridSpan w:val="2"/>
            <w:noWrap w:val="0"/>
            <w:vAlign w:val="center"/>
          </w:tcPr>
          <w:p w14:paraId="36144EB2">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选用低噪声的设备、保持设施良好的运行工况，选择合理的施工时间等</w:t>
            </w:r>
          </w:p>
        </w:tc>
        <w:tc>
          <w:tcPr>
            <w:tcW w:w="395" w:type="pct"/>
            <w:gridSpan w:val="3"/>
            <w:vMerge w:val="continue"/>
            <w:noWrap w:val="0"/>
            <w:vAlign w:val="center"/>
          </w:tcPr>
          <w:p w14:paraId="74ED32B3">
            <w:pPr>
              <w:spacing w:line="0" w:lineRule="atLeast"/>
              <w:jc w:val="center"/>
              <w:rPr>
                <w:rFonts w:hint="eastAsia" w:hAnsi="宋体"/>
                <w:color w:val="auto"/>
                <w:spacing w:val="-10"/>
                <w:sz w:val="23"/>
                <w:szCs w:val="23"/>
                <w:highlight w:val="none"/>
              </w:rPr>
            </w:pPr>
          </w:p>
        </w:tc>
        <w:tc>
          <w:tcPr>
            <w:tcW w:w="1083" w:type="pct"/>
            <w:vMerge w:val="continue"/>
            <w:noWrap w:val="0"/>
            <w:vAlign w:val="center"/>
          </w:tcPr>
          <w:p w14:paraId="0B922205">
            <w:pPr>
              <w:spacing w:line="0" w:lineRule="atLeast"/>
              <w:jc w:val="center"/>
              <w:rPr>
                <w:rFonts w:hint="eastAsia" w:hAnsi="宋体"/>
                <w:color w:val="auto"/>
                <w:spacing w:val="-10"/>
                <w:sz w:val="23"/>
                <w:szCs w:val="23"/>
                <w:highlight w:val="none"/>
              </w:rPr>
            </w:pPr>
          </w:p>
        </w:tc>
      </w:tr>
      <w:tr w14:paraId="6F3BE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1" w:type="pct"/>
          <w:trHeight w:val="340" w:hRule="atLeast"/>
          <w:jc w:val="center"/>
        </w:trPr>
        <w:tc>
          <w:tcPr>
            <w:tcW w:w="240" w:type="pct"/>
            <w:vMerge w:val="continue"/>
            <w:noWrap w:val="0"/>
            <w:vAlign w:val="center"/>
          </w:tcPr>
          <w:p w14:paraId="7566EC92">
            <w:pPr>
              <w:spacing w:line="0" w:lineRule="atLeast"/>
              <w:jc w:val="center"/>
              <w:rPr>
                <w:rFonts w:hint="eastAsia" w:hAnsi="宋体"/>
                <w:color w:val="auto"/>
                <w:spacing w:val="-10"/>
                <w:sz w:val="23"/>
                <w:szCs w:val="23"/>
                <w:highlight w:val="none"/>
              </w:rPr>
            </w:pPr>
          </w:p>
        </w:tc>
        <w:tc>
          <w:tcPr>
            <w:tcW w:w="881" w:type="pct"/>
            <w:gridSpan w:val="5"/>
            <w:noWrap w:val="0"/>
            <w:vAlign w:val="center"/>
          </w:tcPr>
          <w:p w14:paraId="58672039">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生态恢复</w:t>
            </w:r>
          </w:p>
        </w:tc>
        <w:tc>
          <w:tcPr>
            <w:tcW w:w="2397" w:type="pct"/>
            <w:gridSpan w:val="2"/>
            <w:noWrap w:val="0"/>
            <w:vAlign w:val="center"/>
          </w:tcPr>
          <w:p w14:paraId="320285A4">
            <w:pPr>
              <w:spacing w:line="0" w:lineRule="atLeast"/>
              <w:jc w:val="center"/>
              <w:rPr>
                <w:rFonts w:hint="eastAsia" w:hAnsi="宋体"/>
                <w:color w:val="auto"/>
                <w:spacing w:val="-10"/>
                <w:sz w:val="23"/>
                <w:szCs w:val="23"/>
                <w:highlight w:val="none"/>
              </w:rPr>
            </w:pPr>
            <w:r>
              <w:rPr>
                <w:rFonts w:hint="eastAsia" w:hAnsi="宋体"/>
                <w:color w:val="auto"/>
                <w:spacing w:val="-10"/>
                <w:sz w:val="23"/>
                <w:szCs w:val="23"/>
                <w:highlight w:val="none"/>
              </w:rPr>
              <w:t>闭井后要拆除井架、井台，并对井场土地进行平整，清除地面上残留的污染物</w:t>
            </w:r>
          </w:p>
        </w:tc>
        <w:tc>
          <w:tcPr>
            <w:tcW w:w="395" w:type="pct"/>
            <w:gridSpan w:val="3"/>
            <w:vMerge w:val="continue"/>
            <w:noWrap w:val="0"/>
            <w:vAlign w:val="center"/>
          </w:tcPr>
          <w:p w14:paraId="18DF5FD4">
            <w:pPr>
              <w:spacing w:line="0" w:lineRule="atLeast"/>
              <w:jc w:val="center"/>
              <w:rPr>
                <w:rFonts w:hint="eastAsia" w:hAnsi="宋体"/>
                <w:color w:val="auto"/>
                <w:spacing w:val="-10"/>
                <w:sz w:val="23"/>
                <w:szCs w:val="23"/>
                <w:highlight w:val="none"/>
              </w:rPr>
            </w:pPr>
          </w:p>
        </w:tc>
        <w:tc>
          <w:tcPr>
            <w:tcW w:w="1083" w:type="pct"/>
            <w:vMerge w:val="continue"/>
            <w:noWrap w:val="0"/>
            <w:vAlign w:val="center"/>
          </w:tcPr>
          <w:p w14:paraId="7D593B59">
            <w:pPr>
              <w:spacing w:line="0" w:lineRule="atLeast"/>
              <w:jc w:val="center"/>
              <w:rPr>
                <w:rFonts w:hint="eastAsia" w:hAnsi="宋体"/>
                <w:color w:val="auto"/>
                <w:spacing w:val="-10"/>
                <w:sz w:val="23"/>
                <w:szCs w:val="23"/>
                <w:highlight w:val="none"/>
              </w:rPr>
            </w:pPr>
          </w:p>
        </w:tc>
      </w:tr>
    </w:tbl>
    <w:p w14:paraId="7B62627C">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9.1.5 施工期环境监理</w:t>
      </w:r>
    </w:p>
    <w:p w14:paraId="6E12EE7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本项目施工期对周边环境造成一定影响，在施工期阶段应积极开展环境监理工作。建设单位应在项目实施之前与监理单位签订合同，并要求监理单位按照合同文件要求在施工期介入环境监理。可采取巡视、旁站等环境监理方式对施工期污染防治措施、项目建设内容、配套环保设施、生态保护措施、环境管理制度、环境敏感目标等与环评及批复文件的符合性进行监理。</w:t>
      </w:r>
    </w:p>
    <w:p w14:paraId="0E65F292">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9.1.6 开展环境影响后评价工作相关要求</w:t>
      </w:r>
    </w:p>
    <w:p w14:paraId="5C14DC21">
      <w:pPr>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中华人民共和国环境影响评价法》《建设项目环境影响后评价管理办法（试行）》《关于进一步加强石油天然气行业环境影响评价管理的通知》（环办环评函〔2019〕910号）《关于加强建设项目环境影响后评价管理的通知》（新环环评发〔2020〕162号）要求，项目正式投产或运营后，每3</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5年开展一次环境影响后评价，依法报批生态环境主管部门备案。石油天然气开发建设项目可按照开发区块整体开展环境影响后评价工作。</w:t>
      </w:r>
    </w:p>
    <w:p w14:paraId="6301DF97">
      <w:pPr>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因此，项目正式投产或运营后，可纳入</w:t>
      </w:r>
      <w:r>
        <w:rPr>
          <w:rFonts w:hint="eastAsia" w:ascii="Times New Roman" w:hAnsi="Times New Roman" w:cs="Times New Roman"/>
          <w:color w:val="auto"/>
          <w:highlight w:val="none"/>
          <w:lang w:val="en-US" w:eastAsia="zh-CN"/>
        </w:rPr>
        <w:t>塔河油田</w:t>
      </w:r>
      <w:r>
        <w:rPr>
          <w:rFonts w:ascii="Times New Roman" w:hAnsi="Times New Roman" w:cs="Times New Roman"/>
          <w:color w:val="auto"/>
          <w:highlight w:val="none"/>
        </w:rPr>
        <w:t>开发区块整体开展环境影响后评价工作。</w:t>
      </w:r>
    </w:p>
    <w:p w14:paraId="4F3C6481">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9.1.7 排污许可</w:t>
      </w:r>
    </w:p>
    <w:p w14:paraId="4CC75413">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依据《排污许可管理条例》(中华人民共和国国务院令 第736号)第二条规定：依照法律规定实行排污许可管理的企业事业单位和其他生产经营者，应当依照本条例规定申请取得排污许可证；未取得排污许可证的，不得排放污染物。</w:t>
      </w:r>
    </w:p>
    <w:p w14:paraId="61545B36">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根据《排污许可证申请与核发技术规范 总则》(HJ942-2018)、《排污许可证申请与核发技术规范 工业噪声》(HJ1301-2023)、《排污单位自行监测技术指南 总则》(HJ819-2017)及《关于进一步做好环境影响评价与排污许可衔接工作的通知》(环办环评</w:t>
      </w:r>
      <w:r>
        <w:rPr>
          <w:rFonts w:hint="eastAsia" w:cs="Times New Roman"/>
          <w:color w:val="auto"/>
          <w:spacing w:val="4"/>
          <w:kern w:val="24"/>
          <w:szCs w:val="22"/>
          <w:highlight w:val="none"/>
          <w:lang w:eastAsia="zh-CN"/>
        </w:rPr>
        <w:t>〔2017〕84号</w:t>
      </w:r>
      <w:r>
        <w:rPr>
          <w:rFonts w:hint="eastAsia" w:ascii="Times New Roman" w:hAnsi="Times New Roman" w:eastAsia="宋体" w:cs="Times New Roman"/>
          <w:color w:val="auto"/>
          <w:spacing w:val="4"/>
          <w:kern w:val="24"/>
          <w:szCs w:val="22"/>
          <w:highlight w:val="none"/>
        </w:rPr>
        <w:t>)，本项目应纳入西北油田分公司采油</w:t>
      </w:r>
      <w:r>
        <w:rPr>
          <w:rFonts w:hint="eastAsia" w:ascii="Times New Roman" w:hAnsi="Times New Roman" w:eastAsia="宋体" w:cs="Times New Roman"/>
          <w:color w:val="auto"/>
          <w:spacing w:val="4"/>
          <w:kern w:val="24"/>
          <w:szCs w:val="22"/>
          <w:highlight w:val="none"/>
          <w:lang w:val="en-US" w:eastAsia="zh-CN"/>
        </w:rPr>
        <w:t>三</w:t>
      </w:r>
      <w:r>
        <w:rPr>
          <w:rFonts w:hint="eastAsia" w:ascii="Times New Roman" w:hAnsi="Times New Roman" w:eastAsia="宋体" w:cs="Times New Roman"/>
          <w:color w:val="auto"/>
          <w:spacing w:val="4"/>
          <w:kern w:val="24"/>
          <w:szCs w:val="22"/>
          <w:highlight w:val="none"/>
        </w:rPr>
        <w:t>厂排污许可管理，项目无组织废气严格执行《陆上石油天然气开采工业大气污染物排放标准》(GB39728-2020)中其他排放控制要求，同时应进一步完善排污许可变更、自行监测制度及排污口规范化管理制度等。</w:t>
      </w:r>
    </w:p>
    <w:p w14:paraId="3A9152D1">
      <w:pPr>
        <w:pageBreakBefore w:val="0"/>
        <w:kinsoku/>
        <w:wordWrap/>
        <w:overflowPunct/>
        <w:topLinePunct w:val="0"/>
        <w:autoSpaceDE/>
        <w:autoSpaceDN/>
        <w:bidi w:val="0"/>
        <w:adjustRightInd/>
        <w:snapToGrid/>
        <w:spacing w:line="360" w:lineRule="auto"/>
        <w:ind w:firstLine="496" w:firstLineChars="200"/>
        <w:jc w:val="both"/>
        <w:textAlignment w:val="auto"/>
        <w:rPr>
          <w:rFonts w:hint="eastAsia" w:ascii="Times New Roman" w:hAnsi="Times New Roman" w:eastAsia="宋体" w:cs="Times New Roman"/>
          <w:color w:val="auto"/>
          <w:spacing w:val="4"/>
          <w:kern w:val="24"/>
          <w:szCs w:val="22"/>
          <w:highlight w:val="none"/>
        </w:rPr>
      </w:pPr>
      <w:r>
        <w:rPr>
          <w:rFonts w:hint="eastAsia" w:ascii="Times New Roman" w:hAnsi="Times New Roman" w:eastAsia="宋体" w:cs="Times New Roman"/>
          <w:color w:val="auto"/>
          <w:spacing w:val="4"/>
          <w:kern w:val="24"/>
          <w:szCs w:val="22"/>
          <w:highlight w:val="none"/>
        </w:rPr>
        <w:t>根据《排污单位环境管理台账及排污许可证执行报告技术规范 总则（试行）》（HJ944-2018）要求，项目应以各采油厂为单位建立环境管理台账制度和排污许可证执行报告，落实环境管理台账记录的责任单位和责任人，明确工作职责，并对环境管理台账的真实性、完整性和规范性负责。一般按日或按批次进行记录，异常情况应按次记录。</w:t>
      </w:r>
    </w:p>
    <w:p w14:paraId="4E05EFBA">
      <w:pPr>
        <w:pStyle w:val="5"/>
        <w:pageBreakBefore w:val="0"/>
        <w:kinsoku/>
        <w:wordWrap/>
        <w:overflowPunct/>
        <w:topLinePunct w:val="0"/>
        <w:autoSpaceDE/>
        <w:autoSpaceDN/>
        <w:bidi w:val="0"/>
        <w:adjustRightInd/>
        <w:snapToGrid/>
        <w:spacing w:beforeLines="0" w:after="0" w:line="360" w:lineRule="auto"/>
        <w:textAlignment w:val="auto"/>
        <w:rPr>
          <w:rFonts w:hint="eastAsia" w:ascii="Times New Roman" w:hAnsi="Times New Roman" w:eastAsia="宋体" w:cs="Times New Roman"/>
          <w:color w:val="auto"/>
          <w:highlight w:val="none"/>
          <w:lang w:val="en-US" w:eastAsia="zh-CN"/>
        </w:rPr>
      </w:pPr>
      <w:bookmarkStart w:id="702" w:name="_Toc184971619"/>
      <w:bookmarkStart w:id="703" w:name="_Toc22158"/>
      <w:r>
        <w:rPr>
          <w:rFonts w:hint="eastAsia" w:ascii="Times New Roman" w:hAnsi="Times New Roman" w:eastAsia="宋体" w:cs="Times New Roman"/>
          <w:color w:val="auto"/>
          <w:highlight w:val="none"/>
          <w:lang w:val="en-US" w:eastAsia="zh-CN"/>
        </w:rPr>
        <w:t>9.2 企业环境信息披露</w:t>
      </w:r>
      <w:bookmarkEnd w:id="702"/>
      <w:bookmarkEnd w:id="703"/>
    </w:p>
    <w:p w14:paraId="3B8238B2">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9.2.1 披露内容</w:t>
      </w:r>
    </w:p>
    <w:p w14:paraId="1CE91A71">
      <w:pPr>
        <w:spacing w:line="460" w:lineRule="exact"/>
        <w:ind w:firstLine="480" w:firstLineChars="200"/>
        <w:rPr>
          <w:rFonts w:hint="eastAsia" w:hAnsi="宋体"/>
          <w:bCs/>
          <w:color w:val="auto"/>
          <w:highlight w:val="none"/>
        </w:rPr>
      </w:pPr>
      <w:r>
        <w:rPr>
          <w:rFonts w:hint="eastAsia" w:hAnsi="宋体"/>
          <w:bCs/>
          <w:color w:val="auto"/>
          <w:highlight w:val="none"/>
        </w:rPr>
        <w:t>(1)基础信息</w:t>
      </w:r>
    </w:p>
    <w:p w14:paraId="0B58F732">
      <w:pPr>
        <w:spacing w:line="460" w:lineRule="exact"/>
        <w:ind w:firstLine="480" w:firstLineChars="200"/>
        <w:rPr>
          <w:rFonts w:hint="eastAsia" w:hAnsi="宋体"/>
          <w:bCs/>
          <w:color w:val="auto"/>
          <w:highlight w:val="none"/>
        </w:rPr>
      </w:pPr>
      <w:r>
        <w:rPr>
          <w:rFonts w:hint="eastAsia" w:hAnsi="宋体"/>
          <w:bCs/>
          <w:color w:val="auto"/>
          <w:highlight w:val="none"/>
        </w:rPr>
        <w:t xml:space="preserve">企业名称：中国石油化工股份有限公司西北油田分公司 </w:t>
      </w:r>
    </w:p>
    <w:p w14:paraId="65511369">
      <w:pPr>
        <w:spacing w:line="460" w:lineRule="exact"/>
        <w:ind w:firstLine="480" w:firstLineChars="200"/>
        <w:rPr>
          <w:rFonts w:hint="eastAsia" w:hAnsi="宋体"/>
          <w:bCs/>
          <w:color w:val="auto"/>
          <w:highlight w:val="none"/>
        </w:rPr>
      </w:pPr>
      <w:r>
        <w:rPr>
          <w:rFonts w:hint="eastAsia" w:hAnsi="宋体"/>
          <w:bCs/>
          <w:color w:val="auto"/>
          <w:highlight w:val="none"/>
        </w:rPr>
        <w:t>法人代表：王世洁</w:t>
      </w:r>
    </w:p>
    <w:p w14:paraId="5F237375">
      <w:pPr>
        <w:spacing w:line="460" w:lineRule="exact"/>
        <w:ind w:firstLine="480" w:firstLineChars="200"/>
        <w:rPr>
          <w:rFonts w:hint="eastAsia" w:hAnsi="宋体"/>
          <w:bCs/>
          <w:color w:val="auto"/>
          <w:highlight w:val="none"/>
        </w:rPr>
      </w:pPr>
      <w:r>
        <w:rPr>
          <w:rFonts w:hint="eastAsia" w:hAnsi="宋体"/>
          <w:bCs/>
          <w:color w:val="auto"/>
          <w:highlight w:val="none"/>
        </w:rPr>
        <w:t>生产地址：新疆</w:t>
      </w:r>
      <w:r>
        <w:rPr>
          <w:rFonts w:hint="eastAsia" w:hAnsi="宋体" w:cs="宋体"/>
          <w:color w:val="auto"/>
          <w:highlight w:val="none"/>
        </w:rPr>
        <w:t>阿克苏地区库车市</w:t>
      </w:r>
      <w:r>
        <w:rPr>
          <w:rFonts w:hint="eastAsia" w:hAnsi="宋体"/>
          <w:bCs/>
          <w:color w:val="auto"/>
          <w:highlight w:val="none"/>
        </w:rPr>
        <w:t xml:space="preserve">境内 </w:t>
      </w:r>
    </w:p>
    <w:p w14:paraId="4732988D">
      <w:pPr>
        <w:overflowPunct w:val="0"/>
        <w:topLinePunct/>
        <w:spacing w:line="460" w:lineRule="exact"/>
        <w:ind w:firstLine="480" w:firstLineChars="200"/>
        <w:rPr>
          <w:rFonts w:hint="eastAsia" w:hAnsi="宋体"/>
          <w:bCs/>
          <w:color w:val="auto"/>
          <w:highlight w:val="none"/>
        </w:rPr>
      </w:pPr>
      <w:r>
        <w:rPr>
          <w:rFonts w:hint="eastAsia" w:hAnsi="宋体"/>
          <w:bCs/>
          <w:color w:val="auto"/>
          <w:highlight w:val="none"/>
        </w:rPr>
        <w:t>主要产品及规模：</w:t>
      </w:r>
      <w:r>
        <w:rPr>
          <w:rFonts w:hint="eastAsia"/>
          <w:color w:val="auto"/>
          <w:highlight w:val="none"/>
        </w:rPr>
        <w:t>①</w:t>
      </w:r>
      <w:r>
        <w:rPr>
          <w:rFonts w:hint="eastAsia"/>
          <w:color w:val="auto"/>
          <w:highlight w:val="none"/>
          <w:lang w:val="en-US" w:eastAsia="zh-CN"/>
        </w:rPr>
        <w:t>部署</w:t>
      </w:r>
      <w:r>
        <w:rPr>
          <w:rFonts w:hint="eastAsia"/>
          <w:color w:val="auto"/>
          <w:highlight w:val="none"/>
        </w:rPr>
        <w:t>老井侧钻</w:t>
      </w:r>
      <w:r>
        <w:rPr>
          <w:rFonts w:hint="eastAsia"/>
          <w:color w:val="auto"/>
          <w:highlight w:val="none"/>
          <w:lang w:val="en-US" w:eastAsia="zh-CN"/>
        </w:rPr>
        <w:t>4</w:t>
      </w:r>
      <w:r>
        <w:rPr>
          <w:rFonts w:hint="eastAsia"/>
          <w:color w:val="auto"/>
          <w:highlight w:val="none"/>
        </w:rPr>
        <w:t>口</w:t>
      </w:r>
      <w:r>
        <w:rPr>
          <w:rFonts w:hint="eastAsia"/>
          <w:color w:val="auto"/>
          <w:highlight w:val="none"/>
          <w:lang w:eastAsia="zh-CN"/>
        </w:rPr>
        <w:t>（</w:t>
      </w:r>
      <w:r>
        <w:rPr>
          <w:rFonts w:hint="default" w:ascii="Times New Roman" w:hAnsi="Times New Roman" w:cs="Times New Roman"/>
          <w:color w:val="auto"/>
          <w:spacing w:val="-6"/>
          <w:sz w:val="24"/>
          <w:highlight w:val="none"/>
          <w:lang w:val="en-US" w:eastAsia="zh-CN"/>
        </w:rPr>
        <w:t>TH10294</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、TH10250</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、TH10298</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、TK872</w:t>
      </w:r>
      <w:r>
        <w:rPr>
          <w:rFonts w:hint="eastAsia" w:cs="Times New Roman"/>
          <w:color w:val="auto"/>
          <w:spacing w:val="-6"/>
          <w:sz w:val="24"/>
          <w:highlight w:val="none"/>
          <w:lang w:val="en-US" w:eastAsia="zh-CN"/>
        </w:rPr>
        <w:t>CH</w:t>
      </w:r>
      <w:r>
        <w:rPr>
          <w:rFonts w:hint="eastAsia"/>
          <w:color w:val="auto"/>
          <w:highlight w:val="none"/>
          <w:lang w:eastAsia="zh-CN"/>
        </w:rPr>
        <w:t>），</w:t>
      </w:r>
      <w:r>
        <w:rPr>
          <w:rFonts w:hint="eastAsia"/>
          <w:color w:val="auto"/>
          <w:highlight w:val="none"/>
        </w:rPr>
        <w:t>老井不新增地面设施；②新建TH102117X井至T707CH</w:t>
      </w:r>
      <w:r>
        <w:rPr>
          <w:rFonts w:hint="eastAsia"/>
          <w:color w:val="auto"/>
          <w:highlight w:val="none"/>
          <w:lang w:val="en-US" w:eastAsia="zh-CN"/>
        </w:rPr>
        <w:t>井采油管线601</w:t>
      </w:r>
      <w:r>
        <w:rPr>
          <w:rFonts w:hint="eastAsia"/>
          <w:color w:val="auto"/>
          <w:highlight w:val="none"/>
        </w:rPr>
        <w:t>m</w:t>
      </w:r>
      <w:r>
        <w:rPr>
          <w:rFonts w:hint="eastAsia"/>
          <w:color w:val="auto"/>
          <w:highlight w:val="none"/>
          <w:lang w:eastAsia="zh-CN"/>
        </w:rPr>
        <w:t>，</w:t>
      </w:r>
      <w:r>
        <w:rPr>
          <w:rFonts w:hint="eastAsia"/>
          <w:color w:val="auto"/>
          <w:highlight w:val="none"/>
          <w:lang w:val="en-US" w:eastAsia="zh-CN"/>
        </w:rPr>
        <w:t>新建T707CH井场至TH102117X井场掺稀管线601m、燃料气管线601m，三条管线同沟敷设；</w:t>
      </w:r>
      <w:r>
        <w:rPr>
          <w:rFonts w:hint="eastAsia"/>
          <w:color w:val="auto"/>
          <w:sz w:val="24"/>
          <w:szCs w:val="24"/>
          <w:highlight w:val="none"/>
        </w:rPr>
        <w:t>4口</w:t>
      </w:r>
      <w:r>
        <w:rPr>
          <w:rFonts w:hint="eastAsia"/>
          <w:color w:val="auto"/>
          <w:sz w:val="24"/>
          <w:szCs w:val="24"/>
          <w:highlight w:val="none"/>
          <w:lang w:val="en-US" w:eastAsia="zh-CN"/>
        </w:rPr>
        <w:t>侧钻老</w:t>
      </w:r>
      <w:r>
        <w:rPr>
          <w:rFonts w:hint="eastAsia"/>
          <w:color w:val="auto"/>
          <w:sz w:val="24"/>
          <w:szCs w:val="24"/>
          <w:highlight w:val="none"/>
        </w:rPr>
        <w:t>井管线均可利旧</w:t>
      </w:r>
      <w:r>
        <w:rPr>
          <w:rFonts w:hint="eastAsia"/>
          <w:color w:val="auto"/>
          <w:sz w:val="24"/>
          <w:szCs w:val="24"/>
          <w:highlight w:val="none"/>
          <w:lang w:eastAsia="zh-CN"/>
        </w:rPr>
        <w:t>；</w:t>
      </w:r>
      <w:r>
        <w:rPr>
          <w:rFonts w:hint="eastAsia"/>
          <w:color w:val="auto"/>
          <w:highlight w:val="none"/>
        </w:rPr>
        <w:fldChar w:fldCharType="begin"/>
      </w:r>
      <w:r>
        <w:rPr>
          <w:rFonts w:hint="eastAsia"/>
          <w:color w:val="auto"/>
          <w:highlight w:val="none"/>
        </w:rPr>
        <w:instrText xml:space="preserve"> = 3 \* GB3 \* MERGEFORMAT </w:instrText>
      </w:r>
      <w:r>
        <w:rPr>
          <w:rFonts w:hint="eastAsia"/>
          <w:color w:val="auto"/>
          <w:highlight w:val="none"/>
        </w:rPr>
        <w:fldChar w:fldCharType="separate"/>
      </w:r>
      <w:r>
        <w:rPr>
          <w:color w:val="auto"/>
          <w:highlight w:val="none"/>
        </w:rPr>
        <w:t>③</w:t>
      </w:r>
      <w:r>
        <w:rPr>
          <w:rFonts w:hint="eastAsia"/>
          <w:color w:val="auto"/>
          <w:highlight w:val="none"/>
        </w:rPr>
        <w:fldChar w:fldCharType="end"/>
      </w:r>
      <w:r>
        <w:rPr>
          <w:rFonts w:hint="eastAsia"/>
          <w:color w:val="auto"/>
          <w:sz w:val="24"/>
          <w:szCs w:val="24"/>
          <w:highlight w:val="none"/>
        </w:rPr>
        <w:t>本次部署的4口侧钻井地面配套的</w:t>
      </w:r>
      <w:r>
        <w:rPr>
          <w:rFonts w:hint="eastAsia"/>
          <w:color w:val="auto"/>
          <w:sz w:val="24"/>
          <w:szCs w:val="24"/>
          <w:highlight w:val="none"/>
          <w:lang w:val="en-US" w:eastAsia="zh-CN"/>
        </w:rPr>
        <w:t>热力、</w:t>
      </w:r>
      <w:r>
        <w:rPr>
          <w:rFonts w:hint="eastAsia"/>
          <w:color w:val="auto"/>
          <w:sz w:val="24"/>
          <w:szCs w:val="24"/>
          <w:highlight w:val="none"/>
        </w:rPr>
        <w:t>电力、自控、通信均可利旧</w:t>
      </w:r>
      <w:r>
        <w:rPr>
          <w:rFonts w:hint="eastAsia"/>
          <w:color w:val="auto"/>
          <w:highlight w:val="none"/>
        </w:rPr>
        <w:t>。</w:t>
      </w:r>
      <w:r>
        <w:rPr>
          <w:rFonts w:hint="eastAsia" w:cs="Times New Roman"/>
          <w:color w:val="auto"/>
          <w:highlight w:val="none"/>
          <w:lang w:val="en-US" w:eastAsia="zh-CN"/>
        </w:rPr>
        <w:t>侧钻后单井平均产油</w:t>
      </w:r>
      <w:r>
        <w:rPr>
          <w:rFonts w:hint="eastAsia"/>
          <w:color w:val="auto"/>
          <w:szCs w:val="24"/>
          <w:highlight w:val="none"/>
        </w:rPr>
        <w:t>14t/d，</w:t>
      </w:r>
      <w:r>
        <w:rPr>
          <w:rFonts w:hint="eastAsia"/>
          <w:color w:val="auto"/>
          <w:sz w:val="24"/>
          <w:szCs w:val="24"/>
          <w:highlight w:val="none"/>
        </w:rPr>
        <w:t>最高产油1.42万</w:t>
      </w:r>
      <w:r>
        <w:rPr>
          <w:rFonts w:hint="eastAsia"/>
          <w:color w:val="auto"/>
          <w:sz w:val="24"/>
          <w:szCs w:val="24"/>
          <w:highlight w:val="none"/>
          <w:lang w:val="en-US" w:eastAsia="zh-CN"/>
        </w:rPr>
        <w:t>t/a</w:t>
      </w:r>
      <w:r>
        <w:rPr>
          <w:rFonts w:hint="default" w:ascii="Times New Roman" w:hAnsi="Times New Roman" w:cs="Times New Roman"/>
          <w:color w:val="auto"/>
          <w:highlight w:val="none"/>
        </w:rPr>
        <w:t>。</w:t>
      </w:r>
    </w:p>
    <w:p w14:paraId="2965ADCE">
      <w:pPr>
        <w:spacing w:line="460" w:lineRule="exact"/>
        <w:ind w:firstLine="480" w:firstLineChars="200"/>
        <w:rPr>
          <w:rFonts w:hint="eastAsia" w:hAnsi="宋体"/>
          <w:bCs/>
          <w:color w:val="auto"/>
          <w:highlight w:val="none"/>
        </w:rPr>
      </w:pPr>
      <w:r>
        <w:rPr>
          <w:rFonts w:hint="eastAsia" w:hAnsi="宋体"/>
          <w:bCs/>
          <w:color w:val="auto"/>
          <w:highlight w:val="none"/>
        </w:rPr>
        <w:t>(2)</w:t>
      </w:r>
      <w:r>
        <w:rPr>
          <w:rFonts w:hAnsi="宋体"/>
          <w:bCs/>
          <w:color w:val="auto"/>
          <w:highlight w:val="none"/>
        </w:rPr>
        <w:t>排污信息</w:t>
      </w:r>
    </w:p>
    <w:p w14:paraId="62B283B0">
      <w:pPr>
        <w:spacing w:line="460" w:lineRule="exact"/>
        <w:ind w:firstLine="480" w:firstLineChars="200"/>
        <w:rPr>
          <w:rFonts w:hint="eastAsia" w:hAnsi="宋体" w:eastAsia="宋体"/>
          <w:bCs/>
          <w:color w:val="auto"/>
          <w:highlight w:val="none"/>
          <w:lang w:eastAsia="zh-CN"/>
        </w:rPr>
      </w:pPr>
      <w:r>
        <w:rPr>
          <w:rFonts w:hint="eastAsia" w:hAnsi="宋体"/>
          <w:bCs/>
          <w:color w:val="auto"/>
          <w:highlight w:val="none"/>
        </w:rPr>
        <w:t>本项目拟采取的环境保护措施、排放的污染物种类、排放浓度</w:t>
      </w:r>
      <w:r>
        <w:rPr>
          <w:rFonts w:hint="eastAsia" w:hAnsi="宋体"/>
          <w:bCs/>
          <w:color w:val="auto"/>
          <w:highlight w:val="none"/>
          <w:lang w:eastAsia="zh-CN"/>
        </w:rPr>
        <w:t>；</w:t>
      </w:r>
    </w:p>
    <w:p w14:paraId="5F12288B">
      <w:pPr>
        <w:spacing w:line="460" w:lineRule="exact"/>
        <w:ind w:firstLine="480" w:firstLineChars="200"/>
        <w:rPr>
          <w:rFonts w:hint="eastAsia" w:hAnsi="宋体" w:eastAsia="宋体"/>
          <w:bCs/>
          <w:color w:val="auto"/>
          <w:highlight w:val="none"/>
          <w:lang w:eastAsia="zh-CN"/>
        </w:rPr>
      </w:pPr>
      <w:r>
        <w:rPr>
          <w:rFonts w:hint="eastAsia" w:hAnsi="宋体"/>
          <w:bCs/>
          <w:color w:val="auto"/>
          <w:highlight w:val="none"/>
        </w:rPr>
        <w:t>本项目污染物排放标准</w:t>
      </w:r>
      <w:r>
        <w:rPr>
          <w:rFonts w:hint="eastAsia" w:hAnsi="宋体"/>
          <w:bCs/>
          <w:color w:val="auto"/>
          <w:highlight w:val="none"/>
          <w:lang w:eastAsia="zh-CN"/>
        </w:rPr>
        <w:t>；</w:t>
      </w:r>
    </w:p>
    <w:p w14:paraId="06E31FCA">
      <w:pPr>
        <w:spacing w:line="460" w:lineRule="exact"/>
        <w:ind w:firstLine="480" w:firstLineChars="200"/>
        <w:rPr>
          <w:rFonts w:hint="eastAsia" w:hAnsi="宋体"/>
          <w:bCs/>
          <w:color w:val="auto"/>
          <w:highlight w:val="none"/>
        </w:rPr>
      </w:pPr>
      <w:r>
        <w:rPr>
          <w:rFonts w:hint="eastAsia" w:hAnsi="宋体"/>
          <w:bCs/>
          <w:color w:val="auto"/>
          <w:highlight w:val="none"/>
        </w:rPr>
        <w:t>本项目污染物排放量情况。</w:t>
      </w:r>
    </w:p>
    <w:p w14:paraId="4B134480">
      <w:pPr>
        <w:spacing w:line="460" w:lineRule="exact"/>
        <w:ind w:firstLine="480" w:firstLineChars="200"/>
        <w:rPr>
          <w:rFonts w:hint="eastAsia" w:hAnsi="宋体"/>
          <w:bCs/>
          <w:color w:val="auto"/>
          <w:highlight w:val="none"/>
        </w:rPr>
      </w:pPr>
      <w:r>
        <w:rPr>
          <w:rFonts w:hint="eastAsia" w:hAnsi="宋体"/>
          <w:bCs/>
          <w:color w:val="auto"/>
          <w:highlight w:val="none"/>
        </w:rPr>
        <w:t>(3)环境风险防范措施</w:t>
      </w:r>
    </w:p>
    <w:p w14:paraId="6391C4A1">
      <w:pPr>
        <w:spacing w:line="460" w:lineRule="exact"/>
        <w:ind w:firstLine="480" w:firstLineChars="200"/>
        <w:rPr>
          <w:rFonts w:hint="eastAsia" w:hAnsi="宋体"/>
          <w:bCs/>
          <w:color w:val="auto"/>
          <w:highlight w:val="none"/>
        </w:rPr>
      </w:pPr>
      <w:r>
        <w:rPr>
          <w:rFonts w:hint="eastAsia" w:hAnsi="宋体"/>
          <w:bCs/>
          <w:color w:val="auto"/>
          <w:highlight w:val="none"/>
        </w:rPr>
        <w:t>本项目环境风险防范措施见采油三厂现行突发环境风险应急预案。</w:t>
      </w:r>
    </w:p>
    <w:p w14:paraId="7752C4AC">
      <w:pPr>
        <w:spacing w:line="460" w:lineRule="exact"/>
        <w:ind w:firstLine="480" w:firstLineChars="200"/>
        <w:rPr>
          <w:rFonts w:hint="eastAsia" w:hAnsi="宋体"/>
          <w:bCs/>
          <w:color w:val="auto"/>
          <w:highlight w:val="none"/>
        </w:rPr>
      </w:pPr>
      <w:r>
        <w:rPr>
          <w:rFonts w:hint="eastAsia" w:hAnsi="宋体"/>
          <w:bCs/>
          <w:color w:val="auto"/>
          <w:highlight w:val="none"/>
        </w:rPr>
        <w:t>(4)环境监测计划</w:t>
      </w:r>
    </w:p>
    <w:p w14:paraId="0ADAB497">
      <w:pPr>
        <w:spacing w:line="460" w:lineRule="exact"/>
        <w:ind w:firstLine="480" w:firstLineChars="200"/>
        <w:rPr>
          <w:rFonts w:hint="eastAsia" w:hAnsi="宋体"/>
          <w:bCs/>
          <w:color w:val="auto"/>
          <w:highlight w:val="none"/>
        </w:rPr>
      </w:pPr>
      <w:r>
        <w:rPr>
          <w:rFonts w:hint="eastAsia" w:hAnsi="宋体"/>
          <w:bCs/>
          <w:color w:val="auto"/>
          <w:highlight w:val="none"/>
        </w:rPr>
        <w:t>本项目环境监测计划见表9.4-1。</w:t>
      </w:r>
    </w:p>
    <w:p w14:paraId="3D84FB22">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9.2.2 披露方式及时间要求</w:t>
      </w:r>
    </w:p>
    <w:p w14:paraId="6261C79F">
      <w:pPr>
        <w:spacing w:line="460" w:lineRule="exact"/>
        <w:ind w:firstLine="480" w:firstLineChars="200"/>
        <w:rPr>
          <w:rFonts w:hint="eastAsia" w:hAnsi="宋体" w:cs="宋体"/>
          <w:color w:val="auto"/>
          <w:highlight w:val="none"/>
        </w:rPr>
      </w:pPr>
      <w:r>
        <w:rPr>
          <w:rFonts w:hint="eastAsia" w:hAnsi="宋体"/>
          <w:bCs/>
          <w:color w:val="auto"/>
          <w:highlight w:val="none"/>
        </w:rPr>
        <w:t>披露</w:t>
      </w:r>
      <w:r>
        <w:rPr>
          <w:rFonts w:hint="eastAsia" w:hAnsi="宋体" w:cs="宋体"/>
          <w:color w:val="auto"/>
          <w:highlight w:val="none"/>
        </w:rPr>
        <w:t>方式：通过公司网站、信息公开平台或当地报刊等便于公众知晓的方式公开。</w:t>
      </w:r>
    </w:p>
    <w:p w14:paraId="1A6F8BC2">
      <w:pPr>
        <w:spacing w:line="460" w:lineRule="exact"/>
        <w:ind w:firstLine="480" w:firstLineChars="200"/>
        <w:rPr>
          <w:rFonts w:hint="eastAsia" w:hAnsi="宋体" w:cs="宋体"/>
          <w:color w:val="auto"/>
          <w:highlight w:val="none"/>
        </w:rPr>
      </w:pPr>
      <w:r>
        <w:rPr>
          <w:rFonts w:hint="eastAsia" w:hAnsi="宋体"/>
          <w:bCs/>
          <w:color w:val="auto"/>
          <w:highlight w:val="none"/>
        </w:rPr>
        <w:t>披露时间要求：企业可以根据实际情况对已披露的环境信息进行变更；进行变更的，应当以临时环境信息依法披露报告的形式变更，并说明变更事项和理由</w:t>
      </w:r>
      <w:r>
        <w:rPr>
          <w:rFonts w:hAnsi="宋体"/>
          <w:bCs/>
          <w:color w:val="auto"/>
          <w:highlight w:val="none"/>
        </w:rPr>
        <w:t>。</w:t>
      </w:r>
    </w:p>
    <w:p w14:paraId="0741EFAC">
      <w:pPr>
        <w:pStyle w:val="5"/>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cs="Times New Roman"/>
          <w:color w:val="auto"/>
          <w:highlight w:val="none"/>
        </w:rPr>
      </w:pPr>
      <w:bookmarkStart w:id="704" w:name="_Toc18867"/>
      <w:bookmarkStart w:id="705" w:name="_Toc2904"/>
      <w:bookmarkStart w:id="706" w:name="_Toc28000"/>
      <w:bookmarkStart w:id="707" w:name="_Toc163965773"/>
      <w:bookmarkStart w:id="708" w:name="_Toc20289"/>
      <w:bookmarkStart w:id="709" w:name="_Toc112762501"/>
      <w:bookmarkStart w:id="710" w:name="_Toc112762365"/>
      <w:bookmarkStart w:id="711" w:name="_Toc24358"/>
      <w:bookmarkStart w:id="712" w:name="_Toc21525886"/>
      <w:bookmarkStart w:id="713" w:name="_Toc112762592"/>
      <w:bookmarkStart w:id="714" w:name="_Toc153349135"/>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污染物排放清单</w:t>
      </w:r>
      <w:bookmarkEnd w:id="704"/>
      <w:bookmarkEnd w:id="705"/>
      <w:bookmarkEnd w:id="706"/>
    </w:p>
    <w:p w14:paraId="2FDB4CD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sectPr>
          <w:headerReference r:id="rId26" w:type="default"/>
          <w:pgSz w:w="11906" w:h="16838"/>
          <w:pgMar w:top="1440" w:right="1689" w:bottom="1440" w:left="1689"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napToGrid/>
          <w:color w:val="auto"/>
          <w:highlight w:val="none"/>
          <w:lang w:eastAsia="zh-CN"/>
        </w:rPr>
        <w:t>本项目</w:t>
      </w:r>
      <w:r>
        <w:rPr>
          <w:rFonts w:hint="default" w:ascii="Times New Roman" w:hAnsi="Times New Roman" w:cs="Times New Roman"/>
          <w:snapToGrid/>
          <w:color w:val="auto"/>
          <w:highlight w:val="none"/>
        </w:rPr>
        <w:t>运营期污染物产生及排放情况详见</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9.</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-1。</w:t>
      </w:r>
    </w:p>
    <w:p w14:paraId="3C789AF2">
      <w:pPr>
        <w:pStyle w:val="54"/>
        <w:jc w:val="center"/>
        <w:rPr>
          <w:rFonts w:hint="eastAsia" w:ascii="黑体" w:hAnsi="黑体"/>
          <w:b w:val="0"/>
          <w:bCs/>
          <w:color w:val="auto"/>
          <w:highlight w:val="none"/>
        </w:rPr>
      </w:pPr>
      <w:r>
        <w:rPr>
          <w:rFonts w:hint="eastAsia" w:ascii="黑体" w:hAnsi="黑体"/>
          <w:b w:val="0"/>
          <w:bCs/>
          <w:color w:val="auto"/>
          <w:highlight w:val="none"/>
        </w:rPr>
        <w:t>表</w:t>
      </w:r>
      <w:r>
        <w:rPr>
          <w:rFonts w:hint="eastAsia" w:ascii="黑体" w:hAnsi="黑体"/>
          <w:b w:val="0"/>
          <w:bCs/>
          <w:color w:val="auto"/>
          <w:highlight w:val="none"/>
          <w:lang w:val="en-US" w:eastAsia="zh-CN"/>
        </w:rPr>
        <w:t>9</w:t>
      </w:r>
      <w:r>
        <w:rPr>
          <w:rFonts w:hint="eastAsia" w:ascii="黑体" w:hAnsi="黑体"/>
          <w:b w:val="0"/>
          <w:bCs/>
          <w:color w:val="auto"/>
          <w:highlight w:val="none"/>
        </w:rPr>
        <w:t>.</w:t>
      </w:r>
      <w:r>
        <w:rPr>
          <w:rFonts w:hint="eastAsia" w:ascii="黑体" w:hAnsi="黑体"/>
          <w:b w:val="0"/>
          <w:bCs/>
          <w:color w:val="auto"/>
          <w:highlight w:val="none"/>
          <w:lang w:val="en-US" w:eastAsia="zh-CN"/>
        </w:rPr>
        <w:t>3</w:t>
      </w:r>
      <w:r>
        <w:rPr>
          <w:rFonts w:hint="eastAsia" w:ascii="黑体" w:hAnsi="黑体"/>
          <w:b w:val="0"/>
          <w:bCs/>
          <w:color w:val="auto"/>
          <w:highlight w:val="none"/>
        </w:rPr>
        <w:t>-</w:t>
      </w:r>
      <w:r>
        <w:rPr>
          <w:rFonts w:hint="eastAsia" w:ascii="黑体" w:hAnsi="黑体"/>
          <w:b w:val="0"/>
          <w:bCs/>
          <w:color w:val="auto"/>
          <w:highlight w:val="none"/>
          <w:lang w:val="en-US" w:eastAsia="zh-CN"/>
        </w:rPr>
        <w:t>1</w:t>
      </w:r>
      <w:r>
        <w:rPr>
          <w:rFonts w:hint="eastAsia" w:ascii="黑体" w:hAnsi="黑体"/>
          <w:b w:val="0"/>
          <w:bCs/>
          <w:color w:val="auto"/>
          <w:highlight w:val="none"/>
        </w:rPr>
        <w:t>运营期污染物排放汇总</w:t>
      </w:r>
    </w:p>
    <w:tbl>
      <w:tblPr>
        <w:tblStyle w:val="35"/>
        <w:tblW w:w="51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5"/>
        <w:gridCol w:w="1326"/>
        <w:gridCol w:w="1035"/>
        <w:gridCol w:w="1352"/>
        <w:gridCol w:w="1093"/>
        <w:gridCol w:w="765"/>
        <w:gridCol w:w="675"/>
        <w:gridCol w:w="855"/>
        <w:gridCol w:w="1125"/>
        <w:gridCol w:w="942"/>
        <w:gridCol w:w="1068"/>
        <w:gridCol w:w="923"/>
        <w:gridCol w:w="2706"/>
      </w:tblGrid>
      <w:tr w14:paraId="3965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vMerge w:val="restart"/>
            <w:noWrap w:val="0"/>
            <w:vAlign w:val="center"/>
          </w:tcPr>
          <w:p w14:paraId="732A4370">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类别</w:t>
            </w:r>
          </w:p>
        </w:tc>
        <w:tc>
          <w:tcPr>
            <w:tcW w:w="462" w:type="pct"/>
            <w:vMerge w:val="restart"/>
            <w:noWrap w:val="0"/>
            <w:vAlign w:val="center"/>
          </w:tcPr>
          <w:p w14:paraId="5418006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工程</w:t>
            </w:r>
          </w:p>
          <w:p w14:paraId="64F7A383">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组成</w:t>
            </w:r>
          </w:p>
        </w:tc>
        <w:tc>
          <w:tcPr>
            <w:tcW w:w="361" w:type="pct"/>
            <w:vMerge w:val="restart"/>
            <w:noWrap w:val="0"/>
            <w:vAlign w:val="center"/>
          </w:tcPr>
          <w:p w14:paraId="166C4417">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产污</w:t>
            </w:r>
          </w:p>
          <w:p w14:paraId="57264ABA">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环节</w:t>
            </w:r>
          </w:p>
        </w:tc>
        <w:tc>
          <w:tcPr>
            <w:tcW w:w="1120" w:type="pct"/>
            <w:gridSpan w:val="3"/>
            <w:noWrap w:val="0"/>
            <w:vAlign w:val="center"/>
          </w:tcPr>
          <w:p w14:paraId="391AF831">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环境保护措施及主要运行参数</w:t>
            </w:r>
          </w:p>
        </w:tc>
        <w:tc>
          <w:tcPr>
            <w:tcW w:w="235" w:type="pct"/>
            <w:vMerge w:val="restart"/>
            <w:noWrap w:val="0"/>
            <w:vAlign w:val="center"/>
          </w:tcPr>
          <w:p w14:paraId="5C38F15D">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污染物种类</w:t>
            </w:r>
          </w:p>
        </w:tc>
        <w:tc>
          <w:tcPr>
            <w:tcW w:w="690" w:type="pct"/>
            <w:gridSpan w:val="2"/>
            <w:noWrap w:val="0"/>
            <w:vAlign w:val="center"/>
          </w:tcPr>
          <w:p w14:paraId="4C3F874D">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排放情况</w:t>
            </w:r>
          </w:p>
        </w:tc>
        <w:tc>
          <w:tcPr>
            <w:tcW w:w="328" w:type="pct"/>
            <w:vMerge w:val="restart"/>
            <w:noWrap w:val="0"/>
            <w:vAlign w:val="center"/>
          </w:tcPr>
          <w:p w14:paraId="13283133">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总量指标</w:t>
            </w: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rPr>
              <w:t>t/a)</w:t>
            </w:r>
          </w:p>
        </w:tc>
        <w:tc>
          <w:tcPr>
            <w:tcW w:w="694" w:type="pct"/>
            <w:gridSpan w:val="2"/>
            <w:vMerge w:val="restart"/>
            <w:noWrap w:val="0"/>
            <w:vAlign w:val="center"/>
          </w:tcPr>
          <w:p w14:paraId="44F36FC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执行标准</w:t>
            </w:r>
          </w:p>
          <w:p w14:paraId="0D022DB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rPr>
              <w:t>mg/m</w:t>
            </w:r>
            <w:r>
              <w:rPr>
                <w:rFonts w:hint="default" w:ascii="Times New Roman" w:hAnsi="Times New Roman" w:cs="Times New Roman"/>
                <w:b/>
                <w:bCs/>
                <w:color w:val="auto"/>
                <w:spacing w:val="0"/>
                <w:sz w:val="21"/>
                <w:szCs w:val="21"/>
                <w:highlight w:val="none"/>
                <w:vertAlign w:val="superscript"/>
              </w:rPr>
              <w:t>3</w:t>
            </w:r>
            <w:r>
              <w:rPr>
                <w:rFonts w:hint="default" w:ascii="Times New Roman" w:hAnsi="Times New Roman" w:cs="Times New Roman"/>
                <w:b/>
                <w:bCs/>
                <w:color w:val="auto"/>
                <w:spacing w:val="0"/>
                <w:sz w:val="21"/>
                <w:szCs w:val="21"/>
                <w:highlight w:val="none"/>
              </w:rPr>
              <w:t>)</w:t>
            </w:r>
          </w:p>
        </w:tc>
        <w:tc>
          <w:tcPr>
            <w:tcW w:w="944" w:type="pct"/>
            <w:vMerge w:val="restart"/>
            <w:noWrap w:val="0"/>
            <w:vAlign w:val="center"/>
          </w:tcPr>
          <w:p w14:paraId="0CBC8E00">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环境监测要求</w:t>
            </w:r>
          </w:p>
        </w:tc>
      </w:tr>
      <w:tr w14:paraId="67A9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7" w:hRule="atLeast"/>
          <w:jc w:val="center"/>
        </w:trPr>
        <w:tc>
          <w:tcPr>
            <w:tcW w:w="162" w:type="pct"/>
            <w:vMerge w:val="continue"/>
            <w:noWrap w:val="0"/>
            <w:vAlign w:val="center"/>
          </w:tcPr>
          <w:p w14:paraId="6EE7B9CB">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462" w:type="pct"/>
            <w:vMerge w:val="continue"/>
            <w:noWrap w:val="0"/>
            <w:vAlign w:val="center"/>
          </w:tcPr>
          <w:p w14:paraId="74F32FE7">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361" w:type="pct"/>
            <w:vMerge w:val="continue"/>
            <w:noWrap w:val="0"/>
            <w:vAlign w:val="center"/>
          </w:tcPr>
          <w:p w14:paraId="037A7268">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853" w:type="pct"/>
            <w:gridSpan w:val="2"/>
            <w:noWrap w:val="0"/>
            <w:vAlign w:val="center"/>
          </w:tcPr>
          <w:p w14:paraId="7B9A64BA">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环境</w:t>
            </w:r>
          </w:p>
          <w:p w14:paraId="2C2AD044">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保护措施</w:t>
            </w:r>
          </w:p>
        </w:tc>
        <w:tc>
          <w:tcPr>
            <w:tcW w:w="266" w:type="pct"/>
            <w:noWrap w:val="0"/>
            <w:vAlign w:val="center"/>
          </w:tcPr>
          <w:p w14:paraId="35BE75B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主要运行参数</w:t>
            </w:r>
          </w:p>
        </w:tc>
        <w:tc>
          <w:tcPr>
            <w:tcW w:w="235" w:type="pct"/>
            <w:vMerge w:val="continue"/>
            <w:noWrap w:val="0"/>
            <w:vAlign w:val="center"/>
          </w:tcPr>
          <w:p w14:paraId="1C90D0F0">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298" w:type="pct"/>
            <w:noWrap w:val="0"/>
            <w:vAlign w:val="center"/>
          </w:tcPr>
          <w:p w14:paraId="57D3997D">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排放时段h/a</w:t>
            </w:r>
          </w:p>
        </w:tc>
        <w:tc>
          <w:tcPr>
            <w:tcW w:w="392" w:type="pct"/>
            <w:noWrap w:val="0"/>
            <w:vAlign w:val="center"/>
          </w:tcPr>
          <w:p w14:paraId="527EDA5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排放浓度</w:t>
            </w:r>
          </w:p>
          <w:p w14:paraId="3A63590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(mg/m</w:t>
            </w:r>
            <w:r>
              <w:rPr>
                <w:rFonts w:hint="default" w:ascii="Times New Roman" w:hAnsi="Times New Roman" w:cs="Times New Roman"/>
                <w:color w:val="auto"/>
                <w:spacing w:val="0"/>
                <w:sz w:val="21"/>
                <w:szCs w:val="21"/>
                <w:highlight w:val="none"/>
                <w:vertAlign w:val="superscript"/>
              </w:rPr>
              <w:t>3</w:t>
            </w:r>
            <w:r>
              <w:rPr>
                <w:rFonts w:hint="default" w:ascii="Times New Roman" w:hAnsi="Times New Roman" w:cs="Times New Roman"/>
                <w:color w:val="auto"/>
                <w:spacing w:val="0"/>
                <w:sz w:val="21"/>
                <w:szCs w:val="21"/>
                <w:highlight w:val="none"/>
              </w:rPr>
              <w:t>)</w:t>
            </w:r>
          </w:p>
        </w:tc>
        <w:tc>
          <w:tcPr>
            <w:tcW w:w="328" w:type="pct"/>
            <w:vMerge w:val="continue"/>
            <w:noWrap w:val="0"/>
            <w:vAlign w:val="center"/>
          </w:tcPr>
          <w:p w14:paraId="64002371">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694" w:type="pct"/>
            <w:gridSpan w:val="2"/>
            <w:vMerge w:val="continue"/>
            <w:noWrap w:val="0"/>
            <w:vAlign w:val="center"/>
          </w:tcPr>
          <w:p w14:paraId="269F6769">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944" w:type="pct"/>
            <w:vMerge w:val="continue"/>
            <w:noWrap w:val="0"/>
            <w:vAlign w:val="center"/>
          </w:tcPr>
          <w:p w14:paraId="0A850E0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r>
      <w:tr w14:paraId="5F90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7" w:hRule="atLeast"/>
          <w:jc w:val="center"/>
        </w:trPr>
        <w:tc>
          <w:tcPr>
            <w:tcW w:w="162" w:type="pct"/>
            <w:vMerge w:val="continue"/>
            <w:noWrap w:val="0"/>
            <w:vAlign w:val="center"/>
          </w:tcPr>
          <w:p w14:paraId="5A968AA9">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462" w:type="pct"/>
            <w:vMerge w:val="continue"/>
            <w:noWrap w:val="0"/>
            <w:vAlign w:val="center"/>
          </w:tcPr>
          <w:p w14:paraId="1B408372">
            <w:pPr>
              <w:keepNext w:val="0"/>
              <w:keepLines w:val="0"/>
              <w:pageBreakBefore w:val="0"/>
              <w:widowControl w:val="0"/>
              <w:suppressLineNumbers w:val="0"/>
              <w:kinsoku/>
              <w:wordWrap/>
              <w:overflowPunct/>
              <w:autoSpaceDE/>
              <w:autoSpaceDN/>
              <w:bidi w:val="0"/>
              <w:adjustRightInd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61" w:type="pct"/>
            <w:vMerge w:val="restart"/>
            <w:noWrap w:val="0"/>
            <w:vAlign w:val="center"/>
          </w:tcPr>
          <w:p w14:paraId="5C6D230D">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无组织</w:t>
            </w:r>
          </w:p>
          <w:p w14:paraId="6E599AF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废气</w:t>
            </w:r>
          </w:p>
        </w:tc>
        <w:tc>
          <w:tcPr>
            <w:tcW w:w="853" w:type="pct"/>
            <w:gridSpan w:val="2"/>
            <w:vMerge w:val="restart"/>
            <w:noWrap w:val="0"/>
            <w:vAlign w:val="center"/>
          </w:tcPr>
          <w:p w14:paraId="55F969C7">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管道密闭输送，加强阀门、机泵的检修与维护，从源头减少</w:t>
            </w:r>
            <w:r>
              <w:rPr>
                <w:rFonts w:hint="eastAsia" w:cs="Times New Roman"/>
                <w:color w:val="auto"/>
                <w:spacing w:val="0"/>
                <w:sz w:val="21"/>
                <w:szCs w:val="21"/>
                <w:highlight w:val="none"/>
                <w:lang w:val="en-US" w:eastAsia="zh-CN"/>
              </w:rPr>
              <w:t>泄漏</w:t>
            </w:r>
            <w:r>
              <w:rPr>
                <w:rFonts w:hint="default" w:ascii="Times New Roman" w:hAnsi="Times New Roman" w:eastAsia="宋体" w:cs="Times New Roman"/>
                <w:color w:val="auto"/>
                <w:spacing w:val="0"/>
                <w:sz w:val="21"/>
                <w:szCs w:val="21"/>
                <w:highlight w:val="none"/>
                <w:lang w:val="en-US" w:eastAsia="zh-CN"/>
              </w:rPr>
              <w:t>产生的无组织废气</w:t>
            </w:r>
            <w:r>
              <w:rPr>
                <w:rFonts w:hint="eastAsia" w:ascii="Times New Roman" w:hAnsi="Times New Roman" w:eastAsia="宋体" w:cs="Times New Roman"/>
                <w:color w:val="auto"/>
                <w:spacing w:val="0"/>
                <w:sz w:val="21"/>
                <w:szCs w:val="21"/>
                <w:highlight w:val="none"/>
                <w:lang w:val="en-US" w:eastAsia="zh-CN"/>
              </w:rPr>
              <w:t>。</w:t>
            </w:r>
          </w:p>
        </w:tc>
        <w:tc>
          <w:tcPr>
            <w:tcW w:w="266" w:type="pct"/>
            <w:noWrap w:val="0"/>
            <w:vAlign w:val="center"/>
          </w:tcPr>
          <w:p w14:paraId="4C34928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bookmarkStart w:id="715" w:name="OLE_LINK693"/>
            <w:r>
              <w:rPr>
                <w:rFonts w:hint="default" w:ascii="Times New Roman" w:hAnsi="Times New Roman" w:cs="Times New Roman"/>
                <w:color w:val="auto"/>
                <w:spacing w:val="0"/>
                <w:sz w:val="21"/>
                <w:szCs w:val="21"/>
                <w:highlight w:val="none"/>
              </w:rPr>
              <w:t>—</w:t>
            </w:r>
            <w:bookmarkEnd w:id="715"/>
          </w:p>
        </w:tc>
        <w:tc>
          <w:tcPr>
            <w:tcW w:w="235" w:type="pct"/>
            <w:noWrap w:val="0"/>
            <w:vAlign w:val="center"/>
          </w:tcPr>
          <w:p w14:paraId="016DA46B">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非甲烷总烃</w:t>
            </w:r>
          </w:p>
        </w:tc>
        <w:tc>
          <w:tcPr>
            <w:tcW w:w="298" w:type="pct"/>
            <w:noWrap w:val="0"/>
            <w:vAlign w:val="center"/>
          </w:tcPr>
          <w:p w14:paraId="4EE467B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8000</w:t>
            </w:r>
          </w:p>
        </w:tc>
        <w:tc>
          <w:tcPr>
            <w:tcW w:w="392" w:type="pct"/>
            <w:noWrap w:val="0"/>
            <w:vAlign w:val="center"/>
          </w:tcPr>
          <w:p w14:paraId="2BFB6F35">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w:t>
            </w:r>
          </w:p>
        </w:tc>
        <w:tc>
          <w:tcPr>
            <w:tcW w:w="328" w:type="pct"/>
            <w:noWrap w:val="0"/>
            <w:vAlign w:val="center"/>
          </w:tcPr>
          <w:p w14:paraId="576AAB2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0.364</w:t>
            </w:r>
          </w:p>
        </w:tc>
        <w:tc>
          <w:tcPr>
            <w:tcW w:w="694" w:type="pct"/>
            <w:gridSpan w:val="2"/>
            <w:noWrap w:val="0"/>
            <w:vAlign w:val="center"/>
          </w:tcPr>
          <w:p w14:paraId="7FE44B2D">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color w:val="auto"/>
                <w:spacing w:val="0"/>
                <w:sz w:val="21"/>
                <w:szCs w:val="21"/>
                <w:highlight w:val="none"/>
              </w:rPr>
            </w:pPr>
            <w:r>
              <w:rPr>
                <w:rFonts w:hint="eastAsia" w:cs="Times New Roman"/>
                <w:color w:val="auto"/>
                <w:spacing w:val="0"/>
                <w:sz w:val="21"/>
                <w:szCs w:val="21"/>
                <w:highlight w:val="none"/>
                <w:lang w:val="en-US" w:eastAsia="zh-CN"/>
              </w:rPr>
              <w:t>厂界外；</w:t>
            </w:r>
            <w:r>
              <w:rPr>
                <w:rFonts w:hint="default" w:ascii="Times New Roman" w:hAnsi="Times New Roman" w:cs="Times New Roman"/>
                <w:color w:val="auto"/>
                <w:spacing w:val="0"/>
                <w:sz w:val="21"/>
                <w:szCs w:val="21"/>
                <w:highlight w:val="none"/>
              </w:rPr>
              <w:t>非甲烷总烃≤4.0</w:t>
            </w:r>
          </w:p>
        </w:tc>
        <w:tc>
          <w:tcPr>
            <w:tcW w:w="944" w:type="pct"/>
            <w:noWrap w:val="0"/>
            <w:vAlign w:val="center"/>
          </w:tcPr>
          <w:p w14:paraId="72B15377">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en-US"/>
              </w:rPr>
            </w:pPr>
            <w:r>
              <w:rPr>
                <w:rFonts w:hint="default" w:ascii="Times New Roman" w:hAnsi="Times New Roman" w:eastAsia="宋体" w:cs="Times New Roman"/>
                <w:color w:val="auto"/>
                <w:spacing w:val="0"/>
                <w:sz w:val="21"/>
                <w:szCs w:val="21"/>
                <w:highlight w:val="none"/>
                <w:lang w:val="en-US" w:eastAsia="zh-CN"/>
              </w:rPr>
              <w:t>《陆上石油天然气开采工业大气污染物排放标准》（GB39728-2020）中</w:t>
            </w:r>
            <w:r>
              <w:rPr>
                <w:rFonts w:hint="eastAsia" w:ascii="Times New Roman" w:hAnsi="Times New Roman" w:eastAsia="宋体" w:cs="Times New Roman"/>
                <w:color w:val="auto"/>
                <w:spacing w:val="0"/>
                <w:sz w:val="21"/>
                <w:szCs w:val="21"/>
                <w:highlight w:val="none"/>
                <w:lang w:val="en-US" w:eastAsia="zh-CN"/>
              </w:rPr>
              <w:t>企业边界污染物控制限值</w:t>
            </w:r>
          </w:p>
        </w:tc>
      </w:tr>
      <w:tr w14:paraId="6BA0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162" w:type="pct"/>
            <w:vMerge w:val="continue"/>
            <w:noWrap w:val="0"/>
            <w:vAlign w:val="center"/>
          </w:tcPr>
          <w:p w14:paraId="1E69EBF6">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462" w:type="pct"/>
            <w:vMerge w:val="continue"/>
            <w:noWrap w:val="0"/>
            <w:vAlign w:val="center"/>
          </w:tcPr>
          <w:p w14:paraId="1ABA853C">
            <w:pPr>
              <w:keepNext w:val="0"/>
              <w:keepLines w:val="0"/>
              <w:pageBreakBefore w:val="0"/>
              <w:widowControl w:val="0"/>
              <w:suppressLineNumbers w:val="0"/>
              <w:kinsoku/>
              <w:wordWrap/>
              <w:overflowPunct/>
              <w:autoSpaceDE/>
              <w:autoSpaceDN/>
              <w:bidi w:val="0"/>
              <w:adjustRightInd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61" w:type="pct"/>
            <w:vMerge w:val="continue"/>
            <w:noWrap w:val="0"/>
            <w:vAlign w:val="center"/>
          </w:tcPr>
          <w:p w14:paraId="36A6708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853" w:type="pct"/>
            <w:gridSpan w:val="2"/>
            <w:vMerge w:val="continue"/>
            <w:noWrap w:val="0"/>
            <w:vAlign w:val="center"/>
          </w:tcPr>
          <w:p w14:paraId="7A8CD3C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266" w:type="pct"/>
            <w:noWrap w:val="0"/>
            <w:vAlign w:val="center"/>
          </w:tcPr>
          <w:p w14:paraId="62CF6FB0">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w:t>
            </w:r>
          </w:p>
        </w:tc>
        <w:tc>
          <w:tcPr>
            <w:tcW w:w="235" w:type="pct"/>
            <w:noWrap w:val="0"/>
            <w:vAlign w:val="center"/>
          </w:tcPr>
          <w:p w14:paraId="65FA5D97">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硫化氢</w:t>
            </w:r>
          </w:p>
        </w:tc>
        <w:tc>
          <w:tcPr>
            <w:tcW w:w="298" w:type="pct"/>
            <w:noWrap w:val="0"/>
            <w:vAlign w:val="center"/>
          </w:tcPr>
          <w:p w14:paraId="353234D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8000</w:t>
            </w:r>
          </w:p>
        </w:tc>
        <w:tc>
          <w:tcPr>
            <w:tcW w:w="392" w:type="pct"/>
            <w:noWrap w:val="0"/>
            <w:vAlign w:val="center"/>
          </w:tcPr>
          <w:p w14:paraId="2361D46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328" w:type="pct"/>
            <w:noWrap w:val="0"/>
            <w:vAlign w:val="center"/>
          </w:tcPr>
          <w:p w14:paraId="5A253CE4">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0.01</w:t>
            </w:r>
          </w:p>
        </w:tc>
        <w:tc>
          <w:tcPr>
            <w:tcW w:w="694" w:type="pct"/>
            <w:gridSpan w:val="2"/>
            <w:noWrap w:val="0"/>
            <w:vAlign w:val="center"/>
          </w:tcPr>
          <w:p w14:paraId="615C2C18">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硫化氢≤0.06</w:t>
            </w:r>
          </w:p>
        </w:tc>
        <w:tc>
          <w:tcPr>
            <w:tcW w:w="944" w:type="pct"/>
            <w:noWrap w:val="0"/>
            <w:vAlign w:val="center"/>
          </w:tcPr>
          <w:p w14:paraId="1FD1895A">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en-US"/>
              </w:rPr>
            </w:pPr>
            <w:r>
              <w:rPr>
                <w:rFonts w:hint="default" w:ascii="Times New Roman" w:hAnsi="Times New Roman" w:eastAsia="宋体" w:cs="Times New Roman"/>
                <w:color w:val="auto"/>
                <w:spacing w:val="0"/>
                <w:sz w:val="21"/>
                <w:szCs w:val="21"/>
                <w:highlight w:val="none"/>
                <w:lang w:val="en-US" w:eastAsia="zh-CN"/>
              </w:rPr>
              <w:t>《恶臭污染物排放标准》（GB14554-93）中改扩建项目二级标准</w:t>
            </w:r>
          </w:p>
        </w:tc>
      </w:tr>
      <w:tr w14:paraId="79B2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9" w:hRule="atLeast"/>
          <w:jc w:val="center"/>
        </w:trPr>
        <w:tc>
          <w:tcPr>
            <w:tcW w:w="162" w:type="pct"/>
            <w:vMerge w:val="continue"/>
            <w:noWrap w:val="0"/>
            <w:vAlign w:val="center"/>
          </w:tcPr>
          <w:p w14:paraId="7953FEF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p>
        </w:tc>
        <w:tc>
          <w:tcPr>
            <w:tcW w:w="462" w:type="pct"/>
            <w:vMerge w:val="continue"/>
            <w:noWrap w:val="0"/>
            <w:vAlign w:val="center"/>
          </w:tcPr>
          <w:p w14:paraId="09D9AD85">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p>
        </w:tc>
        <w:tc>
          <w:tcPr>
            <w:tcW w:w="361" w:type="pct"/>
            <w:noWrap w:val="0"/>
            <w:vAlign w:val="center"/>
          </w:tcPr>
          <w:p w14:paraId="6488B903">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温室气体</w:t>
            </w:r>
          </w:p>
        </w:tc>
        <w:tc>
          <w:tcPr>
            <w:tcW w:w="853" w:type="pct"/>
            <w:gridSpan w:val="2"/>
            <w:noWrap w:val="0"/>
            <w:vAlign w:val="center"/>
          </w:tcPr>
          <w:p w14:paraId="71589857">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eastAsia" w:ascii="Times New Roman" w:hAnsi="Times New Roman" w:eastAsia="宋体" w:cs="Times New Roman"/>
                <w:b/>
                <w:bCs/>
                <w:color w:val="auto"/>
                <w:spacing w:val="0"/>
                <w:sz w:val="21"/>
                <w:szCs w:val="21"/>
                <w:highlight w:val="none"/>
                <w:lang w:eastAsia="zh-CN"/>
              </w:rPr>
            </w:pPr>
            <w:r>
              <w:rPr>
                <w:rFonts w:hint="default" w:ascii="Times New Roman" w:hAnsi="Times New Roman" w:cs="Times New Roman"/>
                <w:b w:val="0"/>
                <w:bCs w:val="0"/>
                <w:color w:val="auto"/>
                <w:spacing w:val="0"/>
                <w:sz w:val="21"/>
                <w:szCs w:val="21"/>
                <w:highlight w:val="none"/>
              </w:rPr>
              <w:t>降低抽油机井工作能耗，加强油气技术管道密闭性能，开发清洁能源替代现有能源</w:t>
            </w:r>
            <w:r>
              <w:rPr>
                <w:rFonts w:hint="eastAsia" w:ascii="Times New Roman" w:hAnsi="Times New Roman" w:cs="Times New Roman"/>
                <w:b w:val="0"/>
                <w:bCs w:val="0"/>
                <w:color w:val="auto"/>
                <w:spacing w:val="0"/>
                <w:sz w:val="21"/>
                <w:szCs w:val="21"/>
                <w:highlight w:val="none"/>
                <w:lang w:val="en-US" w:eastAsia="zh-CN"/>
              </w:rPr>
              <w:t>等</w:t>
            </w:r>
            <w:r>
              <w:rPr>
                <w:rFonts w:hint="default" w:ascii="Times New Roman" w:hAnsi="Times New Roman" w:cs="Times New Roman"/>
                <w:b w:val="0"/>
                <w:bCs w:val="0"/>
                <w:color w:val="auto"/>
                <w:spacing w:val="0"/>
                <w:sz w:val="21"/>
                <w:szCs w:val="21"/>
                <w:highlight w:val="none"/>
              </w:rPr>
              <w:t>，从而减少温室气体排放</w:t>
            </w:r>
            <w:r>
              <w:rPr>
                <w:rFonts w:hint="eastAsia" w:ascii="Times New Roman" w:hAnsi="Times New Roman" w:cs="Times New Roman"/>
                <w:b w:val="0"/>
                <w:bCs w:val="0"/>
                <w:color w:val="auto"/>
                <w:spacing w:val="0"/>
                <w:sz w:val="21"/>
                <w:szCs w:val="21"/>
                <w:highlight w:val="none"/>
                <w:lang w:eastAsia="zh-CN"/>
              </w:rPr>
              <w:t>。</w:t>
            </w:r>
          </w:p>
        </w:tc>
        <w:tc>
          <w:tcPr>
            <w:tcW w:w="266" w:type="pct"/>
            <w:noWrap w:val="0"/>
            <w:vAlign w:val="center"/>
          </w:tcPr>
          <w:p w14:paraId="6334F53B">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color w:val="auto"/>
                <w:spacing w:val="0"/>
                <w:sz w:val="21"/>
                <w:szCs w:val="21"/>
                <w:highlight w:val="none"/>
              </w:rPr>
              <w:t>—</w:t>
            </w:r>
          </w:p>
        </w:tc>
        <w:tc>
          <w:tcPr>
            <w:tcW w:w="235" w:type="pct"/>
            <w:noWrap w:val="0"/>
            <w:vAlign w:val="center"/>
          </w:tcPr>
          <w:p w14:paraId="6F5892E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eastAsia" w:ascii="Times New Roman" w:hAnsi="Times New Roman" w:cs="Times New Roman"/>
                <w:color w:val="auto"/>
                <w:spacing w:val="0"/>
                <w:sz w:val="21"/>
                <w:szCs w:val="21"/>
                <w:highlight w:val="none"/>
                <w:lang w:val="en-US" w:eastAsia="zh-CN"/>
              </w:rPr>
              <w:t>甲烷</w:t>
            </w:r>
          </w:p>
        </w:tc>
        <w:tc>
          <w:tcPr>
            <w:tcW w:w="298" w:type="pct"/>
            <w:noWrap w:val="0"/>
            <w:vAlign w:val="center"/>
          </w:tcPr>
          <w:p w14:paraId="01458C5B">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rPr>
            </w:pPr>
            <w:r>
              <w:rPr>
                <w:rFonts w:hint="eastAsia" w:cs="Times New Roman"/>
                <w:color w:val="auto"/>
                <w:spacing w:val="0"/>
                <w:sz w:val="21"/>
                <w:szCs w:val="21"/>
                <w:highlight w:val="none"/>
                <w:lang w:val="en-US" w:eastAsia="zh-CN"/>
              </w:rPr>
              <w:t>8000</w:t>
            </w:r>
          </w:p>
        </w:tc>
        <w:tc>
          <w:tcPr>
            <w:tcW w:w="392" w:type="pct"/>
            <w:noWrap w:val="0"/>
            <w:vAlign w:val="center"/>
          </w:tcPr>
          <w:p w14:paraId="0CEFADC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w:t>
            </w:r>
          </w:p>
        </w:tc>
        <w:tc>
          <w:tcPr>
            <w:tcW w:w="328" w:type="pct"/>
            <w:noWrap w:val="0"/>
            <w:vAlign w:val="center"/>
          </w:tcPr>
          <w:p w14:paraId="11C0EB8F">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1095.67</w:t>
            </w:r>
          </w:p>
        </w:tc>
        <w:tc>
          <w:tcPr>
            <w:tcW w:w="694" w:type="pct"/>
            <w:gridSpan w:val="2"/>
            <w:noWrap w:val="0"/>
            <w:vAlign w:val="center"/>
          </w:tcPr>
          <w:p w14:paraId="1C0498B5">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w:t>
            </w:r>
          </w:p>
        </w:tc>
        <w:tc>
          <w:tcPr>
            <w:tcW w:w="944" w:type="pct"/>
            <w:noWrap w:val="0"/>
            <w:vAlign w:val="center"/>
          </w:tcPr>
          <w:p w14:paraId="004ADBDB">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w:t>
            </w:r>
          </w:p>
        </w:tc>
      </w:tr>
      <w:tr w14:paraId="7922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noWrap w:val="0"/>
            <w:vAlign w:val="center"/>
          </w:tcPr>
          <w:p w14:paraId="475A1A3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类别</w:t>
            </w:r>
          </w:p>
        </w:tc>
        <w:tc>
          <w:tcPr>
            <w:tcW w:w="462" w:type="pct"/>
            <w:noWrap w:val="0"/>
            <w:vAlign w:val="center"/>
          </w:tcPr>
          <w:p w14:paraId="3EDA150F">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污染源</w:t>
            </w:r>
          </w:p>
        </w:tc>
        <w:tc>
          <w:tcPr>
            <w:tcW w:w="361" w:type="pct"/>
            <w:noWrap w:val="0"/>
            <w:vAlign w:val="center"/>
          </w:tcPr>
          <w:p w14:paraId="443AEBA5">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污染因子</w:t>
            </w:r>
          </w:p>
        </w:tc>
        <w:tc>
          <w:tcPr>
            <w:tcW w:w="1653" w:type="pct"/>
            <w:gridSpan w:val="5"/>
            <w:noWrap w:val="0"/>
            <w:vAlign w:val="center"/>
          </w:tcPr>
          <w:p w14:paraId="6570E66A">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处理措施</w:t>
            </w:r>
          </w:p>
        </w:tc>
        <w:tc>
          <w:tcPr>
            <w:tcW w:w="392" w:type="pct"/>
            <w:noWrap w:val="0"/>
            <w:vAlign w:val="center"/>
          </w:tcPr>
          <w:p w14:paraId="18E3462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处理后浓度</w:t>
            </w:r>
          </w:p>
          <w:p w14:paraId="5D1267B4">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(mg/L)</w:t>
            </w:r>
          </w:p>
        </w:tc>
        <w:tc>
          <w:tcPr>
            <w:tcW w:w="328" w:type="pct"/>
            <w:noWrap w:val="0"/>
            <w:vAlign w:val="center"/>
          </w:tcPr>
          <w:p w14:paraId="4EF1EB94">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排放</w:t>
            </w:r>
          </w:p>
          <w:p w14:paraId="4E47C503">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去向</w:t>
            </w:r>
          </w:p>
        </w:tc>
        <w:tc>
          <w:tcPr>
            <w:tcW w:w="372" w:type="pct"/>
            <w:noWrap w:val="0"/>
            <w:vAlign w:val="center"/>
          </w:tcPr>
          <w:p w14:paraId="7707065F">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总量控制</w:t>
            </w:r>
          </w:p>
          <w:p w14:paraId="558A9A6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指标</w:t>
            </w: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rPr>
              <w:t>t/a)</w:t>
            </w:r>
          </w:p>
        </w:tc>
        <w:tc>
          <w:tcPr>
            <w:tcW w:w="322" w:type="pct"/>
            <w:noWrap w:val="0"/>
            <w:vAlign w:val="center"/>
          </w:tcPr>
          <w:p w14:paraId="3B41DAEF">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执行标准</w:t>
            </w: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rPr>
              <w:t>mg/L)</w:t>
            </w:r>
          </w:p>
        </w:tc>
        <w:tc>
          <w:tcPr>
            <w:tcW w:w="944" w:type="pct"/>
            <w:noWrap w:val="0"/>
            <w:vAlign w:val="center"/>
          </w:tcPr>
          <w:p w14:paraId="7BF88FEA">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环境监测</w:t>
            </w:r>
          </w:p>
          <w:p w14:paraId="64C8C4E9">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spacing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要求</w:t>
            </w:r>
          </w:p>
        </w:tc>
      </w:tr>
      <w:tr w14:paraId="029E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noWrap w:val="0"/>
            <w:vAlign w:val="center"/>
          </w:tcPr>
          <w:p w14:paraId="7C29F8A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废水</w:t>
            </w:r>
          </w:p>
        </w:tc>
        <w:tc>
          <w:tcPr>
            <w:tcW w:w="462" w:type="pct"/>
            <w:noWrap w:val="0"/>
            <w:vAlign w:val="center"/>
          </w:tcPr>
          <w:p w14:paraId="2B5480EB">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rPr>
              <w:t>采出水</w:t>
            </w:r>
            <w:r>
              <w:rPr>
                <w:rFonts w:hint="default" w:ascii="Times New Roman" w:hAnsi="Times New Roman"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lang w:val="en-US" w:eastAsia="zh-CN"/>
              </w:rPr>
              <w:t>井下作业废水</w:t>
            </w:r>
          </w:p>
        </w:tc>
        <w:tc>
          <w:tcPr>
            <w:tcW w:w="361" w:type="pct"/>
            <w:noWrap w:val="0"/>
            <w:vAlign w:val="center"/>
          </w:tcPr>
          <w:p w14:paraId="7C38340C">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SS、COD、石油类、挥发酚</w:t>
            </w:r>
          </w:p>
        </w:tc>
        <w:tc>
          <w:tcPr>
            <w:tcW w:w="1653" w:type="pct"/>
            <w:gridSpan w:val="5"/>
            <w:noWrap w:val="0"/>
            <w:vAlign w:val="center"/>
          </w:tcPr>
          <w:p w14:paraId="07F0A031">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right="0" w:firstLine="0" w:firstLineChars="0"/>
              <w:jc w:val="both"/>
              <w:textAlignment w:val="auto"/>
              <w:rPr>
                <w:rFonts w:hint="eastAsia"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采出水</w:t>
            </w:r>
            <w:r>
              <w:rPr>
                <w:rFonts w:hint="eastAsia" w:ascii="Times New Roman" w:hAnsi="Times New Roman" w:eastAsia="宋体" w:cs="Times New Roman"/>
                <w:color w:val="auto"/>
                <w:spacing w:val="0"/>
                <w:sz w:val="21"/>
                <w:szCs w:val="21"/>
                <w:highlight w:val="none"/>
                <w:lang w:val="en-US" w:eastAsia="zh-CN"/>
              </w:rPr>
              <w:t>依</w:t>
            </w:r>
            <w:r>
              <w:rPr>
                <w:rFonts w:hint="eastAsia" w:ascii="Times New Roman" w:hAnsi="Times New Roman" w:eastAsia="宋体" w:cs="Times New Roman"/>
                <w:b w:val="0"/>
                <w:bCs w:val="0"/>
                <w:color w:val="auto"/>
                <w:spacing w:val="0"/>
                <w:sz w:val="21"/>
                <w:szCs w:val="21"/>
                <w:highlight w:val="none"/>
                <w:lang w:val="en-US" w:eastAsia="zh-CN"/>
              </w:rPr>
              <w:t>托塔河油田三号联合站处理</w:t>
            </w:r>
            <w:r>
              <w:rPr>
                <w:rFonts w:hint="eastAsia" w:ascii="Times New Roman" w:hAnsi="Times New Roman" w:eastAsia="宋体" w:cs="Times New Roman"/>
                <w:b w:val="0"/>
                <w:bCs w:val="0"/>
                <w:color w:val="auto"/>
                <w:spacing w:val="0"/>
                <w:sz w:val="21"/>
                <w:szCs w:val="21"/>
                <w:highlight w:val="none"/>
                <w:lang w:eastAsia="zh-CN"/>
              </w:rPr>
              <w:t>；</w:t>
            </w:r>
            <w:r>
              <w:rPr>
                <w:rFonts w:hint="eastAsia" w:ascii="Times New Roman" w:hAnsi="Times New Roman" w:eastAsia="宋体" w:cs="Times New Roman"/>
                <w:b w:val="0"/>
                <w:bCs w:val="0"/>
                <w:color w:val="auto"/>
                <w:spacing w:val="0"/>
                <w:sz w:val="21"/>
                <w:szCs w:val="21"/>
                <w:highlight w:val="none"/>
                <w:lang w:val="en-US" w:eastAsia="zh-CN"/>
              </w:rPr>
              <w:t>井下</w:t>
            </w:r>
            <w:r>
              <w:rPr>
                <w:rFonts w:hint="default" w:ascii="Times New Roman" w:hAnsi="Times New Roman" w:eastAsia="宋体" w:cs="Times New Roman"/>
                <w:b w:val="0"/>
                <w:bCs w:val="0"/>
                <w:color w:val="auto"/>
                <w:spacing w:val="0"/>
                <w:sz w:val="21"/>
                <w:szCs w:val="21"/>
                <w:highlight w:val="none"/>
              </w:rPr>
              <w:t>作业废水</w:t>
            </w:r>
            <w:r>
              <w:rPr>
                <w:rFonts w:hint="eastAsia" w:ascii="Times New Roman" w:hAnsi="Times New Roman" w:eastAsia="宋体" w:cs="Times New Roman"/>
                <w:b w:val="0"/>
                <w:bCs w:val="0"/>
                <w:color w:val="auto"/>
                <w:spacing w:val="0"/>
                <w:sz w:val="21"/>
                <w:szCs w:val="21"/>
                <w:highlight w:val="none"/>
                <w:lang w:val="en-US" w:eastAsia="zh-CN"/>
              </w:rPr>
              <w:t>采用罐车拉运</w:t>
            </w:r>
            <w:r>
              <w:rPr>
                <w:rFonts w:hint="default" w:ascii="Times New Roman" w:hAnsi="Times New Roman" w:eastAsia="宋体" w:cs="Times New Roman"/>
                <w:b w:val="0"/>
                <w:bCs w:val="0"/>
                <w:color w:val="auto"/>
                <w:spacing w:val="0"/>
                <w:sz w:val="21"/>
                <w:szCs w:val="21"/>
                <w:highlight w:val="none"/>
              </w:rPr>
              <w:t>至</w:t>
            </w:r>
            <w:r>
              <w:rPr>
                <w:rFonts w:hint="eastAsia" w:ascii="Times New Roman" w:hAnsi="Times New Roman" w:eastAsia="宋体" w:cs="Times New Roman"/>
                <w:b w:val="0"/>
                <w:bCs w:val="0"/>
                <w:color w:val="auto"/>
                <w:spacing w:val="0"/>
                <w:sz w:val="21"/>
                <w:szCs w:val="21"/>
                <w:highlight w:val="none"/>
                <w:lang w:val="en-US" w:eastAsia="zh-CN"/>
              </w:rPr>
              <w:t>塔河油田绿色环保站</w:t>
            </w:r>
            <w:r>
              <w:rPr>
                <w:rFonts w:hint="default" w:ascii="Times New Roman" w:hAnsi="Times New Roman" w:eastAsia="宋体" w:cs="Times New Roman"/>
                <w:b w:val="0"/>
                <w:bCs w:val="0"/>
                <w:color w:val="auto"/>
                <w:spacing w:val="0"/>
                <w:sz w:val="21"/>
                <w:szCs w:val="21"/>
                <w:highlight w:val="none"/>
              </w:rPr>
              <w:t>处理</w:t>
            </w:r>
            <w:r>
              <w:rPr>
                <w:rFonts w:hint="default" w:ascii="Times New Roman" w:hAnsi="Times New Roman" w:eastAsia="宋体" w:cs="Times New Roman"/>
                <w:b w:val="0"/>
                <w:bCs w:val="0"/>
                <w:color w:val="auto"/>
                <w:spacing w:val="0"/>
                <w:sz w:val="21"/>
                <w:szCs w:val="21"/>
                <w:highlight w:val="none"/>
                <w:lang w:eastAsia="zh-CN"/>
              </w:rPr>
              <w:t>。</w:t>
            </w:r>
          </w:p>
        </w:tc>
        <w:tc>
          <w:tcPr>
            <w:tcW w:w="392" w:type="pct"/>
            <w:noWrap w:val="0"/>
            <w:vAlign w:val="center"/>
          </w:tcPr>
          <w:p w14:paraId="05C36931">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w:t>
            </w:r>
          </w:p>
        </w:tc>
        <w:tc>
          <w:tcPr>
            <w:tcW w:w="328" w:type="pct"/>
            <w:noWrap w:val="0"/>
            <w:vAlign w:val="center"/>
          </w:tcPr>
          <w:p w14:paraId="6618F53B">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不外排</w:t>
            </w:r>
          </w:p>
        </w:tc>
        <w:tc>
          <w:tcPr>
            <w:tcW w:w="372" w:type="pct"/>
            <w:noWrap w:val="0"/>
            <w:vAlign w:val="center"/>
          </w:tcPr>
          <w:p w14:paraId="24B444F6">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w:t>
            </w:r>
          </w:p>
        </w:tc>
        <w:tc>
          <w:tcPr>
            <w:tcW w:w="322" w:type="pct"/>
            <w:noWrap w:val="0"/>
            <w:vAlign w:val="center"/>
          </w:tcPr>
          <w:p w14:paraId="63D343F1">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w:t>
            </w:r>
          </w:p>
        </w:tc>
        <w:tc>
          <w:tcPr>
            <w:tcW w:w="944" w:type="pct"/>
            <w:noWrap w:val="0"/>
            <w:vAlign w:val="center"/>
          </w:tcPr>
          <w:p w14:paraId="1526BE01">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《碎屑岩油藏注水水质指标</w:t>
            </w:r>
            <w:r>
              <w:rPr>
                <w:rFonts w:hint="default" w:ascii="Times New Roman" w:hAnsi="Times New Roman" w:cs="Times New Roman"/>
                <w:color w:val="auto"/>
                <w:spacing w:val="0"/>
                <w:sz w:val="21"/>
                <w:szCs w:val="21"/>
                <w:highlight w:val="none"/>
                <w:lang w:val="en-US" w:eastAsia="zh-CN"/>
              </w:rPr>
              <w:t>技术要求</w:t>
            </w:r>
            <w:r>
              <w:rPr>
                <w:rFonts w:hint="default" w:ascii="Times New Roman" w:hAnsi="Times New Roman" w:cs="Times New Roman"/>
                <w:color w:val="auto"/>
                <w:spacing w:val="0"/>
                <w:sz w:val="21"/>
                <w:szCs w:val="21"/>
                <w:highlight w:val="none"/>
              </w:rPr>
              <w:t>及分析方法》</w:t>
            </w:r>
            <w:r>
              <w:rPr>
                <w:rFonts w:hint="default" w:ascii="Times New Roman" w:hAnsi="Times New Roman"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rPr>
              <w:t>SY/T5329-20</w:t>
            </w:r>
            <w:r>
              <w:rPr>
                <w:rFonts w:hint="default" w:ascii="Times New Roman" w:hAnsi="Times New Roman" w:cs="Times New Roman"/>
                <w:color w:val="auto"/>
                <w:spacing w:val="0"/>
                <w:sz w:val="21"/>
                <w:szCs w:val="21"/>
                <w:highlight w:val="none"/>
                <w:lang w:val="en-US" w:eastAsia="zh-CN"/>
              </w:rPr>
              <w:t>2</w:t>
            </w:r>
            <w:r>
              <w:rPr>
                <w:rFonts w:hint="default" w:ascii="Times New Roman" w:hAnsi="Times New Roman" w:cs="Times New Roman"/>
                <w:color w:val="auto"/>
                <w:spacing w:val="0"/>
                <w:sz w:val="21"/>
                <w:szCs w:val="21"/>
                <w:highlight w:val="none"/>
              </w:rPr>
              <w:t>2</w:t>
            </w:r>
            <w:r>
              <w:rPr>
                <w:rFonts w:hint="default" w:ascii="Times New Roman" w:hAnsi="Times New Roman" w:cs="Times New Roman"/>
                <w:color w:val="auto"/>
                <w:spacing w:val="0"/>
                <w:sz w:val="21"/>
                <w:szCs w:val="21"/>
                <w:highlight w:val="none"/>
                <w:lang w:eastAsia="zh-CN"/>
              </w:rPr>
              <w:t>）</w:t>
            </w:r>
          </w:p>
        </w:tc>
      </w:tr>
      <w:tr w14:paraId="6DC7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noWrap w:val="0"/>
            <w:vAlign w:val="center"/>
          </w:tcPr>
          <w:p w14:paraId="6E2B2D1F">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类别</w:t>
            </w:r>
          </w:p>
        </w:tc>
        <w:tc>
          <w:tcPr>
            <w:tcW w:w="823" w:type="pct"/>
            <w:gridSpan w:val="2"/>
            <w:noWrap w:val="0"/>
            <w:vAlign w:val="center"/>
          </w:tcPr>
          <w:p w14:paraId="21DEE164">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噪声源</w:t>
            </w:r>
          </w:p>
        </w:tc>
        <w:tc>
          <w:tcPr>
            <w:tcW w:w="471" w:type="pct"/>
            <w:noWrap w:val="0"/>
            <w:vAlign w:val="center"/>
          </w:tcPr>
          <w:p w14:paraId="645C7DE3">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污染因子</w:t>
            </w:r>
          </w:p>
        </w:tc>
        <w:tc>
          <w:tcPr>
            <w:tcW w:w="1182" w:type="pct"/>
            <w:gridSpan w:val="4"/>
            <w:noWrap w:val="0"/>
            <w:vAlign w:val="center"/>
          </w:tcPr>
          <w:p w14:paraId="2961A6EA">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治理措施</w:t>
            </w:r>
          </w:p>
        </w:tc>
        <w:tc>
          <w:tcPr>
            <w:tcW w:w="392" w:type="pct"/>
            <w:noWrap w:val="0"/>
            <w:vAlign w:val="center"/>
          </w:tcPr>
          <w:p w14:paraId="1C5F4D8E">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处理效果</w:t>
            </w:r>
          </w:p>
        </w:tc>
        <w:tc>
          <w:tcPr>
            <w:tcW w:w="701" w:type="pct"/>
            <w:gridSpan w:val="2"/>
            <w:noWrap w:val="0"/>
            <w:vAlign w:val="center"/>
          </w:tcPr>
          <w:p w14:paraId="38E922D6">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执行标准</w:t>
            </w:r>
          </w:p>
        </w:tc>
        <w:tc>
          <w:tcPr>
            <w:tcW w:w="1266" w:type="pct"/>
            <w:gridSpan w:val="2"/>
            <w:noWrap w:val="0"/>
            <w:vAlign w:val="center"/>
          </w:tcPr>
          <w:p w14:paraId="07D25FD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环境监测要求</w:t>
            </w:r>
          </w:p>
        </w:tc>
      </w:tr>
      <w:tr w14:paraId="2CA3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162" w:type="pct"/>
            <w:vMerge w:val="restart"/>
            <w:noWrap w:val="0"/>
            <w:vAlign w:val="center"/>
          </w:tcPr>
          <w:p w14:paraId="5B011B5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噪声</w:t>
            </w:r>
          </w:p>
        </w:tc>
        <w:tc>
          <w:tcPr>
            <w:tcW w:w="823" w:type="pct"/>
            <w:gridSpan w:val="2"/>
            <w:noWrap w:val="0"/>
            <w:vAlign w:val="top"/>
          </w:tcPr>
          <w:p w14:paraId="3755258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zh-CN"/>
              </w:rPr>
            </w:pPr>
            <w:r>
              <w:rPr>
                <w:rFonts w:hint="default" w:ascii="Times New Roman" w:hAnsi="Times New Roman" w:cs="Times New Roman"/>
                <w:color w:val="auto"/>
                <w:spacing w:val="0"/>
                <w:sz w:val="21"/>
                <w:szCs w:val="21"/>
                <w:highlight w:val="none"/>
              </w:rPr>
              <w:t>井下作业（修井、洗井等）</w:t>
            </w:r>
          </w:p>
        </w:tc>
        <w:tc>
          <w:tcPr>
            <w:tcW w:w="471" w:type="pct"/>
            <w:noWrap w:val="0"/>
            <w:vAlign w:val="center"/>
          </w:tcPr>
          <w:p w14:paraId="06D52C2E">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bookmarkStart w:id="716" w:name="OLE_LINK263"/>
            <w:r>
              <w:rPr>
                <w:rFonts w:hint="default" w:ascii="Times New Roman" w:hAnsi="Times New Roman" w:cs="Times New Roman"/>
                <w:color w:val="auto"/>
                <w:spacing w:val="0"/>
                <w:sz w:val="21"/>
                <w:szCs w:val="21"/>
                <w:highlight w:val="none"/>
              </w:rPr>
              <w:t>L</w:t>
            </w:r>
            <w:r>
              <w:rPr>
                <w:rFonts w:hint="default" w:ascii="Times New Roman" w:hAnsi="Times New Roman" w:cs="Times New Roman"/>
                <w:color w:val="auto"/>
                <w:spacing w:val="0"/>
                <w:sz w:val="21"/>
                <w:szCs w:val="21"/>
                <w:highlight w:val="none"/>
                <w:vertAlign w:val="subscript"/>
              </w:rPr>
              <w:t>eq</w:t>
            </w:r>
            <w:bookmarkEnd w:id="716"/>
          </w:p>
        </w:tc>
        <w:tc>
          <w:tcPr>
            <w:tcW w:w="1182" w:type="pct"/>
            <w:gridSpan w:val="4"/>
            <w:vMerge w:val="restart"/>
            <w:noWrap w:val="0"/>
            <w:vAlign w:val="center"/>
          </w:tcPr>
          <w:p w14:paraId="1F39C3F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left"/>
              <w:textAlignment w:val="auto"/>
              <w:rPr>
                <w:rFonts w:hint="default" w:ascii="Times New Roman" w:hAnsi="Times New Roman"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选用低噪声设备，采取减振、隔声、消声等降噪措施</w:t>
            </w:r>
          </w:p>
        </w:tc>
        <w:tc>
          <w:tcPr>
            <w:tcW w:w="392" w:type="pct"/>
            <w:vMerge w:val="restart"/>
            <w:noWrap w:val="0"/>
            <w:vAlign w:val="center"/>
          </w:tcPr>
          <w:p w14:paraId="42A760A2">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厂界达标</w:t>
            </w:r>
          </w:p>
        </w:tc>
        <w:tc>
          <w:tcPr>
            <w:tcW w:w="701" w:type="pct"/>
            <w:gridSpan w:val="2"/>
            <w:vMerge w:val="restart"/>
            <w:noWrap w:val="0"/>
            <w:vAlign w:val="center"/>
          </w:tcPr>
          <w:p w14:paraId="5D0A731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厂界昼间≤60dB(A)；</w:t>
            </w:r>
          </w:p>
          <w:p w14:paraId="0E8C86BD">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kern w:val="2"/>
                <w:sz w:val="21"/>
                <w:szCs w:val="21"/>
                <w:highlight w:val="none"/>
              </w:rPr>
            </w:pPr>
            <w:r>
              <w:rPr>
                <w:rFonts w:hint="default" w:ascii="Times New Roman" w:hAnsi="Times New Roman" w:cs="Times New Roman"/>
                <w:color w:val="auto"/>
                <w:spacing w:val="0"/>
                <w:sz w:val="21"/>
                <w:szCs w:val="21"/>
                <w:highlight w:val="none"/>
              </w:rPr>
              <w:t>夜间≤50dB(A)</w:t>
            </w:r>
          </w:p>
        </w:tc>
        <w:tc>
          <w:tcPr>
            <w:tcW w:w="1266" w:type="pct"/>
            <w:gridSpan w:val="2"/>
            <w:vMerge w:val="restart"/>
            <w:noWrap w:val="0"/>
            <w:vAlign w:val="center"/>
          </w:tcPr>
          <w:p w14:paraId="07F86A0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kern w:val="2"/>
                <w:sz w:val="21"/>
                <w:szCs w:val="21"/>
                <w:highlight w:val="none"/>
              </w:rPr>
            </w:pPr>
            <w:r>
              <w:rPr>
                <w:rFonts w:hint="default" w:ascii="Times New Roman" w:hAnsi="Times New Roman" w:eastAsia="宋体" w:cs="Times New Roman"/>
                <w:color w:val="auto"/>
                <w:spacing w:val="0"/>
                <w:sz w:val="21"/>
                <w:szCs w:val="21"/>
                <w:highlight w:val="none"/>
              </w:rPr>
              <w:t>《工业企业厂界环境噪声排放标准》（GB12348-2008）中2类标准</w:t>
            </w:r>
          </w:p>
        </w:tc>
      </w:tr>
      <w:tr w14:paraId="0138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vMerge w:val="continue"/>
            <w:noWrap w:val="0"/>
            <w:vAlign w:val="center"/>
          </w:tcPr>
          <w:p w14:paraId="3705820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823" w:type="pct"/>
            <w:gridSpan w:val="2"/>
            <w:noWrap w:val="0"/>
            <w:vAlign w:val="top"/>
          </w:tcPr>
          <w:p w14:paraId="7F405154">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rPr>
              <w:t>井口装置</w:t>
            </w:r>
          </w:p>
        </w:tc>
        <w:tc>
          <w:tcPr>
            <w:tcW w:w="471" w:type="pct"/>
            <w:noWrap w:val="0"/>
            <w:vAlign w:val="center"/>
          </w:tcPr>
          <w:p w14:paraId="451F35B6">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L</w:t>
            </w:r>
            <w:r>
              <w:rPr>
                <w:rFonts w:hint="default" w:ascii="Times New Roman" w:hAnsi="Times New Roman" w:cs="Times New Roman"/>
                <w:color w:val="auto"/>
                <w:spacing w:val="0"/>
                <w:sz w:val="21"/>
                <w:szCs w:val="21"/>
                <w:highlight w:val="none"/>
                <w:vertAlign w:val="subscript"/>
              </w:rPr>
              <w:t>eq</w:t>
            </w:r>
          </w:p>
        </w:tc>
        <w:tc>
          <w:tcPr>
            <w:tcW w:w="1182" w:type="pct"/>
            <w:gridSpan w:val="4"/>
            <w:vMerge w:val="continue"/>
            <w:noWrap w:val="0"/>
            <w:vAlign w:val="center"/>
          </w:tcPr>
          <w:p w14:paraId="313546FF">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lang w:val="zh-CN"/>
              </w:rPr>
            </w:pPr>
          </w:p>
        </w:tc>
        <w:tc>
          <w:tcPr>
            <w:tcW w:w="392" w:type="pct"/>
            <w:vMerge w:val="continue"/>
            <w:noWrap w:val="0"/>
            <w:vAlign w:val="center"/>
          </w:tcPr>
          <w:p w14:paraId="6AC5805B">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701" w:type="pct"/>
            <w:gridSpan w:val="2"/>
            <w:vMerge w:val="continue"/>
            <w:noWrap w:val="0"/>
            <w:vAlign w:val="center"/>
          </w:tcPr>
          <w:p w14:paraId="73AFEDF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1266" w:type="pct"/>
            <w:gridSpan w:val="2"/>
            <w:vMerge w:val="continue"/>
            <w:noWrap w:val="0"/>
            <w:vAlign w:val="center"/>
          </w:tcPr>
          <w:p w14:paraId="53CC35D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r>
      <w:tr w14:paraId="0C2C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noWrap w:val="0"/>
            <w:vAlign w:val="center"/>
          </w:tcPr>
          <w:p w14:paraId="590F439E">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序号</w:t>
            </w:r>
          </w:p>
        </w:tc>
        <w:tc>
          <w:tcPr>
            <w:tcW w:w="823" w:type="pct"/>
            <w:gridSpan w:val="2"/>
            <w:noWrap w:val="0"/>
            <w:vAlign w:val="center"/>
          </w:tcPr>
          <w:p w14:paraId="44D09CA7">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污染源名称</w:t>
            </w:r>
          </w:p>
        </w:tc>
        <w:tc>
          <w:tcPr>
            <w:tcW w:w="471" w:type="pct"/>
            <w:noWrap w:val="0"/>
            <w:vAlign w:val="center"/>
          </w:tcPr>
          <w:p w14:paraId="73C5D222">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固废类别</w:t>
            </w:r>
          </w:p>
        </w:tc>
        <w:tc>
          <w:tcPr>
            <w:tcW w:w="3542" w:type="pct"/>
            <w:gridSpan w:val="9"/>
            <w:noWrap w:val="0"/>
            <w:vAlign w:val="center"/>
          </w:tcPr>
          <w:p w14:paraId="206FB8C2">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处理措施</w:t>
            </w:r>
          </w:p>
        </w:tc>
      </w:tr>
      <w:tr w14:paraId="61F2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vMerge w:val="restart"/>
            <w:noWrap w:val="0"/>
            <w:vAlign w:val="center"/>
          </w:tcPr>
          <w:p w14:paraId="01F3ABBB">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固废</w:t>
            </w:r>
          </w:p>
        </w:tc>
        <w:tc>
          <w:tcPr>
            <w:tcW w:w="823" w:type="pct"/>
            <w:gridSpan w:val="2"/>
            <w:noWrap w:val="0"/>
            <w:vAlign w:val="center"/>
          </w:tcPr>
          <w:p w14:paraId="655BB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rPr>
              <w:t>清管废渣</w:t>
            </w:r>
            <w:r>
              <w:rPr>
                <w:rFonts w:hint="default" w:ascii="Times New Roman" w:hAnsi="Times New Roman"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lang w:val="en-US" w:eastAsia="zh-CN"/>
              </w:rPr>
              <w:t>废防渗膜、废润滑油</w:t>
            </w:r>
            <w:r>
              <w:rPr>
                <w:rFonts w:hint="eastAsia" w:ascii="Times New Roman" w:hAnsi="Times New Roman" w:cs="Times New Roman"/>
                <w:color w:val="auto"/>
                <w:spacing w:val="0"/>
                <w:sz w:val="21"/>
                <w:szCs w:val="21"/>
                <w:highlight w:val="none"/>
                <w:lang w:val="en-US" w:eastAsia="zh-CN"/>
              </w:rPr>
              <w:t>等</w:t>
            </w:r>
          </w:p>
        </w:tc>
        <w:tc>
          <w:tcPr>
            <w:tcW w:w="471" w:type="pct"/>
            <w:noWrap w:val="0"/>
            <w:vAlign w:val="center"/>
          </w:tcPr>
          <w:p w14:paraId="1EF8EB43">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危险废物</w:t>
            </w:r>
          </w:p>
        </w:tc>
        <w:tc>
          <w:tcPr>
            <w:tcW w:w="3542" w:type="pct"/>
            <w:gridSpan w:val="9"/>
            <w:noWrap w:val="0"/>
            <w:vAlign w:val="center"/>
          </w:tcPr>
          <w:p w14:paraId="3D7F6105">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left"/>
              <w:textAlignment w:val="auto"/>
              <w:rPr>
                <w:rFonts w:hint="eastAsia"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收集后</w:t>
            </w:r>
            <w:r>
              <w:rPr>
                <w:rFonts w:hint="eastAsia" w:ascii="Times New Roman" w:hAnsi="Times New Roman" w:eastAsia="宋体" w:cs="Times New Roman"/>
                <w:color w:val="auto"/>
                <w:spacing w:val="0"/>
                <w:sz w:val="21"/>
                <w:szCs w:val="21"/>
                <w:highlight w:val="none"/>
                <w:lang w:eastAsia="zh-CN"/>
              </w:rPr>
              <w:t>委托有危废处置资质单位接收处置</w:t>
            </w:r>
            <w:r>
              <w:rPr>
                <w:rFonts w:hint="eastAsia" w:ascii="Times New Roman" w:hAnsi="Times New Roman" w:cs="Times New Roman"/>
                <w:color w:val="auto"/>
                <w:spacing w:val="0"/>
                <w:sz w:val="21"/>
                <w:szCs w:val="21"/>
                <w:highlight w:val="none"/>
                <w:lang w:eastAsia="zh-CN"/>
              </w:rPr>
              <w:t>。</w:t>
            </w:r>
          </w:p>
        </w:tc>
      </w:tr>
      <w:tr w14:paraId="2544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2" w:type="pct"/>
            <w:vMerge w:val="continue"/>
            <w:noWrap w:val="0"/>
            <w:vAlign w:val="center"/>
          </w:tcPr>
          <w:p w14:paraId="1E833C08">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cs="Times New Roman"/>
                <w:color w:val="auto"/>
                <w:spacing w:val="0"/>
                <w:sz w:val="21"/>
                <w:szCs w:val="21"/>
                <w:highlight w:val="none"/>
              </w:rPr>
            </w:pPr>
          </w:p>
        </w:tc>
        <w:tc>
          <w:tcPr>
            <w:tcW w:w="823" w:type="pct"/>
            <w:gridSpan w:val="2"/>
            <w:noWrap w:val="0"/>
            <w:vAlign w:val="center"/>
          </w:tcPr>
          <w:p w14:paraId="50A25E44">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落地油</w:t>
            </w:r>
          </w:p>
        </w:tc>
        <w:tc>
          <w:tcPr>
            <w:tcW w:w="471" w:type="pct"/>
            <w:noWrap w:val="0"/>
            <w:vAlign w:val="center"/>
          </w:tcPr>
          <w:p w14:paraId="5E705A58">
            <w:pPr>
              <w:keepNext w:val="0"/>
              <w:keepLines w:val="0"/>
              <w:pageBreakBefore w:val="0"/>
              <w:widowControl w:val="0"/>
              <w:suppressLineNumbers w:val="0"/>
              <w:kinsoku/>
              <w:wordWrap/>
              <w:overflowPunct/>
              <w:topLine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w:t>
            </w:r>
          </w:p>
        </w:tc>
        <w:tc>
          <w:tcPr>
            <w:tcW w:w="3542" w:type="pct"/>
            <w:gridSpan w:val="9"/>
            <w:noWrap w:val="0"/>
            <w:vAlign w:val="center"/>
          </w:tcPr>
          <w:p w14:paraId="0D756368">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left"/>
              <w:textAlignment w:val="auto"/>
              <w:rPr>
                <w:rFonts w:hint="eastAsia"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井下作业时带罐作业，落地油100%回收</w:t>
            </w:r>
            <w:r>
              <w:rPr>
                <w:rFonts w:hint="eastAsia" w:ascii="Times New Roman" w:hAnsi="Times New Roman" w:cs="Times New Roman"/>
                <w:color w:val="auto"/>
                <w:spacing w:val="0"/>
                <w:sz w:val="21"/>
                <w:szCs w:val="21"/>
                <w:highlight w:val="none"/>
                <w:lang w:eastAsia="zh-CN"/>
              </w:rPr>
              <w:t>。</w:t>
            </w:r>
          </w:p>
        </w:tc>
      </w:tr>
      <w:tr w14:paraId="2FA2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86" w:type="pct"/>
            <w:gridSpan w:val="3"/>
            <w:noWrap w:val="0"/>
            <w:vAlign w:val="center"/>
          </w:tcPr>
          <w:p w14:paraId="0FB753C6">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环境风险防范措施</w:t>
            </w:r>
          </w:p>
        </w:tc>
        <w:tc>
          <w:tcPr>
            <w:tcW w:w="4013" w:type="pct"/>
            <w:gridSpan w:val="10"/>
            <w:noWrap w:val="0"/>
            <w:vAlign w:val="center"/>
          </w:tcPr>
          <w:p w14:paraId="6E177B3A">
            <w:pPr>
              <w:keepNext w:val="0"/>
              <w:keepLines w:val="0"/>
              <w:pageBreakBefore w:val="0"/>
              <w:widowControl w:val="0"/>
              <w:suppressLineNumbers w:val="0"/>
              <w:kinsoku/>
              <w:wordWrap/>
              <w:overflowPunct/>
              <w:autoSpaceDE/>
              <w:autoSpaceDN/>
              <w:bidi w:val="0"/>
              <w:snapToGrid/>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严格按照风险预案中相关规定执行</w:t>
            </w:r>
          </w:p>
        </w:tc>
      </w:tr>
    </w:tbl>
    <w:p w14:paraId="5BF7D13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p>
    <w:p w14:paraId="240279D2">
      <w:pPr>
        <w:pageBreakBefore w:val="0"/>
        <w:kinsoku/>
        <w:wordWrap/>
        <w:overflowPunct/>
        <w:topLinePunct w:val="0"/>
        <w:autoSpaceDE/>
        <w:autoSpaceDN/>
        <w:bidi w:val="0"/>
        <w:adjustRightInd w:val="0"/>
        <w:snapToGrid w:val="0"/>
        <w:spacing w:before="0" w:beforeLines="0" w:after="0" w:afterLines="0" w:line="360" w:lineRule="auto"/>
        <w:jc w:val="both"/>
        <w:textAlignment w:val="auto"/>
        <w:outlineLvl w:val="0"/>
        <w:rPr>
          <w:rFonts w:hint="default" w:ascii="Times New Roman" w:hAnsi="Times New Roman" w:eastAsia="宋体" w:cs="Times New Roman"/>
          <w:b/>
          <w:snapToGrid w:val="0"/>
          <w:color w:val="auto"/>
          <w:kern w:val="44"/>
          <w:sz w:val="36"/>
          <w:szCs w:val="36"/>
          <w:highlight w:val="none"/>
          <w:lang w:val="en-US" w:eastAsia="zh-CN" w:bidi="ar-SA"/>
        </w:rPr>
        <w:sectPr>
          <w:pgSz w:w="16838" w:h="11906" w:orient="landscape"/>
          <w:pgMar w:top="1689" w:right="1440" w:bottom="1689"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A46856">
      <w:pPr>
        <w:pStyle w:val="5"/>
        <w:pageBreakBefore w:val="0"/>
        <w:widowControl/>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eastAsia="宋体" w:cs="Times New Roman"/>
          <w:color w:val="auto"/>
          <w:szCs w:val="30"/>
          <w:highlight w:val="none"/>
          <w:lang w:val="en-US" w:eastAsia="zh-CN"/>
        </w:rPr>
      </w:pPr>
      <w:bookmarkStart w:id="717" w:name="_Toc184971621"/>
      <w:bookmarkStart w:id="718" w:name="_Toc29175"/>
      <w:r>
        <w:rPr>
          <w:rFonts w:hint="eastAsia" w:ascii="Times New Roman" w:hAnsi="Times New Roman" w:eastAsia="宋体" w:cs="Times New Roman"/>
          <w:color w:val="auto"/>
          <w:szCs w:val="30"/>
          <w:highlight w:val="none"/>
          <w:lang w:val="en-US" w:eastAsia="zh-CN"/>
        </w:rPr>
        <w:t>9.4 环境及污染源监测</w:t>
      </w:r>
      <w:bookmarkEnd w:id="717"/>
      <w:bookmarkEnd w:id="718"/>
    </w:p>
    <w:p w14:paraId="421CCD00">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9.4.1 监测目的</w:t>
      </w:r>
    </w:p>
    <w:p w14:paraId="010AF230">
      <w:pPr>
        <w:spacing w:line="460" w:lineRule="exact"/>
        <w:ind w:firstLine="480" w:firstLineChars="200"/>
        <w:rPr>
          <w:rFonts w:hint="eastAsia" w:ascii="Times New Roman" w:hAnsi="宋体" w:eastAsia="宋体" w:cs="宋体"/>
          <w:bCs/>
          <w:color w:val="auto"/>
          <w:highlight w:val="none"/>
        </w:rPr>
      </w:pPr>
      <w:r>
        <w:rPr>
          <w:rFonts w:hint="eastAsia" w:ascii="Times New Roman" w:hAnsi="宋体" w:eastAsia="宋体" w:cs="宋体"/>
          <w:bCs/>
          <w:color w:val="auto"/>
          <w:highlight w:val="none"/>
        </w:rPr>
        <w:t>环境监测是企业环境管理体系的重要组成部分，也是环境管理规范化的主要手段，通过对企业主要污染物进行分析、资料整理、编制报表、建立技术文件档案，可以为上级生态环境主管部门和地方生态环境主管部门进行环境规划、管理和执法提供依据。环境监测是环境保护的基础，是进行污染源治理及环保设施管理的依据，因而企业应定期对环保设施及废水、噪声等污染源情况进行监测、对固体废物处置按照法规文件规范进行记录。</w:t>
      </w:r>
    </w:p>
    <w:p w14:paraId="16EC3F63">
      <w:pPr>
        <w:spacing w:line="460" w:lineRule="exact"/>
        <w:ind w:firstLine="480" w:firstLineChars="200"/>
        <w:rPr>
          <w:rFonts w:hint="eastAsia" w:ascii="Times New Roman" w:hAnsi="宋体" w:eastAsia="宋体" w:cs="宋体"/>
          <w:bCs/>
          <w:color w:val="auto"/>
          <w:highlight w:val="none"/>
        </w:rPr>
      </w:pPr>
      <w:r>
        <w:rPr>
          <w:rFonts w:hint="eastAsia" w:ascii="Times New Roman" w:hAnsi="宋体" w:eastAsia="宋体" w:cs="宋体"/>
          <w:bCs/>
          <w:color w:val="auto"/>
          <w:highlight w:val="none"/>
        </w:rPr>
        <w:t>通过对本项目运行中环保设施进行监控，掌握废气、废水、噪声等污染源排放是否符合国家或地方排放标准的要求，做到达标排放，同时对废水、噪声防治设施进行监督检查，保证正常运行。</w:t>
      </w:r>
    </w:p>
    <w:p w14:paraId="6096A173">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9.4.2 环境监测机构及设备配置</w:t>
      </w:r>
    </w:p>
    <w:p w14:paraId="4BF560D9">
      <w:pPr>
        <w:spacing w:line="460" w:lineRule="exact"/>
        <w:ind w:firstLine="480" w:firstLineChars="200"/>
        <w:rPr>
          <w:rFonts w:hint="eastAsia" w:ascii="Times New Roman" w:hAnsi="宋体" w:eastAsia="宋体" w:cs="宋体"/>
          <w:bCs/>
          <w:color w:val="auto"/>
          <w:highlight w:val="none"/>
        </w:rPr>
      </w:pPr>
      <w:r>
        <w:rPr>
          <w:rFonts w:hint="eastAsia" w:ascii="Times New Roman" w:hAnsi="宋体" w:eastAsia="宋体" w:cs="宋体"/>
          <w:bCs/>
          <w:color w:val="auto"/>
          <w:highlight w:val="none"/>
        </w:rPr>
        <w:t>环境监测是环境保护的基础，是进行污染治理和监督管理的依据。本项目的环境监测工作可委托当地有资质的环境监测机构承担，也可由西北油田分公司的质量检测中心承担。</w:t>
      </w:r>
    </w:p>
    <w:p w14:paraId="5FE09DD8">
      <w:pPr>
        <w:pStyle w:val="49"/>
        <w:pageBreakBefore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9.4.3 监测计划</w:t>
      </w:r>
    </w:p>
    <w:p w14:paraId="2761A7AE">
      <w:pPr>
        <w:spacing w:line="460" w:lineRule="exact"/>
        <w:ind w:firstLine="480" w:firstLineChars="200"/>
        <w:jc w:val="both"/>
        <w:rPr>
          <w:rFonts w:hint="eastAsia" w:ascii="Times New Roman" w:hAnsi="宋体" w:eastAsia="宋体" w:cs="宋体"/>
          <w:bCs/>
          <w:color w:val="auto"/>
          <w:highlight w:val="none"/>
        </w:rPr>
      </w:pPr>
      <w:r>
        <w:rPr>
          <w:rFonts w:hint="eastAsia" w:ascii="Times New Roman" w:hAnsi="宋体" w:eastAsia="宋体" w:cs="宋体"/>
          <w:bCs/>
          <w:color w:val="auto"/>
          <w:highlight w:val="none"/>
        </w:rPr>
        <w:t>根据本项目生产特征和污染物的排放特征，依据《陆上石油天然气开采工业大气污染物排放标准》(GB39728-2020)、《恶臭污染物排放标准》(GB 14554-93)、《环境影响评价技术导则 地下水环境》(HJ610–2016)、《环境影响评价技术导则 土壤环境(试行)》(HJ964-2018)、《环境影响评价技术导则 生态影响》(HJ19-2022)、《排污单位自行监测技术指南 总则》(HJ819-2017)、《排污单位自行监测技术指南 陆上石油天然气开采工业》(HJ1248-2022)等标准规范及地方生态环境主管部门的要求，制定本项目的监测计划。</w:t>
      </w:r>
    </w:p>
    <w:p w14:paraId="7286F107">
      <w:pPr>
        <w:spacing w:line="460" w:lineRule="exact"/>
        <w:ind w:firstLine="480" w:firstLineChars="200"/>
        <w:jc w:val="both"/>
        <w:rPr>
          <w:rFonts w:hint="eastAsia" w:ascii="Times New Roman" w:hAnsi="宋体" w:eastAsia="宋体" w:cs="宋体"/>
          <w:bCs/>
          <w:color w:val="auto"/>
          <w:highlight w:val="none"/>
        </w:rPr>
      </w:pPr>
      <w:r>
        <w:rPr>
          <w:rFonts w:hint="eastAsia" w:ascii="Times New Roman" w:hAnsi="宋体" w:eastAsia="宋体" w:cs="宋体"/>
          <w:bCs/>
          <w:color w:val="auto"/>
          <w:highlight w:val="none"/>
        </w:rPr>
        <w:t>本项目投入运行后，各污染源监测因子、监测频率情况见表9.4-1。</w:t>
      </w:r>
    </w:p>
    <w:p w14:paraId="060A9D5B">
      <w:pPr>
        <w:ind w:firstLine="420" w:firstLineChars="200"/>
        <w:jc w:val="center"/>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表9.4-1          本项目监测计划一览表</w:t>
      </w:r>
    </w:p>
    <w:tbl>
      <w:tblPr>
        <w:tblStyle w:val="35"/>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2"/>
        <w:gridCol w:w="3093"/>
        <w:gridCol w:w="995"/>
        <w:gridCol w:w="978"/>
        <w:gridCol w:w="2858"/>
      </w:tblGrid>
      <w:tr w14:paraId="68E5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92" w:type="pct"/>
            <w:vAlign w:val="center"/>
          </w:tcPr>
          <w:p w14:paraId="041E2CE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bookmarkStart w:id="719" w:name="_Toc184971622"/>
            <w:r>
              <w:rPr>
                <w:rFonts w:hint="default" w:ascii="Times New Roman" w:hAnsi="Times New Roman" w:cs="Times New Roman"/>
                <w:color w:val="auto"/>
                <w:sz w:val="21"/>
                <w:szCs w:val="21"/>
                <w:highlight w:val="none"/>
              </w:rPr>
              <w:t>类型</w:t>
            </w:r>
          </w:p>
        </w:tc>
        <w:tc>
          <w:tcPr>
            <w:tcW w:w="1837" w:type="pct"/>
            <w:vAlign w:val="center"/>
          </w:tcPr>
          <w:p w14:paraId="0B71367C">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监测地点</w:t>
            </w:r>
          </w:p>
        </w:tc>
        <w:tc>
          <w:tcPr>
            <w:tcW w:w="591" w:type="pct"/>
            <w:vAlign w:val="center"/>
          </w:tcPr>
          <w:p w14:paraId="4260135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监测频率</w:t>
            </w:r>
          </w:p>
        </w:tc>
        <w:tc>
          <w:tcPr>
            <w:tcW w:w="581" w:type="pct"/>
            <w:vAlign w:val="center"/>
          </w:tcPr>
          <w:p w14:paraId="4E4FCE84">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监测时间</w:t>
            </w:r>
          </w:p>
        </w:tc>
        <w:tc>
          <w:tcPr>
            <w:tcW w:w="1697" w:type="pct"/>
            <w:vAlign w:val="center"/>
          </w:tcPr>
          <w:p w14:paraId="70A5FB7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r>
      <w:tr w14:paraId="7199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292" w:type="pct"/>
            <w:vMerge w:val="restart"/>
            <w:vAlign w:val="center"/>
          </w:tcPr>
          <w:p w14:paraId="2B272E1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837" w:type="pct"/>
            <w:vAlign w:val="center"/>
          </w:tcPr>
          <w:p w14:paraId="2C9F063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代表性井场、站场厂界下风向10m范围内</w:t>
            </w:r>
          </w:p>
        </w:tc>
        <w:tc>
          <w:tcPr>
            <w:tcW w:w="591" w:type="pct"/>
            <w:vMerge w:val="restart"/>
            <w:vAlign w:val="center"/>
          </w:tcPr>
          <w:p w14:paraId="086BF4FA">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default" w:ascii="Times New Roman" w:hAnsi="Times New Roman" w:cs="Times New Roman"/>
                <w:color w:val="auto"/>
                <w:sz w:val="21"/>
                <w:szCs w:val="21"/>
                <w:highlight w:val="none"/>
                <w:lang w:val="en-US" w:eastAsia="zh-CN"/>
              </w:rPr>
              <w:t>半</w:t>
            </w:r>
            <w:r>
              <w:rPr>
                <w:rFonts w:hint="default" w:ascii="Times New Roman" w:hAnsi="Times New Roman" w:cs="Times New Roman"/>
                <w:color w:val="auto"/>
                <w:sz w:val="21"/>
                <w:szCs w:val="21"/>
                <w:highlight w:val="none"/>
              </w:rPr>
              <w:t>年</w:t>
            </w:r>
          </w:p>
        </w:tc>
        <w:tc>
          <w:tcPr>
            <w:tcW w:w="581" w:type="pct"/>
            <w:vMerge w:val="restart"/>
            <w:vAlign w:val="center"/>
          </w:tcPr>
          <w:p w14:paraId="3DF872B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竣工环保验收后开始</w:t>
            </w:r>
          </w:p>
        </w:tc>
        <w:tc>
          <w:tcPr>
            <w:tcW w:w="1697" w:type="pct"/>
            <w:vMerge w:val="restart"/>
            <w:vAlign w:val="center"/>
          </w:tcPr>
          <w:p w14:paraId="05A4B2A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r>
      <w:tr w14:paraId="456E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92" w:type="pct"/>
            <w:vMerge w:val="restart"/>
            <w:vAlign w:val="center"/>
          </w:tcPr>
          <w:p w14:paraId="3ECF6C2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w:t>
            </w:r>
          </w:p>
        </w:tc>
        <w:tc>
          <w:tcPr>
            <w:tcW w:w="1837" w:type="pct"/>
            <w:vAlign w:val="center"/>
          </w:tcPr>
          <w:p w14:paraId="65DB6086">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井场外</w:t>
            </w:r>
            <w:r>
              <w:rPr>
                <w:rFonts w:hint="eastAsia" w:cs="Times New Roman"/>
                <w:color w:val="auto"/>
                <w:sz w:val="21"/>
                <w:szCs w:val="21"/>
                <w:highlight w:val="none"/>
                <w:lang w:val="en-US" w:eastAsia="zh-CN"/>
              </w:rPr>
              <w:t>基本农田</w:t>
            </w:r>
            <w:r>
              <w:rPr>
                <w:rFonts w:hint="default" w:ascii="Times New Roman" w:hAnsi="Times New Roman" w:cs="Times New Roman"/>
                <w:color w:val="auto"/>
                <w:sz w:val="21"/>
                <w:szCs w:val="21"/>
                <w:highlight w:val="none"/>
              </w:rPr>
              <w:t>土壤</w:t>
            </w:r>
          </w:p>
        </w:tc>
        <w:tc>
          <w:tcPr>
            <w:tcW w:w="591" w:type="pct"/>
            <w:vMerge w:val="restart"/>
            <w:vAlign w:val="center"/>
          </w:tcPr>
          <w:p w14:paraId="0774945C">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次/年</w:t>
            </w:r>
          </w:p>
        </w:tc>
        <w:tc>
          <w:tcPr>
            <w:tcW w:w="581" w:type="pct"/>
            <w:vMerge w:val="continue"/>
            <w:vAlign w:val="center"/>
          </w:tcPr>
          <w:p w14:paraId="6E17549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p>
        </w:tc>
        <w:tc>
          <w:tcPr>
            <w:tcW w:w="1697" w:type="pct"/>
            <w:vMerge w:val="restart"/>
            <w:vAlign w:val="center"/>
          </w:tcPr>
          <w:p w14:paraId="5704F0B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0"/>
                <w:sz w:val="21"/>
                <w:szCs w:val="21"/>
                <w:highlight w:val="none"/>
              </w:rPr>
              <w:t>石油类</w:t>
            </w:r>
            <w:r>
              <w:rPr>
                <w:rFonts w:hint="default" w:ascii="Times New Roman" w:hAnsi="Times New Roman" w:cs="Times New Roman"/>
                <w:color w:val="auto"/>
                <w:spacing w:val="-10"/>
                <w:sz w:val="21"/>
                <w:szCs w:val="21"/>
                <w:highlight w:val="none"/>
                <w:lang w:eastAsia="zh-CN"/>
              </w:rPr>
              <w:t>、</w:t>
            </w:r>
            <w:r>
              <w:rPr>
                <w:rFonts w:hint="default" w:ascii="Times New Roman" w:hAnsi="Times New Roman" w:cs="Times New Roman"/>
                <w:color w:val="auto"/>
                <w:spacing w:val="-10"/>
                <w:sz w:val="21"/>
                <w:szCs w:val="21"/>
                <w:highlight w:val="none"/>
                <w:lang w:val="en-US" w:eastAsia="zh-CN"/>
              </w:rPr>
              <w:t>石油烃（C</w:t>
            </w:r>
            <w:r>
              <w:rPr>
                <w:rFonts w:hint="default" w:ascii="Times New Roman" w:hAnsi="Times New Roman" w:cs="Times New Roman"/>
                <w:color w:val="auto"/>
                <w:spacing w:val="-10"/>
                <w:sz w:val="21"/>
                <w:szCs w:val="21"/>
                <w:highlight w:val="none"/>
                <w:vertAlign w:val="subscript"/>
                <w:lang w:val="en-US" w:eastAsia="zh-CN"/>
              </w:rPr>
              <w:t>6</w:t>
            </w:r>
            <w:r>
              <w:rPr>
                <w:rFonts w:hint="default" w:ascii="Times New Roman" w:hAnsi="Times New Roman" w:cs="Times New Roman"/>
                <w:color w:val="auto"/>
                <w:spacing w:val="-10"/>
                <w:sz w:val="21"/>
                <w:szCs w:val="21"/>
                <w:highlight w:val="none"/>
                <w:lang w:val="en-US" w:eastAsia="zh-CN"/>
              </w:rPr>
              <w:t>~C</w:t>
            </w:r>
            <w:r>
              <w:rPr>
                <w:rFonts w:hint="default" w:ascii="Times New Roman" w:hAnsi="Times New Roman" w:cs="Times New Roman"/>
                <w:color w:val="auto"/>
                <w:spacing w:val="-10"/>
                <w:sz w:val="21"/>
                <w:szCs w:val="21"/>
                <w:highlight w:val="none"/>
                <w:vertAlign w:val="subscript"/>
                <w:lang w:val="en-US" w:eastAsia="zh-CN"/>
              </w:rPr>
              <w:t>9</w:t>
            </w:r>
            <w:r>
              <w:rPr>
                <w:rFonts w:hint="default" w:ascii="Times New Roman" w:hAnsi="Times New Roman" w:cs="Times New Roman"/>
                <w:color w:val="auto"/>
                <w:spacing w:val="-10"/>
                <w:sz w:val="21"/>
                <w:szCs w:val="21"/>
                <w:highlight w:val="none"/>
                <w:lang w:val="en-US" w:eastAsia="zh-CN"/>
              </w:rPr>
              <w:t>）、石油烃（C</w:t>
            </w:r>
            <w:r>
              <w:rPr>
                <w:rFonts w:hint="default" w:ascii="Times New Roman" w:hAnsi="Times New Roman" w:cs="Times New Roman"/>
                <w:color w:val="auto"/>
                <w:spacing w:val="-10"/>
                <w:sz w:val="21"/>
                <w:szCs w:val="21"/>
                <w:highlight w:val="none"/>
                <w:vertAlign w:val="subscript"/>
                <w:lang w:val="en-US" w:eastAsia="zh-CN"/>
              </w:rPr>
              <w:t>10</w:t>
            </w:r>
            <w:r>
              <w:rPr>
                <w:rFonts w:hint="default" w:ascii="Times New Roman" w:hAnsi="Times New Roman" w:cs="Times New Roman"/>
                <w:color w:val="auto"/>
                <w:spacing w:val="-10"/>
                <w:sz w:val="21"/>
                <w:szCs w:val="21"/>
                <w:highlight w:val="none"/>
                <w:lang w:val="en-US" w:eastAsia="zh-CN"/>
              </w:rPr>
              <w:t>~C</w:t>
            </w:r>
            <w:r>
              <w:rPr>
                <w:rFonts w:hint="default" w:ascii="Times New Roman" w:hAnsi="Times New Roman" w:cs="Times New Roman"/>
                <w:color w:val="auto"/>
                <w:spacing w:val="-10"/>
                <w:sz w:val="21"/>
                <w:szCs w:val="21"/>
                <w:highlight w:val="none"/>
                <w:vertAlign w:val="subscript"/>
                <w:lang w:val="en-US" w:eastAsia="zh-CN"/>
              </w:rPr>
              <w:t>40</w:t>
            </w:r>
            <w:r>
              <w:rPr>
                <w:rFonts w:hint="default" w:ascii="Times New Roman" w:hAnsi="Times New Roman" w:cs="Times New Roman"/>
                <w:color w:val="auto"/>
                <w:spacing w:val="-10"/>
                <w:sz w:val="21"/>
                <w:szCs w:val="21"/>
                <w:highlight w:val="none"/>
                <w:lang w:val="en-US" w:eastAsia="zh-CN"/>
              </w:rPr>
              <w:t>）、汞、砷、六价铬</w:t>
            </w:r>
          </w:p>
        </w:tc>
      </w:tr>
      <w:tr w14:paraId="44E3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92" w:type="pct"/>
            <w:vMerge w:val="continue"/>
            <w:vAlign w:val="center"/>
          </w:tcPr>
          <w:p w14:paraId="42FD885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p>
        </w:tc>
        <w:tc>
          <w:tcPr>
            <w:tcW w:w="1837" w:type="pct"/>
            <w:vAlign w:val="center"/>
          </w:tcPr>
          <w:p w14:paraId="7693A960">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集输管线穿越重点公益林、牧草地的代表性区域</w:t>
            </w:r>
          </w:p>
        </w:tc>
        <w:tc>
          <w:tcPr>
            <w:tcW w:w="591" w:type="pct"/>
            <w:vMerge w:val="continue"/>
            <w:vAlign w:val="center"/>
          </w:tcPr>
          <w:p w14:paraId="59B8AE7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p>
        </w:tc>
        <w:tc>
          <w:tcPr>
            <w:tcW w:w="581" w:type="pct"/>
            <w:vMerge w:val="continue"/>
            <w:vAlign w:val="center"/>
          </w:tcPr>
          <w:p w14:paraId="0286494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p>
        </w:tc>
        <w:tc>
          <w:tcPr>
            <w:tcW w:w="1697" w:type="pct"/>
            <w:vMerge w:val="continue"/>
            <w:vAlign w:val="center"/>
          </w:tcPr>
          <w:p w14:paraId="67765E7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p>
        </w:tc>
      </w:tr>
      <w:tr w14:paraId="67BB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92" w:type="pct"/>
            <w:vAlign w:val="center"/>
          </w:tcPr>
          <w:p w14:paraId="58B606A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1837" w:type="pct"/>
            <w:vAlign w:val="center"/>
          </w:tcPr>
          <w:p w14:paraId="6891AFC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区域内及上游、下游</w:t>
            </w:r>
          </w:p>
        </w:tc>
        <w:tc>
          <w:tcPr>
            <w:tcW w:w="591" w:type="pct"/>
            <w:vAlign w:val="center"/>
          </w:tcPr>
          <w:p w14:paraId="1AF9B29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default" w:ascii="Times New Roman" w:hAnsi="Times New Roman" w:cs="Times New Roman"/>
                <w:color w:val="auto"/>
                <w:sz w:val="21"/>
                <w:szCs w:val="21"/>
                <w:highlight w:val="none"/>
                <w:lang w:val="en-US" w:eastAsia="zh-CN"/>
              </w:rPr>
              <w:t>半</w:t>
            </w:r>
            <w:r>
              <w:rPr>
                <w:rFonts w:hint="default" w:ascii="Times New Roman" w:hAnsi="Times New Roman" w:cs="Times New Roman"/>
                <w:color w:val="auto"/>
                <w:sz w:val="21"/>
                <w:szCs w:val="21"/>
                <w:highlight w:val="none"/>
              </w:rPr>
              <w:t>年</w:t>
            </w:r>
          </w:p>
        </w:tc>
        <w:tc>
          <w:tcPr>
            <w:tcW w:w="581" w:type="pct"/>
            <w:vMerge w:val="continue"/>
            <w:vAlign w:val="center"/>
          </w:tcPr>
          <w:p w14:paraId="5E2CF806">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p>
        </w:tc>
        <w:tc>
          <w:tcPr>
            <w:tcW w:w="1697" w:type="pct"/>
            <w:vAlign w:val="center"/>
          </w:tcPr>
          <w:p w14:paraId="10732346">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10"/>
                <w:sz w:val="21"/>
                <w:szCs w:val="21"/>
                <w:highlight w:val="none"/>
              </w:rPr>
              <w:t>石油类</w:t>
            </w:r>
            <w:r>
              <w:rPr>
                <w:rFonts w:hint="default" w:ascii="Times New Roman" w:hAnsi="Times New Roman" w:cs="Times New Roman"/>
                <w:color w:val="auto"/>
                <w:spacing w:val="-10"/>
                <w:sz w:val="21"/>
                <w:szCs w:val="21"/>
                <w:highlight w:val="none"/>
                <w:lang w:eastAsia="zh-CN"/>
              </w:rPr>
              <w:t>、</w:t>
            </w:r>
            <w:r>
              <w:rPr>
                <w:rFonts w:hint="default" w:ascii="Times New Roman" w:hAnsi="Times New Roman" w:cs="Times New Roman"/>
                <w:color w:val="auto"/>
                <w:spacing w:val="-10"/>
                <w:sz w:val="21"/>
                <w:szCs w:val="21"/>
                <w:highlight w:val="none"/>
                <w:lang w:val="en-US" w:eastAsia="zh-CN"/>
              </w:rPr>
              <w:t>石油烃（C</w:t>
            </w:r>
            <w:r>
              <w:rPr>
                <w:rFonts w:hint="default" w:ascii="Times New Roman" w:hAnsi="Times New Roman" w:cs="Times New Roman"/>
                <w:color w:val="auto"/>
                <w:spacing w:val="-10"/>
                <w:sz w:val="21"/>
                <w:szCs w:val="21"/>
                <w:highlight w:val="none"/>
                <w:vertAlign w:val="subscript"/>
                <w:lang w:val="en-US" w:eastAsia="zh-CN"/>
              </w:rPr>
              <w:t>6</w:t>
            </w:r>
            <w:r>
              <w:rPr>
                <w:rFonts w:hint="default" w:ascii="Times New Roman" w:hAnsi="Times New Roman" w:cs="Times New Roman"/>
                <w:color w:val="auto"/>
                <w:spacing w:val="-10"/>
                <w:sz w:val="21"/>
                <w:szCs w:val="21"/>
                <w:highlight w:val="none"/>
                <w:lang w:val="en-US" w:eastAsia="zh-CN"/>
              </w:rPr>
              <w:t>~C</w:t>
            </w:r>
            <w:r>
              <w:rPr>
                <w:rFonts w:hint="default" w:ascii="Times New Roman" w:hAnsi="Times New Roman" w:cs="Times New Roman"/>
                <w:color w:val="auto"/>
                <w:spacing w:val="-10"/>
                <w:sz w:val="21"/>
                <w:szCs w:val="21"/>
                <w:highlight w:val="none"/>
                <w:vertAlign w:val="subscript"/>
                <w:lang w:val="en-US" w:eastAsia="zh-CN"/>
              </w:rPr>
              <w:t>9</w:t>
            </w:r>
            <w:r>
              <w:rPr>
                <w:rFonts w:hint="default" w:ascii="Times New Roman" w:hAnsi="Times New Roman" w:cs="Times New Roman"/>
                <w:color w:val="auto"/>
                <w:spacing w:val="-10"/>
                <w:sz w:val="21"/>
                <w:szCs w:val="21"/>
                <w:highlight w:val="none"/>
                <w:lang w:val="en-US" w:eastAsia="zh-CN"/>
              </w:rPr>
              <w:t>）、石油烃（C</w:t>
            </w:r>
            <w:r>
              <w:rPr>
                <w:rFonts w:hint="default" w:ascii="Times New Roman" w:hAnsi="Times New Roman" w:cs="Times New Roman"/>
                <w:color w:val="auto"/>
                <w:spacing w:val="-10"/>
                <w:sz w:val="21"/>
                <w:szCs w:val="21"/>
                <w:highlight w:val="none"/>
                <w:vertAlign w:val="subscript"/>
                <w:lang w:val="en-US" w:eastAsia="zh-CN"/>
              </w:rPr>
              <w:t>10</w:t>
            </w:r>
            <w:r>
              <w:rPr>
                <w:rFonts w:hint="default" w:ascii="Times New Roman" w:hAnsi="Times New Roman" w:cs="Times New Roman"/>
                <w:color w:val="auto"/>
                <w:spacing w:val="-10"/>
                <w:sz w:val="21"/>
                <w:szCs w:val="21"/>
                <w:highlight w:val="none"/>
                <w:lang w:val="en-US" w:eastAsia="zh-CN"/>
              </w:rPr>
              <w:t>~C</w:t>
            </w:r>
            <w:r>
              <w:rPr>
                <w:rFonts w:hint="default" w:ascii="Times New Roman" w:hAnsi="Times New Roman" w:cs="Times New Roman"/>
                <w:color w:val="auto"/>
                <w:spacing w:val="-10"/>
                <w:sz w:val="21"/>
                <w:szCs w:val="21"/>
                <w:highlight w:val="none"/>
                <w:vertAlign w:val="subscript"/>
                <w:lang w:val="en-US" w:eastAsia="zh-CN"/>
              </w:rPr>
              <w:t>40</w:t>
            </w:r>
            <w:r>
              <w:rPr>
                <w:rFonts w:hint="default" w:ascii="Times New Roman" w:hAnsi="Times New Roman" w:cs="Times New Roman"/>
                <w:color w:val="auto"/>
                <w:spacing w:val="-10"/>
                <w:sz w:val="21"/>
                <w:szCs w:val="21"/>
                <w:highlight w:val="none"/>
                <w:lang w:val="en-US" w:eastAsia="zh-CN"/>
              </w:rPr>
              <w:t>）、汞、砷、六价铬</w:t>
            </w:r>
          </w:p>
        </w:tc>
      </w:tr>
      <w:tr w14:paraId="0150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92" w:type="pct"/>
            <w:vAlign w:val="center"/>
          </w:tcPr>
          <w:p w14:paraId="3F28785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生态</w:t>
            </w:r>
          </w:p>
        </w:tc>
        <w:tc>
          <w:tcPr>
            <w:tcW w:w="1837" w:type="pct"/>
            <w:vAlign w:val="center"/>
          </w:tcPr>
          <w:p w14:paraId="795E093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hAnsi="宋体"/>
                <w:color w:val="auto"/>
                <w:spacing w:val="-10"/>
                <w:sz w:val="23"/>
                <w:szCs w:val="23"/>
                <w:highlight w:val="none"/>
              </w:rPr>
              <w:t>井场及管线周围</w:t>
            </w:r>
            <w:r>
              <w:rPr>
                <w:rFonts w:hint="eastAsia" w:hAnsi="宋体"/>
                <w:color w:val="auto"/>
                <w:spacing w:val="-10"/>
                <w:sz w:val="23"/>
                <w:szCs w:val="23"/>
                <w:highlight w:val="none"/>
                <w:lang w:val="en-US" w:eastAsia="zh-CN"/>
              </w:rPr>
              <w:t>重点公益林、牧草地等代表性区域</w:t>
            </w:r>
          </w:p>
        </w:tc>
        <w:tc>
          <w:tcPr>
            <w:tcW w:w="591" w:type="pct"/>
            <w:vAlign w:val="center"/>
          </w:tcPr>
          <w:p w14:paraId="3519408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次/年</w:t>
            </w:r>
          </w:p>
        </w:tc>
        <w:tc>
          <w:tcPr>
            <w:tcW w:w="581" w:type="pct"/>
            <w:vMerge w:val="continue"/>
            <w:vAlign w:val="center"/>
          </w:tcPr>
          <w:p w14:paraId="1FBB0029">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rPr>
            </w:pPr>
          </w:p>
        </w:tc>
        <w:tc>
          <w:tcPr>
            <w:tcW w:w="1697" w:type="pct"/>
            <w:vAlign w:val="center"/>
          </w:tcPr>
          <w:p w14:paraId="3B13C83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pacing w:val="-10"/>
                <w:sz w:val="21"/>
                <w:szCs w:val="21"/>
                <w:highlight w:val="none"/>
              </w:rPr>
            </w:pPr>
            <w:r>
              <w:rPr>
                <w:rFonts w:hint="eastAsia" w:hAnsi="宋体" w:cs="宋体"/>
                <w:color w:val="auto"/>
                <w:spacing w:val="-10"/>
                <w:sz w:val="23"/>
                <w:szCs w:val="23"/>
                <w:highlight w:val="none"/>
              </w:rPr>
              <w:t>植被恢复情况(植被覆盖率)</w:t>
            </w:r>
          </w:p>
        </w:tc>
      </w:tr>
    </w:tbl>
    <w:p w14:paraId="4B68AEEF">
      <w:pPr>
        <w:pStyle w:val="5"/>
        <w:keepNext/>
        <w:keepLines/>
        <w:pageBreakBefore w:val="0"/>
        <w:widowControl/>
        <w:kinsoku/>
        <w:wordWrap/>
        <w:overflowPunct/>
        <w:topLinePunct w:val="0"/>
        <w:autoSpaceDE/>
        <w:autoSpaceDN/>
        <w:bidi w:val="0"/>
        <w:adjustRightInd w:val="0"/>
        <w:snapToGrid w:val="0"/>
        <w:spacing w:before="157" w:beforeLines="50" w:after="0" w:line="360" w:lineRule="auto"/>
        <w:jc w:val="both"/>
        <w:textAlignment w:val="auto"/>
        <w:rPr>
          <w:rFonts w:hint="eastAsia" w:ascii="Times New Roman" w:hAnsi="Times New Roman" w:eastAsia="宋体" w:cs="Times New Roman"/>
          <w:color w:val="auto"/>
          <w:szCs w:val="30"/>
          <w:highlight w:val="none"/>
          <w:lang w:val="en-US" w:eastAsia="zh-CN"/>
        </w:rPr>
      </w:pPr>
      <w:bookmarkStart w:id="720" w:name="_Toc31354"/>
      <w:r>
        <w:rPr>
          <w:rFonts w:hint="eastAsia" w:ascii="Times New Roman" w:hAnsi="Times New Roman" w:eastAsia="宋体" w:cs="Times New Roman"/>
          <w:color w:val="auto"/>
          <w:szCs w:val="30"/>
          <w:highlight w:val="none"/>
          <w:lang w:val="en-US" w:eastAsia="zh-CN"/>
        </w:rPr>
        <w:t>9.5 环保设施“三同时”验收一览表</w:t>
      </w:r>
      <w:bookmarkEnd w:id="719"/>
      <w:bookmarkEnd w:id="720"/>
    </w:p>
    <w:p w14:paraId="5CFE4F0F">
      <w:pPr>
        <w:ind w:firstLine="480" w:firstLineChars="200"/>
        <w:rPr>
          <w:rFonts w:hint="eastAsia" w:hAnsi="宋体"/>
          <w:color w:val="auto"/>
          <w:highlight w:val="none"/>
        </w:rPr>
      </w:pPr>
      <w:r>
        <w:rPr>
          <w:rFonts w:hint="eastAsia" w:hAnsi="宋体"/>
          <w:color w:val="auto"/>
          <w:highlight w:val="none"/>
        </w:rPr>
        <w:t>本项目投产后环保设施“三同时”验收一览表见表9.5-1。</w:t>
      </w:r>
    </w:p>
    <w:p w14:paraId="524D388C">
      <w:pPr>
        <w:keepNext w:val="0"/>
        <w:keepLines w:val="0"/>
        <w:pageBreakBefore w:val="0"/>
        <w:widowControl/>
        <w:kinsoku/>
        <w:wordWrap/>
        <w:overflowPunct/>
        <w:topLinePunct w:val="0"/>
        <w:autoSpaceDE/>
        <w:autoSpaceDN/>
        <w:bidi w:val="0"/>
        <w:adjustRightInd w:val="0"/>
        <w:snapToGrid/>
        <w:spacing w:before="157" w:beforeLines="50"/>
        <w:ind w:firstLine="420" w:firstLineChars="200"/>
        <w:jc w:val="center"/>
        <w:textAlignment w:val="auto"/>
        <w:rPr>
          <w:rFonts w:hint="default" w:ascii="Times New Roman" w:hAnsi="Times New Roman" w:eastAsia="黑体" w:cs="Times New Roman"/>
          <w:color w:val="auto"/>
          <w:sz w:val="21"/>
          <w:szCs w:val="21"/>
          <w:highlight w:val="none"/>
          <w:lang w:eastAsia="zh-CN"/>
        </w:rPr>
      </w:pPr>
      <w:bookmarkStart w:id="721" w:name="_Toc75438918"/>
      <w:r>
        <w:rPr>
          <w:rFonts w:hint="default" w:ascii="Times New Roman" w:hAnsi="Times New Roman" w:eastAsia="黑体" w:cs="Times New Roman"/>
          <w:color w:val="auto"/>
          <w:sz w:val="21"/>
          <w:szCs w:val="21"/>
          <w:highlight w:val="none"/>
        </w:rPr>
        <w:t>表</w:t>
      </w:r>
      <w:r>
        <w:rPr>
          <w:rFonts w:hint="default" w:ascii="Times New Roman" w:hAnsi="Times New Roman" w:eastAsia="黑体" w:cs="Times New Roman"/>
          <w:color w:val="auto"/>
          <w:sz w:val="21"/>
          <w:szCs w:val="21"/>
          <w:highlight w:val="none"/>
          <w:lang w:val="en-US" w:eastAsia="zh-CN"/>
        </w:rPr>
        <w:t>9</w:t>
      </w:r>
      <w:r>
        <w:rPr>
          <w:rFonts w:hint="default" w:ascii="Times New Roman" w:hAnsi="Times New Roman" w:eastAsia="黑体" w:cs="Times New Roman"/>
          <w:color w:val="auto"/>
          <w:sz w:val="21"/>
          <w:szCs w:val="21"/>
          <w:highlight w:val="none"/>
        </w:rPr>
        <w:t>.</w:t>
      </w:r>
      <w:r>
        <w:rPr>
          <w:rFonts w:hint="eastAsia" w:ascii="Times New Roman" w:hAnsi="Times New Roman" w:eastAsia="黑体" w:cs="Times New Roman"/>
          <w:color w:val="auto"/>
          <w:sz w:val="21"/>
          <w:szCs w:val="21"/>
          <w:highlight w:val="none"/>
          <w:lang w:val="en-US" w:eastAsia="zh-CN"/>
        </w:rPr>
        <w:t>5</w:t>
      </w:r>
      <w:r>
        <w:rPr>
          <w:rFonts w:hint="default" w:ascii="Times New Roman" w:hAnsi="Times New Roman" w:eastAsia="黑体" w:cs="Times New Roman"/>
          <w:color w:val="auto"/>
          <w:sz w:val="21"/>
          <w:szCs w:val="21"/>
          <w:highlight w:val="none"/>
        </w:rPr>
        <w:t>-1</w:t>
      </w:r>
      <w:r>
        <w:rPr>
          <w:rFonts w:hint="eastAsia" w:eastAsia="黑体"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环保设施验收清单</w:t>
      </w:r>
      <w:r>
        <w:rPr>
          <w:rFonts w:hint="default" w:ascii="Times New Roman" w:hAnsi="Times New Roman" w:eastAsia="黑体" w:cs="Times New Roman"/>
          <w:color w:val="auto"/>
          <w:sz w:val="21"/>
          <w:szCs w:val="21"/>
          <w:highlight w:val="none"/>
          <w:lang w:eastAsia="zh-CN"/>
        </w:rPr>
        <w:t>（</w:t>
      </w:r>
      <w:r>
        <w:rPr>
          <w:rFonts w:hint="default" w:ascii="Times New Roman" w:hAnsi="Times New Roman" w:eastAsia="黑体" w:cs="Times New Roman"/>
          <w:color w:val="auto"/>
          <w:sz w:val="21"/>
          <w:szCs w:val="21"/>
          <w:highlight w:val="none"/>
        </w:rPr>
        <w:t>建议</w:t>
      </w:r>
      <w:r>
        <w:rPr>
          <w:rFonts w:hint="default" w:ascii="Times New Roman" w:hAnsi="Times New Roman" w:eastAsia="黑体" w:cs="Times New Roman"/>
          <w:color w:val="auto"/>
          <w:sz w:val="21"/>
          <w:szCs w:val="21"/>
          <w:highlight w:val="none"/>
          <w:lang w:eastAsia="zh-CN"/>
        </w:rPr>
        <w:t>）</w:t>
      </w:r>
    </w:p>
    <w:tbl>
      <w:tblPr>
        <w:tblStyle w:val="35"/>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58"/>
        <w:gridCol w:w="1064"/>
        <w:gridCol w:w="2101"/>
        <w:gridCol w:w="873"/>
        <w:gridCol w:w="2983"/>
      </w:tblGrid>
      <w:tr w14:paraId="4D69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8" w:type="pct"/>
            <w:vAlign w:val="center"/>
          </w:tcPr>
          <w:p w14:paraId="6FAD2017">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环境要素</w:t>
            </w:r>
          </w:p>
        </w:tc>
        <w:tc>
          <w:tcPr>
            <w:tcW w:w="503" w:type="pct"/>
            <w:vAlign w:val="center"/>
          </w:tcPr>
          <w:p w14:paraId="6148EA21">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工期</w:t>
            </w:r>
          </w:p>
        </w:tc>
        <w:tc>
          <w:tcPr>
            <w:tcW w:w="624" w:type="pct"/>
            <w:vAlign w:val="center"/>
          </w:tcPr>
          <w:p w14:paraId="12F23815">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地点</w:t>
            </w:r>
          </w:p>
        </w:tc>
        <w:tc>
          <w:tcPr>
            <w:tcW w:w="1232" w:type="pct"/>
            <w:vAlign w:val="center"/>
          </w:tcPr>
          <w:p w14:paraId="28E60244">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三同时</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验收项目</w:t>
            </w:r>
          </w:p>
        </w:tc>
        <w:tc>
          <w:tcPr>
            <w:tcW w:w="512" w:type="pct"/>
            <w:vAlign w:val="center"/>
          </w:tcPr>
          <w:p w14:paraId="57FE7117">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工程量</w:t>
            </w:r>
          </w:p>
        </w:tc>
        <w:tc>
          <w:tcPr>
            <w:tcW w:w="1749" w:type="pct"/>
            <w:vAlign w:val="center"/>
          </w:tcPr>
          <w:p w14:paraId="0DDEF686">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效果</w:t>
            </w:r>
          </w:p>
        </w:tc>
      </w:tr>
      <w:tr w14:paraId="0EBD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378" w:type="pct"/>
            <w:vMerge w:val="restart"/>
            <w:vAlign w:val="center"/>
          </w:tcPr>
          <w:p w14:paraId="4BBE3C5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大气</w:t>
            </w:r>
          </w:p>
        </w:tc>
        <w:tc>
          <w:tcPr>
            <w:tcW w:w="503" w:type="pct"/>
            <w:vAlign w:val="center"/>
          </w:tcPr>
          <w:p w14:paraId="4AD49E15">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施工期</w:t>
            </w:r>
          </w:p>
        </w:tc>
        <w:tc>
          <w:tcPr>
            <w:tcW w:w="624" w:type="pct"/>
            <w:vAlign w:val="center"/>
          </w:tcPr>
          <w:p w14:paraId="4707796C">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井场厂界</w:t>
            </w:r>
          </w:p>
        </w:tc>
        <w:tc>
          <w:tcPr>
            <w:tcW w:w="1232" w:type="pct"/>
            <w:vAlign w:val="center"/>
          </w:tcPr>
          <w:p w14:paraId="53EC92BB">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pacing w:val="-10"/>
                <w:sz w:val="21"/>
                <w:szCs w:val="21"/>
                <w:highlight w:val="none"/>
              </w:rPr>
              <w:t>颗粒物、二氧化硫、氮氧化物</w:t>
            </w:r>
          </w:p>
        </w:tc>
        <w:tc>
          <w:tcPr>
            <w:tcW w:w="512" w:type="pct"/>
            <w:vAlign w:val="center"/>
          </w:tcPr>
          <w:p w14:paraId="52BC3CD9">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02FEC023">
            <w:pPr>
              <w:pStyle w:val="9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钻井阶段使用的钻机为电钻机，正常钻井作业时动力优先由区域现有供电系统提供。</w:t>
            </w:r>
          </w:p>
        </w:tc>
      </w:tr>
      <w:tr w14:paraId="10A2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378" w:type="pct"/>
            <w:vMerge w:val="continue"/>
            <w:vAlign w:val="center"/>
          </w:tcPr>
          <w:p w14:paraId="0AEEEE1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104B82D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运营期</w:t>
            </w:r>
          </w:p>
        </w:tc>
        <w:tc>
          <w:tcPr>
            <w:tcW w:w="624" w:type="pct"/>
            <w:vAlign w:val="center"/>
          </w:tcPr>
          <w:p w14:paraId="3909619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井场厂界</w:t>
            </w:r>
          </w:p>
        </w:tc>
        <w:tc>
          <w:tcPr>
            <w:tcW w:w="1232" w:type="pct"/>
            <w:vAlign w:val="center"/>
          </w:tcPr>
          <w:p w14:paraId="6500A97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非甲烷总烃、H</w:t>
            </w:r>
            <w:r>
              <w:rPr>
                <w:rFonts w:hint="default" w:ascii="Times New Roman" w:hAnsi="Times New Roman" w:eastAsia="宋体" w:cs="Times New Roman"/>
                <w:b w:val="0"/>
                <w:bCs/>
                <w:color w:val="auto"/>
                <w:sz w:val="21"/>
                <w:szCs w:val="21"/>
                <w:highlight w:val="none"/>
                <w:vertAlign w:val="subscript"/>
              </w:rPr>
              <w:t>2</w:t>
            </w:r>
            <w:r>
              <w:rPr>
                <w:rFonts w:hint="default" w:ascii="Times New Roman" w:hAnsi="Times New Roman" w:eastAsia="宋体" w:cs="Times New Roman"/>
                <w:b w:val="0"/>
                <w:bCs/>
                <w:color w:val="auto"/>
                <w:sz w:val="21"/>
                <w:szCs w:val="21"/>
                <w:highlight w:val="none"/>
              </w:rPr>
              <w:t>S</w:t>
            </w:r>
          </w:p>
        </w:tc>
        <w:tc>
          <w:tcPr>
            <w:tcW w:w="512" w:type="pct"/>
            <w:vAlign w:val="center"/>
          </w:tcPr>
          <w:p w14:paraId="234C042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0ED7C49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无组织非甲烷总烃满足</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陆上石油天然气开采工业污染物排放标准</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GB39728-2020</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企业边界污染物控制要求，H</w:t>
            </w:r>
            <w:r>
              <w:rPr>
                <w:rFonts w:hint="default" w:ascii="Times New Roman" w:hAnsi="Times New Roman" w:eastAsia="宋体" w:cs="Times New Roman"/>
                <w:b w:val="0"/>
                <w:bCs/>
                <w:color w:val="auto"/>
                <w:sz w:val="21"/>
                <w:szCs w:val="21"/>
                <w:highlight w:val="none"/>
                <w:vertAlign w:val="subscript"/>
              </w:rPr>
              <w:t>2</w:t>
            </w:r>
            <w:r>
              <w:rPr>
                <w:rFonts w:hint="default" w:ascii="Times New Roman" w:hAnsi="Times New Roman" w:eastAsia="宋体" w:cs="Times New Roman"/>
                <w:b w:val="0"/>
                <w:bCs/>
                <w:color w:val="auto"/>
                <w:sz w:val="21"/>
                <w:szCs w:val="21"/>
                <w:highlight w:val="none"/>
              </w:rPr>
              <w:t>S无组织排放执行</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恶臭污染物排放标准</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GB14554-93</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新建项目二级标准。</w:t>
            </w:r>
          </w:p>
        </w:tc>
      </w:tr>
      <w:tr w14:paraId="76DE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378" w:type="pct"/>
            <w:vMerge w:val="continue"/>
            <w:vAlign w:val="center"/>
          </w:tcPr>
          <w:p w14:paraId="64DDBB0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2A2C336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退役期</w:t>
            </w:r>
          </w:p>
        </w:tc>
        <w:tc>
          <w:tcPr>
            <w:tcW w:w="624" w:type="pct"/>
            <w:vAlign w:val="center"/>
          </w:tcPr>
          <w:p w14:paraId="0B376E2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井场厂界</w:t>
            </w:r>
          </w:p>
        </w:tc>
        <w:tc>
          <w:tcPr>
            <w:tcW w:w="1232" w:type="pct"/>
            <w:vAlign w:val="center"/>
          </w:tcPr>
          <w:p w14:paraId="54FEE7B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扬尘</w:t>
            </w:r>
          </w:p>
        </w:tc>
        <w:tc>
          <w:tcPr>
            <w:tcW w:w="512" w:type="pct"/>
            <w:vAlign w:val="center"/>
          </w:tcPr>
          <w:p w14:paraId="01E06FD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2FFAE27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洒水抑尘。</w:t>
            </w:r>
          </w:p>
        </w:tc>
      </w:tr>
      <w:tr w14:paraId="52D3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378" w:type="pct"/>
            <w:vMerge w:val="restart"/>
            <w:vAlign w:val="center"/>
          </w:tcPr>
          <w:p w14:paraId="49376F5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w:t>
            </w:r>
          </w:p>
        </w:tc>
        <w:tc>
          <w:tcPr>
            <w:tcW w:w="503" w:type="pct"/>
            <w:vAlign w:val="center"/>
          </w:tcPr>
          <w:p w14:paraId="45B46AD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施工期</w:t>
            </w:r>
          </w:p>
        </w:tc>
        <w:tc>
          <w:tcPr>
            <w:tcW w:w="624" w:type="pct"/>
            <w:vAlign w:val="center"/>
          </w:tcPr>
          <w:p w14:paraId="2DE8F3D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tc>
        <w:tc>
          <w:tcPr>
            <w:tcW w:w="1232" w:type="pct"/>
            <w:vAlign w:val="center"/>
          </w:tcPr>
          <w:p w14:paraId="55E5561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rPr>
            </w:pPr>
            <w:r>
              <w:rPr>
                <w:rFonts w:hint="default" w:ascii="Times New Roman" w:hAnsi="Times New Roman" w:eastAsia="宋体" w:cs="Times New Roman"/>
                <w:b w:val="0"/>
                <w:bCs/>
                <w:color w:val="auto"/>
                <w:sz w:val="21"/>
                <w:szCs w:val="21"/>
                <w:highlight w:val="none"/>
              </w:rPr>
              <w:t>采用西北油田分公司“钻井废弃物不落地达标处理技术”</w:t>
            </w:r>
          </w:p>
        </w:tc>
        <w:tc>
          <w:tcPr>
            <w:tcW w:w="512" w:type="pct"/>
            <w:vAlign w:val="center"/>
          </w:tcPr>
          <w:p w14:paraId="7855D33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钻井不落地</w:t>
            </w:r>
          </w:p>
        </w:tc>
        <w:tc>
          <w:tcPr>
            <w:tcW w:w="1749" w:type="pct"/>
            <w:vAlign w:val="center"/>
          </w:tcPr>
          <w:p w14:paraId="466EAB9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废水循环利用，不外排。</w:t>
            </w:r>
          </w:p>
        </w:tc>
      </w:tr>
      <w:tr w14:paraId="1C14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78" w:type="pct"/>
            <w:vMerge w:val="continue"/>
            <w:vAlign w:val="center"/>
          </w:tcPr>
          <w:p w14:paraId="26313A3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1EA5DF3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运营期</w:t>
            </w:r>
          </w:p>
        </w:tc>
        <w:tc>
          <w:tcPr>
            <w:tcW w:w="624" w:type="pct"/>
            <w:vAlign w:val="center"/>
          </w:tcPr>
          <w:p w14:paraId="07AD882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232" w:type="pct"/>
            <w:vAlign w:val="center"/>
          </w:tcPr>
          <w:p w14:paraId="424AB25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采出水处理装置</w:t>
            </w:r>
          </w:p>
        </w:tc>
        <w:tc>
          <w:tcPr>
            <w:tcW w:w="512" w:type="pct"/>
            <w:vAlign w:val="center"/>
          </w:tcPr>
          <w:p w14:paraId="133EDCB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0E21CE4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满足</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碎屑岩油藏注水水质指标技术要求及分析方法</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SY/T5329-2022</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相关标准后，回注地层</w:t>
            </w:r>
            <w:r>
              <w:rPr>
                <w:rFonts w:hint="default" w:ascii="Times New Roman" w:hAnsi="Times New Roman" w:cs="Times New Roman"/>
                <w:b w:val="0"/>
                <w:bCs/>
                <w:color w:val="auto"/>
                <w:sz w:val="21"/>
                <w:szCs w:val="21"/>
                <w:highlight w:val="none"/>
                <w:lang w:eastAsia="zh-CN"/>
              </w:rPr>
              <w:t>。</w:t>
            </w:r>
          </w:p>
        </w:tc>
      </w:tr>
      <w:tr w14:paraId="0B2E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78" w:type="pct"/>
            <w:vMerge w:val="continue"/>
            <w:vAlign w:val="center"/>
          </w:tcPr>
          <w:p w14:paraId="7502AB9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780698D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退役期</w:t>
            </w:r>
          </w:p>
        </w:tc>
        <w:tc>
          <w:tcPr>
            <w:tcW w:w="624" w:type="pct"/>
            <w:vAlign w:val="center"/>
          </w:tcPr>
          <w:p w14:paraId="31C966E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232" w:type="pct"/>
            <w:vAlign w:val="center"/>
          </w:tcPr>
          <w:p w14:paraId="412CD36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封井、井场清理</w:t>
            </w:r>
          </w:p>
        </w:tc>
        <w:tc>
          <w:tcPr>
            <w:tcW w:w="512" w:type="pct"/>
            <w:vAlign w:val="center"/>
          </w:tcPr>
          <w:p w14:paraId="37B2640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3CCB458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按照</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废弃井封井回填技术指南</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试行</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废弃井及长停井处置指南</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等相关要求做好封井工作，防止串层，并按照相关部门要求做好场地清理，对固废废物进行妥善处置，对水环境的影响很小。</w:t>
            </w:r>
          </w:p>
        </w:tc>
      </w:tr>
      <w:tr w14:paraId="1072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restart"/>
            <w:vAlign w:val="center"/>
          </w:tcPr>
          <w:p w14:paraId="55DE507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固体废物</w:t>
            </w:r>
          </w:p>
        </w:tc>
        <w:tc>
          <w:tcPr>
            <w:tcW w:w="503" w:type="pct"/>
            <w:vAlign w:val="center"/>
          </w:tcPr>
          <w:p w14:paraId="2D7D69C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施工期</w:t>
            </w:r>
          </w:p>
        </w:tc>
        <w:tc>
          <w:tcPr>
            <w:tcW w:w="624" w:type="pct"/>
            <w:vAlign w:val="center"/>
          </w:tcPr>
          <w:p w14:paraId="5CDE697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tc>
        <w:tc>
          <w:tcPr>
            <w:tcW w:w="1232" w:type="pct"/>
            <w:vAlign w:val="center"/>
          </w:tcPr>
          <w:p w14:paraId="1E0E133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采用西北油田分公司“钻井废弃物不落地达标处理技术”</w:t>
            </w:r>
          </w:p>
        </w:tc>
        <w:tc>
          <w:tcPr>
            <w:tcW w:w="512" w:type="pct"/>
            <w:vAlign w:val="center"/>
          </w:tcPr>
          <w:p w14:paraId="13A5C19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钻井不落地</w:t>
            </w:r>
          </w:p>
        </w:tc>
        <w:tc>
          <w:tcPr>
            <w:tcW w:w="1749" w:type="pct"/>
            <w:vAlign w:val="center"/>
          </w:tcPr>
          <w:p w14:paraId="17EC912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满足《油气田钻井固体废物综合利用污染控制要求》（DB65/T3997-2017）中综合利用污染物限值要求，同时石油烃满足《土壤环境质量建设用地土壤污染风险管控标准（试行）》（GB36600-2018）中表2第二类用地风险筛选值后，</w:t>
            </w:r>
            <w:r>
              <w:rPr>
                <w:rFonts w:hint="default" w:ascii="Times New Roman" w:hAnsi="Times New Roman" w:eastAsia="宋体" w:cs="Times New Roman"/>
                <w:b w:val="0"/>
                <w:bCs/>
                <w:color w:val="auto"/>
                <w:sz w:val="21"/>
                <w:szCs w:val="21"/>
                <w:highlight w:val="none"/>
              </w:rPr>
              <w:t>综合利用</w:t>
            </w:r>
            <w:r>
              <w:rPr>
                <w:rFonts w:hint="default" w:ascii="Times New Roman" w:hAnsi="Times New Roman" w:cs="Times New Roman"/>
                <w:b w:val="0"/>
                <w:bCs/>
                <w:color w:val="auto"/>
                <w:sz w:val="21"/>
                <w:szCs w:val="21"/>
                <w:highlight w:val="none"/>
                <w:lang w:eastAsia="zh-CN"/>
              </w:rPr>
              <w:t>。</w:t>
            </w:r>
          </w:p>
        </w:tc>
      </w:tr>
      <w:tr w14:paraId="59A9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78" w:type="pct"/>
            <w:vMerge w:val="continue"/>
            <w:vAlign w:val="center"/>
          </w:tcPr>
          <w:p w14:paraId="0507BB5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64725E7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运营期</w:t>
            </w:r>
          </w:p>
        </w:tc>
        <w:tc>
          <w:tcPr>
            <w:tcW w:w="624" w:type="pct"/>
            <w:vAlign w:val="center"/>
          </w:tcPr>
          <w:p w14:paraId="2584155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井场管线</w:t>
            </w:r>
          </w:p>
        </w:tc>
        <w:tc>
          <w:tcPr>
            <w:tcW w:w="1232" w:type="pct"/>
            <w:vAlign w:val="center"/>
          </w:tcPr>
          <w:p w14:paraId="163DB30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落地油、含油废弃防渗材料、清管废渣、</w:t>
            </w:r>
          </w:p>
          <w:p w14:paraId="54B72A6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废酸化压裂液</w:t>
            </w:r>
          </w:p>
        </w:tc>
        <w:tc>
          <w:tcPr>
            <w:tcW w:w="512" w:type="pct"/>
            <w:vAlign w:val="center"/>
          </w:tcPr>
          <w:p w14:paraId="5183262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4CC5535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依托塔河油田绿色环保站</w:t>
            </w:r>
            <w:r>
              <w:rPr>
                <w:rFonts w:hint="default" w:ascii="Times New Roman" w:hAnsi="Times New Roman" w:cs="Times New Roman"/>
                <w:b w:val="0"/>
                <w:bCs/>
                <w:color w:val="auto"/>
                <w:sz w:val="21"/>
                <w:szCs w:val="21"/>
                <w:highlight w:val="none"/>
                <w:lang w:val="en-US" w:eastAsia="zh-CN"/>
              </w:rPr>
              <w:t>等</w:t>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cs="Times New Roman"/>
                <w:b w:val="0"/>
                <w:bCs/>
                <w:color w:val="auto"/>
                <w:sz w:val="21"/>
                <w:szCs w:val="21"/>
                <w:highlight w:val="none"/>
                <w:lang w:val="en-US" w:eastAsia="zh-CN"/>
              </w:rPr>
              <w:t>持有危险经营许可证的单位</w:t>
            </w:r>
            <w:r>
              <w:rPr>
                <w:rFonts w:hint="default" w:ascii="Times New Roman" w:hAnsi="Times New Roman" w:eastAsia="宋体" w:cs="Times New Roman"/>
                <w:b w:val="0"/>
                <w:bCs/>
                <w:color w:val="auto"/>
                <w:sz w:val="21"/>
                <w:szCs w:val="21"/>
                <w:highlight w:val="none"/>
              </w:rPr>
              <w:t>处理</w:t>
            </w:r>
            <w:r>
              <w:rPr>
                <w:rFonts w:hint="default" w:ascii="Times New Roman" w:hAnsi="Times New Roman" w:cs="Times New Roman"/>
                <w:b w:val="0"/>
                <w:bCs/>
                <w:color w:val="auto"/>
                <w:sz w:val="21"/>
                <w:szCs w:val="21"/>
                <w:highlight w:val="none"/>
                <w:lang w:eastAsia="zh-CN"/>
              </w:rPr>
              <w:t>。</w:t>
            </w:r>
          </w:p>
        </w:tc>
      </w:tr>
      <w:tr w14:paraId="424E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78" w:type="pct"/>
            <w:vMerge w:val="continue"/>
            <w:vAlign w:val="center"/>
          </w:tcPr>
          <w:p w14:paraId="76F1C98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1F12E1F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退役期</w:t>
            </w:r>
          </w:p>
        </w:tc>
        <w:tc>
          <w:tcPr>
            <w:tcW w:w="624" w:type="pct"/>
            <w:vAlign w:val="center"/>
          </w:tcPr>
          <w:p w14:paraId="36F8DD2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井场管线</w:t>
            </w:r>
          </w:p>
        </w:tc>
        <w:tc>
          <w:tcPr>
            <w:tcW w:w="1232" w:type="pct"/>
            <w:vAlign w:val="center"/>
          </w:tcPr>
          <w:p w14:paraId="7198581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废弃管线、废弃建筑残渣</w:t>
            </w:r>
          </w:p>
        </w:tc>
        <w:tc>
          <w:tcPr>
            <w:tcW w:w="512" w:type="pct"/>
            <w:vAlign w:val="center"/>
          </w:tcPr>
          <w:p w14:paraId="7D21B58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7054B54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不可回收利用的一般工业固体废物拉运至库车绿能环保科技有限公司处置，含油固废等危险废物委托有资质的单位妥善处置</w:t>
            </w:r>
            <w:r>
              <w:rPr>
                <w:rFonts w:hint="default" w:ascii="Times New Roman" w:hAnsi="Times New Roman" w:eastAsia="宋体" w:cs="Times New Roman"/>
                <w:b w:val="0"/>
                <w:bCs/>
                <w:color w:val="auto"/>
                <w:sz w:val="21"/>
                <w:szCs w:val="21"/>
                <w:highlight w:val="none"/>
              </w:rPr>
              <w:t>。</w:t>
            </w:r>
          </w:p>
        </w:tc>
      </w:tr>
      <w:tr w14:paraId="7AB4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78" w:type="pct"/>
            <w:vMerge w:val="restart"/>
            <w:vAlign w:val="center"/>
          </w:tcPr>
          <w:p w14:paraId="53C62F1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噪声</w:t>
            </w:r>
          </w:p>
        </w:tc>
        <w:tc>
          <w:tcPr>
            <w:tcW w:w="503" w:type="pct"/>
            <w:vAlign w:val="center"/>
          </w:tcPr>
          <w:p w14:paraId="6C20834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施工期</w:t>
            </w:r>
          </w:p>
        </w:tc>
        <w:tc>
          <w:tcPr>
            <w:tcW w:w="624" w:type="pct"/>
            <w:vAlign w:val="center"/>
          </w:tcPr>
          <w:p w14:paraId="247A4EF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tc>
        <w:tc>
          <w:tcPr>
            <w:tcW w:w="1232" w:type="pct"/>
            <w:vAlign w:val="center"/>
          </w:tcPr>
          <w:p w14:paraId="16FB2B0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施工机械设备运转噪声</w:t>
            </w:r>
            <w:r>
              <w:rPr>
                <w:rFonts w:hint="default" w:ascii="Times New Roman" w:hAnsi="Times New Roman" w:cs="Times New Roman"/>
                <w:b w:val="0"/>
                <w:bCs/>
                <w:color w:val="auto"/>
                <w:sz w:val="21"/>
                <w:szCs w:val="21"/>
                <w:highlight w:val="none"/>
                <w:lang w:eastAsia="zh-CN"/>
              </w:rPr>
              <w:t>、交通噪声</w:t>
            </w:r>
          </w:p>
        </w:tc>
        <w:tc>
          <w:tcPr>
            <w:tcW w:w="512" w:type="pct"/>
            <w:vAlign w:val="center"/>
          </w:tcPr>
          <w:p w14:paraId="7DCE4B8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4807AD2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施工期造成的噪声污染降到最低</w:t>
            </w:r>
            <w:r>
              <w:rPr>
                <w:rFonts w:hint="default" w:ascii="Times New Roman" w:hAnsi="Times New Roman" w:cs="Times New Roman"/>
                <w:b w:val="0"/>
                <w:bCs/>
                <w:color w:val="auto"/>
                <w:sz w:val="21"/>
                <w:szCs w:val="21"/>
                <w:highlight w:val="none"/>
                <w:lang w:eastAsia="zh-CN"/>
              </w:rPr>
              <w:t>。</w:t>
            </w:r>
          </w:p>
        </w:tc>
      </w:tr>
      <w:tr w14:paraId="150E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14:paraId="1D84FD4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66BD1CA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运营期</w:t>
            </w:r>
          </w:p>
        </w:tc>
        <w:tc>
          <w:tcPr>
            <w:tcW w:w="624" w:type="pct"/>
            <w:vAlign w:val="center"/>
          </w:tcPr>
          <w:p w14:paraId="52F5E30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tc>
        <w:tc>
          <w:tcPr>
            <w:tcW w:w="1232" w:type="pct"/>
            <w:vAlign w:val="center"/>
          </w:tcPr>
          <w:p w14:paraId="5EC4B2D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厂界噪声</w:t>
            </w:r>
          </w:p>
        </w:tc>
        <w:tc>
          <w:tcPr>
            <w:tcW w:w="512" w:type="pct"/>
            <w:vAlign w:val="center"/>
          </w:tcPr>
          <w:p w14:paraId="0A0ECFB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配备防噪设施</w:t>
            </w:r>
          </w:p>
        </w:tc>
        <w:tc>
          <w:tcPr>
            <w:tcW w:w="1749" w:type="pct"/>
            <w:vAlign w:val="center"/>
          </w:tcPr>
          <w:p w14:paraId="776A596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满足</w:t>
            </w:r>
            <w:r>
              <w:rPr>
                <w:rFonts w:hint="default" w:ascii="Times New Roman" w:hAnsi="Times New Roman" w:cs="Times New Roman"/>
                <w:b w:val="0"/>
                <w:bCs/>
                <w:color w:val="auto"/>
                <w:sz w:val="21"/>
                <w:szCs w:val="21"/>
                <w:highlight w:val="none"/>
                <w:lang w:eastAsia="zh-CN"/>
              </w:rPr>
              <w:t>《声环境质量标准》（GB3096-2008）中2类标准要求</w:t>
            </w:r>
            <w:r>
              <w:rPr>
                <w:rFonts w:hint="default" w:ascii="Times New Roman" w:hAnsi="Times New Roman" w:eastAsia="宋体" w:cs="Times New Roman"/>
                <w:b w:val="0"/>
                <w:bCs/>
                <w:color w:val="auto"/>
                <w:sz w:val="21"/>
                <w:szCs w:val="21"/>
                <w:highlight w:val="none"/>
              </w:rPr>
              <w:t>。</w:t>
            </w:r>
          </w:p>
        </w:tc>
      </w:tr>
      <w:tr w14:paraId="329D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14:paraId="4806EC9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7680A16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退役期</w:t>
            </w:r>
          </w:p>
        </w:tc>
        <w:tc>
          <w:tcPr>
            <w:tcW w:w="624" w:type="pct"/>
            <w:vAlign w:val="center"/>
          </w:tcPr>
          <w:p w14:paraId="18216D9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tc>
        <w:tc>
          <w:tcPr>
            <w:tcW w:w="1232" w:type="pct"/>
            <w:vAlign w:val="center"/>
          </w:tcPr>
          <w:p w14:paraId="3A09678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井场设备拆卸、车辆噪声</w:t>
            </w:r>
          </w:p>
        </w:tc>
        <w:tc>
          <w:tcPr>
            <w:tcW w:w="512" w:type="pct"/>
            <w:vAlign w:val="center"/>
          </w:tcPr>
          <w:p w14:paraId="77D84AF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11590F3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合理安排作业时间，区内声环境影响评价范围内没有居民点，不会产生噪声扰民问题。</w:t>
            </w:r>
          </w:p>
        </w:tc>
      </w:tr>
      <w:tr w14:paraId="5936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8" w:type="pct"/>
            <w:vMerge w:val="restart"/>
            <w:vAlign w:val="center"/>
          </w:tcPr>
          <w:p w14:paraId="5BCEA48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生态</w:t>
            </w:r>
          </w:p>
        </w:tc>
        <w:tc>
          <w:tcPr>
            <w:tcW w:w="503" w:type="pct"/>
            <w:vAlign w:val="center"/>
          </w:tcPr>
          <w:p w14:paraId="7572189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施工期</w:t>
            </w:r>
          </w:p>
        </w:tc>
        <w:tc>
          <w:tcPr>
            <w:tcW w:w="624" w:type="pct"/>
            <w:vAlign w:val="center"/>
          </w:tcPr>
          <w:p w14:paraId="7B6B3A5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p w14:paraId="0F33B78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管线</w:t>
            </w:r>
          </w:p>
        </w:tc>
        <w:tc>
          <w:tcPr>
            <w:tcW w:w="1232" w:type="pct"/>
            <w:vAlign w:val="center"/>
          </w:tcPr>
          <w:p w14:paraId="46D065B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临时占地的植被恢复</w:t>
            </w:r>
          </w:p>
        </w:tc>
        <w:tc>
          <w:tcPr>
            <w:tcW w:w="512" w:type="pct"/>
            <w:vAlign w:val="center"/>
          </w:tcPr>
          <w:p w14:paraId="4919BF6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3DB7126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植被恢复，恢复程度不低于开发前。及时清理施工现场，做到“工完、料净、场地清”。</w:t>
            </w:r>
          </w:p>
        </w:tc>
      </w:tr>
      <w:tr w14:paraId="1402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8" w:type="pct"/>
            <w:vMerge w:val="continue"/>
            <w:vAlign w:val="center"/>
          </w:tcPr>
          <w:p w14:paraId="25BE25D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387F0F0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运营期</w:t>
            </w:r>
          </w:p>
        </w:tc>
        <w:tc>
          <w:tcPr>
            <w:tcW w:w="624" w:type="pct"/>
            <w:vAlign w:val="center"/>
          </w:tcPr>
          <w:p w14:paraId="2CB174D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p w14:paraId="3E48400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管线</w:t>
            </w:r>
          </w:p>
        </w:tc>
        <w:tc>
          <w:tcPr>
            <w:tcW w:w="1232" w:type="pct"/>
            <w:vAlign w:val="center"/>
          </w:tcPr>
          <w:p w14:paraId="1D0F803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保护动物和植被严禁滥捕和滥挖保护动物和植物行为</w:t>
            </w:r>
          </w:p>
        </w:tc>
        <w:tc>
          <w:tcPr>
            <w:tcW w:w="512" w:type="pct"/>
            <w:vAlign w:val="center"/>
          </w:tcPr>
          <w:p w14:paraId="5607102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5D6185B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both"/>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保护生境和生物多样性</w:t>
            </w:r>
            <w:r>
              <w:rPr>
                <w:rFonts w:hint="default" w:ascii="Times New Roman" w:hAnsi="Times New Roman" w:cs="Times New Roman"/>
                <w:b w:val="0"/>
                <w:bCs/>
                <w:color w:val="auto"/>
                <w:sz w:val="21"/>
                <w:szCs w:val="21"/>
                <w:highlight w:val="none"/>
                <w:lang w:eastAsia="zh-CN"/>
              </w:rPr>
              <w:t>。</w:t>
            </w:r>
          </w:p>
        </w:tc>
      </w:tr>
      <w:tr w14:paraId="3859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8" w:type="pct"/>
            <w:vMerge w:val="continue"/>
            <w:vAlign w:val="center"/>
          </w:tcPr>
          <w:p w14:paraId="373B453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503" w:type="pct"/>
            <w:vAlign w:val="center"/>
          </w:tcPr>
          <w:p w14:paraId="210400B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退役期</w:t>
            </w:r>
          </w:p>
        </w:tc>
        <w:tc>
          <w:tcPr>
            <w:tcW w:w="624" w:type="pct"/>
            <w:vAlign w:val="center"/>
          </w:tcPr>
          <w:p w14:paraId="1C847B5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p w14:paraId="630A0D3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管线</w:t>
            </w:r>
          </w:p>
        </w:tc>
        <w:tc>
          <w:tcPr>
            <w:tcW w:w="1232" w:type="pct"/>
            <w:vAlign w:val="center"/>
          </w:tcPr>
          <w:p w14:paraId="3D7F30B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地面设施拆除、恢复原有自然状况</w:t>
            </w:r>
          </w:p>
        </w:tc>
        <w:tc>
          <w:tcPr>
            <w:tcW w:w="512" w:type="pct"/>
            <w:vAlign w:val="center"/>
          </w:tcPr>
          <w:p w14:paraId="625391E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2E09BB21">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生态环境影响降到最低。</w:t>
            </w:r>
          </w:p>
        </w:tc>
      </w:tr>
      <w:tr w14:paraId="6348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8" w:type="pct"/>
            <w:vAlign w:val="center"/>
          </w:tcPr>
          <w:p w14:paraId="1AA9968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环境风险</w:t>
            </w:r>
          </w:p>
        </w:tc>
        <w:tc>
          <w:tcPr>
            <w:tcW w:w="503" w:type="pct"/>
            <w:vAlign w:val="center"/>
          </w:tcPr>
          <w:p w14:paraId="299EA6D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运营期</w:t>
            </w:r>
          </w:p>
        </w:tc>
        <w:tc>
          <w:tcPr>
            <w:tcW w:w="624" w:type="pct"/>
            <w:vAlign w:val="center"/>
          </w:tcPr>
          <w:p w14:paraId="396D157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tc>
        <w:tc>
          <w:tcPr>
            <w:tcW w:w="1232" w:type="pct"/>
            <w:vAlign w:val="center"/>
          </w:tcPr>
          <w:p w14:paraId="46D58ED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详细的井喷等事故应急预案；管道断裂、</w:t>
            </w:r>
            <w:r>
              <w:rPr>
                <w:rFonts w:hint="default" w:ascii="Times New Roman" w:hAnsi="Times New Roman" w:cs="Times New Roman"/>
                <w:b w:val="0"/>
                <w:bCs/>
                <w:color w:val="auto"/>
                <w:sz w:val="21"/>
                <w:szCs w:val="21"/>
                <w:highlight w:val="none"/>
                <w:lang w:eastAsia="zh-CN"/>
              </w:rPr>
              <w:t>泄漏</w:t>
            </w:r>
            <w:r>
              <w:rPr>
                <w:rFonts w:hint="default" w:ascii="Times New Roman" w:hAnsi="Times New Roman" w:eastAsia="宋体" w:cs="Times New Roman"/>
                <w:b w:val="0"/>
                <w:bCs/>
                <w:color w:val="auto"/>
                <w:sz w:val="21"/>
                <w:szCs w:val="21"/>
                <w:highlight w:val="none"/>
              </w:rPr>
              <w:t>、水体污染风险事故的应急预案。</w:t>
            </w:r>
          </w:p>
        </w:tc>
        <w:tc>
          <w:tcPr>
            <w:tcW w:w="512" w:type="pct"/>
            <w:vAlign w:val="center"/>
          </w:tcPr>
          <w:p w14:paraId="04A5AC7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0423883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有效应对和排除各种突发事故的不利影响。</w:t>
            </w:r>
          </w:p>
        </w:tc>
      </w:tr>
      <w:tr w14:paraId="4F2D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14:paraId="4B224AE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环境监测与管理</w:t>
            </w:r>
          </w:p>
        </w:tc>
        <w:tc>
          <w:tcPr>
            <w:tcW w:w="503" w:type="pct"/>
            <w:vAlign w:val="center"/>
          </w:tcPr>
          <w:p w14:paraId="0D138A0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施工期和运营期</w:t>
            </w:r>
          </w:p>
        </w:tc>
        <w:tc>
          <w:tcPr>
            <w:tcW w:w="624" w:type="pct"/>
            <w:vAlign w:val="center"/>
          </w:tcPr>
          <w:p w14:paraId="2AB9D05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井场</w:t>
            </w:r>
          </w:p>
        </w:tc>
        <w:tc>
          <w:tcPr>
            <w:tcW w:w="1232" w:type="pct"/>
            <w:vAlign w:val="center"/>
          </w:tcPr>
          <w:p w14:paraId="215F4CA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按照监测计划，委托有监测资质的单位开展监测。</w:t>
            </w:r>
          </w:p>
        </w:tc>
        <w:tc>
          <w:tcPr>
            <w:tcW w:w="512" w:type="pct"/>
            <w:vAlign w:val="center"/>
          </w:tcPr>
          <w:p w14:paraId="4A0677B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749" w:type="pct"/>
            <w:vAlign w:val="center"/>
          </w:tcPr>
          <w:p w14:paraId="4305F6A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污染源达标排放，环境保护目标处的环境质量达标。</w:t>
            </w:r>
          </w:p>
        </w:tc>
      </w:tr>
      <w:bookmarkEnd w:id="699"/>
      <w:bookmarkEnd w:id="707"/>
      <w:bookmarkEnd w:id="708"/>
      <w:bookmarkEnd w:id="709"/>
      <w:bookmarkEnd w:id="710"/>
      <w:bookmarkEnd w:id="711"/>
      <w:bookmarkEnd w:id="712"/>
      <w:bookmarkEnd w:id="713"/>
      <w:bookmarkEnd w:id="714"/>
      <w:bookmarkEnd w:id="721"/>
    </w:tbl>
    <w:p w14:paraId="1A6DF5C4">
      <w:pPr>
        <w:pageBreakBefore w:val="0"/>
        <w:kinsoku/>
        <w:wordWrap/>
        <w:overflowPunct/>
        <w:topLinePunct w:val="0"/>
        <w:autoSpaceDE/>
        <w:autoSpaceDN/>
        <w:bidi w:val="0"/>
        <w:adjustRightInd w:val="0"/>
        <w:snapToGrid w:val="0"/>
        <w:spacing w:before="0" w:beforeLines="0" w:after="0" w:afterLines="0" w:line="360" w:lineRule="auto"/>
        <w:jc w:val="both"/>
        <w:textAlignment w:val="auto"/>
        <w:outlineLvl w:val="0"/>
        <w:rPr>
          <w:rFonts w:hint="default" w:ascii="Times New Roman" w:hAnsi="Times New Roman" w:eastAsia="宋体" w:cs="Times New Roman"/>
          <w:b/>
          <w:snapToGrid w:val="0"/>
          <w:color w:val="auto"/>
          <w:kern w:val="44"/>
          <w:sz w:val="36"/>
          <w:szCs w:val="36"/>
          <w:highlight w:val="none"/>
          <w:lang w:val="en-US" w:eastAsia="zh-CN" w:bidi="ar-SA"/>
        </w:rPr>
        <w:sectPr>
          <w:headerReference r:id="rId2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22" w:name="_Toc280955044"/>
      <w:bookmarkStart w:id="723" w:name="_Toc255293829"/>
      <w:bookmarkStart w:id="724" w:name="_Toc361761885"/>
      <w:bookmarkStart w:id="725" w:name="_Toc14406"/>
      <w:bookmarkStart w:id="726" w:name="_Toc374724242"/>
      <w:bookmarkStart w:id="727" w:name="_Toc353966793"/>
      <w:bookmarkStart w:id="728" w:name="_Toc42981132"/>
      <w:bookmarkStart w:id="729" w:name="_Toc297590834"/>
      <w:bookmarkStart w:id="730" w:name="_Toc340140066"/>
      <w:bookmarkStart w:id="731" w:name="_Toc508291911"/>
      <w:bookmarkStart w:id="732" w:name="_Toc280954967"/>
      <w:bookmarkStart w:id="733" w:name="_Toc9672"/>
      <w:bookmarkStart w:id="734" w:name="_Toc75438919"/>
    </w:p>
    <w:p w14:paraId="25949CD8">
      <w:pPr>
        <w:pageBreakBefore w:val="0"/>
        <w:kinsoku/>
        <w:wordWrap/>
        <w:overflowPunct/>
        <w:topLinePunct w:val="0"/>
        <w:autoSpaceDE/>
        <w:autoSpaceDN/>
        <w:bidi w:val="0"/>
        <w:adjustRightInd w:val="0"/>
        <w:snapToGrid w:val="0"/>
        <w:spacing w:before="0" w:beforeLines="0" w:after="0" w:afterLines="0" w:line="360" w:lineRule="auto"/>
        <w:jc w:val="both"/>
        <w:textAlignment w:val="auto"/>
        <w:outlineLvl w:val="0"/>
        <w:rPr>
          <w:rFonts w:hint="default" w:ascii="Times New Roman" w:hAnsi="Times New Roman" w:eastAsia="宋体" w:cs="Times New Roman"/>
          <w:b/>
          <w:snapToGrid w:val="0"/>
          <w:color w:val="auto"/>
          <w:kern w:val="44"/>
          <w:sz w:val="36"/>
          <w:szCs w:val="36"/>
          <w:highlight w:val="none"/>
          <w:lang w:val="en-US" w:eastAsia="zh-CN" w:bidi="ar-SA"/>
        </w:rPr>
      </w:pPr>
      <w:bookmarkStart w:id="735" w:name="_Toc2507"/>
      <w:r>
        <w:rPr>
          <w:rFonts w:hint="default" w:ascii="Times New Roman" w:hAnsi="Times New Roman" w:eastAsia="宋体" w:cs="Times New Roman"/>
          <w:b/>
          <w:snapToGrid w:val="0"/>
          <w:color w:val="auto"/>
          <w:kern w:val="44"/>
          <w:sz w:val="36"/>
          <w:szCs w:val="36"/>
          <w:highlight w:val="none"/>
          <w:lang w:val="en-US" w:eastAsia="zh-CN" w:bidi="ar-SA"/>
        </w:rPr>
        <w:t>10.结论</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68B4215">
      <w:pPr>
        <w:pStyle w:val="5"/>
        <w:pageBreakBefore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cs="Times New Roman"/>
          <w:color w:val="auto"/>
          <w:highlight w:val="none"/>
        </w:rPr>
      </w:pPr>
      <w:bookmarkStart w:id="736" w:name="_Toc374724243"/>
      <w:bookmarkStart w:id="737" w:name="_Toc297590836"/>
      <w:bookmarkStart w:id="738" w:name="_Toc20303"/>
      <w:bookmarkStart w:id="739" w:name="_Toc227650631"/>
      <w:bookmarkStart w:id="740" w:name="_Toc508291912"/>
      <w:bookmarkStart w:id="741" w:name="_Toc280954969"/>
      <w:bookmarkStart w:id="742" w:name="_Toc353966794"/>
      <w:bookmarkStart w:id="743" w:name="_Toc280955046"/>
      <w:bookmarkStart w:id="744" w:name="_Toc67081075"/>
      <w:bookmarkStart w:id="745" w:name="_Toc340140067"/>
      <w:bookmarkStart w:id="746" w:name="_Toc255293831"/>
      <w:bookmarkStart w:id="747" w:name="_Toc75438920"/>
      <w:bookmarkStart w:id="748" w:name="_Toc361761886"/>
      <w:bookmarkStart w:id="749" w:name="_Toc332"/>
      <w:bookmarkStart w:id="750" w:name="_Toc24120"/>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.1</w:t>
      </w:r>
      <w:bookmarkEnd w:id="736"/>
      <w:bookmarkEnd w:id="737"/>
      <w:bookmarkEnd w:id="738"/>
      <w:bookmarkEnd w:id="739"/>
      <w:bookmarkEnd w:id="740"/>
      <w:bookmarkEnd w:id="741"/>
      <w:bookmarkEnd w:id="742"/>
      <w:bookmarkEnd w:id="743"/>
      <w:bookmarkEnd w:id="744"/>
      <w:bookmarkEnd w:id="745"/>
      <w:bookmarkEnd w:id="746"/>
      <w:bookmarkEnd w:id="747"/>
      <w:bookmarkEnd w:id="748"/>
      <w:bookmarkStart w:id="751" w:name="_Toc11808"/>
      <w:bookmarkStart w:id="752" w:name="_Toc22231"/>
      <w:bookmarkStart w:id="753" w:name="_Toc32151"/>
      <w:r>
        <w:rPr>
          <w:rFonts w:hint="default" w:ascii="Times New Roman" w:hAnsi="Times New Roman" w:cs="Times New Roman"/>
          <w:color w:val="auto"/>
          <w:highlight w:val="none"/>
        </w:rPr>
        <w:t>项目概况</w:t>
      </w:r>
      <w:bookmarkEnd w:id="749"/>
      <w:bookmarkEnd w:id="750"/>
      <w:bookmarkEnd w:id="751"/>
      <w:bookmarkEnd w:id="752"/>
      <w:bookmarkEnd w:id="753"/>
    </w:p>
    <w:p w14:paraId="448D34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2"/>
          <w:highlight w:val="none"/>
          <w:lang w:eastAsia="zh-CN"/>
        </w:rPr>
        <w:t>本项目</w:t>
      </w:r>
      <w:r>
        <w:rPr>
          <w:rFonts w:hint="default" w:ascii="Times New Roman" w:hAnsi="Times New Roman" w:cs="Times New Roman"/>
          <w:color w:val="auto"/>
          <w:sz w:val="24"/>
          <w:szCs w:val="22"/>
          <w:highlight w:val="none"/>
        </w:rPr>
        <w:t>位于新疆维吾尔自治区阿克苏地区库车市</w:t>
      </w:r>
      <w:r>
        <w:rPr>
          <w:rFonts w:hint="eastAsia" w:cs="Times New Roman"/>
          <w:color w:val="auto"/>
          <w:sz w:val="24"/>
          <w:szCs w:val="22"/>
          <w:highlight w:val="none"/>
          <w:lang w:val="en-US" w:eastAsia="zh-CN"/>
        </w:rPr>
        <w:t>境内</w:t>
      </w:r>
      <w:r>
        <w:rPr>
          <w:rFonts w:hint="default" w:ascii="Times New Roman" w:hAnsi="Times New Roman" w:cs="Times New Roman"/>
          <w:color w:val="auto"/>
          <w:sz w:val="24"/>
          <w:szCs w:val="22"/>
          <w:highlight w:val="none"/>
        </w:rPr>
        <w:t>，</w:t>
      </w:r>
      <w:r>
        <w:rPr>
          <w:rFonts w:hint="default" w:ascii="Times New Roman" w:hAnsi="Times New Roman" w:cs="Times New Roman"/>
          <w:color w:val="auto"/>
          <w:sz w:val="24"/>
          <w:szCs w:val="24"/>
          <w:highlight w:val="none"/>
        </w:rPr>
        <w:t>塔河油田</w:t>
      </w:r>
      <w:r>
        <w:rPr>
          <w:rFonts w:hint="default" w:ascii="Times New Roman" w:hAnsi="Times New Roman" w:cs="Times New Roman"/>
          <w:color w:val="auto"/>
          <w:sz w:val="24"/>
          <w:szCs w:val="24"/>
          <w:highlight w:val="none"/>
          <w:lang w:val="en-US" w:eastAsia="zh-CN"/>
        </w:rPr>
        <w:t>8区、</w:t>
      </w:r>
      <w:r>
        <w:rPr>
          <w:rFonts w:hint="default" w:ascii="Times New Roman" w:hAnsi="Times New Roman" w:eastAsia="宋体" w:cs="Times New Roman"/>
          <w:color w:val="auto"/>
          <w:sz w:val="24"/>
          <w:szCs w:val="24"/>
          <w:highlight w:val="none"/>
        </w:rPr>
        <w:t>塔河油田</w:t>
      </w:r>
      <w:r>
        <w:rPr>
          <w:rFonts w:hint="default"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rPr>
        <w:t>北</w:t>
      </w:r>
      <w:r>
        <w:rPr>
          <w:rFonts w:hint="default" w:ascii="Times New Roman" w:hAnsi="Times New Roman" w:cs="Times New Roman"/>
          <w:color w:val="auto"/>
          <w:sz w:val="24"/>
          <w:szCs w:val="24"/>
          <w:highlight w:val="none"/>
          <w:lang w:val="en-US" w:eastAsia="zh-CN"/>
        </w:rPr>
        <w:t>部</w:t>
      </w:r>
      <w:r>
        <w:rPr>
          <w:rFonts w:hint="default" w:ascii="Times New Roman" w:hAnsi="Times New Roman" w:eastAsia="宋体" w:cs="Times New Roman"/>
          <w:color w:val="auto"/>
          <w:sz w:val="24"/>
          <w:szCs w:val="24"/>
          <w:highlight w:val="none"/>
        </w:rPr>
        <w:t>距</w:t>
      </w:r>
      <w:r>
        <w:rPr>
          <w:rFonts w:hint="default" w:ascii="Times New Roman" w:hAnsi="Times New Roman" w:cs="Times New Roman"/>
          <w:color w:val="auto"/>
          <w:sz w:val="24"/>
          <w:szCs w:val="24"/>
          <w:highlight w:val="none"/>
          <w:lang w:val="en-US" w:eastAsia="zh-CN"/>
        </w:rPr>
        <w:t>库车市</w:t>
      </w:r>
      <w:r>
        <w:rPr>
          <w:rFonts w:hint="default" w:ascii="Times New Roman" w:hAnsi="Times New Roman" w:eastAsia="宋体" w:cs="Times New Roman"/>
          <w:color w:val="auto"/>
          <w:sz w:val="24"/>
          <w:szCs w:val="24"/>
          <w:highlight w:val="none"/>
        </w:rPr>
        <w:t>约</w:t>
      </w:r>
      <w:r>
        <w:rPr>
          <w:rFonts w:hint="default" w:ascii="Times New Roman" w:hAnsi="Times New Roman" w:cs="Times New Roman"/>
          <w:color w:val="auto"/>
          <w:sz w:val="24"/>
          <w:szCs w:val="24"/>
          <w:highlight w:val="none"/>
          <w:lang w:val="en-US" w:eastAsia="zh-CN"/>
        </w:rPr>
        <w:t>7</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km</w:t>
      </w:r>
      <w:r>
        <w:rPr>
          <w:rFonts w:hint="default" w:ascii="Times New Roman" w:hAnsi="Times New Roman" w:cs="Times New Roman"/>
          <w:color w:val="auto"/>
          <w:sz w:val="24"/>
          <w:szCs w:val="24"/>
          <w:highlight w:val="none"/>
        </w:rPr>
        <w:t>，隶属于</w:t>
      </w:r>
      <w:r>
        <w:rPr>
          <w:rFonts w:hint="default" w:ascii="Times New Roman" w:hAnsi="Times New Roman" w:cs="Times New Roman"/>
          <w:bCs/>
          <w:color w:val="auto"/>
          <w:sz w:val="24"/>
          <w:szCs w:val="24"/>
          <w:highlight w:val="none"/>
        </w:rPr>
        <w:t>塔河油田采油三厂</w:t>
      </w:r>
      <w:r>
        <w:rPr>
          <w:rFonts w:hint="default" w:ascii="Times New Roman" w:hAnsi="Times New Roman" w:cs="Times New Roman"/>
          <w:color w:val="auto"/>
          <w:sz w:val="24"/>
          <w:szCs w:val="24"/>
          <w:highlight w:val="none"/>
        </w:rPr>
        <w:t>管辖。</w:t>
      </w:r>
    </w:p>
    <w:p w14:paraId="0AB9DC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lang w:val="en-US" w:eastAsia="zh-CN"/>
        </w:rPr>
        <w:t>本项目部署</w:t>
      </w:r>
      <w:r>
        <w:rPr>
          <w:rFonts w:hint="eastAsia"/>
          <w:color w:val="auto"/>
          <w:highlight w:val="none"/>
        </w:rPr>
        <w:t>老井侧钻</w:t>
      </w:r>
      <w:r>
        <w:rPr>
          <w:rFonts w:hint="eastAsia"/>
          <w:color w:val="auto"/>
          <w:highlight w:val="none"/>
          <w:lang w:val="en-US" w:eastAsia="zh-CN"/>
        </w:rPr>
        <w:t>4</w:t>
      </w:r>
      <w:r>
        <w:rPr>
          <w:rFonts w:hint="eastAsia"/>
          <w:color w:val="auto"/>
          <w:highlight w:val="none"/>
        </w:rPr>
        <w:t>口</w:t>
      </w:r>
      <w:r>
        <w:rPr>
          <w:rFonts w:hint="eastAsia"/>
          <w:color w:val="auto"/>
          <w:highlight w:val="none"/>
          <w:lang w:eastAsia="zh-CN"/>
        </w:rPr>
        <w:t>（</w:t>
      </w:r>
      <w:r>
        <w:rPr>
          <w:rFonts w:hint="default" w:ascii="Times New Roman" w:hAnsi="Times New Roman" w:cs="Times New Roman"/>
          <w:color w:val="auto"/>
          <w:spacing w:val="-6"/>
          <w:sz w:val="24"/>
          <w:highlight w:val="none"/>
          <w:lang w:val="en-US" w:eastAsia="zh-CN"/>
        </w:rPr>
        <w:t>TH10294</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、TH10250</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、TH10298</w:t>
      </w:r>
      <w:r>
        <w:rPr>
          <w:rFonts w:hint="eastAsia" w:cs="Times New Roman"/>
          <w:color w:val="auto"/>
          <w:spacing w:val="-6"/>
          <w:sz w:val="24"/>
          <w:highlight w:val="none"/>
          <w:lang w:val="en-US" w:eastAsia="zh-CN"/>
        </w:rPr>
        <w:t>CH</w:t>
      </w:r>
      <w:r>
        <w:rPr>
          <w:rFonts w:hint="default" w:ascii="Times New Roman" w:hAnsi="Times New Roman" w:cs="Times New Roman"/>
          <w:color w:val="auto"/>
          <w:spacing w:val="-6"/>
          <w:sz w:val="24"/>
          <w:highlight w:val="none"/>
          <w:lang w:val="en-US" w:eastAsia="zh-CN"/>
        </w:rPr>
        <w:t>、TK872</w:t>
      </w:r>
      <w:r>
        <w:rPr>
          <w:rFonts w:hint="eastAsia" w:cs="Times New Roman"/>
          <w:color w:val="auto"/>
          <w:spacing w:val="-6"/>
          <w:sz w:val="24"/>
          <w:highlight w:val="none"/>
          <w:lang w:val="en-US" w:eastAsia="zh-CN"/>
        </w:rPr>
        <w:t>CH</w:t>
      </w:r>
      <w:r>
        <w:rPr>
          <w:rFonts w:hint="eastAsia"/>
          <w:color w:val="auto"/>
          <w:highlight w:val="none"/>
          <w:lang w:eastAsia="zh-CN"/>
        </w:rPr>
        <w:t>），</w:t>
      </w:r>
      <w:r>
        <w:rPr>
          <w:rFonts w:hint="eastAsia"/>
          <w:color w:val="auto"/>
          <w:highlight w:val="none"/>
        </w:rPr>
        <w:t>老井不新增地面设施；新建TH102117X井至T707CH</w:t>
      </w:r>
      <w:r>
        <w:rPr>
          <w:rFonts w:hint="eastAsia"/>
          <w:color w:val="auto"/>
          <w:highlight w:val="none"/>
          <w:lang w:val="en-US" w:eastAsia="zh-CN"/>
        </w:rPr>
        <w:t>井采油管线601</w:t>
      </w:r>
      <w:r>
        <w:rPr>
          <w:rFonts w:hint="eastAsia"/>
          <w:color w:val="auto"/>
          <w:highlight w:val="none"/>
        </w:rPr>
        <w:t>m</w:t>
      </w:r>
      <w:r>
        <w:rPr>
          <w:rFonts w:hint="eastAsia"/>
          <w:color w:val="auto"/>
          <w:highlight w:val="none"/>
          <w:lang w:eastAsia="zh-CN"/>
        </w:rPr>
        <w:t>，</w:t>
      </w:r>
      <w:r>
        <w:rPr>
          <w:rFonts w:hint="eastAsia"/>
          <w:color w:val="auto"/>
          <w:highlight w:val="none"/>
          <w:lang w:val="en-US" w:eastAsia="zh-CN"/>
        </w:rPr>
        <w:t>新建T707CH井场至TH102117X井场掺稀管线601m、燃料气管线601m，</w:t>
      </w:r>
      <w:r>
        <w:rPr>
          <w:rFonts w:hint="eastAsia"/>
          <w:color w:val="auto"/>
          <w:sz w:val="24"/>
          <w:szCs w:val="24"/>
          <w:highlight w:val="none"/>
        </w:rPr>
        <w:t>4口</w:t>
      </w:r>
      <w:r>
        <w:rPr>
          <w:rFonts w:hint="eastAsia"/>
          <w:color w:val="auto"/>
          <w:sz w:val="24"/>
          <w:szCs w:val="24"/>
          <w:highlight w:val="none"/>
          <w:lang w:val="en-US" w:eastAsia="zh-CN"/>
        </w:rPr>
        <w:t>侧钻老</w:t>
      </w:r>
      <w:r>
        <w:rPr>
          <w:rFonts w:hint="eastAsia"/>
          <w:color w:val="auto"/>
          <w:sz w:val="24"/>
          <w:szCs w:val="24"/>
          <w:highlight w:val="none"/>
        </w:rPr>
        <w:t>井管线均可利旧</w:t>
      </w:r>
      <w:r>
        <w:rPr>
          <w:rFonts w:hint="eastAsia"/>
          <w:color w:val="auto"/>
          <w:sz w:val="24"/>
          <w:szCs w:val="24"/>
          <w:highlight w:val="none"/>
          <w:lang w:eastAsia="zh-CN"/>
        </w:rPr>
        <w:t>；</w:t>
      </w:r>
      <w:r>
        <w:rPr>
          <w:rFonts w:hint="eastAsia"/>
          <w:color w:val="auto"/>
          <w:sz w:val="24"/>
          <w:szCs w:val="24"/>
          <w:highlight w:val="none"/>
        </w:rPr>
        <w:t>本次部署的4口侧钻井地面配套的</w:t>
      </w:r>
      <w:r>
        <w:rPr>
          <w:rFonts w:hint="eastAsia"/>
          <w:color w:val="auto"/>
          <w:sz w:val="24"/>
          <w:szCs w:val="24"/>
          <w:highlight w:val="none"/>
          <w:lang w:val="en-US" w:eastAsia="zh-CN"/>
        </w:rPr>
        <w:t>热力、</w:t>
      </w:r>
      <w:r>
        <w:rPr>
          <w:rFonts w:hint="eastAsia"/>
          <w:color w:val="auto"/>
          <w:sz w:val="24"/>
          <w:szCs w:val="24"/>
          <w:highlight w:val="none"/>
        </w:rPr>
        <w:t>电力、自控、通信均可利旧</w:t>
      </w:r>
      <w:r>
        <w:rPr>
          <w:rFonts w:hint="eastAsia"/>
          <w:color w:val="auto"/>
          <w:highlight w:val="none"/>
        </w:rPr>
        <w:t>。</w:t>
      </w:r>
      <w:r>
        <w:rPr>
          <w:rFonts w:hint="eastAsia" w:cs="Times New Roman"/>
          <w:color w:val="auto"/>
          <w:highlight w:val="none"/>
          <w:lang w:val="en-US" w:eastAsia="zh-CN"/>
        </w:rPr>
        <w:t>侧钻后单井平均产油</w:t>
      </w:r>
      <w:r>
        <w:rPr>
          <w:rFonts w:hint="eastAsia"/>
          <w:color w:val="auto"/>
          <w:szCs w:val="24"/>
          <w:highlight w:val="none"/>
        </w:rPr>
        <w:t>14t/d，</w:t>
      </w:r>
      <w:r>
        <w:rPr>
          <w:rFonts w:hint="eastAsia"/>
          <w:color w:val="auto"/>
          <w:sz w:val="24"/>
          <w:szCs w:val="24"/>
          <w:highlight w:val="none"/>
        </w:rPr>
        <w:t>最高产油1.42万</w:t>
      </w:r>
      <w:r>
        <w:rPr>
          <w:rFonts w:hint="eastAsia"/>
          <w:color w:val="auto"/>
          <w:sz w:val="24"/>
          <w:szCs w:val="24"/>
          <w:highlight w:val="none"/>
          <w:lang w:val="en-US" w:eastAsia="zh-CN"/>
        </w:rPr>
        <w:t>t/a</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油气外输及处理均依托已有地面设施</w:t>
      </w:r>
      <w:r>
        <w:rPr>
          <w:rFonts w:hint="default" w:ascii="Times New Roman" w:hAnsi="Times New Roman" w:cs="Times New Roman"/>
          <w:bCs/>
          <w:color w:val="auto"/>
          <w:highlight w:val="none"/>
        </w:rPr>
        <w:t>。</w:t>
      </w:r>
    </w:p>
    <w:p w14:paraId="4E747CD2">
      <w:pPr>
        <w:pStyle w:val="5"/>
        <w:pageBreakBefore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cs="Times New Roman"/>
          <w:color w:val="auto"/>
          <w:highlight w:val="none"/>
        </w:rPr>
      </w:pPr>
      <w:bookmarkStart w:id="754" w:name="_Toc21332"/>
      <w:bookmarkStart w:id="755" w:name="_Toc28077"/>
      <w:bookmarkStart w:id="756" w:name="_Toc11411"/>
      <w:bookmarkStart w:id="757" w:name="_Toc25961"/>
      <w:bookmarkStart w:id="758" w:name="_Toc8959"/>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.2产业政策符合性</w:t>
      </w:r>
      <w:bookmarkEnd w:id="754"/>
      <w:bookmarkEnd w:id="755"/>
      <w:bookmarkEnd w:id="756"/>
      <w:bookmarkEnd w:id="757"/>
      <w:bookmarkEnd w:id="758"/>
    </w:p>
    <w:p w14:paraId="506CDA29">
      <w:pPr>
        <w:pStyle w:val="62"/>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石油天然气开采业是当前国民经济的重要基础产业和支柱产业，</w:t>
      </w:r>
      <w:r>
        <w:rPr>
          <w:rFonts w:hint="default" w:ascii="Times New Roman" w:hAnsi="Times New Roman" w:cs="Times New Roman"/>
          <w:color w:val="auto"/>
          <w:highlight w:val="none"/>
          <w:lang w:val="zh-CN"/>
        </w:rPr>
        <w:t>根据《产业结构调整指导目录（20</w:t>
      </w:r>
      <w:r>
        <w:rPr>
          <w:rFonts w:hint="default" w:ascii="Times New Roman" w:hAnsi="Times New Roman" w:cs="Times New Roman"/>
          <w:color w:val="auto"/>
          <w:highlight w:val="none"/>
          <w:lang w:val="en-US" w:eastAsia="zh-CN"/>
        </w:rPr>
        <w:t>24</w:t>
      </w:r>
      <w:r>
        <w:rPr>
          <w:rFonts w:hint="default" w:ascii="Times New Roman" w:hAnsi="Times New Roman" w:cs="Times New Roman"/>
          <w:color w:val="auto"/>
          <w:highlight w:val="none"/>
          <w:lang w:val="zh-CN"/>
        </w:rPr>
        <w:t>年本）》，</w:t>
      </w:r>
      <w:r>
        <w:rPr>
          <w:rFonts w:hint="default" w:ascii="Times New Roman" w:hAnsi="Times New Roman" w:cs="Times New Roman"/>
          <w:color w:val="auto"/>
          <w:highlight w:val="none"/>
          <w:lang w:val="en-US" w:eastAsia="zh-CN"/>
        </w:rPr>
        <w:t>本项目属于</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第一类鼓励类”中“七、石油天然气”中“1.</w:t>
      </w:r>
      <w:r>
        <w:rPr>
          <w:rFonts w:hint="default" w:ascii="Times New Roman" w:hAnsi="Times New Roman" w:cs="Times New Roman"/>
          <w:color w:val="auto"/>
          <w:highlight w:val="none"/>
          <w:lang w:val="zh-CN"/>
        </w:rPr>
        <w:t>常规石油、天然气勘探与开采”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本项目的建设符合国家产业政策。</w:t>
      </w:r>
    </w:p>
    <w:p w14:paraId="138F998A">
      <w:pPr>
        <w:pStyle w:val="5"/>
        <w:pageBreakBefore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cs="Times New Roman"/>
          <w:color w:val="auto"/>
          <w:highlight w:val="none"/>
        </w:rPr>
      </w:pPr>
      <w:bookmarkStart w:id="759" w:name="_Toc20649"/>
      <w:bookmarkStart w:id="760" w:name="_Toc17207"/>
      <w:bookmarkStart w:id="761" w:name="_Toc4217"/>
      <w:bookmarkStart w:id="762" w:name="_Toc121691602"/>
      <w:bookmarkStart w:id="763" w:name="_Toc11845"/>
      <w:bookmarkStart w:id="764" w:name="_Toc29423"/>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.3规划符合性</w:t>
      </w:r>
      <w:bookmarkEnd w:id="759"/>
      <w:bookmarkEnd w:id="760"/>
      <w:bookmarkEnd w:id="761"/>
      <w:bookmarkEnd w:id="762"/>
      <w:bookmarkEnd w:id="763"/>
      <w:bookmarkEnd w:id="764"/>
    </w:p>
    <w:p w14:paraId="46116117">
      <w:pPr>
        <w:pStyle w:val="62"/>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b w:val="0"/>
          <w:bCs w:val="0"/>
          <w:color w:val="auto"/>
          <w:highlight w:val="none"/>
          <w:lang w:val="zh-CN"/>
        </w:rPr>
      </w:pPr>
      <w:r>
        <w:rPr>
          <w:rFonts w:hint="default" w:ascii="Times New Roman" w:hAnsi="Times New Roman" w:cs="Times New Roman"/>
          <w:b w:val="0"/>
          <w:bCs w:val="0"/>
          <w:color w:val="auto"/>
          <w:highlight w:val="none"/>
          <w:lang w:val="zh-CN"/>
        </w:rPr>
        <w:t>本项目属于中国石油化工股份有限公司西北油田分公司滚动开发项目，符合《新疆维吾尔自治区国民经济和社会发展第十四个五年规划和2035年远景目标纲要》、《新疆生态环境保护“十四五”规划》和</w:t>
      </w:r>
      <w:r>
        <w:rPr>
          <w:rFonts w:hint="default" w:ascii="Times New Roman" w:hAnsi="Times New Roman" w:cs="Times New Roman"/>
          <w:b w:val="0"/>
          <w:bCs w:val="0"/>
          <w:color w:val="auto"/>
          <w:highlight w:val="none"/>
          <w:lang w:eastAsia="zh-CN" w:bidi="ar"/>
        </w:rPr>
        <w:t>《</w:t>
      </w:r>
      <w:r>
        <w:rPr>
          <w:rFonts w:hint="default" w:ascii="Times New Roman" w:hAnsi="Times New Roman" w:cs="Times New Roman"/>
          <w:b w:val="0"/>
          <w:bCs w:val="0"/>
          <w:color w:val="auto"/>
          <w:highlight w:val="none"/>
          <w:lang w:val="en-US" w:eastAsia="zh-CN" w:bidi="ar"/>
        </w:rPr>
        <w:t>中国石油化工股份有限公司西北油田分公司</w:t>
      </w:r>
      <w:r>
        <w:rPr>
          <w:rFonts w:hint="default" w:ascii="Times New Roman" w:hAnsi="Times New Roman" w:cs="Times New Roman"/>
          <w:b w:val="0"/>
          <w:bCs w:val="0"/>
          <w:color w:val="auto"/>
          <w:highlight w:val="none"/>
          <w:lang w:bidi="ar"/>
        </w:rPr>
        <w:t>“十四五”规划</w:t>
      </w:r>
      <w:r>
        <w:rPr>
          <w:rFonts w:hint="default" w:ascii="Times New Roman" w:hAnsi="Times New Roman" w:cs="Times New Roman"/>
          <w:b w:val="0"/>
          <w:bCs w:val="0"/>
          <w:color w:val="auto"/>
          <w:highlight w:val="none"/>
          <w:lang w:eastAsia="zh-CN" w:bidi="ar"/>
        </w:rPr>
        <w:t>》</w:t>
      </w:r>
      <w:r>
        <w:rPr>
          <w:rFonts w:hint="default" w:ascii="Times New Roman" w:hAnsi="Times New Roman" w:cs="Times New Roman"/>
          <w:b w:val="0"/>
          <w:bCs w:val="0"/>
          <w:color w:val="auto"/>
          <w:highlight w:val="none"/>
          <w:lang w:val="zh-CN"/>
        </w:rPr>
        <w:t>的相关要求。</w:t>
      </w:r>
    </w:p>
    <w:p w14:paraId="6B15485D">
      <w:pPr>
        <w:pStyle w:val="62"/>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auto"/>
          <w:highlight w:val="none"/>
          <w:lang w:val="zh-CN"/>
        </w:rPr>
      </w:pPr>
      <w:r>
        <w:rPr>
          <w:rFonts w:hint="default" w:ascii="Times New Roman" w:hAnsi="Times New Roman" w:cs="Times New Roman"/>
          <w:b w:val="0"/>
          <w:bCs w:val="0"/>
          <w:color w:val="auto"/>
          <w:highlight w:val="none"/>
          <w:lang w:val="zh-CN"/>
        </w:rPr>
        <w:t>本项目位于塔河油田矿权范围内，不属于主体功能区规划中确定的国家和自治区层面的禁止开发区域，所进行的石油天然气勘探活动符合“全国重要的能源基地”定位。因此本项目的建设符合《新疆维吾尔自治区主体功能区规划》</w:t>
      </w:r>
      <w:r>
        <w:rPr>
          <w:rFonts w:hint="default" w:ascii="Times New Roman" w:hAnsi="Times New Roman" w:cs="Times New Roman"/>
          <w:b w:val="0"/>
          <w:bCs w:val="0"/>
          <w:color w:val="auto"/>
          <w:highlight w:val="none"/>
          <w:lang w:val="en-US" w:eastAsia="zh-CN"/>
        </w:rPr>
        <w:t>和</w:t>
      </w:r>
      <w:r>
        <w:rPr>
          <w:rFonts w:hint="default" w:ascii="Times New Roman" w:hAnsi="Times New Roman" w:cs="Times New Roman"/>
          <w:b w:val="0"/>
          <w:bCs w:val="0"/>
          <w:color w:val="auto"/>
          <w:highlight w:val="none"/>
          <w:lang w:val="zh-CN"/>
        </w:rPr>
        <w:t>《新疆生态功能区划》</w:t>
      </w:r>
      <w:r>
        <w:rPr>
          <w:rFonts w:hint="default" w:ascii="Times New Roman" w:hAnsi="Times New Roman" w:cs="Times New Roman"/>
          <w:b w:val="0"/>
          <w:bCs w:val="0"/>
          <w:color w:val="auto"/>
          <w:highlight w:val="none"/>
          <w:lang w:val="en-US" w:eastAsia="zh-CN"/>
        </w:rPr>
        <w:t>等规划</w:t>
      </w:r>
      <w:r>
        <w:rPr>
          <w:rFonts w:hint="default" w:ascii="Times New Roman" w:hAnsi="Times New Roman" w:cs="Times New Roman"/>
          <w:b w:val="0"/>
          <w:bCs w:val="0"/>
          <w:color w:val="auto"/>
          <w:highlight w:val="none"/>
        </w:rPr>
        <w:t>相关要求</w:t>
      </w:r>
      <w:r>
        <w:rPr>
          <w:rFonts w:hint="default" w:ascii="Times New Roman" w:hAnsi="Times New Roman" w:cs="Times New Roman"/>
          <w:color w:val="auto"/>
          <w:highlight w:val="none"/>
          <w:lang w:val="zh-CN"/>
        </w:rPr>
        <w:t>。</w:t>
      </w:r>
    </w:p>
    <w:p w14:paraId="2E968D79">
      <w:pPr>
        <w:pStyle w:val="5"/>
        <w:keepNext/>
        <w:keepLines/>
        <w:pageBreakBefore w:val="0"/>
        <w:widowControl w:val="0"/>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cs="Times New Roman"/>
          <w:color w:val="auto"/>
          <w:highlight w:val="none"/>
        </w:rPr>
      </w:pPr>
      <w:bookmarkStart w:id="765" w:name="_Toc25450"/>
      <w:bookmarkStart w:id="766" w:name="_Toc13362"/>
      <w:bookmarkStart w:id="767" w:name="_Toc29771"/>
      <w:bookmarkStart w:id="768" w:name="_Toc11832"/>
      <w:bookmarkStart w:id="769" w:name="_Toc15105"/>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环境质量现状</w:t>
      </w:r>
      <w:bookmarkEnd w:id="765"/>
      <w:bookmarkEnd w:id="766"/>
      <w:bookmarkEnd w:id="767"/>
      <w:bookmarkEnd w:id="768"/>
      <w:bookmarkEnd w:id="769"/>
    </w:p>
    <w:p w14:paraId="121DC6D0">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环境空气质量现状</w:t>
      </w:r>
    </w:p>
    <w:p w14:paraId="487E3D41">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所在区域为</w:t>
      </w:r>
      <w:r>
        <w:rPr>
          <w:rFonts w:hint="default" w:ascii="Times New Roman" w:hAnsi="Times New Roman" w:cs="Times New Roman"/>
          <w:color w:val="auto"/>
          <w:highlight w:val="none"/>
          <w:lang w:val="en-US" w:eastAsia="zh-CN"/>
        </w:rPr>
        <w:t>环境空气质量不</w:t>
      </w:r>
      <w:r>
        <w:rPr>
          <w:rFonts w:hint="default" w:ascii="Times New Roman" w:hAnsi="Times New Roman" w:cs="Times New Roman"/>
          <w:color w:val="auto"/>
          <w:highlight w:val="none"/>
        </w:rPr>
        <w:t>达标区，监测期间非甲烷总烃1小时平均浓度未超过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大气污染物综合排放标准详解</w:t>
      </w:r>
      <w:r>
        <w:rPr>
          <w:rFonts w:hint="default" w:ascii="Times New Roman" w:hAnsi="Times New Roman" w:cs="Times New Roman"/>
          <w:color w:val="auto"/>
          <w:highlight w:val="none"/>
          <w:lang w:eastAsia="zh-CN"/>
        </w:rPr>
        <w:t>》（GB16297-1996）</w:t>
      </w:r>
      <w:r>
        <w:rPr>
          <w:rFonts w:hint="default" w:ascii="Times New Roman" w:hAnsi="Times New Roman" w:cs="Times New Roman"/>
          <w:color w:val="auto"/>
          <w:highlight w:val="none"/>
        </w:rPr>
        <w:t>中参考限值，H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S1小时平均浓度未超过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环境影响评价技术导则大气环境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HJ2.2-2018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附录D中的浓度限值。</w:t>
      </w:r>
    </w:p>
    <w:p w14:paraId="6CE29928">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水环境质量现状</w:t>
      </w:r>
    </w:p>
    <w:p w14:paraId="7B0DBE9A">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区域地下水</w:t>
      </w:r>
      <w:r>
        <w:rPr>
          <w:rFonts w:hint="default" w:ascii="Times New Roman" w:hAnsi="Times New Roman" w:cs="Times New Roman"/>
          <w:color w:val="auto"/>
          <w:highlight w:val="none"/>
        </w:rPr>
        <w:t>总硬度、溶解性总固体、硫酸盐、氯化物、</w:t>
      </w:r>
      <w:r>
        <w:rPr>
          <w:rFonts w:hint="eastAsia" w:ascii="Times New Roman" w:hAnsi="Times New Roman" w:cs="Times New Roman"/>
          <w:color w:val="auto"/>
          <w:highlight w:val="none"/>
          <w:lang w:val="en-US" w:eastAsia="zh-CN"/>
        </w:rPr>
        <w:t>氟化物、</w:t>
      </w:r>
      <w:r>
        <w:rPr>
          <w:rFonts w:hint="default" w:ascii="Times New Roman" w:hAnsi="Times New Roman" w:cs="Times New Roman"/>
          <w:color w:val="auto"/>
          <w:highlight w:val="none"/>
        </w:rPr>
        <w:t>钠、锰等出现不同程度的超标，超出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地下水质量标准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GB/T14848-2017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的Ⅲ类标准限值，除此之外的其他项目均符合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地下水质量标准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GB/T14848-2017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中Ⅲ类标准限值的要求。超标原因主要是受干旱气候、蒸发浓缩作用、原生地质、水文地质环境等因素综合影响，由于区内地下水径流非常缓慢，各类离子容易富集。</w:t>
      </w:r>
    </w:p>
    <w:p w14:paraId="5F80ED93">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声环境质量现状</w:t>
      </w:r>
    </w:p>
    <w:p w14:paraId="2FFF37B5">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项目所在区域声环境质量均满足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声环境质量标准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GB3096-2008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中2类标准要求。</w:t>
      </w:r>
    </w:p>
    <w:p w14:paraId="66C447CF">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土壤环境质量现状</w:t>
      </w:r>
    </w:p>
    <w:p w14:paraId="7201723C">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土壤环境质量监测结果表明，</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占地范围内各监测点位的所有监测因子的污染指数均小于1，满足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土壤环境质量建设用地土壤污染风险管控标准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第二类用地筛选值标准；项目区占地范围外各监测点小于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土壤环境质量农用地土壤污染风险管控标准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GB15618-2018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中“表.1农用地土壤污染风险筛选值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eastAsia="zh-CN"/>
        </w:rPr>
        <w:t>pH</w:t>
      </w:r>
      <w:r>
        <w:rPr>
          <w:rFonts w:hint="default" w:ascii="Times New Roman" w:hAnsi="Times New Roman" w:cs="Times New Roman"/>
          <w:color w:val="auto"/>
          <w:highlight w:val="none"/>
        </w:rPr>
        <w:t>&gt;7.5所列标准；土壤中石油烃含量较低，满足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土壤环境质量建设用地土壤污染风险管控标准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GB36600-2018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第二类用地风险筛选值要求。</w:t>
      </w:r>
    </w:p>
    <w:p w14:paraId="13FC0C1A">
      <w:pPr>
        <w:pStyle w:val="101"/>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生态环境质量现状</w:t>
      </w:r>
    </w:p>
    <w:p w14:paraId="0F95B7C9">
      <w:pPr>
        <w:pStyle w:val="12"/>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本项目地处塔里木盆地北部，</w:t>
      </w:r>
      <w:r>
        <w:rPr>
          <w:rFonts w:hint="default" w:ascii="Times New Roman" w:hAnsi="Times New Roman" w:cs="Times New Roman"/>
          <w:color w:val="auto"/>
          <w:highlight w:val="none"/>
          <w:lang w:val="en-US" w:eastAsia="zh-CN"/>
        </w:rPr>
        <w:t>渭干河-库车河三角洲绿洲下缘。项目主要建设</w:t>
      </w:r>
      <w:r>
        <w:rPr>
          <w:rFonts w:hint="default" w:ascii="Times New Roman" w:hAnsi="Times New Roman" w:cs="Times New Roman"/>
          <w:color w:val="auto"/>
          <w:highlight w:val="none"/>
          <w:lang w:eastAsia="zh-CN"/>
        </w:rPr>
        <w:t>内容为</w:t>
      </w:r>
      <w:r>
        <w:rPr>
          <w:rFonts w:hint="default" w:ascii="Times New Roman" w:hAnsi="Times New Roman" w:cs="Times New Roman"/>
          <w:color w:val="auto"/>
          <w:highlight w:val="none"/>
          <w:lang w:val="en-US" w:eastAsia="zh-CN"/>
        </w:rPr>
        <w:t>在塔河油田8区、10区</w:t>
      </w:r>
      <w:r>
        <w:rPr>
          <w:rFonts w:hint="default" w:ascii="Times New Roman" w:hAnsi="Times New Roman" w:cs="Times New Roman"/>
          <w:color w:val="auto"/>
          <w:highlight w:val="none"/>
          <w:lang w:eastAsia="zh-CN"/>
        </w:rPr>
        <w:t>。根据工程分析，本项目</w:t>
      </w:r>
      <w:r>
        <w:rPr>
          <w:rFonts w:hint="default" w:ascii="Times New Roman" w:hAnsi="Times New Roman" w:cs="Times New Roman"/>
          <w:color w:val="auto"/>
          <w:highlight w:val="none"/>
        </w:rPr>
        <w:t>总占地</w:t>
      </w:r>
      <w:r>
        <w:rPr>
          <w:rFonts w:hint="eastAsia" w:ascii="Times New Roman" w:hAnsi="Times New Roman" w:cs="Times New Roman"/>
          <w:color w:val="auto"/>
          <w:sz w:val="24"/>
          <w:szCs w:val="24"/>
          <w:highlight w:val="none"/>
          <w:lang w:val="en-US" w:eastAsia="zh-CN"/>
        </w:rPr>
        <w:t>4.8608</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均为</w:t>
      </w:r>
      <w:r>
        <w:rPr>
          <w:rFonts w:hint="default" w:ascii="Times New Roman" w:hAnsi="Times New Roman" w:cs="Times New Roman"/>
          <w:color w:val="auto"/>
          <w:sz w:val="24"/>
          <w:szCs w:val="24"/>
          <w:highlight w:val="none"/>
        </w:rPr>
        <w:t>临时占地，</w:t>
      </w:r>
      <w:r>
        <w:rPr>
          <w:rFonts w:hint="eastAsia" w:ascii="Times New Roman" w:hAnsi="Times New Roman" w:cs="Times New Roman"/>
          <w:color w:val="auto"/>
          <w:sz w:val="24"/>
          <w:szCs w:val="24"/>
          <w:highlight w:val="none"/>
          <w:lang w:val="en-US" w:eastAsia="zh-CN"/>
        </w:rPr>
        <w:t>不新增永久占地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土壤类型主要为</w:t>
      </w:r>
      <w:r>
        <w:rPr>
          <w:rFonts w:hint="default" w:ascii="Times New Roman" w:hAnsi="Times New Roman" w:cs="Times New Roman"/>
          <w:color w:val="auto"/>
          <w:highlight w:val="none"/>
          <w:lang w:val="en-US" w:eastAsia="zh-CN"/>
        </w:rPr>
        <w:t>风沙</w:t>
      </w:r>
      <w:r>
        <w:rPr>
          <w:rFonts w:hint="default" w:ascii="Times New Roman" w:hAnsi="Times New Roman" w:cs="Times New Roman"/>
          <w:color w:val="auto"/>
          <w:highlight w:val="none"/>
        </w:rPr>
        <w:t>土、草甸土。自然植被主要是刚毛柽柳、芦苇、疏叶骆驼刺。动物种群多为荒漠鸟类、爬行类和啮齿类动物。生态系统类型以</w:t>
      </w:r>
      <w:r>
        <w:rPr>
          <w:rFonts w:hint="default" w:ascii="Times New Roman" w:hAnsi="Times New Roman" w:cs="Times New Roman"/>
          <w:color w:val="auto"/>
          <w:highlight w:val="none"/>
          <w:lang w:val="en-US" w:eastAsia="zh-CN"/>
        </w:rPr>
        <w:t>灌丛生态系统、草地生态系统和</w:t>
      </w:r>
      <w:r>
        <w:rPr>
          <w:rFonts w:hint="default" w:ascii="Times New Roman" w:hAnsi="Times New Roman" w:cs="Times New Roman"/>
          <w:color w:val="auto"/>
          <w:highlight w:val="none"/>
        </w:rPr>
        <w:t>荒漠生态系统为主。评价区内植被种类单一，种群集群分布，生态系统脆弱，植被群落稳定性差，重点保护目标为评价范围内的塔里木河流域重点治理区以及荒漠植被。</w:t>
      </w:r>
    </w:p>
    <w:p w14:paraId="7EDF9AFE">
      <w:pPr>
        <w:pStyle w:val="5"/>
        <w:keepNext/>
        <w:keepLines/>
        <w:pageBreakBefore w:val="0"/>
        <w:widowControl w:val="0"/>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cs="Times New Roman"/>
          <w:color w:val="auto"/>
          <w:highlight w:val="none"/>
        </w:rPr>
      </w:pPr>
      <w:bookmarkStart w:id="770" w:name="_Toc6949"/>
      <w:bookmarkStart w:id="771" w:name="_Toc22343"/>
      <w:bookmarkStart w:id="772" w:name="_Toc22924"/>
      <w:bookmarkStart w:id="773" w:name="_Toc1730"/>
      <w:bookmarkStart w:id="774" w:name="_Toc17175"/>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环境影响预测与分析</w:t>
      </w:r>
      <w:bookmarkEnd w:id="770"/>
      <w:bookmarkEnd w:id="771"/>
      <w:bookmarkEnd w:id="772"/>
      <w:bookmarkEnd w:id="773"/>
      <w:bookmarkEnd w:id="774"/>
    </w:p>
    <w:p w14:paraId="04CADA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生态环境影响分析</w:t>
      </w:r>
    </w:p>
    <w:p w14:paraId="7E534ED1">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工程区</w:t>
      </w:r>
      <w:r>
        <w:rPr>
          <w:rFonts w:hint="default" w:ascii="Times New Roman" w:hAnsi="Times New Roman" w:cs="Times New Roman"/>
          <w:color w:val="auto"/>
          <w:highlight w:val="none"/>
          <w:lang w:val="en-US" w:eastAsia="zh-CN"/>
        </w:rPr>
        <w:t>不在依法划定</w:t>
      </w:r>
      <w:r>
        <w:rPr>
          <w:rFonts w:hint="default" w:ascii="Times New Roman" w:hAnsi="Times New Roman" w:cs="Times New Roman"/>
          <w:color w:val="auto"/>
          <w:highlight w:val="none"/>
        </w:rPr>
        <w:t>自然保护区、风景名胜区、</w:t>
      </w:r>
      <w:r>
        <w:rPr>
          <w:rFonts w:hint="default" w:ascii="Times New Roman" w:hAnsi="Times New Roman" w:cs="Times New Roman"/>
          <w:color w:val="auto"/>
          <w:highlight w:val="none"/>
          <w:lang w:val="en-US" w:eastAsia="zh-CN"/>
        </w:rPr>
        <w:t>森林公园</w:t>
      </w:r>
      <w:r>
        <w:rPr>
          <w:rFonts w:hint="default" w:ascii="Times New Roman" w:hAnsi="Times New Roman" w:cs="Times New Roman"/>
          <w:color w:val="auto"/>
          <w:highlight w:val="none"/>
        </w:rPr>
        <w:t>等</w:t>
      </w:r>
      <w:r>
        <w:rPr>
          <w:rFonts w:hint="default" w:ascii="Times New Roman" w:hAnsi="Times New Roman" w:cs="Times New Roman"/>
          <w:color w:val="auto"/>
          <w:highlight w:val="none"/>
          <w:lang w:val="en-US" w:eastAsia="zh-CN"/>
        </w:rPr>
        <w:t>自然保护地和生态保护红线</w:t>
      </w:r>
      <w:r>
        <w:rPr>
          <w:rFonts w:hint="default" w:ascii="Times New Roman" w:hAnsi="Times New Roman" w:cs="Times New Roman"/>
          <w:color w:val="auto"/>
          <w:highlight w:val="none"/>
        </w:rPr>
        <w:t>。</w:t>
      </w:r>
      <w:r>
        <w:rPr>
          <w:rFonts w:hint="default" w:ascii="Times New Roman" w:hAnsi="Times New Roman" w:cs="Times New Roman"/>
          <w:color w:val="auto"/>
          <w:kern w:val="2"/>
          <w:highlight w:val="none"/>
        </w:rPr>
        <w:t>项目对生态环境的影响主要来自施工期占地的影响，</w:t>
      </w:r>
      <w:r>
        <w:rPr>
          <w:rFonts w:hint="eastAsia" w:cs="Times New Roman"/>
          <w:color w:val="auto"/>
          <w:kern w:val="2"/>
          <w:highlight w:val="none"/>
          <w:lang w:val="en-US" w:eastAsia="zh-CN"/>
        </w:rPr>
        <w:t>本项目总占地约</w:t>
      </w:r>
      <w:r>
        <w:rPr>
          <w:rFonts w:hint="eastAsia" w:cs="Times New Roman"/>
          <w:color w:val="auto"/>
          <w:sz w:val="24"/>
          <w:szCs w:val="24"/>
          <w:highlight w:val="none"/>
          <w:lang w:val="en-US" w:eastAsia="zh-CN"/>
        </w:rPr>
        <w:t>4.8608</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均为</w:t>
      </w:r>
      <w:r>
        <w:rPr>
          <w:rFonts w:hint="default" w:ascii="Times New Roman" w:hAnsi="Times New Roman" w:cs="Times New Roman"/>
          <w:color w:val="auto"/>
          <w:sz w:val="24"/>
          <w:szCs w:val="24"/>
          <w:highlight w:val="none"/>
        </w:rPr>
        <w:t>临时占地，</w:t>
      </w:r>
      <w:r>
        <w:rPr>
          <w:rFonts w:hint="eastAsia" w:ascii="Times New Roman" w:hAnsi="Times New Roman" w:cs="Times New Roman"/>
          <w:color w:val="auto"/>
          <w:sz w:val="24"/>
          <w:szCs w:val="24"/>
          <w:highlight w:val="none"/>
          <w:lang w:val="en-US" w:eastAsia="zh-CN"/>
        </w:rPr>
        <w:t>不新增永久占地</w:t>
      </w:r>
      <w:r>
        <w:rPr>
          <w:rFonts w:hint="eastAsia" w:cs="Times New Roman" w:eastAsiaTheme="minorEastAsia"/>
          <w:color w:val="auto"/>
          <w:kern w:val="24"/>
          <w:sz w:val="24"/>
          <w:szCs w:val="24"/>
          <w:highlight w:val="none"/>
          <w:lang w:eastAsia="zh-CN"/>
        </w:rPr>
        <w:t>。</w:t>
      </w:r>
      <w:r>
        <w:rPr>
          <w:rFonts w:hint="default" w:ascii="Times New Roman" w:hAnsi="Times New Roman" w:cs="Times New Roman"/>
          <w:color w:val="auto"/>
          <w:highlight w:val="none"/>
          <w:lang w:val="zh-CN"/>
        </w:rPr>
        <w:t>本项目占地相对较小，对于整体的土地利用格局、植被覆盖格局、野生动物活动不会带来显著影响</w:t>
      </w:r>
      <w:r>
        <w:rPr>
          <w:rFonts w:hint="default" w:ascii="Times New Roman" w:hAnsi="Times New Roman" w:cs="Times New Roman"/>
          <w:color w:val="auto"/>
          <w:kern w:val="2"/>
          <w:highlight w:val="none"/>
        </w:rPr>
        <w:t>。因此总体上看</w:t>
      </w:r>
      <w:r>
        <w:rPr>
          <w:rFonts w:hint="default" w:ascii="Times New Roman" w:hAnsi="Times New Roman" w:cs="Times New Roman"/>
          <w:color w:val="auto"/>
          <w:kern w:val="2"/>
          <w:highlight w:val="none"/>
          <w:lang w:eastAsia="zh-CN"/>
        </w:rPr>
        <w:t>本项目</w:t>
      </w:r>
      <w:r>
        <w:rPr>
          <w:rFonts w:hint="default" w:ascii="Times New Roman" w:hAnsi="Times New Roman" w:cs="Times New Roman"/>
          <w:color w:val="auto"/>
          <w:kern w:val="2"/>
          <w:highlight w:val="none"/>
        </w:rPr>
        <w:t>建设对生态环境影响较小。</w:t>
      </w:r>
    </w:p>
    <w:p w14:paraId="285329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大气环境影响分析</w:t>
      </w:r>
    </w:p>
    <w:p w14:paraId="33B746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根据工程分析，</w:t>
      </w: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施工期产生的废气主要是施工扬尘、施工车辆尾气、焊接废气、钻井工程废气和储层改造废气。</w:t>
      </w:r>
      <w:r>
        <w:rPr>
          <w:rFonts w:hint="default" w:ascii="Times New Roman" w:hAnsi="Times New Roman" w:cs="Times New Roman"/>
          <w:color w:val="auto"/>
          <w:sz w:val="24"/>
          <w:szCs w:val="24"/>
          <w:highlight w:val="none"/>
          <w:lang w:eastAsia="zh-CN"/>
        </w:rPr>
        <w:t>施工期</w:t>
      </w:r>
      <w:r>
        <w:rPr>
          <w:rFonts w:hint="default" w:ascii="Times New Roman" w:hAnsi="Times New Roman" w:cs="Times New Roman"/>
          <w:color w:val="auto"/>
          <w:sz w:val="24"/>
          <w:szCs w:val="24"/>
          <w:highlight w:val="none"/>
        </w:rPr>
        <w:t>污染属于阶段性局部污染，随着工程结束，其影响也相应消失。</w:t>
      </w:r>
    </w:p>
    <w:p w14:paraId="65564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Style w:val="144"/>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运营期间产生的大气污染物主要为油气集输过程中的烃类挥发</w:t>
      </w:r>
      <w:r>
        <w:rPr>
          <w:rFonts w:hint="eastAsia" w:ascii="Times New Roman" w:hAnsi="Times New Roman" w:cs="Times New Roman"/>
          <w:color w:val="auto"/>
          <w:sz w:val="24"/>
          <w:szCs w:val="24"/>
          <w:highlight w:val="none"/>
          <w:lang w:val="en-US" w:eastAsia="zh-CN"/>
        </w:rPr>
        <w:t>和</w:t>
      </w:r>
      <w:r>
        <w:rPr>
          <w:rStyle w:val="144"/>
          <w:rFonts w:hint="default" w:ascii="Times New Roman" w:hAnsi="Times New Roman" w:cs="Times New Roman"/>
          <w:color w:val="auto"/>
          <w:sz w:val="24"/>
          <w:szCs w:val="24"/>
          <w:highlight w:val="none"/>
        </w:rPr>
        <w:t>硫化氢</w:t>
      </w:r>
      <w:r>
        <w:rPr>
          <w:rFonts w:hint="default" w:ascii="Times New Roman" w:hAnsi="Times New Roman" w:cs="Times New Roman"/>
          <w:color w:val="auto"/>
          <w:sz w:val="24"/>
          <w:szCs w:val="24"/>
          <w:highlight w:val="none"/>
        </w:rPr>
        <w:t>。烃类无组织排放是影响油气田区域环境空气的主要污染源之一，本工程油气开采、集输采用密闭流程，井口密封并设紧急切断</w:t>
      </w:r>
      <w:r>
        <w:rPr>
          <w:rStyle w:val="144"/>
          <w:rFonts w:hint="default" w:ascii="Times New Roman" w:hAnsi="Times New Roman" w:cs="Times New Roman"/>
          <w:color w:val="auto"/>
          <w:sz w:val="24"/>
          <w:szCs w:val="24"/>
          <w:highlight w:val="none"/>
        </w:rPr>
        <w:t>阀，可有效减少烃类和硫化氢</w:t>
      </w:r>
      <w:r>
        <w:rPr>
          <w:rStyle w:val="144"/>
          <w:rFonts w:hint="eastAsia" w:ascii="Times New Roman" w:hAnsi="Times New Roman" w:cs="Times New Roman"/>
          <w:color w:val="auto"/>
          <w:sz w:val="24"/>
          <w:szCs w:val="24"/>
          <w:highlight w:val="none"/>
          <w:lang w:val="en-US" w:eastAsia="zh-CN"/>
        </w:rPr>
        <w:t>气体</w:t>
      </w:r>
      <w:r>
        <w:rPr>
          <w:rStyle w:val="144"/>
          <w:rFonts w:hint="default" w:ascii="Times New Roman" w:hAnsi="Times New Roman" w:cs="Times New Roman"/>
          <w:color w:val="auto"/>
          <w:sz w:val="24"/>
          <w:szCs w:val="24"/>
          <w:highlight w:val="none"/>
        </w:rPr>
        <w:t>的排放量。根据现状监测结果，区域环境空气中非甲烷总烃、硫化氢满足标准限值要求。本工程实施后，各场站废气污染源污染物的贡献浓度较低，占标率较小，不会对大气环境产生明显影响。</w:t>
      </w:r>
    </w:p>
    <w:p w14:paraId="06F167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3</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声环境影响分析</w:t>
      </w:r>
    </w:p>
    <w:p w14:paraId="1CED900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施工期声环境影响主要为钻井施工过程中钻机和泥浆泵噪声、建设施工过程车辆和机械噪声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井下作业噪声等，对环境的影响是短暂的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运营期声环境影响主要以井场的各类采油树、加热炉设备等噪声为主，对环境的影响周期较长，贯穿于整个生产期。项目区声环境质量较好，</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对声环境有一定影响，属于可接受范围。</w:t>
      </w:r>
    </w:p>
    <w:p w14:paraId="04DD27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4</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水环境影响分析</w:t>
      </w:r>
    </w:p>
    <w:p w14:paraId="1AB194A6">
      <w:pPr>
        <w:pStyle w:val="57"/>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施工期产生的</w:t>
      </w:r>
      <w:r>
        <w:rPr>
          <w:rFonts w:hint="default" w:ascii="Times New Roman" w:hAnsi="Times New Roman" w:cs="Times New Roman"/>
          <w:color w:val="auto"/>
          <w:highlight w:val="none"/>
        </w:rPr>
        <w:t>钻井废水与钻井泥浆、岩屑一同进入不落地系统进行分离处理，分离后的液相拉运至其他钻井回用于钻井液配制，不外排</w:t>
      </w:r>
      <w:r>
        <w:rPr>
          <w:rFonts w:hint="default" w:ascii="Times New Roman" w:hAnsi="Times New Roman" w:cs="Times New Roman"/>
          <w:color w:val="auto"/>
          <w:sz w:val="24"/>
          <w:szCs w:val="24"/>
          <w:highlight w:val="none"/>
        </w:rPr>
        <w:t>，正常情况下，不会对地下水环境产生影响；</w:t>
      </w:r>
      <w:r>
        <w:rPr>
          <w:rFonts w:hint="default" w:ascii="Times New Roman" w:hAnsi="Times New Roman" w:cs="Times New Roman"/>
          <w:color w:val="auto"/>
          <w:highlight w:val="none"/>
        </w:rPr>
        <w:t>酸化压裂返排液</w:t>
      </w:r>
      <w:r>
        <w:rPr>
          <w:rFonts w:hint="default" w:ascii="Times New Roman" w:hAnsi="Times New Roman" w:cs="Times New Roman"/>
          <w:color w:val="auto"/>
          <w:sz w:val="24"/>
          <w:szCs w:val="24"/>
          <w:highlight w:val="none"/>
          <w:lang w:val="en-US" w:eastAsia="zh-CN"/>
        </w:rPr>
        <w:t>排入回收罐中，运至塔河油田绿色环保站处理，处理达标后回注；生活污水经井场撬装式污水处理站处理后，用于生活区、井场及通井路降尘，不外排地表水环境；</w:t>
      </w:r>
      <w:r>
        <w:rPr>
          <w:rFonts w:hint="default" w:ascii="Times New Roman" w:hAnsi="Times New Roman" w:cs="Times New Roman"/>
          <w:color w:val="auto"/>
          <w:highlight w:val="none"/>
        </w:rPr>
        <w:t>管道试压分段进行，试压水排出后进入下一段管线循环使用。试压废水可用作场地降尘用水</w:t>
      </w:r>
      <w:r>
        <w:rPr>
          <w:rFonts w:hint="default" w:ascii="Times New Roman" w:hAnsi="Times New Roman" w:cs="Times New Roman"/>
          <w:color w:val="auto"/>
          <w:sz w:val="24"/>
          <w:szCs w:val="24"/>
          <w:highlight w:val="none"/>
        </w:rPr>
        <w:t>。运营期的采出水依托</w:t>
      </w:r>
      <w:r>
        <w:rPr>
          <w:rFonts w:hint="default" w:ascii="Times New Roman" w:hAnsi="Times New Roman" w:cs="Times New Roman"/>
          <w:color w:val="auto"/>
          <w:highlight w:val="none"/>
        </w:rPr>
        <w:t>塔河油田三号联合站</w:t>
      </w:r>
      <w:r>
        <w:rPr>
          <w:rFonts w:hint="eastAsia" w:cs="Times New Roman"/>
          <w:color w:val="auto"/>
          <w:highlight w:val="none"/>
          <w:lang w:val="en-US" w:eastAsia="zh-CN"/>
        </w:rPr>
        <w:t>采出水</w:t>
      </w:r>
      <w:r>
        <w:rPr>
          <w:rFonts w:hint="default" w:ascii="Times New Roman" w:hAnsi="Times New Roman" w:cs="Times New Roman"/>
          <w:color w:val="auto"/>
          <w:sz w:val="24"/>
          <w:szCs w:val="24"/>
          <w:highlight w:val="none"/>
        </w:rPr>
        <w:t>处理系统处理，达标采出水回注油层，剩余处理能力可满足</w:t>
      </w: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需求。</w:t>
      </w:r>
      <w:r>
        <w:rPr>
          <w:rFonts w:hint="default" w:ascii="Times New Roman" w:hAnsi="Times New Roman" w:eastAsia="宋体" w:cs="Times New Roman"/>
          <w:color w:val="auto"/>
          <w:kern w:val="2"/>
          <w:sz w:val="24"/>
          <w:szCs w:val="20"/>
          <w:highlight w:val="none"/>
          <w:lang w:val="en-US" w:eastAsia="zh-CN" w:bidi="ar"/>
        </w:rPr>
        <w:t>不新增生活污水。</w:t>
      </w:r>
      <w:r>
        <w:rPr>
          <w:rFonts w:hint="default" w:ascii="Times New Roman" w:hAnsi="Times New Roman" w:cs="Times New Roman"/>
          <w:color w:val="auto"/>
          <w:highlight w:val="none"/>
        </w:rPr>
        <w:t>井下作业废水采用专用废水回收罐收集，运至塔河油田绿色环保站处理。</w:t>
      </w:r>
    </w:p>
    <w:p w14:paraId="0C34EA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5</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固体废物影响分析</w:t>
      </w:r>
    </w:p>
    <w:p w14:paraId="4E214CD6">
      <w:pPr>
        <w:pStyle w:val="75"/>
        <w:keepNext w:val="0"/>
        <w:keepLines w:val="0"/>
        <w:pageBreakBefore w:val="0"/>
        <w:kinsoku/>
        <w:wordWrap/>
        <w:overflowPunct/>
        <w:topLinePunct w:val="0"/>
        <w:autoSpaceDE/>
        <w:autoSpaceDN/>
        <w:bidi w:val="0"/>
        <w:adjustRightInd w:val="0"/>
        <w:snapToGrid w:val="0"/>
        <w:spacing w:before="0" w:after="0" w:line="360" w:lineRule="auto"/>
        <w:jc w:val="both"/>
        <w:textAlignment w:val="auto"/>
        <w:rPr>
          <w:rFonts w:hint="default" w:ascii="Times New Roman" w:hAnsi="Times New Roman" w:eastAsia="宋体" w:cs="Times New Roman"/>
          <w:color w:val="auto"/>
          <w:szCs w:val="28"/>
          <w:highlight w:val="none"/>
          <w:lang w:val="en-US" w:eastAsia="zh-CN"/>
        </w:rPr>
      </w:pPr>
      <w:r>
        <w:rPr>
          <w:rFonts w:hint="default" w:ascii="Times New Roman" w:hAnsi="Times New Roman" w:cs="Times New Roman"/>
          <w:color w:val="auto"/>
          <w:szCs w:val="28"/>
          <w:highlight w:val="none"/>
        </w:rPr>
        <w:t>施工期固体废物主要为钻井泥浆、钻井岩屑、施工废料、废机油、废烧碱包装袋、撬装式污水处理站产生污泥以及施工人员生活垃圾等。钻井泥浆结束后回收，由罐车拉走用于下一口钻井使用</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钻井岩屑</w:t>
      </w:r>
      <w:r>
        <w:rPr>
          <w:rFonts w:hint="default" w:ascii="Times New Roman" w:hAnsi="Times New Roman" w:cs="Times New Roman"/>
          <w:color w:val="auto"/>
          <w:szCs w:val="28"/>
          <w:highlight w:val="none"/>
          <w:lang w:val="en-US" w:eastAsia="zh-CN"/>
        </w:rPr>
        <w:t>采用泥浆不落地技术，满足《油气田钻井固体废物综合利用污染控制要求》（DB65/T3997-2017）中综合利用污染物限值要求，同时石油烃满足《土壤环境质量建设用地土壤污染风险管控标准（试行）》（GB36600-2018）中表2第二类用地风险筛选值后，用于铺垫油区内的井场、道路等。施工废料应首先考虑回收利用，不可回收利用部分收集后定期由库车绿能环保科技有限公司清运处置。废机油采用桶装密闭收集，定期由钻井队联系有危险废物经营许可证的单位清运处置。废防渗材料</w:t>
      </w:r>
      <w:r>
        <w:rPr>
          <w:rFonts w:hint="eastAsia" w:cs="Times New Roman"/>
          <w:color w:val="auto"/>
          <w:szCs w:val="28"/>
          <w:highlight w:val="none"/>
          <w:lang w:val="en-US" w:eastAsia="zh-CN"/>
        </w:rPr>
        <w:t>和</w:t>
      </w:r>
      <w:r>
        <w:rPr>
          <w:rFonts w:hint="default" w:ascii="Times New Roman" w:hAnsi="Times New Roman" w:cs="Times New Roman"/>
          <w:color w:val="auto"/>
          <w:szCs w:val="28"/>
          <w:highlight w:val="none"/>
          <w:lang w:val="en-US" w:eastAsia="zh-CN"/>
        </w:rPr>
        <w:t>废烧碱包装袋定期由钻井队联系有危险废物经营许可证的单位清运处置。</w:t>
      </w:r>
      <w:r>
        <w:rPr>
          <w:rFonts w:hint="default" w:ascii="Times New Roman" w:hAnsi="Times New Roman" w:cs="Times New Roman"/>
          <w:color w:val="auto"/>
          <w:szCs w:val="28"/>
          <w:highlight w:val="none"/>
        </w:rPr>
        <w:t>撬装式污水处理站产生污泥</w:t>
      </w:r>
      <w:r>
        <w:rPr>
          <w:rFonts w:hint="default" w:ascii="Times New Roman" w:hAnsi="Times New Roman" w:cs="Times New Roman"/>
          <w:color w:val="auto"/>
          <w:szCs w:val="28"/>
          <w:highlight w:val="none"/>
          <w:lang w:val="en-US" w:eastAsia="zh-CN"/>
        </w:rPr>
        <w:t>和</w:t>
      </w:r>
      <w:r>
        <w:rPr>
          <w:rFonts w:hint="default" w:ascii="Times New Roman" w:hAnsi="Times New Roman" w:cs="Times New Roman"/>
          <w:color w:val="auto"/>
          <w:highlight w:val="none"/>
        </w:rPr>
        <w:t>生活垃圾定期由</w:t>
      </w:r>
      <w:r>
        <w:rPr>
          <w:rFonts w:hint="default" w:ascii="Times New Roman" w:hAnsi="Times New Roman" w:cs="Times New Roman"/>
          <w:color w:val="auto"/>
          <w:highlight w:val="none"/>
          <w:lang w:eastAsia="zh-CN"/>
        </w:rPr>
        <w:t>库车绿能环保科技有限公司清运处置</w:t>
      </w:r>
      <w:r>
        <w:rPr>
          <w:rFonts w:hint="default" w:ascii="Times New Roman" w:hAnsi="Times New Roman" w:cs="Times New Roman"/>
          <w:color w:val="auto"/>
          <w:highlight w:val="none"/>
        </w:rPr>
        <w:t>。</w:t>
      </w:r>
    </w:p>
    <w:p w14:paraId="25E4FD04">
      <w:pPr>
        <w:keepNext w:val="0"/>
        <w:keepLines w:val="0"/>
        <w:pageBreakBefore w:val="0"/>
        <w:kinsoku/>
        <w:wordWrap/>
        <w:overflowPunct/>
        <w:topLinePunct w:val="0"/>
        <w:autoSpaceDE/>
        <w:autoSpaceDN/>
        <w:bidi w:val="0"/>
        <w:adjustRightInd w:val="0"/>
        <w:snapToGrid w:val="0"/>
        <w:spacing w:line="360" w:lineRule="auto"/>
        <w:ind w:firstLine="540" w:firstLineChars="225"/>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运营期固体废物主要为落地油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清管废渣</w:t>
      </w:r>
      <w:r>
        <w:rPr>
          <w:rFonts w:hint="eastAsia" w:cs="Times New Roman"/>
          <w:color w:val="auto"/>
          <w:highlight w:val="none"/>
          <w:lang w:val="en-US" w:eastAsia="zh-CN"/>
        </w:rPr>
        <w:t>废润滑油</w:t>
      </w:r>
      <w:r>
        <w:rPr>
          <w:rFonts w:hint="default" w:ascii="Times New Roman" w:hAnsi="Times New Roman" w:cs="Times New Roman"/>
          <w:color w:val="auto"/>
          <w:highlight w:val="none"/>
        </w:rPr>
        <w:t>和废防渗材料</w:t>
      </w:r>
      <w:r>
        <w:rPr>
          <w:rFonts w:hint="default" w:ascii="Times New Roman" w:hAnsi="Times New Roman" w:cs="Times New Roman"/>
          <w:color w:val="auto"/>
          <w:highlight w:val="none"/>
          <w:lang w:eastAsia="zh-CN"/>
        </w:rPr>
        <w:t>。落地油井下作业时带罐作业，落地油100%回收，</w:t>
      </w:r>
      <w:r>
        <w:rPr>
          <w:rFonts w:hint="default" w:ascii="Times New Roman" w:hAnsi="Times New Roman" w:cs="Times New Roman"/>
          <w:color w:val="auto"/>
          <w:highlight w:val="none"/>
          <w:lang w:val="en-US" w:eastAsia="zh-CN"/>
        </w:rPr>
        <w:t>回收至</w:t>
      </w:r>
      <w:r>
        <w:rPr>
          <w:rFonts w:hint="default" w:ascii="Times New Roman" w:hAnsi="Times New Roman" w:cs="Times New Roman"/>
          <w:color w:val="auto"/>
          <w:highlight w:val="none"/>
          <w:lang w:eastAsia="zh-CN"/>
        </w:rPr>
        <w:t>密闭的专用罐车</w:t>
      </w:r>
      <w:r>
        <w:rPr>
          <w:rFonts w:hint="default" w:ascii="Times New Roman" w:hAnsi="Times New Roman" w:cs="Times New Roman"/>
          <w:color w:val="auto"/>
          <w:highlight w:val="none"/>
          <w:lang w:val="en-US" w:eastAsia="zh-CN"/>
        </w:rPr>
        <w:t>内</w:t>
      </w:r>
      <w:r>
        <w:rPr>
          <w:rFonts w:hint="default" w:ascii="Times New Roman" w:hAnsi="Times New Roman" w:cs="Times New Roman"/>
          <w:color w:val="auto"/>
          <w:highlight w:val="none"/>
          <w:lang w:eastAsia="zh-CN"/>
        </w:rPr>
        <w:t>，进入塔河油田绿色环保站处理。清管废渣由塔河油田绿色环保站进行处理。</w:t>
      </w:r>
      <w:r>
        <w:rPr>
          <w:rFonts w:hint="default" w:ascii="Times New Roman" w:hAnsi="Times New Roman" w:cs="Times New Roman"/>
          <w:color w:val="auto"/>
          <w:highlight w:val="none"/>
        </w:rPr>
        <w:t>废防渗材料集中收集，委托持有危险废物经营许可证的单位接收处置</w:t>
      </w:r>
      <w:r>
        <w:rPr>
          <w:rFonts w:hint="default" w:ascii="Times New Roman" w:hAnsi="Times New Roman" w:cs="Times New Roman"/>
          <w:color w:val="auto"/>
          <w:highlight w:val="none"/>
          <w:lang w:eastAsia="zh-CN"/>
        </w:rPr>
        <w:t>。</w:t>
      </w:r>
      <w:r>
        <w:rPr>
          <w:rFonts w:hint="default" w:ascii="Times New Roman" w:hAnsi="Times New Roman" w:cs="Times New Roman"/>
          <w:snapToGrid w:val="0"/>
          <w:color w:val="auto"/>
          <w:spacing w:val="4"/>
          <w:szCs w:val="22"/>
          <w:highlight w:val="none"/>
          <w:lang w:eastAsia="zh-CN"/>
        </w:rPr>
        <w:t>本项目</w:t>
      </w:r>
      <w:r>
        <w:rPr>
          <w:rFonts w:hint="default" w:ascii="Times New Roman" w:hAnsi="Times New Roman" w:cs="Times New Roman"/>
          <w:snapToGrid w:val="0"/>
          <w:color w:val="auto"/>
          <w:spacing w:val="4"/>
          <w:szCs w:val="22"/>
          <w:highlight w:val="none"/>
        </w:rPr>
        <w:t>产生的危险废物收集、转移、运输过程中按照《危险废物收集贮存运输技术规范》（HJ2025-2012）和《危险废物转移管理办法》要求进行运输、处置，对环境的影响很小</w:t>
      </w:r>
      <w:r>
        <w:rPr>
          <w:rFonts w:hint="default" w:ascii="Times New Roman" w:hAnsi="Times New Roman" w:cs="Times New Roman"/>
          <w:color w:val="auto"/>
          <w:highlight w:val="none"/>
        </w:rPr>
        <w:t>。</w:t>
      </w:r>
    </w:p>
    <w:p w14:paraId="086A36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6</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土壤</w:t>
      </w:r>
      <w:r>
        <w:rPr>
          <w:rFonts w:hint="default" w:ascii="Times New Roman" w:hAnsi="Times New Roman" w:cs="Times New Roman"/>
          <w:color w:val="auto"/>
          <w:kern w:val="0"/>
          <w:sz w:val="24"/>
          <w:highlight w:val="none"/>
        </w:rPr>
        <w:t>环境</w:t>
      </w:r>
      <w:r>
        <w:rPr>
          <w:rFonts w:hint="default" w:ascii="Times New Roman" w:hAnsi="Times New Roman" w:cs="Times New Roman"/>
          <w:color w:val="auto"/>
          <w:kern w:val="0"/>
          <w:sz w:val="24"/>
          <w:highlight w:val="none"/>
          <w:lang w:val="en-US" w:eastAsia="zh-CN"/>
        </w:rPr>
        <w:t>影响</w:t>
      </w:r>
      <w:r>
        <w:rPr>
          <w:rFonts w:hint="default" w:ascii="Times New Roman" w:hAnsi="Times New Roman" w:cs="Times New Roman"/>
          <w:color w:val="auto"/>
          <w:kern w:val="0"/>
          <w:sz w:val="24"/>
          <w:highlight w:val="none"/>
        </w:rPr>
        <w:t>分析</w:t>
      </w:r>
    </w:p>
    <w:p w14:paraId="617C6E50">
      <w:pPr>
        <w:pageBreakBefore w:val="0"/>
        <w:kinsoku/>
        <w:wordWrap/>
        <w:overflowPunct/>
        <w:topLinePunct w:val="0"/>
        <w:autoSpaceDE/>
        <w:autoSpaceDN/>
        <w:bidi w:val="0"/>
        <w:adjustRightInd w:val="0"/>
        <w:snapToGrid w:val="0"/>
        <w:spacing w:line="360" w:lineRule="auto"/>
        <w:ind w:firstLine="540" w:firstLineChars="225"/>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施工期对土壤质量的影响主要为人为扰动、车辆行驶和机械施工、各种废弃物污染影响</w:t>
      </w:r>
      <w:r>
        <w:rPr>
          <w:rFonts w:hint="default" w:ascii="Times New Roman" w:hAnsi="Times New Roman" w:cs="Times New Roman"/>
          <w:color w:val="auto"/>
          <w:highlight w:val="none"/>
          <w:lang w:eastAsia="zh-CN"/>
        </w:rPr>
        <w:t>。施工期对土壤的影响程度轻，影响特征是部分可逆，影响</w:t>
      </w:r>
      <w:r>
        <w:rPr>
          <w:rFonts w:hint="default" w:ascii="Times New Roman" w:hAnsi="Times New Roman" w:eastAsia="宋体" w:cs="Times New Roman"/>
          <w:color w:val="auto"/>
          <w:highlight w:val="none"/>
          <w:lang w:val="en-US" w:eastAsia="zh-CN"/>
        </w:rPr>
        <w:t>时间为短期。</w:t>
      </w:r>
    </w:p>
    <w:p w14:paraId="666E45A5">
      <w:pPr>
        <w:pageBreakBefore w:val="0"/>
        <w:kinsoku/>
        <w:wordWrap/>
        <w:overflowPunct/>
        <w:topLinePunct w:val="0"/>
        <w:autoSpaceDE/>
        <w:autoSpaceDN/>
        <w:bidi w:val="0"/>
        <w:adjustRightInd w:val="0"/>
        <w:snapToGrid w:val="0"/>
        <w:spacing w:line="360" w:lineRule="auto"/>
        <w:ind w:firstLine="540" w:firstLineChars="225"/>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运营期对土壤质量的影响主要为油气输送及处理过程中发生跑冒滴漏，渗入土壤对土壤产生影响。</w:t>
      </w:r>
    </w:p>
    <w:p w14:paraId="672FA9C9">
      <w:pPr>
        <w:pageBreakBefore w:val="0"/>
        <w:kinsoku/>
        <w:wordWrap/>
        <w:overflowPunct/>
        <w:topLinePunct w:val="0"/>
        <w:autoSpaceDE/>
        <w:autoSpaceDN/>
        <w:bidi w:val="0"/>
        <w:adjustRightInd w:val="0"/>
        <w:snapToGrid w:val="0"/>
        <w:spacing w:line="360" w:lineRule="auto"/>
        <w:ind w:firstLine="540" w:firstLineChars="225"/>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highlight w:val="none"/>
        </w:rPr>
        <w:t>正常状况下，</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生产过程中液体物料配置过程中均为全密闭管路连接，不会出现溢出和</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情况，实现可视可控，且在管线上做好标识，如若出现</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等事故情况，可及时发现，及时处理。非正常状况下，管线阀门连接处发生泄漏，泄漏采出液渗入土壤中，对土壤造成污染。</w:t>
      </w:r>
    </w:p>
    <w:p w14:paraId="56CFDE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环境风险分析</w:t>
      </w:r>
    </w:p>
    <w:p w14:paraId="311FA3CA">
      <w:pPr>
        <w:pageBreakBefore w:val="0"/>
        <w:kinsoku/>
        <w:wordWrap/>
        <w:overflowPunct/>
        <w:topLinePunct w:val="0"/>
        <w:autoSpaceDE/>
        <w:autoSpaceDN/>
        <w:bidi w:val="0"/>
        <w:adjustRightInd w:val="0"/>
        <w:snapToGrid w:val="0"/>
        <w:spacing w:line="360" w:lineRule="auto"/>
        <w:ind w:firstLine="480" w:firstLineChars="200"/>
        <w:jc w:val="both"/>
        <w:textAlignment w:val="auto"/>
        <w:rPr>
          <w:rStyle w:val="102"/>
          <w:rFonts w:hint="default" w:ascii="Times New Roman" w:hAnsi="Times New Roman" w:cs="Times New Roman"/>
          <w:color w:val="auto"/>
          <w:highlight w:val="none"/>
        </w:rPr>
      </w:pPr>
      <w:bookmarkStart w:id="775" w:name="_Hlk68080684"/>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所涉及的危险物质包括原油、</w:t>
      </w:r>
      <w:r>
        <w:rPr>
          <w:rFonts w:hint="default" w:ascii="Times New Roman" w:hAnsi="Times New Roman" w:cs="Times New Roman"/>
          <w:color w:val="auto"/>
          <w:highlight w:val="none"/>
          <w:lang w:eastAsia="zh-CN"/>
        </w:rPr>
        <w:t>伴生气</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S，可能发生的风险事故包括</w:t>
      </w:r>
      <w:r>
        <w:rPr>
          <w:rFonts w:hint="default" w:ascii="Times New Roman" w:hAnsi="Times New Roman" w:cs="Times New Roman"/>
          <w:snapToGrid w:val="0"/>
          <w:color w:val="auto"/>
          <w:highlight w:val="none"/>
        </w:rPr>
        <w:t>井喷、井漏、油气管线</w:t>
      </w:r>
      <w:r>
        <w:rPr>
          <w:rFonts w:hint="default" w:ascii="Times New Roman" w:hAnsi="Times New Roman" w:cs="Times New Roman"/>
          <w:snapToGrid w:val="0"/>
          <w:color w:val="auto"/>
          <w:highlight w:val="none"/>
          <w:lang w:eastAsia="zh-CN"/>
        </w:rPr>
        <w:t>泄漏</w:t>
      </w:r>
      <w:r>
        <w:rPr>
          <w:rFonts w:hint="default" w:ascii="Times New Roman" w:hAnsi="Times New Roman" w:cs="Times New Roman"/>
          <w:color w:val="auto"/>
          <w:highlight w:val="none"/>
        </w:rPr>
        <w:t>。</w:t>
      </w:r>
      <w:r>
        <w:rPr>
          <w:rStyle w:val="102"/>
          <w:rFonts w:hint="default" w:ascii="Times New Roman" w:hAnsi="Times New Roman" w:cs="Times New Roman"/>
          <w:color w:val="auto"/>
          <w:highlight w:val="none"/>
        </w:rPr>
        <w:t>原油发生泄漏时，对土壤、植被、水体等会产生一定的影响，发生事故后，在严格落实</w:t>
      </w:r>
      <w:r>
        <w:rPr>
          <w:rStyle w:val="102"/>
          <w:rFonts w:hint="default" w:ascii="Times New Roman" w:hAnsi="Times New Roman" w:cs="Times New Roman"/>
          <w:color w:val="auto"/>
          <w:highlight w:val="none"/>
          <w:lang w:eastAsia="zh-CN"/>
        </w:rPr>
        <w:t>本项目</w:t>
      </w:r>
      <w:r>
        <w:rPr>
          <w:rStyle w:val="102"/>
          <w:rFonts w:hint="default" w:ascii="Times New Roman" w:hAnsi="Times New Roman" w:cs="Times New Roman"/>
          <w:color w:val="auto"/>
          <w:highlight w:val="none"/>
        </w:rPr>
        <w:t>提出的风险防范措施的前提下，可将事故发生概率减少到最低，</w:t>
      </w:r>
      <w:r>
        <w:rPr>
          <w:rStyle w:val="102"/>
          <w:rFonts w:hint="default" w:ascii="Times New Roman" w:hAnsi="Times New Roman" w:cs="Times New Roman"/>
          <w:color w:val="auto"/>
          <w:highlight w:val="none"/>
          <w:lang w:eastAsia="zh-CN"/>
        </w:rPr>
        <w:t>本项目</w:t>
      </w:r>
      <w:r>
        <w:rPr>
          <w:rStyle w:val="102"/>
          <w:rFonts w:hint="default" w:ascii="Times New Roman" w:hAnsi="Times New Roman" w:cs="Times New Roman"/>
          <w:color w:val="auto"/>
          <w:highlight w:val="none"/>
        </w:rPr>
        <w:t>环境风险程度属于可以防控的。</w:t>
      </w:r>
    </w:p>
    <w:bookmarkEnd w:id="775"/>
    <w:p w14:paraId="2ACD91C2">
      <w:pPr>
        <w:pStyle w:val="5"/>
        <w:keepNext/>
        <w:keepLines/>
        <w:pageBreakBefore w:val="0"/>
        <w:widowControl w:val="0"/>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cs="Times New Roman"/>
          <w:color w:val="auto"/>
          <w:highlight w:val="none"/>
        </w:rPr>
      </w:pPr>
      <w:bookmarkStart w:id="776" w:name="_Toc1910"/>
      <w:bookmarkStart w:id="777" w:name="_Toc3770"/>
      <w:bookmarkStart w:id="778" w:name="_Toc28373"/>
      <w:bookmarkStart w:id="779" w:name="_Toc5013"/>
      <w:bookmarkStart w:id="780" w:name="_Toc12833"/>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环境保护措施</w:t>
      </w:r>
      <w:bookmarkEnd w:id="776"/>
      <w:bookmarkEnd w:id="777"/>
      <w:bookmarkEnd w:id="778"/>
      <w:bookmarkEnd w:id="779"/>
      <w:bookmarkEnd w:id="780"/>
    </w:p>
    <w:p w14:paraId="54934F99">
      <w:pPr>
        <w:pStyle w:val="5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本项目</w:t>
      </w:r>
      <w:r>
        <w:rPr>
          <w:rFonts w:hint="default" w:ascii="Times New Roman" w:hAnsi="Times New Roman" w:cs="Times New Roman"/>
          <w:color w:val="auto"/>
          <w:szCs w:val="24"/>
          <w:highlight w:val="none"/>
        </w:rPr>
        <w:t>的主要环境保护措施如下：</w:t>
      </w:r>
    </w:p>
    <w:p w14:paraId="49DDBC16">
      <w:pPr>
        <w:pStyle w:val="5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color w:val="auto"/>
          <w:spacing w:val="4"/>
          <w:kern w:val="24"/>
          <w:highlight w:val="none"/>
        </w:rPr>
      </w:pPr>
      <w:r>
        <w:rPr>
          <w:rFonts w:hint="default" w:ascii="Times New Roman" w:hAnsi="Times New Roman" w:cs="Times New Roman"/>
          <w:color w:val="auto"/>
          <w:spacing w:val="4"/>
          <w:kern w:val="24"/>
          <w:highlight w:val="none"/>
          <w:lang w:eastAsia="zh-CN"/>
        </w:rPr>
        <w:t>（</w:t>
      </w:r>
      <w:r>
        <w:rPr>
          <w:rFonts w:hint="default" w:ascii="Times New Roman" w:hAnsi="Times New Roman" w:cs="Times New Roman"/>
          <w:color w:val="auto"/>
          <w:spacing w:val="4"/>
          <w:kern w:val="24"/>
          <w:highlight w:val="none"/>
        </w:rPr>
        <w:t>1</w:t>
      </w:r>
      <w:r>
        <w:rPr>
          <w:rFonts w:hint="default" w:ascii="Times New Roman" w:hAnsi="Times New Roman" w:cs="Times New Roman"/>
          <w:color w:val="auto"/>
          <w:spacing w:val="4"/>
          <w:kern w:val="24"/>
          <w:highlight w:val="none"/>
          <w:lang w:eastAsia="zh-CN"/>
        </w:rPr>
        <w:t>）</w:t>
      </w:r>
      <w:r>
        <w:rPr>
          <w:rFonts w:hint="default" w:ascii="Times New Roman" w:hAnsi="Times New Roman" w:cs="Times New Roman"/>
          <w:color w:val="auto"/>
          <w:spacing w:val="4"/>
          <w:kern w:val="24"/>
          <w:highlight w:val="none"/>
        </w:rPr>
        <w:t>生态保护措施</w:t>
      </w:r>
    </w:p>
    <w:p w14:paraId="4248E7CA">
      <w:pPr>
        <w:keepNext w:val="0"/>
        <w:keepLines w:val="0"/>
        <w:pageBreakBefore w:val="0"/>
        <w:kinsoku/>
        <w:wordWrap/>
        <w:overflowPunct/>
        <w:topLinePunct w:val="0"/>
        <w:autoSpaceDE/>
        <w:autoSpaceDN/>
        <w:bidi w:val="0"/>
        <w:spacing w:line="360" w:lineRule="auto"/>
        <w:ind w:firstLine="480" w:firstLineChars="200"/>
        <w:jc w:val="both"/>
        <w:textAlignment w:val="auto"/>
        <w:rPr>
          <w:color w:val="auto"/>
          <w:highlight w:val="none"/>
        </w:rPr>
      </w:pPr>
      <w:r>
        <w:rPr>
          <w:color w:val="auto"/>
          <w:highlight w:val="none"/>
        </w:rPr>
        <w:t>严格控制占地面积；占地及补偿应按照地方有关工程征地及补偿要求进行，由相关部门许可后方可开工建设；施工期充分利用现有油田道路，尽可能减少道路临时占地，降低对地表和植被的破坏，施工</w:t>
      </w:r>
      <w:r>
        <w:rPr>
          <w:rFonts w:hint="eastAsia"/>
          <w:color w:val="auto"/>
          <w:highlight w:val="none"/>
          <w:lang w:eastAsia="zh-CN"/>
        </w:rPr>
        <w:t>机械</w:t>
      </w:r>
      <w:r>
        <w:rPr>
          <w:color w:val="auto"/>
          <w:highlight w:val="none"/>
        </w:rPr>
        <w:t>不得在道路以外行驶和作业，保持地表不被扰动，不得随意取弃土；管线施工时应根据地形条件，尽量按地形走向、起伏施工，减少挖填作业量；采取</w:t>
      </w:r>
      <w:r>
        <w:rPr>
          <w:rFonts w:hint="eastAsia"/>
          <w:color w:val="auto"/>
          <w:highlight w:val="none"/>
        </w:rPr>
        <w:t>必要的</w:t>
      </w:r>
      <w:r>
        <w:rPr>
          <w:color w:val="auto"/>
          <w:highlight w:val="none"/>
        </w:rPr>
        <w:t>防沙治沙措施，防止土地沙漠化。施工结束后，及时对临时占地区域进行平整、恢复</w:t>
      </w:r>
      <w:r>
        <w:rPr>
          <w:rFonts w:hint="eastAsia"/>
          <w:color w:val="auto"/>
          <w:highlight w:val="none"/>
        </w:rPr>
        <w:t>原貌。</w:t>
      </w:r>
      <w:r>
        <w:rPr>
          <w:color w:val="auto"/>
          <w:highlight w:val="none"/>
        </w:rPr>
        <w:t>运营期，对于永久占地地面采取砾石覆盖措施，减少风蚀量；在管线上方设置标志，以防附近的各类施工活动对管线的破坏；定时巡查井场、管线等，及时清理落地原油；开展生态环境恢复治理工作；设置“保护生态环境、保护野生动植物”等警示牌。退役期，拆除地面设施、清理井场等，拆除的报废设备和建筑废料等由施工单位运至指定位置进行处理；及时清理作业现场，做到</w:t>
      </w:r>
      <w:r>
        <w:rPr>
          <w:rFonts w:hint="eastAsia"/>
          <w:color w:val="auto"/>
          <w:highlight w:val="none"/>
          <w:lang w:eastAsia="zh-CN"/>
        </w:rPr>
        <w:t>“</w:t>
      </w:r>
      <w:r>
        <w:rPr>
          <w:color w:val="auto"/>
          <w:highlight w:val="none"/>
        </w:rPr>
        <w:t>工完、料尽、场地清</w:t>
      </w:r>
      <w:r>
        <w:rPr>
          <w:rFonts w:hint="eastAsia"/>
          <w:color w:val="auto"/>
          <w:highlight w:val="none"/>
          <w:lang w:eastAsia="zh-CN"/>
        </w:rPr>
        <w:t>”</w:t>
      </w:r>
      <w:r>
        <w:rPr>
          <w:color w:val="auto"/>
          <w:highlight w:val="none"/>
        </w:rPr>
        <w:t>，恢复原有地貌；按规范要求对废弃井采取固井、封井措施。</w:t>
      </w:r>
    </w:p>
    <w:p w14:paraId="1610821D">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大气环境保护措施</w:t>
      </w:r>
    </w:p>
    <w:p w14:paraId="754AD3D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highlight w:val="none"/>
          <w:lang w:eastAsia="zh-CN"/>
        </w:rPr>
        <w:t>施工单位必须加强施工区的规划管理。挖方堆放应定点定位，并采取防尘、抑尘措施（洒水、遮盖等措施）。避免在大风季节施工，尽可能缩短施工时间，提高施</w:t>
      </w:r>
      <w:r>
        <w:rPr>
          <w:rFonts w:hint="default" w:ascii="Times New Roman" w:hAnsi="Times New Roman" w:cs="Times New Roman"/>
          <w:color w:val="auto"/>
          <w:sz w:val="24"/>
          <w:szCs w:val="24"/>
          <w:highlight w:val="none"/>
        </w:rPr>
        <w:t>工效率，减少裸地暴露时间。合理规划、选择最短的运输路线，利用油气田现有公路网络，禁止随意开辟道路，减少车辆行驶动力起尘。</w:t>
      </w:r>
    </w:p>
    <w:p w14:paraId="4EB65B3B">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eastAsia" w:cs="Times New Roman"/>
          <w:color w:val="auto"/>
          <w:highlight w:val="none"/>
          <w:lang w:val="en-US" w:eastAsia="zh-CN"/>
        </w:rPr>
        <w:t>运营期</w:t>
      </w:r>
      <w:r>
        <w:rPr>
          <w:rFonts w:hint="default" w:ascii="Times New Roman" w:hAnsi="Times New Roman" w:cs="Times New Roman"/>
          <w:color w:val="auto"/>
          <w:highlight w:val="none"/>
        </w:rPr>
        <w:t>集输采用密闭流程，采用技术质量可靠的设备、阀门等；定期对各站场的设备、阀门等进行定期的检查、检修，以防止跑、冒、滴、漏的发生。定期对油气集输管线进行巡检，以便及时发现问题，消除事故隐患，防止油气</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进入大气环境。</w:t>
      </w:r>
    </w:p>
    <w:p w14:paraId="492BBC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3</w:t>
      </w: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水环境保护措施</w:t>
      </w:r>
    </w:p>
    <w:p w14:paraId="0E58D22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snapToGrid w:val="0"/>
          <w:color w:val="auto"/>
          <w:sz w:val="24"/>
          <w:szCs w:val="24"/>
          <w:highlight w:val="none"/>
        </w:rPr>
        <w:t>①</w:t>
      </w:r>
      <w:r>
        <w:rPr>
          <w:rFonts w:hint="default" w:ascii="Times New Roman" w:hAnsi="Times New Roman" w:cs="Times New Roman"/>
          <w:color w:val="auto"/>
          <w:highlight w:val="none"/>
        </w:rPr>
        <w:t>废水防治措施</w:t>
      </w:r>
    </w:p>
    <w:p w14:paraId="3C5D9524">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井下作业废水带罐作业，运至塔河绿色环保站处理。采出水依托</w:t>
      </w:r>
      <w:r>
        <w:rPr>
          <w:rFonts w:hint="default" w:ascii="Times New Roman" w:hAnsi="Times New Roman" w:cs="Times New Roman"/>
          <w:color w:val="auto"/>
          <w:highlight w:val="none"/>
          <w:lang w:val="en-US" w:eastAsia="zh-CN"/>
        </w:rPr>
        <w:t>已建塔河油田三号联合站采出水</w:t>
      </w:r>
      <w:r>
        <w:rPr>
          <w:rFonts w:hint="default" w:ascii="Times New Roman" w:hAnsi="Times New Roman" w:cs="Times New Roman"/>
          <w:color w:val="auto"/>
          <w:highlight w:val="none"/>
        </w:rPr>
        <w:t>处理系统处理达标后，回注油层。</w:t>
      </w:r>
    </w:p>
    <w:p w14:paraId="1201293F">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snapToGrid w:val="0"/>
          <w:color w:val="auto"/>
          <w:sz w:val="24"/>
          <w:szCs w:val="24"/>
          <w:highlight w:val="none"/>
        </w:rPr>
        <w:t>②</w:t>
      </w:r>
      <w:r>
        <w:rPr>
          <w:rFonts w:hint="default" w:ascii="Times New Roman" w:hAnsi="Times New Roman" w:cs="Times New Roman"/>
          <w:color w:val="auto"/>
          <w:szCs w:val="28"/>
          <w:highlight w:val="none"/>
        </w:rPr>
        <w:t>地下水环境保护按照“源头控制、分区防控、污染监控、应急响应”原则采取措施。</w:t>
      </w:r>
    </w:p>
    <w:p w14:paraId="66D949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固体废物污染防治措施</w:t>
      </w:r>
    </w:p>
    <w:p w14:paraId="509F2197">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szCs w:val="28"/>
          <w:highlight w:val="none"/>
        </w:rPr>
        <w:t>钻井泥浆结束后回收，由罐车拉走用于下一口钻井使用</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钻井岩屑</w:t>
      </w:r>
      <w:r>
        <w:rPr>
          <w:rFonts w:hint="default" w:ascii="Times New Roman" w:hAnsi="Times New Roman" w:cs="Times New Roman"/>
          <w:color w:val="auto"/>
          <w:szCs w:val="28"/>
          <w:highlight w:val="none"/>
          <w:lang w:val="en-US" w:eastAsia="zh-CN"/>
        </w:rPr>
        <w:t>采用泥浆不落地技术，满足《油气田钻井固体废物综合利用污染控制要求》（DB65/T3997-2017）中综合利用污染物限值要求，同时石油烃满足《土壤环境质量建设用地土壤污染风险管控标准（试行）》（GB36600-2018）中表2第二类用地风险筛选值后，用于铺垫油区内的井场、道路等。施工废料应首先考虑回收利用，不可回收利用部分收集后定期由库车绿能环保科技有限公司清运处置。废机油采用桶装密闭收集，定期由钻井队联系有危险废物经营许可证的单位清运处置。废防渗材料定期由钻井队联系有危险废物经营许可证的单位清运处置。</w:t>
      </w:r>
      <w:r>
        <w:rPr>
          <w:rFonts w:hint="default" w:ascii="Times New Roman" w:hAnsi="Times New Roman" w:cs="Times New Roman"/>
          <w:color w:val="auto"/>
          <w:szCs w:val="28"/>
          <w:highlight w:val="none"/>
        </w:rPr>
        <w:t>撬装式污水处理站产生污泥</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lang w:val="en-US" w:eastAsia="zh-CN"/>
        </w:rPr>
        <w:t>废烧碱包装袋和</w:t>
      </w:r>
      <w:r>
        <w:rPr>
          <w:rFonts w:hint="default" w:ascii="Times New Roman" w:hAnsi="Times New Roman" w:cs="Times New Roman"/>
          <w:color w:val="auto"/>
          <w:highlight w:val="none"/>
        </w:rPr>
        <w:t>生活垃圾定期由</w:t>
      </w:r>
      <w:r>
        <w:rPr>
          <w:rFonts w:hint="default" w:ascii="Times New Roman" w:hAnsi="Times New Roman" w:cs="Times New Roman"/>
          <w:color w:val="auto"/>
          <w:highlight w:val="none"/>
          <w:lang w:eastAsia="zh-CN"/>
        </w:rPr>
        <w:t>库车绿能环保科技有限公司清运处置</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落地油井下作业时带罐作业，落地油100%回收，</w:t>
      </w:r>
      <w:r>
        <w:rPr>
          <w:rFonts w:hint="default" w:ascii="Times New Roman" w:hAnsi="Times New Roman" w:cs="Times New Roman"/>
          <w:color w:val="auto"/>
          <w:highlight w:val="none"/>
          <w:lang w:val="en-US" w:eastAsia="zh-CN"/>
        </w:rPr>
        <w:t>回收至</w:t>
      </w:r>
      <w:r>
        <w:rPr>
          <w:rFonts w:hint="default" w:ascii="Times New Roman" w:hAnsi="Times New Roman" w:cs="Times New Roman"/>
          <w:color w:val="auto"/>
          <w:highlight w:val="none"/>
          <w:lang w:eastAsia="zh-CN"/>
        </w:rPr>
        <w:t>密闭的专用罐车</w:t>
      </w:r>
      <w:r>
        <w:rPr>
          <w:rFonts w:hint="default" w:ascii="Times New Roman" w:hAnsi="Times New Roman" w:cs="Times New Roman"/>
          <w:color w:val="auto"/>
          <w:highlight w:val="none"/>
          <w:lang w:val="en-US" w:eastAsia="zh-CN"/>
        </w:rPr>
        <w:t>内</w:t>
      </w:r>
      <w:r>
        <w:rPr>
          <w:rFonts w:hint="default" w:ascii="Times New Roman" w:hAnsi="Times New Roman" w:cs="Times New Roman"/>
          <w:color w:val="auto"/>
          <w:highlight w:val="none"/>
          <w:lang w:eastAsia="zh-CN"/>
        </w:rPr>
        <w:t>，进入塔河油田绿色环保站处理。清管废渣由塔河油田绿色环保站进行处理。</w:t>
      </w:r>
      <w:r>
        <w:rPr>
          <w:rFonts w:hint="default" w:ascii="Times New Roman" w:hAnsi="Times New Roman" w:cs="Times New Roman"/>
          <w:color w:val="auto"/>
          <w:highlight w:val="none"/>
        </w:rPr>
        <w:t>废防渗材料集中收集，委托持有危险废物经营许可证的单位接收处置</w:t>
      </w:r>
      <w:r>
        <w:rPr>
          <w:rFonts w:hint="default" w:ascii="Times New Roman" w:hAnsi="Times New Roman" w:cs="Times New Roman"/>
          <w:color w:val="auto"/>
          <w:highlight w:val="none"/>
          <w:lang w:eastAsia="zh-CN"/>
        </w:rPr>
        <w:t>。</w:t>
      </w:r>
    </w:p>
    <w:p w14:paraId="21D4D5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5</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噪声污染防治措施</w:t>
      </w:r>
    </w:p>
    <w:p w14:paraId="6547E5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合理安排施工时间，避免长时间使用高噪声设备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在满足施工需要的前提下，尽可能选取噪声低、振动小、能耗小的先进设备。加强施工机械的维护保养，避免由于设备性能差而使机械噪声增大的现象发生。</w:t>
      </w:r>
    </w:p>
    <w:p w14:paraId="78B826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6</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土壤污染防治措施</w:t>
      </w:r>
    </w:p>
    <w:p w14:paraId="072ABA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应严格控制施工期临时占地面积，按设计及规划的施工范围进行施工作业，减少土壤扰动。施工机械及运输车辆应按规定的道路行驶，减少对土壤的碾压，减少碾压造成的土壤紧实度增加及养分流失。施工产生的建筑垃圾不得随意抛洒，应集中收集并及时清运，防止污染物进入土壤环境造成污染。定期检修维护井场压力、流量传感器；定期派人检查井场、井口区、阀组站，防止采出液</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；选用耐腐蚀性能好、抗老化性能、耐热性能好、抗冻性能好、耐磨性能好的管材作为集输管线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巡检车辆严格按照油田巡检路线行驶，不得因乱碾乱压破坏土壤结构。严格执行地下水章节分区防控措施要求。</w:t>
      </w:r>
    </w:p>
    <w:p w14:paraId="39D9CC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7</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环境风险防范措施</w:t>
      </w:r>
    </w:p>
    <w:p w14:paraId="209918E6">
      <w:pPr>
        <w:pageBreakBefore w:val="0"/>
        <w:kinsoku/>
        <w:wordWrap/>
        <w:overflowPunct/>
        <w:topLinePunct w:val="0"/>
        <w:autoSpaceDE/>
        <w:autoSpaceDN/>
        <w:bidi w:val="0"/>
        <w:adjustRightInd w:val="0"/>
        <w:snapToGrid w:val="0"/>
        <w:spacing w:line="360" w:lineRule="auto"/>
        <w:ind w:firstLine="540" w:firstLineChars="225"/>
        <w:jc w:val="both"/>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color w:val="auto"/>
          <w:highlight w:val="none"/>
        </w:rPr>
        <w:t>做好原油、硫化氢、</w:t>
      </w:r>
      <w:r>
        <w:rPr>
          <w:rFonts w:hint="default" w:ascii="Times New Roman" w:hAnsi="Times New Roman" w:cs="Times New Roman"/>
          <w:color w:val="auto"/>
          <w:highlight w:val="none"/>
          <w:lang w:val="en-US" w:eastAsia="zh-CN"/>
        </w:rPr>
        <w:t>天然气</w:t>
      </w:r>
      <w:r>
        <w:rPr>
          <w:rFonts w:hint="default" w:ascii="Times New Roman" w:hAnsi="Times New Roman" w:cs="Times New Roman"/>
          <w:color w:val="auto"/>
          <w:highlight w:val="none"/>
        </w:rPr>
        <w:t>气体泄漏风险防范，制定切实可行、有效的应急预案，加之项目发生事故的概率较低，项目建设环境风险水平是可接受的。</w:t>
      </w:r>
    </w:p>
    <w:p w14:paraId="71214522">
      <w:pPr>
        <w:pStyle w:val="5"/>
        <w:keepNext/>
        <w:keepLines/>
        <w:pageBreakBefore w:val="0"/>
        <w:widowControl w:val="0"/>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cs="Times New Roman"/>
          <w:color w:val="auto"/>
          <w:highlight w:val="none"/>
        </w:rPr>
      </w:pPr>
      <w:bookmarkStart w:id="781" w:name="_Toc24999"/>
      <w:bookmarkStart w:id="782" w:name="_Toc30009"/>
      <w:bookmarkStart w:id="783" w:name="_Toc26477"/>
      <w:bookmarkStart w:id="784" w:name="_Toc25246"/>
      <w:bookmarkStart w:id="785" w:name="_Toc5778"/>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公众参与</w:t>
      </w:r>
      <w:bookmarkEnd w:id="781"/>
      <w:bookmarkEnd w:id="782"/>
      <w:bookmarkEnd w:id="783"/>
      <w:bookmarkEnd w:id="784"/>
      <w:bookmarkEnd w:id="785"/>
    </w:p>
    <w:p w14:paraId="11F0C4B9">
      <w:pPr>
        <w:pStyle w:val="69"/>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snapToGrid w:val="0"/>
          <w:color w:val="auto"/>
          <w:highlight w:val="none"/>
        </w:rPr>
      </w:pPr>
      <w:bookmarkStart w:id="786" w:name="_Hlk33713607"/>
      <w:bookmarkStart w:id="787" w:name="_Hlk521698622"/>
      <w:r>
        <w:rPr>
          <w:rFonts w:hint="default" w:ascii="Times New Roman" w:hAnsi="Times New Roman" w:cs="Times New Roman"/>
          <w:color w:val="auto"/>
          <w:highlight w:val="none"/>
        </w:rPr>
        <w:t>建设单位根据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环境影响评价公众参与办法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的要求，</w:t>
      </w:r>
      <w:r>
        <w:rPr>
          <w:rFonts w:hint="default" w:ascii="Times New Roman" w:hAnsi="Times New Roman" w:cs="Times New Roman"/>
          <w:snapToGrid w:val="0"/>
          <w:color w:val="auto"/>
          <w:highlight w:val="none"/>
        </w:rPr>
        <w:t>采用网络公告、报纸刊登等形式开展公众参与调查，调查期间未收到公众对</w:t>
      </w:r>
      <w:r>
        <w:rPr>
          <w:rFonts w:hint="default" w:ascii="Times New Roman" w:hAnsi="Times New Roman" w:cs="Times New Roman"/>
          <w:snapToGrid w:val="0"/>
          <w:color w:val="auto"/>
          <w:highlight w:val="none"/>
          <w:lang w:eastAsia="zh-CN"/>
        </w:rPr>
        <w:t>本项目</w:t>
      </w:r>
      <w:r>
        <w:rPr>
          <w:rFonts w:hint="default" w:ascii="Times New Roman" w:hAnsi="Times New Roman" w:cs="Times New Roman"/>
          <w:snapToGrid w:val="0"/>
          <w:color w:val="auto"/>
          <w:highlight w:val="none"/>
        </w:rPr>
        <w:t>的相关建议。</w:t>
      </w:r>
    </w:p>
    <w:bookmarkEnd w:id="786"/>
    <w:bookmarkEnd w:id="787"/>
    <w:p w14:paraId="143109E5">
      <w:pPr>
        <w:pStyle w:val="5"/>
        <w:pageBreakBefore w:val="0"/>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cs="Times New Roman"/>
          <w:color w:val="auto"/>
          <w:highlight w:val="none"/>
        </w:rPr>
      </w:pPr>
      <w:bookmarkStart w:id="788" w:name="_Toc24933"/>
      <w:bookmarkStart w:id="789" w:name="_Toc3098"/>
      <w:bookmarkStart w:id="790" w:name="_Toc16241"/>
      <w:bookmarkStart w:id="791" w:name="_Toc489976943"/>
      <w:bookmarkStart w:id="792" w:name="_Toc12842"/>
      <w:bookmarkStart w:id="793" w:name="_Toc15939"/>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环境影响经济损益分析</w:t>
      </w:r>
      <w:bookmarkEnd w:id="788"/>
      <w:bookmarkEnd w:id="789"/>
      <w:bookmarkEnd w:id="790"/>
      <w:bookmarkEnd w:id="791"/>
      <w:bookmarkEnd w:id="792"/>
      <w:bookmarkEnd w:id="793"/>
    </w:p>
    <w:p w14:paraId="7F6C7185">
      <w:pPr>
        <w:pStyle w:val="57"/>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rPr>
      </w:pPr>
      <w:bookmarkStart w:id="794" w:name="_Toc489976944"/>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具有良好的经济效益和社会效益。</w:t>
      </w:r>
    </w:p>
    <w:p w14:paraId="689364DB">
      <w:pPr>
        <w:pStyle w:val="57"/>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在建设过程中，由于地面设施建设、管线敷设等都需要占用一定量的土地，并因此带来一定的环境损失。因而在油田开发过程中，需要投入必要的资金用于污染防治和恢复地貌等，经估算项目</w:t>
      </w:r>
      <w:r>
        <w:rPr>
          <w:rFonts w:hint="default" w:ascii="Times New Roman" w:hAnsi="Times New Roman" w:cs="Times New Roman"/>
          <w:color w:val="auto"/>
          <w:highlight w:val="none"/>
          <w:lang w:val="en-US" w:eastAsia="zh-CN"/>
        </w:rPr>
        <w:t>总投资</w:t>
      </w:r>
      <w:r>
        <w:rPr>
          <w:rFonts w:hint="eastAsia" w:cs="Times New Roman"/>
          <w:color w:val="auto"/>
          <w:highlight w:val="none"/>
          <w:lang w:val="en-US" w:eastAsia="zh-CN"/>
        </w:rPr>
        <w:t>5408</w:t>
      </w:r>
      <w:r>
        <w:rPr>
          <w:rFonts w:hint="default" w:ascii="Times New Roman" w:hAnsi="Times New Roman" w:cs="Times New Roman"/>
          <w:color w:val="auto"/>
          <w:highlight w:val="none"/>
        </w:rPr>
        <w:t>万元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w:t>
      </w:r>
      <w:r>
        <w:rPr>
          <w:rFonts w:hint="default" w:ascii="Times New Roman" w:hAnsi="Times New Roman" w:cs="Times New Roman"/>
          <w:color w:val="auto"/>
          <w:highlight w:val="none"/>
        </w:rPr>
        <w:t>保护投资约</w:t>
      </w:r>
      <w:r>
        <w:rPr>
          <w:rFonts w:hint="eastAsia" w:cs="Times New Roman"/>
          <w:color w:val="auto"/>
          <w:highlight w:val="none"/>
          <w:lang w:val="en-US" w:eastAsia="zh-CN"/>
        </w:rPr>
        <w:t>163</w:t>
      </w:r>
      <w:r>
        <w:rPr>
          <w:rFonts w:hint="default" w:ascii="Times New Roman" w:hAnsi="Times New Roman" w:cs="Times New Roman"/>
          <w:color w:val="auto"/>
          <w:highlight w:val="none"/>
        </w:rPr>
        <w:t>万元，环境保护投资占总投资的</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szCs w:val="24"/>
          <w:highlight w:val="none"/>
        </w:rPr>
        <w:t>实施相应的环保措施后，不但能够起到保护环境的效果，同时节约经济开支，为企业带来经济效益。</w:t>
      </w:r>
    </w:p>
    <w:p w14:paraId="05B24AFE">
      <w:pPr>
        <w:pStyle w:val="5"/>
        <w:pageBreakBefore w:val="0"/>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cs="Times New Roman"/>
          <w:color w:val="auto"/>
          <w:highlight w:val="none"/>
        </w:rPr>
      </w:pPr>
      <w:bookmarkStart w:id="795" w:name="_Toc8859"/>
      <w:bookmarkStart w:id="796" w:name="_Toc13634"/>
      <w:bookmarkStart w:id="797" w:name="_Toc1385"/>
      <w:bookmarkStart w:id="798" w:name="_Toc4841"/>
      <w:bookmarkStart w:id="799" w:name="_Toc19221"/>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环境管理与监测计划</w:t>
      </w:r>
      <w:bookmarkEnd w:id="794"/>
      <w:bookmarkEnd w:id="795"/>
      <w:bookmarkEnd w:id="796"/>
      <w:bookmarkEnd w:id="797"/>
      <w:bookmarkEnd w:id="798"/>
      <w:bookmarkEnd w:id="799"/>
    </w:p>
    <w:p w14:paraId="329D370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auto"/>
          <w:szCs w:val="24"/>
          <w:highlight w:val="none"/>
        </w:rPr>
      </w:pPr>
      <w:bookmarkStart w:id="800" w:name="_Toc479866312"/>
      <w:bookmarkStart w:id="801" w:name="_Toc363155884"/>
      <w:bookmarkStart w:id="802" w:name="_Toc406178556"/>
      <w:bookmarkStart w:id="803" w:name="_Toc489976945"/>
      <w:bookmarkStart w:id="804" w:name="_Toc3607"/>
      <w:r>
        <w:rPr>
          <w:rFonts w:hint="default" w:ascii="Times New Roman" w:hAnsi="Times New Roman" w:cs="Times New Roman"/>
          <w:snapToGrid w:val="0"/>
          <w:color w:val="auto"/>
          <w:szCs w:val="24"/>
          <w:highlight w:val="none"/>
        </w:rPr>
        <w:t>中国石油化工股份有限公司西北油田分公司环境管理机构设置健全，同时拥有完善的管理体系和管理手段。</w:t>
      </w:r>
      <w:r>
        <w:rPr>
          <w:rFonts w:hint="default" w:ascii="Times New Roman" w:hAnsi="Times New Roman" w:cs="Times New Roman"/>
          <w:snapToGrid w:val="0"/>
          <w:color w:val="auto"/>
          <w:szCs w:val="24"/>
          <w:highlight w:val="none"/>
          <w:lang w:eastAsia="zh-CN"/>
        </w:rPr>
        <w:t>本项目</w:t>
      </w:r>
      <w:r>
        <w:rPr>
          <w:rFonts w:hint="default" w:ascii="Times New Roman" w:hAnsi="Times New Roman" w:cs="Times New Roman"/>
          <w:snapToGrid w:val="0"/>
          <w:color w:val="auto"/>
          <w:szCs w:val="24"/>
          <w:highlight w:val="none"/>
        </w:rPr>
        <w:t>制定了施工期环境监理计划、运营期环境监测计划和环保设施竣工验收管理要求，针对工程的不同阶段提出了具体的环境管理要求。</w:t>
      </w:r>
    </w:p>
    <w:p w14:paraId="34E8623E">
      <w:pPr>
        <w:pStyle w:val="5"/>
        <w:pageBreakBefore w:val="0"/>
        <w:tabs>
          <w:tab w:val="left" w:pos="5541"/>
        </w:tabs>
        <w:kinsoku/>
        <w:wordWrap/>
        <w:overflowPunct/>
        <w:topLinePunct w:val="0"/>
        <w:autoSpaceDE/>
        <w:autoSpaceDN/>
        <w:bidi w:val="0"/>
        <w:adjustRightInd w:val="0"/>
        <w:snapToGrid w:val="0"/>
        <w:spacing w:beforeLines="0" w:after="0" w:line="360" w:lineRule="auto"/>
        <w:jc w:val="both"/>
        <w:textAlignment w:val="auto"/>
        <w:rPr>
          <w:rFonts w:hint="eastAsia" w:ascii="Times New Roman" w:hAnsi="Times New Roman" w:eastAsia="宋体" w:cs="Times New Roman"/>
          <w:color w:val="auto"/>
          <w:highlight w:val="none"/>
          <w:lang w:val="en-US" w:eastAsia="zh-CN"/>
        </w:rPr>
      </w:pPr>
      <w:bookmarkStart w:id="805" w:name="_Toc6232"/>
      <w:bookmarkStart w:id="806" w:name="_Toc11684"/>
      <w:bookmarkStart w:id="807" w:name="_Toc7816"/>
      <w:bookmarkStart w:id="808" w:name="_Toc652"/>
      <w:bookmarkStart w:id="809" w:name="_Toc20515"/>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项目可行性结论</w:t>
      </w:r>
      <w:bookmarkEnd w:id="800"/>
      <w:bookmarkEnd w:id="801"/>
      <w:bookmarkEnd w:id="802"/>
      <w:bookmarkEnd w:id="803"/>
      <w:bookmarkEnd w:id="804"/>
      <w:bookmarkEnd w:id="805"/>
      <w:bookmarkEnd w:id="806"/>
      <w:bookmarkEnd w:id="807"/>
      <w:bookmarkEnd w:id="808"/>
      <w:bookmarkEnd w:id="809"/>
      <w:r>
        <w:rPr>
          <w:rFonts w:hint="eastAsia" w:ascii="Times New Roman" w:hAnsi="Times New Roman" w:cs="Times New Roman"/>
          <w:color w:val="auto"/>
          <w:highlight w:val="none"/>
          <w:lang w:val="en-US" w:eastAsia="zh-CN"/>
        </w:rPr>
        <w:tab/>
      </w:r>
    </w:p>
    <w:p w14:paraId="3AD32958">
      <w:pPr>
        <w:pStyle w:val="5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本项目</w:t>
      </w:r>
      <w:r>
        <w:rPr>
          <w:rFonts w:hint="default" w:ascii="Times New Roman" w:hAnsi="Times New Roman" w:cs="Times New Roman"/>
          <w:color w:val="auto"/>
          <w:highlight w:val="none"/>
        </w:rPr>
        <w:t>属于国家产业政策鼓励类项目，项目实施后可取得较大的经济效益和社会效益。尽管在工程建设和运行中，会对周围的环境产生一定的不利影响，并在今后的建设和运行中存在一定的环境风险，但其影响和环境风险是可以接受的。只要建设单位加强环境管理，认真落实本环评报告书中提出的各项污染防治措施、风险防范措施以及生态环境保护和恢复措施，可使</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对环境造成的不利影响降低到最低限度。</w:t>
      </w:r>
    </w:p>
    <w:p w14:paraId="11A20CC2">
      <w:pPr>
        <w:pStyle w:val="9"/>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bidi="ar-SA"/>
        </w:rPr>
        <w:t>因此，报告书认为，本项目建设在环境保护方面可行。</w:t>
      </w:r>
    </w:p>
    <w:sectPr>
      <w:pgSz w:w="11906" w:h="16838"/>
      <w:pgMar w:top="1440" w:right="1689" w:bottom="1440" w:left="1689"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Microsoft Uighur">
    <w:altName w:val="Trebuchet MS"/>
    <w:panose1 w:val="02000000000000000000"/>
    <w:charset w:val="00"/>
    <w:family w:val="auto"/>
    <w:pitch w:val="default"/>
    <w:sig w:usb0="00000000" w:usb1="00000000" w:usb2="00000008" w:usb3="00000000" w:csb0="00000041" w:csb1="00000000"/>
  </w:font>
  <w:font w:name="Trebuchet MS">
    <w:panose1 w:val="020B0603020202020204"/>
    <w:charset w:val="00"/>
    <w:family w:val="auto"/>
    <w:pitch w:val="default"/>
    <w:sig w:usb0="00000687" w:usb1="00000000" w:usb2="00000000" w:usb3="00000000" w:csb0="2000009F" w:csb1="00000000"/>
  </w:font>
  <w:font w:name="TimesNewRomanPSMT">
    <w:altName w:val="Times New Roman"/>
    <w:panose1 w:val="00000000000000000000"/>
    <w:charset w:val="80"/>
    <w:family w:val="auto"/>
    <w:pitch w:val="default"/>
    <w:sig w:usb0="00000000" w:usb1="00000000" w:usb2="00000000" w:usb3="00000000" w:csb0="00020000" w:csb1="00000000"/>
  </w:font>
  <w:font w:name="楷体">
    <w:panose1 w:val="02010609060101010101"/>
    <w:charset w:val="86"/>
    <w:family w:val="modern"/>
    <w:pitch w:val="default"/>
    <w:sig w:usb0="800002BF" w:usb1="38CF7CFA" w:usb2="00000016" w:usb3="00000000" w:csb0="00040001" w:csb1="00000000"/>
  </w:font>
  <w:font w:name="投产">
    <w:altName w:val="宋体"/>
    <w:panose1 w:val="00000000000000000000"/>
    <w:charset w:val="86"/>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41276">
    <w:pPr>
      <w:pBdr>
        <w:top w:val="none" w:color="auto" w:sz="0" w:space="0"/>
        <w:left w:val="none" w:color="auto" w:sz="0" w:space="4"/>
        <w:bottom w:val="none" w:color="auto" w:sz="0" w:space="1"/>
        <w:right w:val="none" w:color="auto" w:sz="0" w:space="4"/>
        <w:between w:val="none" w:color="auto" w:sz="0" w:space="0"/>
      </w:pBdr>
      <w:ind w:right="-23" w:rightChars="0"/>
      <w:jc w:val="center"/>
    </w:pPr>
  </w:p>
  <w:p w14:paraId="1FF24381">
    <w:pPr>
      <w:pBdr>
        <w:top w:val="none" w:color="auto" w:sz="0" w:space="1"/>
        <w:left w:val="none" w:color="auto" w:sz="0" w:space="4"/>
        <w:bottom w:val="none" w:color="auto" w:sz="0" w:space="1"/>
        <w:right w:val="none" w:color="auto" w:sz="0" w:space="4"/>
        <w:between w:val="none" w:color="auto" w:sz="0" w:space="0"/>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544D4">
    <w:pPr>
      <w:spacing w:line="176" w:lineRule="auto"/>
      <w:ind w:left="40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B144B4">
                          <w:pPr>
                            <w:pStyle w:val="21"/>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Us9P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DUs9PeAgAAKAYAAA4AAAAAAAAAAQAgAAAAHwEAAGRycy9lMm9Eb2MueG1sUEsF&#10;BgAAAAAGAAYAWQEAAG8GAAAAAA==&#10;">
              <v:fill on="f" focussize="0,0"/>
              <v:stroke on="f" weight="0.5pt"/>
              <v:imagedata o:title=""/>
              <o:lock v:ext="edit" aspectratio="f"/>
              <v:textbox inset="0mm,0mm,0mm,0mm" style="mso-fit-shape-to-text:t;">
                <w:txbxContent>
                  <w:p w14:paraId="34B144B4">
                    <w:pPr>
                      <w:pStyle w:val="21"/>
                    </w:pPr>
                    <w:r>
                      <w:fldChar w:fldCharType="begin"/>
                    </w:r>
                    <w:r>
                      <w:instrText xml:space="preserve"> PAGE  \* MERGEFORMAT </w:instrText>
                    </w:r>
                    <w:r>
                      <w:fldChar w:fldCharType="separate"/>
                    </w:r>
                    <w:r>
                      <w:t>228</w:t>
                    </w:r>
                    <w:r>
                      <w:fldChar w:fldCharType="end"/>
                    </w:r>
                  </w:p>
                </w:txbxContent>
              </v:textbox>
            </v:shape>
          </w:pict>
        </mc:Fallback>
      </mc:AlternateContent>
    </w:r>
    <w:r>
      <w:rPr>
        <w:rFonts w:ascii="Times New Roman" w:hAnsi="Times New Roman" w:eastAsia="Times New Roman" w:cs="Times New Roman"/>
        <w:spacing w:val="-1"/>
        <w:sz w:val="18"/>
        <w:szCs w:val="18"/>
      </w:rPr>
      <w:t>237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754A3">
    <w:pPr>
      <w:spacing w:line="176" w:lineRule="auto"/>
      <w:ind w:left="40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A1A32E">
                          <w:pPr>
                            <w:pStyle w:val="21"/>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6mBH/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4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6mBH/eAgAAKAYAAA4AAAAAAAAAAQAgAAAAHwEAAGRycy9lMm9Eb2MueG1sUEsF&#10;BgAAAAAGAAYAWQEAAG8GAAAAAA==&#10;">
              <v:fill on="f" focussize="0,0"/>
              <v:stroke on="f" weight="0.5pt"/>
              <v:imagedata o:title=""/>
              <o:lock v:ext="edit" aspectratio="f"/>
              <v:textbox inset="0mm,0mm,0mm,0mm" style="mso-fit-shape-to-text:t;">
                <w:txbxContent>
                  <w:p w14:paraId="28A1A32E">
                    <w:pPr>
                      <w:pStyle w:val="21"/>
                    </w:pPr>
                    <w:r>
                      <w:fldChar w:fldCharType="begin"/>
                    </w:r>
                    <w:r>
                      <w:instrText xml:space="preserve"> PAGE  \* MERGEFORMAT </w:instrText>
                    </w:r>
                    <w:r>
                      <w:fldChar w:fldCharType="separate"/>
                    </w:r>
                    <w:r>
                      <w:t>243</w:t>
                    </w:r>
                    <w:r>
                      <w:fldChar w:fldCharType="end"/>
                    </w:r>
                  </w:p>
                </w:txbxContent>
              </v:textbox>
            </v:shape>
          </w:pict>
        </mc:Fallback>
      </mc:AlternateContent>
    </w:r>
    <w:r>
      <w:rPr>
        <w:rFonts w:ascii="Times New Roman" w:hAnsi="Times New Roman" w:eastAsia="Times New Roman" w:cs="Times New Roman"/>
        <w:spacing w:val="-1"/>
        <w:sz w:val="18"/>
        <w:szCs w:val="18"/>
      </w:rPr>
      <w:t>238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DAA7F">
    <w:pPr>
      <w:pStyle w:val="2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3B6C9">
                          <w:pPr>
                            <w:pStyle w:val="21"/>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4F83B6C9">
                    <w:pPr>
                      <w:pStyle w:val="21"/>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73400">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2B9E0">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70E2B9E0">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4F6DC">
    <w:pPr>
      <w:pStyle w:val="21"/>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B98150">
                          <w:pPr>
                            <w:pStyle w:val="21"/>
                          </w:pPr>
                          <w:r>
                            <w:rPr>
                              <w:rFonts w:hint="eastAsia"/>
                              <w:lang w:val="en-US" w:eastAsia="zh-CN"/>
                            </w:rPr>
                            <w:t>17</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fXyn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nyK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EfXyneAgAAKAYAAA4AAAAAAAAAAQAgAAAAHwEAAGRycy9lMm9Eb2MueG1sUEsF&#10;BgAAAAAGAAYAWQEAAG8GAAAAAA==&#10;">
              <v:fill on="f" focussize="0,0"/>
              <v:stroke on="f" weight="0.5pt"/>
              <v:imagedata o:title=""/>
              <o:lock v:ext="edit" aspectratio="f"/>
              <v:textbox inset="0mm,0mm,0mm,0mm" style="mso-fit-shape-to-text:t;">
                <w:txbxContent>
                  <w:p w14:paraId="4FB98150">
                    <w:pPr>
                      <w:pStyle w:val="21"/>
                    </w:pPr>
                    <w:r>
                      <w:rPr>
                        <w:rFonts w:hint="eastAsia"/>
                        <w:lang w:val="en-US" w:eastAsia="zh-CN"/>
                      </w:rPr>
                      <w:t>17</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E3D0C">
    <w:pPr>
      <w:pStyle w:val="21"/>
    </w:pPr>
    <w:r>
      <w:rPr>
        <w:sz w:val="18"/>
      </w:rPr>
      <mc:AlternateContent>
        <mc:Choice Requires="wps">
          <w:drawing>
            <wp:anchor distT="0" distB="0" distL="114300" distR="114300" simplePos="0" relativeHeight="251705344" behindDoc="0" locked="0" layoutInCell="1" allowOverlap="1">
              <wp:simplePos x="0" y="0"/>
              <wp:positionH relativeFrom="margin">
                <wp:posOffset>2605405</wp:posOffset>
              </wp:positionH>
              <wp:positionV relativeFrom="paragraph">
                <wp:posOffset>-66675</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BE68CF">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5.15pt;margin-top:-5.25pt;height:144pt;width:144pt;mso-position-horizontal-relative:margin;mso-wrap-style:none;z-index:251705344;mso-width-relative:page;mso-height-relative:page;" filled="f" stroked="f" coordsize="21600,21600" o:gfxdata="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j0KGm2AAAAAsBAAAPAAAAAAAAAAEAIAAAACIAAABkcnMvZG93bnJldi54&#10;bWxQSwECFAAUAAAACACHTuJAwo/3B94CAAAoBgAADgAAAAAAAAABACAAAAAnAQAAZHJzL2Uyb0Rv&#10;Yy54bWxQSwUGAAAAAAYABgBZAQAAdwYAAAAA&#10;">
              <v:fill on="f" focussize="0,0"/>
              <v:stroke on="f" weight="0.5pt"/>
              <v:imagedata o:title=""/>
              <o:lock v:ext="edit" aspectratio="f"/>
              <v:textbox inset="0mm,0mm,0mm,0mm" style="mso-fit-shape-to-text:t;">
                <w:txbxContent>
                  <w:p w14:paraId="42BE68CF">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94D9C">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67494D9C">
                    <w:pPr>
                      <w:pStyle w:val="21"/>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65E7">
    <w:pPr>
      <w:spacing w:line="166" w:lineRule="auto"/>
      <w:ind w:left="4105"/>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6860E">
                          <w:pPr>
                            <w:pStyle w:val="2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0376860E">
                    <w:pPr>
                      <w:pStyle w:val="2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0AB27">
    <w:pPr>
      <w:keepNext w:val="0"/>
      <w:keepLines w:val="0"/>
      <w:pageBreakBefore w:val="0"/>
      <w:widowControl/>
      <w:kinsoku/>
      <w:wordWrap/>
      <w:overflowPunct/>
      <w:topLinePunct w:val="0"/>
      <w:bidi w:val="0"/>
      <w:adjustRightInd/>
      <w:snapToGrid/>
      <w:spacing w:line="240" w:lineRule="auto"/>
      <w:ind w:left="4025"/>
      <w:textAlignment w:val="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B5ED91">
                          <w:pPr>
                            <w:pStyle w:val="2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9lBHeAgAAJg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j9lBHeAgAAJgYAAA4AAAAAAAAAAQAgAAAAHwEAAGRycy9lMm9Eb2MueG1sUEsF&#10;BgAAAAAGAAYAWQEAAG8GAAAAAA==&#10;">
              <v:fill on="f" focussize="0,0"/>
              <v:stroke on="f" weight="0.5pt"/>
              <v:imagedata o:title=""/>
              <o:lock v:ext="edit" aspectratio="f"/>
              <v:textbox inset="0mm,0mm,0mm,0mm" style="mso-fit-shape-to-text:t;">
                <w:txbxContent>
                  <w:p w14:paraId="5AB5ED91">
                    <w:pPr>
                      <w:pStyle w:val="21"/>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4"/>
        <w:sz w:val="18"/>
        <w:szCs w:val="18"/>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B2B3C">
    <w:pPr>
      <w:keepNext w:val="0"/>
      <w:keepLines w:val="0"/>
      <w:pageBreakBefore w:val="0"/>
      <w:widowControl/>
      <w:kinsoku/>
      <w:wordWrap/>
      <w:overflowPunct/>
      <w:topLinePunct w:val="0"/>
      <w:bidi w:val="0"/>
      <w:adjustRightInd/>
      <w:snapToGrid/>
      <w:spacing w:line="240" w:lineRule="auto"/>
      <w:ind w:left="4014" w:firstLine="2880" w:firstLineChars="1600"/>
      <w:jc w:val="left"/>
      <w:textAlignment w:val="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93C67B">
                          <w:pPr>
                            <w:pStyle w:val="21"/>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hzbr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9hzbreAgAAKAYAAA4AAAAAAAAAAQAgAAAAHwEAAGRycy9lMm9Eb2MueG1sUEsF&#10;BgAAAAAGAAYAWQEAAG8GAAAAAA==&#10;">
              <v:fill on="f" focussize="0,0"/>
              <v:stroke on="f" weight="0.5pt"/>
              <v:imagedata o:title=""/>
              <o:lock v:ext="edit" aspectratio="f"/>
              <v:textbox inset="0mm,0mm,0mm,0mm" style="mso-fit-shape-to-text:t;">
                <w:txbxContent>
                  <w:p w14:paraId="4093C67B">
                    <w:pPr>
                      <w:pStyle w:val="21"/>
                    </w:pPr>
                    <w:r>
                      <w:fldChar w:fldCharType="begin"/>
                    </w:r>
                    <w:r>
                      <w:instrText xml:space="preserve"> PAGE  \* MERGEFORMAT </w:instrText>
                    </w:r>
                    <w:r>
                      <w:fldChar w:fldCharType="separate"/>
                    </w:r>
                    <w:r>
                      <w:t>122</w:t>
                    </w:r>
                    <w:r>
                      <w:fldChar w:fldCharType="end"/>
                    </w:r>
                  </w:p>
                </w:txbxContent>
              </v:textbox>
            </v:shape>
          </w:pict>
        </mc:Fallback>
      </mc:AlternateContent>
    </w:r>
    <w:r>
      <w:rPr>
        <w:rFonts w:ascii="Times New Roman" w:hAnsi="Times New Roman" w:eastAsia="Times New Roman" w:cs="Times New Roman"/>
        <w:spacing w:val="-7"/>
        <w:sz w:val="18"/>
        <w:szCs w:val="18"/>
      </w:rPr>
      <w:t>154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6F25E">
    <w:pPr>
      <w:pStyle w:val="21"/>
      <w:ind w:firstLine="180" w:firstLineChars="100"/>
      <w:rPr>
        <w:rFonts w:hint="eastAsia"/>
        <w:szCs w:val="18"/>
      </w:rPr>
    </w:pPr>
    <w:bookmarkStart w:id="810" w:name="OLE_LINK405"/>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267335" cy="317500"/>
              <wp:effectExtent l="0" t="0" r="0" b="0"/>
              <wp:wrapNone/>
              <wp:docPr id="254" name="文本框 7"/>
              <wp:cNvGraphicFramePr/>
              <a:graphic xmlns:a="http://schemas.openxmlformats.org/drawingml/2006/main">
                <a:graphicData uri="http://schemas.microsoft.com/office/word/2010/wordprocessingShape">
                  <wps:wsp>
                    <wps:cNvSpPr txBox="1"/>
                    <wps:spPr>
                      <a:xfrm>
                        <a:off x="0" y="0"/>
                        <a:ext cx="267335" cy="317500"/>
                      </a:xfrm>
                      <a:prstGeom prst="rect">
                        <a:avLst/>
                      </a:prstGeom>
                      <a:noFill/>
                      <a:ln>
                        <a:noFill/>
                      </a:ln>
                    </wps:spPr>
                    <wps:txbx>
                      <w:txbxContent>
                        <w:p w14:paraId="2E76BDEF">
                          <w:pPr>
                            <w:pStyle w:val="21"/>
                          </w:pPr>
                          <w:r>
                            <w:fldChar w:fldCharType="begin"/>
                          </w:r>
                          <w:r>
                            <w:instrText xml:space="preserve"> PAGE  \* MERGEFORMAT </w:instrText>
                          </w:r>
                          <w:r>
                            <w:fldChar w:fldCharType="separate"/>
                          </w:r>
                          <w:r>
                            <w:t>174</w:t>
                          </w:r>
                          <w:r>
                            <w:fldChar w:fldCharType="end"/>
                          </w:r>
                        </w:p>
                      </w:txbxContent>
                    </wps:txbx>
                    <wps:bodyPr vert="horz" wrap="square" lIns="0" tIns="0" rIns="0" bIns="0" anchor="t" anchorCtr="0" upright="0">
                      <a:spAutoFit/>
                    </wps:bodyPr>
                  </wps:wsp>
                </a:graphicData>
              </a:graphic>
            </wp:anchor>
          </w:drawing>
        </mc:Choice>
        <mc:Fallback>
          <w:pict>
            <v:shape id="文本框 7" o:spid="_x0000_s1026" o:spt="202" type="#_x0000_t202" style="position:absolute;left:0pt;margin-top:0pt;height:25pt;width:21.05pt;mso-position-horizontal:center;mso-position-horizontal-relative:margin;z-index:251689984;mso-width-relative:page;mso-height-relative:page;" filled="f" stroked="f" coordsize="21600,21600" o:gfxdata="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IZ8HNEAAAADAQAA&#10;DwAAAAAAAAABACAAAAAiAAAAZHJzL2Rvd25yZXYueG1sUEsBAhQAFAAAAAgAh07iQK3FpY/nAQAA&#10;wAMAAA4AAAAAAAAAAQAgAAAAIAEAAGRycy9lMm9Eb2MueG1sUEsFBgAAAAAGAAYAWQEAAHkFAAAA&#10;AA==&#10;">
              <v:fill on="f" focussize="0,0"/>
              <v:stroke on="f"/>
              <v:imagedata o:title=""/>
              <o:lock v:ext="edit" aspectratio="f"/>
              <v:textbox inset="0mm,0mm,0mm,0mm" style="mso-fit-shape-to-text:t;">
                <w:txbxContent>
                  <w:p w14:paraId="2E76BDEF">
                    <w:pPr>
                      <w:pStyle w:val="21"/>
                    </w:pPr>
                    <w:r>
                      <w:fldChar w:fldCharType="begin"/>
                    </w:r>
                    <w:r>
                      <w:instrText xml:space="preserve"> PAGE  \* MERGEFORMAT </w:instrText>
                    </w:r>
                    <w:r>
                      <w:fldChar w:fldCharType="separate"/>
                    </w:r>
                    <w:r>
                      <w:t>174</w:t>
                    </w:r>
                    <w:r>
                      <w:fldChar w:fldCharType="end"/>
                    </w:r>
                  </w:p>
                </w:txbxContent>
              </v:textbox>
            </v:shape>
          </w:pict>
        </mc:Fallback>
      </mc:AlternateContent>
    </w:r>
    <w:r>
      <w:rPr>
        <w:rFonts w:hint="eastAsia"/>
        <w:szCs w:val="18"/>
      </w:rPr>
      <w:t>新疆天合环境技术咨询有限公司</w:t>
    </w:r>
    <w:bookmarkEnd w:id="810"/>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09DEA">
    <w:pPr>
      <w:pStyle w:val="21"/>
      <w:ind w:firstLine="180" w:firstLineChars="100"/>
      <w:rPr>
        <w:rFonts w:hint="eastAsia"/>
        <w:szCs w:val="18"/>
      </w:rPr>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267335" cy="317500"/>
              <wp:effectExtent l="0" t="0" r="0" b="0"/>
              <wp:wrapNone/>
              <wp:docPr id="19" name="文本框 7"/>
              <wp:cNvGraphicFramePr/>
              <a:graphic xmlns:a="http://schemas.openxmlformats.org/drawingml/2006/main">
                <a:graphicData uri="http://schemas.microsoft.com/office/word/2010/wordprocessingShape">
                  <wps:wsp>
                    <wps:cNvSpPr txBox="1"/>
                    <wps:spPr>
                      <a:xfrm>
                        <a:off x="0" y="0"/>
                        <a:ext cx="267335" cy="317500"/>
                      </a:xfrm>
                      <a:prstGeom prst="rect">
                        <a:avLst/>
                      </a:prstGeom>
                      <a:noFill/>
                      <a:ln>
                        <a:noFill/>
                      </a:ln>
                    </wps:spPr>
                    <wps:txbx>
                      <w:txbxContent>
                        <w:p w14:paraId="6A070C96">
                          <w:pPr>
                            <w:pStyle w:val="21"/>
                          </w:pPr>
                          <w:r>
                            <w:fldChar w:fldCharType="begin"/>
                          </w:r>
                          <w:r>
                            <w:instrText xml:space="preserve"> PAGE  \* MERGEFORMAT </w:instrText>
                          </w:r>
                          <w:r>
                            <w:fldChar w:fldCharType="separate"/>
                          </w:r>
                          <w:r>
                            <w:t>174</w:t>
                          </w:r>
                          <w:r>
                            <w:fldChar w:fldCharType="end"/>
                          </w:r>
                        </w:p>
                      </w:txbxContent>
                    </wps:txbx>
                    <wps:bodyPr vert="horz" wrap="square" lIns="0" tIns="0" rIns="0" bIns="0" anchor="t" anchorCtr="0" upright="0">
                      <a:spAutoFit/>
                    </wps:bodyPr>
                  </wps:wsp>
                </a:graphicData>
              </a:graphic>
            </wp:anchor>
          </w:drawing>
        </mc:Choice>
        <mc:Fallback>
          <w:pict>
            <v:shape id="文本框 7" o:spid="_x0000_s1026" o:spt="202" type="#_x0000_t202" style="position:absolute;left:0pt;margin-top:0pt;height:25pt;width:21.05pt;mso-position-horizontal:center;mso-position-horizontal-relative:margin;z-index:251696128;mso-width-relative:page;mso-height-relative:page;" filled="f" stroked="f" coordsize="21600,21600" o:gfxdata="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chnwc0QAAAAMBAAAP&#10;AAAAAAAAAAEAIAAAACIAAABkcnMvZG93bnJldi54bWxQSwECFAAUAAAACACHTuJAwnpsd+YBAAC/&#10;AwAADgAAAAAAAAABACAAAAAgAQAAZHJzL2Uyb0RvYy54bWxQSwUGAAAAAAYABgBZAQAAeAUAAAAA&#10;">
              <v:fill on="f" focussize="0,0"/>
              <v:stroke on="f"/>
              <v:imagedata o:title=""/>
              <o:lock v:ext="edit" aspectratio="f"/>
              <v:textbox inset="0mm,0mm,0mm,0mm" style="mso-fit-shape-to-text:t;">
                <w:txbxContent>
                  <w:p w14:paraId="6A070C96">
                    <w:pPr>
                      <w:pStyle w:val="21"/>
                    </w:pPr>
                    <w:r>
                      <w:fldChar w:fldCharType="begin"/>
                    </w:r>
                    <w:r>
                      <w:instrText xml:space="preserve"> PAGE  \* MERGEFORMAT </w:instrText>
                    </w:r>
                    <w:r>
                      <w:fldChar w:fldCharType="separate"/>
                    </w:r>
                    <w:r>
                      <w:t>174</w:t>
                    </w:r>
                    <w:r>
                      <w:fldChar w:fldCharType="end"/>
                    </w:r>
                  </w:p>
                </w:txbxContent>
              </v:textbox>
            </v:shape>
          </w:pict>
        </mc:Fallback>
      </mc:AlternateContent>
    </w:r>
    <w:r>
      <w:rPr>
        <w:rFonts w:hint="eastAsia"/>
        <w:szCs w:val="18"/>
      </w:rPr>
      <w:t>新疆天合环境技术咨询有限公司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5BFBD">
    <w:pPr>
      <w:rPr>
        <w:rFonts w:hint="eastAsia"/>
        <w:lang w:eastAsia="zh-CN"/>
      </w:rPr>
    </w:pPr>
    <w:r>
      <w:rPr>
        <w:rFonts w:hint="eastAsia"/>
        <w:lang w:eastAsia="zh-CN"/>
      </w:rPr>
      <w:tab/>
    </w:r>
    <w:r>
      <w:rPr>
        <w:rFonts w:hint="eastAsia"/>
        <w:lang w:eastAsia="zh-C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9EE58">
    <w:pPr>
      <w:pStyle w:val="22"/>
      <w:pBdr>
        <w:bottom w:val="single" w:color="auto" w:sz="4" w:space="1"/>
      </w:pBdr>
      <w:jc w:val="center"/>
      <w:rPr>
        <w:rFonts w:ascii="宋体" w:hAnsi="宋体" w:eastAsia="宋体" w:cs="宋体"/>
        <w:sz w:val="18"/>
        <w:szCs w:val="18"/>
      </w:rP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8AB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9DDEB">
    <w:pPr>
      <w:pBdr>
        <w:bottom w:val="single" w:color="auto" w:sz="4" w:space="0"/>
      </w:pBd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p w14:paraId="60ED5F57">
    <w:pPr>
      <w:pStyle w:val="22"/>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1E0DB">
    <w:pPr>
      <w:pBdr>
        <w:bottom w:val="single" w:color="auto" w:sz="4" w:space="0"/>
      </w:pBd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p w14:paraId="447E38FD">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86A70">
    <w:pPr>
      <w:pBdr>
        <w:bottom w:val="single" w:color="auto" w:sz="4" w:space="0"/>
      </w:pBd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p w14:paraId="5081B2C9">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2EB35">
    <w:pPr>
      <w:pBdr>
        <w:bottom w:val="single" w:color="auto" w:sz="4" w:space="0"/>
      </w:pBd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p w14:paraId="4A6A3B7C">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5719">
    <w:pPr>
      <w:pBdr>
        <w:bottom w:val="single" w:color="auto" w:sz="4" w:space="0"/>
      </w:pBdr>
      <w:jc w:val="cente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EB16E">
    <w:pPr>
      <w:pBdr>
        <w:bottom w:val="single" w:color="auto" w:sz="4" w:space="0"/>
      </w:pBdr>
      <w:jc w:val="center"/>
      <w:rPr>
        <w:sz w:val="21"/>
        <w:szCs w:val="21"/>
      </w:rP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p w14:paraId="7968B7DE">
    <w:pPr>
      <w:pStyle w:val="22"/>
      <w:rPr>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A9A0">
    <w:pPr>
      <w:pStyle w:val="22"/>
      <w:pBdr>
        <w:bottom w:val="single" w:color="auto" w:sz="4" w:space="1"/>
      </w:pBdr>
      <w:jc w:val="cente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269B">
    <w:pPr>
      <w:pStyle w:val="22"/>
      <w:pBdr>
        <w:bottom w:val="single" w:color="auto" w:sz="4" w:space="1"/>
      </w:pBdr>
      <w:jc w:val="cente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p w14:paraId="2DF3517E">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363C9">
    <w:pPr>
      <w:pStyle w:val="22"/>
      <w:pBdr>
        <w:bottom w:val="single" w:color="auto" w:sz="4" w:space="1"/>
      </w:pBdr>
      <w:jc w:val="cente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p w14:paraId="1558B2C4">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6284">
    <w:pPr>
      <w:keepNext w:val="0"/>
      <w:keepLines w:val="0"/>
      <w:pageBreakBefore w:val="0"/>
      <w:widowControl/>
      <w:pBdr>
        <w:bottom w:val="single" w:color="auto" w:sz="4" w:space="0"/>
      </w:pBdr>
      <w:tabs>
        <w:tab w:val="left" w:pos="1743"/>
      </w:tabs>
      <w:kinsoku/>
      <w:wordWrap/>
      <w:overflowPunct/>
      <w:topLinePunct w:val="0"/>
      <w:bidi w:val="0"/>
      <w:adjustRightInd/>
      <w:snapToGrid/>
      <w:spacing w:line="240" w:lineRule="auto"/>
      <w:ind w:left="11"/>
      <w:jc w:val="center"/>
      <w:textAlignment w:val="auto"/>
      <w:rPr>
        <w:rFonts w:ascii="宋体" w:hAnsi="宋体" w:eastAsia="宋体" w:cs="宋体"/>
        <w:sz w:val="18"/>
        <w:szCs w:val="18"/>
      </w:rPr>
    </w:pPr>
    <w:r>
      <w:rPr>
        <w:rFonts w:hint="eastAsia" w:cs="Times New Roman"/>
        <w:sz w:val="21"/>
        <w:szCs w:val="21"/>
        <w:lang w:val="en-US" w:eastAsia="zh-CN"/>
      </w:rPr>
      <w:t>采油三厂2025年第二期短半径</w:t>
    </w:r>
    <w:r>
      <w:rPr>
        <w:rFonts w:hint="eastAsia" w:ascii="Times New Roman" w:hAnsi="Times New Roman" w:cs="Times New Roman"/>
        <w:sz w:val="21"/>
        <w:szCs w:val="21"/>
      </w:rPr>
      <w:t>侧钻项目</w:t>
    </w:r>
    <w:r>
      <w:rPr>
        <w:rFonts w:hint="eastAsia" w:ascii="Times New Roman" w:hAnsi="Times New Roman" w:cs="Times New Roman"/>
        <w:sz w:val="21"/>
        <w:szCs w:val="21"/>
        <w:lang w:val="en-US" w:eastAsia="zh-CN"/>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B067EE"/>
    <w:multiLevelType w:val="singleLevel"/>
    <w:tmpl w:val="90B067EE"/>
    <w:lvl w:ilvl="0" w:tentative="0">
      <w:start w:val="2"/>
      <w:numFmt w:val="decimal"/>
      <w:suff w:val="nothing"/>
      <w:lvlText w:val="（%1）"/>
      <w:lvlJc w:val="left"/>
    </w:lvl>
  </w:abstractNum>
  <w:abstractNum w:abstractNumId="1">
    <w:nsid w:val="942B592D"/>
    <w:multiLevelType w:val="singleLevel"/>
    <w:tmpl w:val="942B592D"/>
    <w:lvl w:ilvl="0" w:tentative="0">
      <w:start w:val="2"/>
      <w:numFmt w:val="chineseCounting"/>
      <w:suff w:val="nothing"/>
      <w:lvlText w:val="（%1）"/>
      <w:lvlJc w:val="left"/>
      <w:rPr>
        <w:rFonts w:hint="eastAsia"/>
      </w:rPr>
    </w:lvl>
  </w:abstractNum>
  <w:abstractNum w:abstractNumId="2">
    <w:nsid w:val="B08B8BA9"/>
    <w:multiLevelType w:val="singleLevel"/>
    <w:tmpl w:val="B08B8BA9"/>
    <w:lvl w:ilvl="0" w:tentative="0">
      <w:start w:val="9"/>
      <w:numFmt w:val="decimal"/>
      <w:lvlText w:val="%1."/>
      <w:lvlJc w:val="left"/>
      <w:pPr>
        <w:tabs>
          <w:tab w:val="left" w:pos="312"/>
        </w:tabs>
      </w:pPr>
    </w:lvl>
  </w:abstractNum>
  <w:abstractNum w:abstractNumId="3">
    <w:nsid w:val="C091C601"/>
    <w:multiLevelType w:val="singleLevel"/>
    <w:tmpl w:val="C091C601"/>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4">
    <w:nsid w:val="D66BC13C"/>
    <w:multiLevelType w:val="singleLevel"/>
    <w:tmpl w:val="D66BC13C"/>
    <w:lvl w:ilvl="0" w:tentative="0">
      <w:start w:val="1"/>
      <w:numFmt w:val="decimal"/>
      <w:suff w:val="nothing"/>
      <w:lvlText w:val="（%1）"/>
      <w:lvlJc w:val="left"/>
    </w:lvl>
  </w:abstractNum>
  <w:abstractNum w:abstractNumId="5">
    <w:nsid w:val="FB067B35"/>
    <w:multiLevelType w:val="singleLevel"/>
    <w:tmpl w:val="FB067B35"/>
    <w:lvl w:ilvl="0" w:tentative="0">
      <w:start w:val="6"/>
      <w:numFmt w:val="decimal"/>
      <w:suff w:val="nothing"/>
      <w:lvlText w:val="（%1）"/>
      <w:lvlJc w:val="left"/>
    </w:lvl>
  </w:abstractNum>
  <w:abstractNum w:abstractNumId="6">
    <w:nsid w:val="FE1DC34E"/>
    <w:multiLevelType w:val="singleLevel"/>
    <w:tmpl w:val="FE1DC34E"/>
    <w:lvl w:ilvl="0" w:tentative="0">
      <w:start w:val="1"/>
      <w:numFmt w:val="decimal"/>
      <w:suff w:val="nothing"/>
      <w:lvlText w:val="（%1）"/>
      <w:lvlJc w:val="left"/>
    </w:lvl>
  </w:abstractNum>
  <w:abstractNum w:abstractNumId="7">
    <w:nsid w:val="FE9CF32C"/>
    <w:multiLevelType w:val="singleLevel"/>
    <w:tmpl w:val="FE9CF32C"/>
    <w:lvl w:ilvl="0" w:tentative="0">
      <w:start w:val="2"/>
      <w:numFmt w:val="decimal"/>
      <w:suff w:val="nothing"/>
      <w:lvlText w:val="（%1）"/>
      <w:lvlJc w:val="left"/>
    </w:lvl>
  </w:abstractNum>
  <w:abstractNum w:abstractNumId="8">
    <w:nsid w:val="2243C01C"/>
    <w:multiLevelType w:val="singleLevel"/>
    <w:tmpl w:val="2243C01C"/>
    <w:lvl w:ilvl="0" w:tentative="0">
      <w:start w:val="1"/>
      <w:numFmt w:val="decimal"/>
      <w:suff w:val="nothing"/>
      <w:lvlText w:val="（%1）"/>
      <w:lvlJc w:val="left"/>
    </w:lvl>
  </w:abstractNum>
  <w:abstractNum w:abstractNumId="9">
    <w:nsid w:val="364F7480"/>
    <w:multiLevelType w:val="singleLevel"/>
    <w:tmpl w:val="364F7480"/>
    <w:lvl w:ilvl="0" w:tentative="0">
      <w:start w:val="4"/>
      <w:numFmt w:val="upperLetter"/>
      <w:suff w:val="nothing"/>
      <w:lvlText w:val="%1、"/>
      <w:lvlJc w:val="left"/>
    </w:lvl>
  </w:abstractNum>
  <w:abstractNum w:abstractNumId="10">
    <w:nsid w:val="3900CF68"/>
    <w:multiLevelType w:val="singleLevel"/>
    <w:tmpl w:val="3900CF68"/>
    <w:lvl w:ilvl="0" w:tentative="0">
      <w:start w:val="1"/>
      <w:numFmt w:val="decimal"/>
      <w:suff w:val="nothing"/>
      <w:lvlText w:val="（%1）"/>
      <w:lvlJc w:val="left"/>
    </w:lvl>
  </w:abstractNum>
  <w:abstractNum w:abstractNumId="11">
    <w:nsid w:val="58870CFA"/>
    <w:multiLevelType w:val="singleLevel"/>
    <w:tmpl w:val="58870CFA"/>
    <w:lvl w:ilvl="0" w:tentative="0">
      <w:start w:val="1"/>
      <w:numFmt w:val="decimal"/>
      <w:suff w:val="nothing"/>
      <w:lvlText w:val="（%1）"/>
      <w:lvlJc w:val="left"/>
    </w:lvl>
  </w:abstractNum>
  <w:abstractNum w:abstractNumId="12">
    <w:nsid w:val="6543806B"/>
    <w:multiLevelType w:val="singleLevel"/>
    <w:tmpl w:val="6543806B"/>
    <w:lvl w:ilvl="0" w:tentative="0">
      <w:start w:val="1"/>
      <w:numFmt w:val="decimal"/>
      <w:suff w:val="nothing"/>
      <w:lvlText w:val="（%1）"/>
      <w:lvlJc w:val="left"/>
    </w:lvl>
  </w:abstractNum>
  <w:num w:numId="1">
    <w:abstractNumId w:val="3"/>
  </w:num>
  <w:num w:numId="2">
    <w:abstractNumId w:val="7"/>
  </w:num>
  <w:num w:numId="3">
    <w:abstractNumId w:val="4"/>
  </w:num>
  <w:num w:numId="4">
    <w:abstractNumId w:val="10"/>
  </w:num>
  <w:num w:numId="5">
    <w:abstractNumId w:val="8"/>
  </w:num>
  <w:num w:numId="6">
    <w:abstractNumId w:val="0"/>
  </w:num>
  <w:num w:numId="7">
    <w:abstractNumId w:val="1"/>
  </w:num>
  <w:num w:numId="8">
    <w:abstractNumId w:val="9"/>
  </w:num>
  <w:num w:numId="9">
    <w:abstractNumId w:val="12"/>
  </w:num>
  <w:num w:numId="10">
    <w:abstractNumId w:val="6"/>
  </w:num>
  <w:num w:numId="11">
    <w:abstractNumId w:val="5"/>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lZjllYzJkODZmOTdmYTE3YjhhZDMwZDI3ZWEyNmIifQ=="/>
    <w:docVar w:name="KSO_WPS_MARK_KEY" w:val="daf89b5b-8dac-4b03-917e-a97615ee325a"/>
  </w:docVars>
  <w:rsids>
    <w:rsidRoot w:val="528E7FE7"/>
    <w:rsid w:val="002248D2"/>
    <w:rsid w:val="0030434A"/>
    <w:rsid w:val="0045657D"/>
    <w:rsid w:val="005C6ADC"/>
    <w:rsid w:val="005F7CBD"/>
    <w:rsid w:val="00612345"/>
    <w:rsid w:val="00771B68"/>
    <w:rsid w:val="00805230"/>
    <w:rsid w:val="00846033"/>
    <w:rsid w:val="008D407E"/>
    <w:rsid w:val="008D5D67"/>
    <w:rsid w:val="00900EBC"/>
    <w:rsid w:val="00962A0C"/>
    <w:rsid w:val="009C15CF"/>
    <w:rsid w:val="00AB7A64"/>
    <w:rsid w:val="00AC1A10"/>
    <w:rsid w:val="00BC57CD"/>
    <w:rsid w:val="00CA7EEA"/>
    <w:rsid w:val="00D64AE1"/>
    <w:rsid w:val="00E271E0"/>
    <w:rsid w:val="00F30DA6"/>
    <w:rsid w:val="00F705B3"/>
    <w:rsid w:val="00F74A57"/>
    <w:rsid w:val="00FF56BA"/>
    <w:rsid w:val="011E1FE4"/>
    <w:rsid w:val="01210189"/>
    <w:rsid w:val="01227D26"/>
    <w:rsid w:val="01396E1E"/>
    <w:rsid w:val="013B2394"/>
    <w:rsid w:val="015C2B0C"/>
    <w:rsid w:val="015C48BA"/>
    <w:rsid w:val="015E4AD6"/>
    <w:rsid w:val="016C0FA1"/>
    <w:rsid w:val="019D23A3"/>
    <w:rsid w:val="01B464A4"/>
    <w:rsid w:val="01C42B8B"/>
    <w:rsid w:val="01E165B1"/>
    <w:rsid w:val="01E66FA5"/>
    <w:rsid w:val="020531A4"/>
    <w:rsid w:val="02355837"/>
    <w:rsid w:val="02375428"/>
    <w:rsid w:val="023D293E"/>
    <w:rsid w:val="024261A6"/>
    <w:rsid w:val="02535CBD"/>
    <w:rsid w:val="02702D13"/>
    <w:rsid w:val="02781BC8"/>
    <w:rsid w:val="029167E5"/>
    <w:rsid w:val="02A97FBA"/>
    <w:rsid w:val="02AA5749"/>
    <w:rsid w:val="02B40E52"/>
    <w:rsid w:val="02BC1AB4"/>
    <w:rsid w:val="02C866AB"/>
    <w:rsid w:val="02D20744"/>
    <w:rsid w:val="02D52B76"/>
    <w:rsid w:val="02FA082F"/>
    <w:rsid w:val="03031491"/>
    <w:rsid w:val="030752FD"/>
    <w:rsid w:val="03200295"/>
    <w:rsid w:val="03231B33"/>
    <w:rsid w:val="032A2EC2"/>
    <w:rsid w:val="03373831"/>
    <w:rsid w:val="0361265C"/>
    <w:rsid w:val="03733B76"/>
    <w:rsid w:val="038D3451"/>
    <w:rsid w:val="039478B1"/>
    <w:rsid w:val="039C5442"/>
    <w:rsid w:val="03AA5DB1"/>
    <w:rsid w:val="03AE3AF3"/>
    <w:rsid w:val="03AF786B"/>
    <w:rsid w:val="03BA1643"/>
    <w:rsid w:val="03CB3826"/>
    <w:rsid w:val="03CC3F79"/>
    <w:rsid w:val="03CF5817"/>
    <w:rsid w:val="03ED2C78"/>
    <w:rsid w:val="041B6CAE"/>
    <w:rsid w:val="041C68F7"/>
    <w:rsid w:val="043F0BEF"/>
    <w:rsid w:val="04506958"/>
    <w:rsid w:val="047274EA"/>
    <w:rsid w:val="047C599F"/>
    <w:rsid w:val="04874344"/>
    <w:rsid w:val="04983177"/>
    <w:rsid w:val="04A15EE5"/>
    <w:rsid w:val="04B862AB"/>
    <w:rsid w:val="04C9495C"/>
    <w:rsid w:val="04C97379"/>
    <w:rsid w:val="04F27804"/>
    <w:rsid w:val="050E718A"/>
    <w:rsid w:val="052057FB"/>
    <w:rsid w:val="054144F3"/>
    <w:rsid w:val="054B2562"/>
    <w:rsid w:val="054B5371"/>
    <w:rsid w:val="05600E1D"/>
    <w:rsid w:val="05665D07"/>
    <w:rsid w:val="056D2880"/>
    <w:rsid w:val="05726DA2"/>
    <w:rsid w:val="057331F1"/>
    <w:rsid w:val="058058AC"/>
    <w:rsid w:val="059646F9"/>
    <w:rsid w:val="05A0746B"/>
    <w:rsid w:val="05A702D9"/>
    <w:rsid w:val="05CD5D86"/>
    <w:rsid w:val="06021ED4"/>
    <w:rsid w:val="060A4754"/>
    <w:rsid w:val="062005AC"/>
    <w:rsid w:val="062956B3"/>
    <w:rsid w:val="06451DC1"/>
    <w:rsid w:val="065564A8"/>
    <w:rsid w:val="06652463"/>
    <w:rsid w:val="067A5F0E"/>
    <w:rsid w:val="06A0349B"/>
    <w:rsid w:val="06B70F10"/>
    <w:rsid w:val="06D2293F"/>
    <w:rsid w:val="06DF0467"/>
    <w:rsid w:val="06F25BEB"/>
    <w:rsid w:val="06FB4969"/>
    <w:rsid w:val="07247FD2"/>
    <w:rsid w:val="07267E44"/>
    <w:rsid w:val="07287718"/>
    <w:rsid w:val="072E0AA7"/>
    <w:rsid w:val="0733783D"/>
    <w:rsid w:val="074327A4"/>
    <w:rsid w:val="07464042"/>
    <w:rsid w:val="074D53D1"/>
    <w:rsid w:val="076369A2"/>
    <w:rsid w:val="07852DBD"/>
    <w:rsid w:val="079C7563"/>
    <w:rsid w:val="07C80EFB"/>
    <w:rsid w:val="07E04497"/>
    <w:rsid w:val="07E95755"/>
    <w:rsid w:val="07F67816"/>
    <w:rsid w:val="08031F33"/>
    <w:rsid w:val="080A32C2"/>
    <w:rsid w:val="08297BEC"/>
    <w:rsid w:val="08420CAE"/>
    <w:rsid w:val="08431BCD"/>
    <w:rsid w:val="08471E20"/>
    <w:rsid w:val="084F773B"/>
    <w:rsid w:val="08564759"/>
    <w:rsid w:val="086230FE"/>
    <w:rsid w:val="08687FE8"/>
    <w:rsid w:val="08A20CDA"/>
    <w:rsid w:val="08AC0CBC"/>
    <w:rsid w:val="08CE609D"/>
    <w:rsid w:val="090146C5"/>
    <w:rsid w:val="0913264A"/>
    <w:rsid w:val="091927F9"/>
    <w:rsid w:val="091F4B4B"/>
    <w:rsid w:val="095C1EF7"/>
    <w:rsid w:val="096E162E"/>
    <w:rsid w:val="09880215"/>
    <w:rsid w:val="09970B85"/>
    <w:rsid w:val="09A03EDE"/>
    <w:rsid w:val="09A514F4"/>
    <w:rsid w:val="09AA18C7"/>
    <w:rsid w:val="09C556F2"/>
    <w:rsid w:val="09ED2E9B"/>
    <w:rsid w:val="09FE0C04"/>
    <w:rsid w:val="0A00497C"/>
    <w:rsid w:val="0A1C108A"/>
    <w:rsid w:val="0A334D52"/>
    <w:rsid w:val="0A391C3C"/>
    <w:rsid w:val="0A3B7763"/>
    <w:rsid w:val="0A581336"/>
    <w:rsid w:val="0A717FA9"/>
    <w:rsid w:val="0A782765"/>
    <w:rsid w:val="0A876E4C"/>
    <w:rsid w:val="0A9C5E04"/>
    <w:rsid w:val="0AB37BE1"/>
    <w:rsid w:val="0AB94B2B"/>
    <w:rsid w:val="0AC92FC0"/>
    <w:rsid w:val="0ADA51CD"/>
    <w:rsid w:val="0ADF0A36"/>
    <w:rsid w:val="0AE27405"/>
    <w:rsid w:val="0AF37283"/>
    <w:rsid w:val="0AF53DB5"/>
    <w:rsid w:val="0B100BEF"/>
    <w:rsid w:val="0B106E41"/>
    <w:rsid w:val="0B1F1979"/>
    <w:rsid w:val="0B270E55"/>
    <w:rsid w:val="0B2865F1"/>
    <w:rsid w:val="0B3B6861"/>
    <w:rsid w:val="0B4340AA"/>
    <w:rsid w:val="0B470389"/>
    <w:rsid w:val="0B5C1325"/>
    <w:rsid w:val="0B9F1F73"/>
    <w:rsid w:val="0BA47589"/>
    <w:rsid w:val="0BA53A2D"/>
    <w:rsid w:val="0BAB0E00"/>
    <w:rsid w:val="0BAD4690"/>
    <w:rsid w:val="0BB04180"/>
    <w:rsid w:val="0BBE064B"/>
    <w:rsid w:val="0BC11EE9"/>
    <w:rsid w:val="0BE37780"/>
    <w:rsid w:val="0BEE5F55"/>
    <w:rsid w:val="0BF26547"/>
    <w:rsid w:val="0C05627A"/>
    <w:rsid w:val="0C1C1816"/>
    <w:rsid w:val="0C5235CE"/>
    <w:rsid w:val="0C61547A"/>
    <w:rsid w:val="0C6A07D3"/>
    <w:rsid w:val="0C8353F1"/>
    <w:rsid w:val="0C932092"/>
    <w:rsid w:val="0CD45C4C"/>
    <w:rsid w:val="0CE75980"/>
    <w:rsid w:val="0CEC2F96"/>
    <w:rsid w:val="0CEE52F6"/>
    <w:rsid w:val="0D0C3638"/>
    <w:rsid w:val="0D42705A"/>
    <w:rsid w:val="0D435B36"/>
    <w:rsid w:val="0D4C1C87"/>
    <w:rsid w:val="0D5A0848"/>
    <w:rsid w:val="0D6B035F"/>
    <w:rsid w:val="0D755681"/>
    <w:rsid w:val="0D7C256C"/>
    <w:rsid w:val="0D821B4C"/>
    <w:rsid w:val="0D8853B5"/>
    <w:rsid w:val="0D8B27AF"/>
    <w:rsid w:val="0DAD6BC9"/>
    <w:rsid w:val="0DC363ED"/>
    <w:rsid w:val="0DE84712"/>
    <w:rsid w:val="0DEB76F2"/>
    <w:rsid w:val="0DEE2D3E"/>
    <w:rsid w:val="0DF2282E"/>
    <w:rsid w:val="0DF91E0E"/>
    <w:rsid w:val="0E0A5DCA"/>
    <w:rsid w:val="0E19425F"/>
    <w:rsid w:val="0E1C3D4F"/>
    <w:rsid w:val="0E395ED5"/>
    <w:rsid w:val="0E4532A6"/>
    <w:rsid w:val="0E48160C"/>
    <w:rsid w:val="0E71409B"/>
    <w:rsid w:val="0EA1194A"/>
    <w:rsid w:val="0EA5458E"/>
    <w:rsid w:val="0EAA3109"/>
    <w:rsid w:val="0ED71A24"/>
    <w:rsid w:val="0EFD76DC"/>
    <w:rsid w:val="0F0930A5"/>
    <w:rsid w:val="0F2509E1"/>
    <w:rsid w:val="0F2C5B85"/>
    <w:rsid w:val="0F44355D"/>
    <w:rsid w:val="0F5372FC"/>
    <w:rsid w:val="0F587009"/>
    <w:rsid w:val="0F64150A"/>
    <w:rsid w:val="0F6C03BE"/>
    <w:rsid w:val="0F6E3916"/>
    <w:rsid w:val="0F767555"/>
    <w:rsid w:val="0F890F70"/>
    <w:rsid w:val="0FB3237E"/>
    <w:rsid w:val="0FBA381F"/>
    <w:rsid w:val="0FBC1346"/>
    <w:rsid w:val="0FBF0E36"/>
    <w:rsid w:val="0FD03043"/>
    <w:rsid w:val="0FD21598"/>
    <w:rsid w:val="0FE8038D"/>
    <w:rsid w:val="0FF07241"/>
    <w:rsid w:val="0FFF56D6"/>
    <w:rsid w:val="10246EEB"/>
    <w:rsid w:val="104E5940"/>
    <w:rsid w:val="10596B94"/>
    <w:rsid w:val="105C6685"/>
    <w:rsid w:val="10635C65"/>
    <w:rsid w:val="106D0892"/>
    <w:rsid w:val="108907C3"/>
    <w:rsid w:val="109045B9"/>
    <w:rsid w:val="109D3109"/>
    <w:rsid w:val="10AB793D"/>
    <w:rsid w:val="10F93ED3"/>
    <w:rsid w:val="10FE14EA"/>
    <w:rsid w:val="1122342A"/>
    <w:rsid w:val="113B44EC"/>
    <w:rsid w:val="11407D54"/>
    <w:rsid w:val="114F505F"/>
    <w:rsid w:val="11551A52"/>
    <w:rsid w:val="11567578"/>
    <w:rsid w:val="11641C95"/>
    <w:rsid w:val="116A4DD1"/>
    <w:rsid w:val="118C4390"/>
    <w:rsid w:val="119A56B6"/>
    <w:rsid w:val="11A71B81"/>
    <w:rsid w:val="11B36778"/>
    <w:rsid w:val="11CB5870"/>
    <w:rsid w:val="11CE3B2E"/>
    <w:rsid w:val="11DB4C6D"/>
    <w:rsid w:val="11F55133"/>
    <w:rsid w:val="12011292"/>
    <w:rsid w:val="12045226"/>
    <w:rsid w:val="12080872"/>
    <w:rsid w:val="12096398"/>
    <w:rsid w:val="120E7E53"/>
    <w:rsid w:val="12152F8F"/>
    <w:rsid w:val="121C60CC"/>
    <w:rsid w:val="12217B86"/>
    <w:rsid w:val="12353631"/>
    <w:rsid w:val="12492478"/>
    <w:rsid w:val="127001F4"/>
    <w:rsid w:val="12751CAA"/>
    <w:rsid w:val="12BE3627"/>
    <w:rsid w:val="12D6271E"/>
    <w:rsid w:val="12EF558E"/>
    <w:rsid w:val="12FB66B3"/>
    <w:rsid w:val="12FE1C75"/>
    <w:rsid w:val="131E5E73"/>
    <w:rsid w:val="13257202"/>
    <w:rsid w:val="133A159C"/>
    <w:rsid w:val="134D0507"/>
    <w:rsid w:val="13890F52"/>
    <w:rsid w:val="138B7F8F"/>
    <w:rsid w:val="138C54D3"/>
    <w:rsid w:val="13960100"/>
    <w:rsid w:val="13997C3E"/>
    <w:rsid w:val="13AC347F"/>
    <w:rsid w:val="13B642FE"/>
    <w:rsid w:val="13B80076"/>
    <w:rsid w:val="13BF7656"/>
    <w:rsid w:val="13E26D9F"/>
    <w:rsid w:val="13F82B68"/>
    <w:rsid w:val="14011FB7"/>
    <w:rsid w:val="14294AD0"/>
    <w:rsid w:val="14353475"/>
    <w:rsid w:val="144D2D7E"/>
    <w:rsid w:val="144D4C62"/>
    <w:rsid w:val="14716ECD"/>
    <w:rsid w:val="1473723C"/>
    <w:rsid w:val="147C004B"/>
    <w:rsid w:val="148368D6"/>
    <w:rsid w:val="149A3C1F"/>
    <w:rsid w:val="149C34F4"/>
    <w:rsid w:val="14B836DE"/>
    <w:rsid w:val="14CD7B51"/>
    <w:rsid w:val="14CE1A25"/>
    <w:rsid w:val="14D1437D"/>
    <w:rsid w:val="14EB7FD7"/>
    <w:rsid w:val="14EC447B"/>
    <w:rsid w:val="153442F6"/>
    <w:rsid w:val="15451DDD"/>
    <w:rsid w:val="15523513"/>
    <w:rsid w:val="15557480"/>
    <w:rsid w:val="15581F72"/>
    <w:rsid w:val="15791B3C"/>
    <w:rsid w:val="157B135B"/>
    <w:rsid w:val="15915ED4"/>
    <w:rsid w:val="15A22D8C"/>
    <w:rsid w:val="15AA7E92"/>
    <w:rsid w:val="15CA4090"/>
    <w:rsid w:val="15EF58A5"/>
    <w:rsid w:val="15F5110D"/>
    <w:rsid w:val="15F630D7"/>
    <w:rsid w:val="15FB249C"/>
    <w:rsid w:val="16210154"/>
    <w:rsid w:val="16287735"/>
    <w:rsid w:val="162C6AF9"/>
    <w:rsid w:val="16377978"/>
    <w:rsid w:val="16784702"/>
    <w:rsid w:val="167C3303"/>
    <w:rsid w:val="168406E3"/>
    <w:rsid w:val="16897AA8"/>
    <w:rsid w:val="16976668"/>
    <w:rsid w:val="169923E1"/>
    <w:rsid w:val="169C77DB"/>
    <w:rsid w:val="16A42F4E"/>
    <w:rsid w:val="16AE750E"/>
    <w:rsid w:val="16B92D9A"/>
    <w:rsid w:val="16C3120C"/>
    <w:rsid w:val="16CE7364"/>
    <w:rsid w:val="16D50F3F"/>
    <w:rsid w:val="16E3540A"/>
    <w:rsid w:val="16F94C2D"/>
    <w:rsid w:val="16FC471D"/>
    <w:rsid w:val="170727F0"/>
    <w:rsid w:val="171657DF"/>
    <w:rsid w:val="172123D6"/>
    <w:rsid w:val="17463BEB"/>
    <w:rsid w:val="174C1201"/>
    <w:rsid w:val="17591B70"/>
    <w:rsid w:val="1770666F"/>
    <w:rsid w:val="17A27073"/>
    <w:rsid w:val="17B46A3B"/>
    <w:rsid w:val="17B9616B"/>
    <w:rsid w:val="17D42FA4"/>
    <w:rsid w:val="17E94CA2"/>
    <w:rsid w:val="17F378CF"/>
    <w:rsid w:val="17FF44C5"/>
    <w:rsid w:val="180970F2"/>
    <w:rsid w:val="181066D2"/>
    <w:rsid w:val="18133ACD"/>
    <w:rsid w:val="18186CFB"/>
    <w:rsid w:val="18264B60"/>
    <w:rsid w:val="182C2DE0"/>
    <w:rsid w:val="18365A0D"/>
    <w:rsid w:val="18381785"/>
    <w:rsid w:val="183F2B14"/>
    <w:rsid w:val="1864257A"/>
    <w:rsid w:val="18736C61"/>
    <w:rsid w:val="187622AE"/>
    <w:rsid w:val="187C78C4"/>
    <w:rsid w:val="18A1557C"/>
    <w:rsid w:val="18BF1EA7"/>
    <w:rsid w:val="18C13F1E"/>
    <w:rsid w:val="18C4364F"/>
    <w:rsid w:val="18D23988"/>
    <w:rsid w:val="18DC7657"/>
    <w:rsid w:val="18DC7D52"/>
    <w:rsid w:val="18F21A27"/>
    <w:rsid w:val="19063631"/>
    <w:rsid w:val="190855FC"/>
    <w:rsid w:val="190E24E6"/>
    <w:rsid w:val="190F51E1"/>
    <w:rsid w:val="19103CBD"/>
    <w:rsid w:val="19362169"/>
    <w:rsid w:val="193C34F7"/>
    <w:rsid w:val="19452F10"/>
    <w:rsid w:val="19467ED2"/>
    <w:rsid w:val="194F4FD8"/>
    <w:rsid w:val="195919B3"/>
    <w:rsid w:val="196D36B1"/>
    <w:rsid w:val="197E58BE"/>
    <w:rsid w:val="19907ECD"/>
    <w:rsid w:val="199649B5"/>
    <w:rsid w:val="19E51499"/>
    <w:rsid w:val="1A306673"/>
    <w:rsid w:val="1A441CBC"/>
    <w:rsid w:val="1A4563DB"/>
    <w:rsid w:val="1A4E703E"/>
    <w:rsid w:val="1A872864"/>
    <w:rsid w:val="1A8F00D3"/>
    <w:rsid w:val="1A903AFB"/>
    <w:rsid w:val="1A907657"/>
    <w:rsid w:val="1AA2540F"/>
    <w:rsid w:val="1AA255DC"/>
    <w:rsid w:val="1AA66E7A"/>
    <w:rsid w:val="1AAE21D3"/>
    <w:rsid w:val="1ACA4DD6"/>
    <w:rsid w:val="1ACE4623"/>
    <w:rsid w:val="1AFD2812"/>
    <w:rsid w:val="1B0D514B"/>
    <w:rsid w:val="1B1C538E"/>
    <w:rsid w:val="1B1D4C62"/>
    <w:rsid w:val="1B2B55D1"/>
    <w:rsid w:val="1B2D0862"/>
    <w:rsid w:val="1B5E7C66"/>
    <w:rsid w:val="1B6B1E72"/>
    <w:rsid w:val="1B73033E"/>
    <w:rsid w:val="1B746F78"/>
    <w:rsid w:val="1B746FE5"/>
    <w:rsid w:val="1B7C5E2D"/>
    <w:rsid w:val="1B83626B"/>
    <w:rsid w:val="1B852F33"/>
    <w:rsid w:val="1B870DBD"/>
    <w:rsid w:val="1BAA0BEC"/>
    <w:rsid w:val="1BCF2401"/>
    <w:rsid w:val="1BD702B9"/>
    <w:rsid w:val="1BDA123E"/>
    <w:rsid w:val="1BEF65FF"/>
    <w:rsid w:val="1C142509"/>
    <w:rsid w:val="1C1E0C92"/>
    <w:rsid w:val="1C2A3ADB"/>
    <w:rsid w:val="1C3D55BC"/>
    <w:rsid w:val="1C5609FD"/>
    <w:rsid w:val="1C8B78C5"/>
    <w:rsid w:val="1C9A47BD"/>
    <w:rsid w:val="1C9E2BFF"/>
    <w:rsid w:val="1CBA4E5F"/>
    <w:rsid w:val="1CBB2985"/>
    <w:rsid w:val="1CC161ED"/>
    <w:rsid w:val="1CCB0E1A"/>
    <w:rsid w:val="1CD53A47"/>
    <w:rsid w:val="1CDA2ADD"/>
    <w:rsid w:val="1D037E77"/>
    <w:rsid w:val="1D260771"/>
    <w:rsid w:val="1D3E783E"/>
    <w:rsid w:val="1D402CBF"/>
    <w:rsid w:val="1D41732E"/>
    <w:rsid w:val="1D484219"/>
    <w:rsid w:val="1D52665F"/>
    <w:rsid w:val="1D5726AE"/>
    <w:rsid w:val="1D5C7CC4"/>
    <w:rsid w:val="1D6D1ED1"/>
    <w:rsid w:val="1D750D86"/>
    <w:rsid w:val="1D8A013B"/>
    <w:rsid w:val="1D8D4321"/>
    <w:rsid w:val="1DB03BB5"/>
    <w:rsid w:val="1DB25B36"/>
    <w:rsid w:val="1DB63878"/>
    <w:rsid w:val="1DC37D43"/>
    <w:rsid w:val="1DE55F0B"/>
    <w:rsid w:val="1DED6227"/>
    <w:rsid w:val="1DF24184"/>
    <w:rsid w:val="1E18540E"/>
    <w:rsid w:val="1E4A5D6E"/>
    <w:rsid w:val="1E4C7F89"/>
    <w:rsid w:val="1E55286D"/>
    <w:rsid w:val="1E5866DD"/>
    <w:rsid w:val="1E5E7A6C"/>
    <w:rsid w:val="1E605592"/>
    <w:rsid w:val="1E65704C"/>
    <w:rsid w:val="1E8E0A96"/>
    <w:rsid w:val="1E9A2710"/>
    <w:rsid w:val="1E9B481C"/>
    <w:rsid w:val="1EAE454F"/>
    <w:rsid w:val="1EAF15EC"/>
    <w:rsid w:val="1EBA2EF4"/>
    <w:rsid w:val="1EBC3110"/>
    <w:rsid w:val="1EBF675C"/>
    <w:rsid w:val="1EC10726"/>
    <w:rsid w:val="1ED7059C"/>
    <w:rsid w:val="1EE116A5"/>
    <w:rsid w:val="1EE61F3B"/>
    <w:rsid w:val="1EF06916"/>
    <w:rsid w:val="1EF627B8"/>
    <w:rsid w:val="1F264A2D"/>
    <w:rsid w:val="1F2C1918"/>
    <w:rsid w:val="1F3327BA"/>
    <w:rsid w:val="1F372797"/>
    <w:rsid w:val="1F42569C"/>
    <w:rsid w:val="1F525822"/>
    <w:rsid w:val="1F6B2440"/>
    <w:rsid w:val="1F7E2174"/>
    <w:rsid w:val="1F972F0B"/>
    <w:rsid w:val="1FA12306"/>
    <w:rsid w:val="1FBF278C"/>
    <w:rsid w:val="1FDC50EC"/>
    <w:rsid w:val="1FE67D19"/>
    <w:rsid w:val="1FF07685"/>
    <w:rsid w:val="20191E9C"/>
    <w:rsid w:val="201D22DD"/>
    <w:rsid w:val="201E60AA"/>
    <w:rsid w:val="201F4774"/>
    <w:rsid w:val="202C65FB"/>
    <w:rsid w:val="20315438"/>
    <w:rsid w:val="20482782"/>
    <w:rsid w:val="204F7534"/>
    <w:rsid w:val="206B503C"/>
    <w:rsid w:val="20760904"/>
    <w:rsid w:val="208D63E6"/>
    <w:rsid w:val="208E4638"/>
    <w:rsid w:val="209F6845"/>
    <w:rsid w:val="20A845C8"/>
    <w:rsid w:val="20AE6A88"/>
    <w:rsid w:val="20B322F1"/>
    <w:rsid w:val="20CB48AD"/>
    <w:rsid w:val="20D23B99"/>
    <w:rsid w:val="2116094D"/>
    <w:rsid w:val="21223209"/>
    <w:rsid w:val="21240AF9"/>
    <w:rsid w:val="21260D15"/>
    <w:rsid w:val="214B077B"/>
    <w:rsid w:val="214C004F"/>
    <w:rsid w:val="215A09BE"/>
    <w:rsid w:val="21723F5A"/>
    <w:rsid w:val="217A696B"/>
    <w:rsid w:val="217C3A20"/>
    <w:rsid w:val="219C0FD7"/>
    <w:rsid w:val="21AB524C"/>
    <w:rsid w:val="21AF0D0A"/>
    <w:rsid w:val="21ED3EE6"/>
    <w:rsid w:val="21F42BC1"/>
    <w:rsid w:val="22072A03"/>
    <w:rsid w:val="22274D44"/>
    <w:rsid w:val="22284619"/>
    <w:rsid w:val="224376A4"/>
    <w:rsid w:val="22446A28"/>
    <w:rsid w:val="225B2C40"/>
    <w:rsid w:val="2265586D"/>
    <w:rsid w:val="22717D6E"/>
    <w:rsid w:val="22791318"/>
    <w:rsid w:val="22A55C69"/>
    <w:rsid w:val="22AB4D31"/>
    <w:rsid w:val="22AD4B1E"/>
    <w:rsid w:val="22B05C2A"/>
    <w:rsid w:val="22DF73CD"/>
    <w:rsid w:val="22E24A24"/>
    <w:rsid w:val="22E32224"/>
    <w:rsid w:val="22E569AE"/>
    <w:rsid w:val="23152DEF"/>
    <w:rsid w:val="231D0FF0"/>
    <w:rsid w:val="23201794"/>
    <w:rsid w:val="232C1EE7"/>
    <w:rsid w:val="23320031"/>
    <w:rsid w:val="23386ADD"/>
    <w:rsid w:val="235E364C"/>
    <w:rsid w:val="235F22BC"/>
    <w:rsid w:val="236553F8"/>
    <w:rsid w:val="23710149"/>
    <w:rsid w:val="237B3439"/>
    <w:rsid w:val="237D6BE6"/>
    <w:rsid w:val="238166D6"/>
    <w:rsid w:val="238241FC"/>
    <w:rsid w:val="2383244E"/>
    <w:rsid w:val="23865A9B"/>
    <w:rsid w:val="2392443F"/>
    <w:rsid w:val="23AC3027"/>
    <w:rsid w:val="23D8234B"/>
    <w:rsid w:val="23D85CC0"/>
    <w:rsid w:val="23E26A49"/>
    <w:rsid w:val="23FD4666"/>
    <w:rsid w:val="24286B52"/>
    <w:rsid w:val="24306F09"/>
    <w:rsid w:val="24347C44"/>
    <w:rsid w:val="24466FD8"/>
    <w:rsid w:val="24561911"/>
    <w:rsid w:val="24741D97"/>
    <w:rsid w:val="24773635"/>
    <w:rsid w:val="247973AD"/>
    <w:rsid w:val="2483022C"/>
    <w:rsid w:val="24AA57B9"/>
    <w:rsid w:val="24AB734B"/>
    <w:rsid w:val="24BC7BC3"/>
    <w:rsid w:val="24C0322E"/>
    <w:rsid w:val="24C333F5"/>
    <w:rsid w:val="24C525F3"/>
    <w:rsid w:val="24C61A2F"/>
    <w:rsid w:val="24D71F01"/>
    <w:rsid w:val="250824DF"/>
    <w:rsid w:val="251175E6"/>
    <w:rsid w:val="251A293E"/>
    <w:rsid w:val="251B0465"/>
    <w:rsid w:val="252A68FA"/>
    <w:rsid w:val="252E0198"/>
    <w:rsid w:val="25494FD2"/>
    <w:rsid w:val="25643BBA"/>
    <w:rsid w:val="25754019"/>
    <w:rsid w:val="259049AF"/>
    <w:rsid w:val="25A97FEF"/>
    <w:rsid w:val="25AE12D9"/>
    <w:rsid w:val="25B12B77"/>
    <w:rsid w:val="25B61F3B"/>
    <w:rsid w:val="25CA1A6D"/>
    <w:rsid w:val="25F0369F"/>
    <w:rsid w:val="25F413E1"/>
    <w:rsid w:val="25F72C80"/>
    <w:rsid w:val="26062EC3"/>
    <w:rsid w:val="26094761"/>
    <w:rsid w:val="2610789E"/>
    <w:rsid w:val="261A696E"/>
    <w:rsid w:val="263A0DBE"/>
    <w:rsid w:val="263F4518"/>
    <w:rsid w:val="264D0AF2"/>
    <w:rsid w:val="26580256"/>
    <w:rsid w:val="26704220"/>
    <w:rsid w:val="26712A32"/>
    <w:rsid w:val="2672440C"/>
    <w:rsid w:val="26747E2C"/>
    <w:rsid w:val="2694227D"/>
    <w:rsid w:val="269A360B"/>
    <w:rsid w:val="26E825C8"/>
    <w:rsid w:val="26F45411"/>
    <w:rsid w:val="26F92A28"/>
    <w:rsid w:val="270E0E2C"/>
    <w:rsid w:val="272D447F"/>
    <w:rsid w:val="27547C5E"/>
    <w:rsid w:val="275A1718"/>
    <w:rsid w:val="27623E37"/>
    <w:rsid w:val="276E51C4"/>
    <w:rsid w:val="277420AE"/>
    <w:rsid w:val="27822AAA"/>
    <w:rsid w:val="279D1605"/>
    <w:rsid w:val="27A6495D"/>
    <w:rsid w:val="27A72484"/>
    <w:rsid w:val="27A74232"/>
    <w:rsid w:val="27D112AE"/>
    <w:rsid w:val="27EB139E"/>
    <w:rsid w:val="27FF5E1C"/>
    <w:rsid w:val="28090A48"/>
    <w:rsid w:val="280E2503"/>
    <w:rsid w:val="28237D5C"/>
    <w:rsid w:val="28245882"/>
    <w:rsid w:val="28247630"/>
    <w:rsid w:val="282B4E63"/>
    <w:rsid w:val="2835183D"/>
    <w:rsid w:val="284A2287"/>
    <w:rsid w:val="284D125B"/>
    <w:rsid w:val="285048C9"/>
    <w:rsid w:val="28546167"/>
    <w:rsid w:val="2859377E"/>
    <w:rsid w:val="285C326E"/>
    <w:rsid w:val="28702875"/>
    <w:rsid w:val="2895052E"/>
    <w:rsid w:val="289C18BC"/>
    <w:rsid w:val="289E4C72"/>
    <w:rsid w:val="289F7CB9"/>
    <w:rsid w:val="28BE4866"/>
    <w:rsid w:val="28C106A5"/>
    <w:rsid w:val="28CB3F50"/>
    <w:rsid w:val="28DE1ED5"/>
    <w:rsid w:val="28E222D4"/>
    <w:rsid w:val="28E82D54"/>
    <w:rsid w:val="28F65471"/>
    <w:rsid w:val="291102E6"/>
    <w:rsid w:val="291122AA"/>
    <w:rsid w:val="29310F8A"/>
    <w:rsid w:val="2932139A"/>
    <w:rsid w:val="2936586D"/>
    <w:rsid w:val="2939535D"/>
    <w:rsid w:val="295201CD"/>
    <w:rsid w:val="295C2DFA"/>
    <w:rsid w:val="295F323C"/>
    <w:rsid w:val="2968694E"/>
    <w:rsid w:val="29785E86"/>
    <w:rsid w:val="297E0FC2"/>
    <w:rsid w:val="298567F4"/>
    <w:rsid w:val="29A22F02"/>
    <w:rsid w:val="29AC3D81"/>
    <w:rsid w:val="29B6075C"/>
    <w:rsid w:val="29DA269C"/>
    <w:rsid w:val="29E27282"/>
    <w:rsid w:val="29E928DF"/>
    <w:rsid w:val="29EE7EF6"/>
    <w:rsid w:val="29F714A0"/>
    <w:rsid w:val="29FA0F90"/>
    <w:rsid w:val="2A0F7D89"/>
    <w:rsid w:val="2A104310"/>
    <w:rsid w:val="2A1262DA"/>
    <w:rsid w:val="2A2364E6"/>
    <w:rsid w:val="2A3224D8"/>
    <w:rsid w:val="2A3B4B7A"/>
    <w:rsid w:val="2A4436F9"/>
    <w:rsid w:val="2A4B5348"/>
    <w:rsid w:val="2A522B7B"/>
    <w:rsid w:val="2A612DBE"/>
    <w:rsid w:val="2A6401B8"/>
    <w:rsid w:val="2A7523C5"/>
    <w:rsid w:val="2A8B3997"/>
    <w:rsid w:val="2A9D08D2"/>
    <w:rsid w:val="2AA2253A"/>
    <w:rsid w:val="2AA84549"/>
    <w:rsid w:val="2AD0246A"/>
    <w:rsid w:val="2AD21972"/>
    <w:rsid w:val="2ADC2444"/>
    <w:rsid w:val="2ADE61BC"/>
    <w:rsid w:val="2AEA4B61"/>
    <w:rsid w:val="2AFA28CA"/>
    <w:rsid w:val="2AFE685E"/>
    <w:rsid w:val="2B193698"/>
    <w:rsid w:val="2B1A7CF5"/>
    <w:rsid w:val="2B2B6F28"/>
    <w:rsid w:val="2B361B54"/>
    <w:rsid w:val="2B4C6730"/>
    <w:rsid w:val="2B563FA5"/>
    <w:rsid w:val="2B6A3E29"/>
    <w:rsid w:val="2B8918CF"/>
    <w:rsid w:val="2B8F395A"/>
    <w:rsid w:val="2BE94E19"/>
    <w:rsid w:val="2BEC4909"/>
    <w:rsid w:val="2BEF6108"/>
    <w:rsid w:val="2C02237E"/>
    <w:rsid w:val="2C027C88"/>
    <w:rsid w:val="2C1A001B"/>
    <w:rsid w:val="2C3342E6"/>
    <w:rsid w:val="2C3D6F24"/>
    <w:rsid w:val="2C464019"/>
    <w:rsid w:val="2C7843EE"/>
    <w:rsid w:val="2C8207E0"/>
    <w:rsid w:val="2C820DC9"/>
    <w:rsid w:val="2C8608B9"/>
    <w:rsid w:val="2C8E35BD"/>
    <w:rsid w:val="2CC63F80"/>
    <w:rsid w:val="2CD74376"/>
    <w:rsid w:val="2CDE06F5"/>
    <w:rsid w:val="2D1B36F8"/>
    <w:rsid w:val="2D3A16A4"/>
    <w:rsid w:val="2D404F0C"/>
    <w:rsid w:val="2D880661"/>
    <w:rsid w:val="2D9030EE"/>
    <w:rsid w:val="2D984D48"/>
    <w:rsid w:val="2D9D410D"/>
    <w:rsid w:val="2DB17BB8"/>
    <w:rsid w:val="2DCF6290"/>
    <w:rsid w:val="2DF02AE0"/>
    <w:rsid w:val="2DFD6EF0"/>
    <w:rsid w:val="2E183793"/>
    <w:rsid w:val="2E2368BD"/>
    <w:rsid w:val="2E2E15D0"/>
    <w:rsid w:val="2E3031D3"/>
    <w:rsid w:val="2E350E75"/>
    <w:rsid w:val="2E3A5DFF"/>
    <w:rsid w:val="2E443131"/>
    <w:rsid w:val="2E4E5407"/>
    <w:rsid w:val="2E5F1FB0"/>
    <w:rsid w:val="2E67471B"/>
    <w:rsid w:val="2E6966E5"/>
    <w:rsid w:val="2E6F2C34"/>
    <w:rsid w:val="2E775A19"/>
    <w:rsid w:val="2EA8720D"/>
    <w:rsid w:val="2EB902DC"/>
    <w:rsid w:val="2EC61441"/>
    <w:rsid w:val="2ECD09DF"/>
    <w:rsid w:val="2ED973C6"/>
    <w:rsid w:val="2EEF72A1"/>
    <w:rsid w:val="2F0401BB"/>
    <w:rsid w:val="2F25085E"/>
    <w:rsid w:val="2F37233F"/>
    <w:rsid w:val="2F504708"/>
    <w:rsid w:val="2F646705"/>
    <w:rsid w:val="2F6D3FB3"/>
    <w:rsid w:val="2FB4573E"/>
    <w:rsid w:val="2FBB3B27"/>
    <w:rsid w:val="2FCF07C9"/>
    <w:rsid w:val="2FCF2577"/>
    <w:rsid w:val="2FD04090"/>
    <w:rsid w:val="2FEA115F"/>
    <w:rsid w:val="2FEA5603"/>
    <w:rsid w:val="2FEC4ED7"/>
    <w:rsid w:val="2FFF4125"/>
    <w:rsid w:val="300C37CC"/>
    <w:rsid w:val="300E2498"/>
    <w:rsid w:val="30187A31"/>
    <w:rsid w:val="301C2BD0"/>
    <w:rsid w:val="30200FC8"/>
    <w:rsid w:val="302F3016"/>
    <w:rsid w:val="30413836"/>
    <w:rsid w:val="304D13E0"/>
    <w:rsid w:val="304E6C63"/>
    <w:rsid w:val="305D7060"/>
    <w:rsid w:val="30640F12"/>
    <w:rsid w:val="30740B8E"/>
    <w:rsid w:val="308F4C3A"/>
    <w:rsid w:val="30BF1FEB"/>
    <w:rsid w:val="30C714A1"/>
    <w:rsid w:val="30CE282F"/>
    <w:rsid w:val="30D047F9"/>
    <w:rsid w:val="30DB6CFA"/>
    <w:rsid w:val="30DC70DF"/>
    <w:rsid w:val="30F93D50"/>
    <w:rsid w:val="30FD4260"/>
    <w:rsid w:val="310426F5"/>
    <w:rsid w:val="31066CA8"/>
    <w:rsid w:val="310B3A83"/>
    <w:rsid w:val="31125979"/>
    <w:rsid w:val="312468F3"/>
    <w:rsid w:val="312A63FD"/>
    <w:rsid w:val="312F7772"/>
    <w:rsid w:val="31464ABB"/>
    <w:rsid w:val="314825E1"/>
    <w:rsid w:val="316311C9"/>
    <w:rsid w:val="316A0CF1"/>
    <w:rsid w:val="317F1D7B"/>
    <w:rsid w:val="31885988"/>
    <w:rsid w:val="31920686"/>
    <w:rsid w:val="31945827"/>
    <w:rsid w:val="31973569"/>
    <w:rsid w:val="31A16195"/>
    <w:rsid w:val="31A31F0E"/>
    <w:rsid w:val="31A551AA"/>
    <w:rsid w:val="31A83080"/>
    <w:rsid w:val="31B00187"/>
    <w:rsid w:val="31C61758"/>
    <w:rsid w:val="31D7570C"/>
    <w:rsid w:val="32033DEB"/>
    <w:rsid w:val="32144BB9"/>
    <w:rsid w:val="32170199"/>
    <w:rsid w:val="32333292"/>
    <w:rsid w:val="32406EF5"/>
    <w:rsid w:val="325E7BE3"/>
    <w:rsid w:val="325F0F6C"/>
    <w:rsid w:val="32650F71"/>
    <w:rsid w:val="326E7E26"/>
    <w:rsid w:val="32715B68"/>
    <w:rsid w:val="327D275F"/>
    <w:rsid w:val="32852BFC"/>
    <w:rsid w:val="328C29A2"/>
    <w:rsid w:val="328D4B95"/>
    <w:rsid w:val="329B64BC"/>
    <w:rsid w:val="32B2404A"/>
    <w:rsid w:val="33081EBC"/>
    <w:rsid w:val="331309CD"/>
    <w:rsid w:val="331704BD"/>
    <w:rsid w:val="33356193"/>
    <w:rsid w:val="335214F5"/>
    <w:rsid w:val="33977850"/>
    <w:rsid w:val="339F77BD"/>
    <w:rsid w:val="33A53D1B"/>
    <w:rsid w:val="33D463AE"/>
    <w:rsid w:val="33E44E98"/>
    <w:rsid w:val="33FB1B8D"/>
    <w:rsid w:val="33FE167D"/>
    <w:rsid w:val="340B7134"/>
    <w:rsid w:val="345E036E"/>
    <w:rsid w:val="34605E94"/>
    <w:rsid w:val="346B36B2"/>
    <w:rsid w:val="347A51A8"/>
    <w:rsid w:val="349873DC"/>
    <w:rsid w:val="34B63066"/>
    <w:rsid w:val="34C77CC1"/>
    <w:rsid w:val="34D4418C"/>
    <w:rsid w:val="34D80120"/>
    <w:rsid w:val="34DB51D3"/>
    <w:rsid w:val="34FA6F45"/>
    <w:rsid w:val="350A499E"/>
    <w:rsid w:val="350B22A4"/>
    <w:rsid w:val="351E7DE2"/>
    <w:rsid w:val="352817C7"/>
    <w:rsid w:val="352944D8"/>
    <w:rsid w:val="35374E47"/>
    <w:rsid w:val="353E4427"/>
    <w:rsid w:val="3555332D"/>
    <w:rsid w:val="35745134"/>
    <w:rsid w:val="357A2F85"/>
    <w:rsid w:val="357F234A"/>
    <w:rsid w:val="35973B37"/>
    <w:rsid w:val="35A02B5B"/>
    <w:rsid w:val="35A85D44"/>
    <w:rsid w:val="35B5220F"/>
    <w:rsid w:val="35C10BB4"/>
    <w:rsid w:val="35CD5533"/>
    <w:rsid w:val="35DE1766"/>
    <w:rsid w:val="35F66AB0"/>
    <w:rsid w:val="35FA7CB6"/>
    <w:rsid w:val="36096403"/>
    <w:rsid w:val="360B0081"/>
    <w:rsid w:val="360D335F"/>
    <w:rsid w:val="36146F36"/>
    <w:rsid w:val="361B02C4"/>
    <w:rsid w:val="362178A5"/>
    <w:rsid w:val="36251143"/>
    <w:rsid w:val="362D019E"/>
    <w:rsid w:val="364517E5"/>
    <w:rsid w:val="36533F02"/>
    <w:rsid w:val="366C0B20"/>
    <w:rsid w:val="36767BF1"/>
    <w:rsid w:val="36785717"/>
    <w:rsid w:val="368D0650"/>
    <w:rsid w:val="369D6F2B"/>
    <w:rsid w:val="36A17105"/>
    <w:rsid w:val="36A4475E"/>
    <w:rsid w:val="36B129D7"/>
    <w:rsid w:val="36B44275"/>
    <w:rsid w:val="36C46BAE"/>
    <w:rsid w:val="36D6243D"/>
    <w:rsid w:val="36DD4874"/>
    <w:rsid w:val="37024FE0"/>
    <w:rsid w:val="370451FC"/>
    <w:rsid w:val="371F2036"/>
    <w:rsid w:val="37253803"/>
    <w:rsid w:val="37265173"/>
    <w:rsid w:val="372C7222"/>
    <w:rsid w:val="372E4027"/>
    <w:rsid w:val="3744384B"/>
    <w:rsid w:val="374675C3"/>
    <w:rsid w:val="374F6B69"/>
    <w:rsid w:val="376932B2"/>
    <w:rsid w:val="376D0FF4"/>
    <w:rsid w:val="37976071"/>
    <w:rsid w:val="379E11AD"/>
    <w:rsid w:val="37A91900"/>
    <w:rsid w:val="37BE35FD"/>
    <w:rsid w:val="37CC31C3"/>
    <w:rsid w:val="37D6305E"/>
    <w:rsid w:val="37EF7C5B"/>
    <w:rsid w:val="37F232A7"/>
    <w:rsid w:val="38060B00"/>
    <w:rsid w:val="381476C1"/>
    <w:rsid w:val="381E312F"/>
    <w:rsid w:val="38245608"/>
    <w:rsid w:val="382471D8"/>
    <w:rsid w:val="382507E6"/>
    <w:rsid w:val="38356D2C"/>
    <w:rsid w:val="38591578"/>
    <w:rsid w:val="385B52F0"/>
    <w:rsid w:val="38606463"/>
    <w:rsid w:val="386F13A5"/>
    <w:rsid w:val="387168C2"/>
    <w:rsid w:val="387243E8"/>
    <w:rsid w:val="387304CE"/>
    <w:rsid w:val="3873599C"/>
    <w:rsid w:val="38934A8A"/>
    <w:rsid w:val="38991974"/>
    <w:rsid w:val="389C17D6"/>
    <w:rsid w:val="38AC78FA"/>
    <w:rsid w:val="38C20ECB"/>
    <w:rsid w:val="38D676C9"/>
    <w:rsid w:val="38D94467"/>
    <w:rsid w:val="38EE33D3"/>
    <w:rsid w:val="38EF77E6"/>
    <w:rsid w:val="3902301A"/>
    <w:rsid w:val="39111E53"/>
    <w:rsid w:val="39167469"/>
    <w:rsid w:val="39243934"/>
    <w:rsid w:val="392A6A70"/>
    <w:rsid w:val="3938118D"/>
    <w:rsid w:val="39436F7D"/>
    <w:rsid w:val="39495149"/>
    <w:rsid w:val="39756E28"/>
    <w:rsid w:val="397A139D"/>
    <w:rsid w:val="397F0EC8"/>
    <w:rsid w:val="39902D77"/>
    <w:rsid w:val="39A405D1"/>
    <w:rsid w:val="39BA7DF4"/>
    <w:rsid w:val="39D620EE"/>
    <w:rsid w:val="39D975D6"/>
    <w:rsid w:val="39F0444D"/>
    <w:rsid w:val="39F23A32"/>
    <w:rsid w:val="39FA3DA9"/>
    <w:rsid w:val="3A175247"/>
    <w:rsid w:val="3A2D05C6"/>
    <w:rsid w:val="3A3C4CAD"/>
    <w:rsid w:val="3A4C409B"/>
    <w:rsid w:val="3A55404A"/>
    <w:rsid w:val="3A661D2A"/>
    <w:rsid w:val="3A773F37"/>
    <w:rsid w:val="3A7E7074"/>
    <w:rsid w:val="3A8D72B7"/>
    <w:rsid w:val="3A976388"/>
    <w:rsid w:val="3AA37272"/>
    <w:rsid w:val="3ABD5DEE"/>
    <w:rsid w:val="3AC84793"/>
    <w:rsid w:val="3AD273C0"/>
    <w:rsid w:val="3AD924FC"/>
    <w:rsid w:val="3AEA5562"/>
    <w:rsid w:val="3B043025"/>
    <w:rsid w:val="3B0A6B5A"/>
    <w:rsid w:val="3B1151F3"/>
    <w:rsid w:val="3B1E118C"/>
    <w:rsid w:val="3B1F2605"/>
    <w:rsid w:val="3B255741"/>
    <w:rsid w:val="3B3360B0"/>
    <w:rsid w:val="3B44206B"/>
    <w:rsid w:val="3B471B5C"/>
    <w:rsid w:val="3B556027"/>
    <w:rsid w:val="3B6D3688"/>
    <w:rsid w:val="3B6F0FCC"/>
    <w:rsid w:val="3B7A0683"/>
    <w:rsid w:val="3B806A28"/>
    <w:rsid w:val="3B974891"/>
    <w:rsid w:val="3B9823B7"/>
    <w:rsid w:val="3BA05D55"/>
    <w:rsid w:val="3BF96A9F"/>
    <w:rsid w:val="3C0417FB"/>
    <w:rsid w:val="3C0435A9"/>
    <w:rsid w:val="3C0B0DDB"/>
    <w:rsid w:val="3C2D2B00"/>
    <w:rsid w:val="3C371BD0"/>
    <w:rsid w:val="3C3A346E"/>
    <w:rsid w:val="3C435B99"/>
    <w:rsid w:val="3C5207B8"/>
    <w:rsid w:val="3C642299"/>
    <w:rsid w:val="3C706E90"/>
    <w:rsid w:val="3C9012E0"/>
    <w:rsid w:val="3C9F32D2"/>
    <w:rsid w:val="3CA56B3A"/>
    <w:rsid w:val="3CAC611A"/>
    <w:rsid w:val="3CB55FB6"/>
    <w:rsid w:val="3CBE794A"/>
    <w:rsid w:val="3CC316B6"/>
    <w:rsid w:val="3CCD7E3F"/>
    <w:rsid w:val="3CCF54D3"/>
    <w:rsid w:val="3CCF59CB"/>
    <w:rsid w:val="3CF25AF7"/>
    <w:rsid w:val="3CFC033E"/>
    <w:rsid w:val="3D031AB2"/>
    <w:rsid w:val="3D0870C9"/>
    <w:rsid w:val="3D2C63B5"/>
    <w:rsid w:val="3D4F4CF8"/>
    <w:rsid w:val="3D6562C9"/>
    <w:rsid w:val="3D7E738B"/>
    <w:rsid w:val="3D8A5D30"/>
    <w:rsid w:val="3D995F73"/>
    <w:rsid w:val="3DA11A00"/>
    <w:rsid w:val="3DC2196D"/>
    <w:rsid w:val="3DC456E6"/>
    <w:rsid w:val="3DCA2306"/>
    <w:rsid w:val="3DCC1CEF"/>
    <w:rsid w:val="3E0259C6"/>
    <w:rsid w:val="3E1A70B4"/>
    <w:rsid w:val="3E263CAA"/>
    <w:rsid w:val="3E2B7513"/>
    <w:rsid w:val="3E3A2D1A"/>
    <w:rsid w:val="3E461FDF"/>
    <w:rsid w:val="3E495824"/>
    <w:rsid w:val="3E4A0341"/>
    <w:rsid w:val="3EA66B99"/>
    <w:rsid w:val="3EAB0654"/>
    <w:rsid w:val="3EC169EB"/>
    <w:rsid w:val="3ED6747E"/>
    <w:rsid w:val="3EF70854"/>
    <w:rsid w:val="3F0062A9"/>
    <w:rsid w:val="3F177A97"/>
    <w:rsid w:val="3F23643C"/>
    <w:rsid w:val="3F2A1578"/>
    <w:rsid w:val="3F373C95"/>
    <w:rsid w:val="3F634A8A"/>
    <w:rsid w:val="3F791A83"/>
    <w:rsid w:val="3F7E3672"/>
    <w:rsid w:val="3F8A4650"/>
    <w:rsid w:val="3FAF1A7E"/>
    <w:rsid w:val="3FBB48C6"/>
    <w:rsid w:val="3FC17946"/>
    <w:rsid w:val="3FD5313E"/>
    <w:rsid w:val="40061FE5"/>
    <w:rsid w:val="40167D4F"/>
    <w:rsid w:val="40232A4E"/>
    <w:rsid w:val="403079DA"/>
    <w:rsid w:val="403501D5"/>
    <w:rsid w:val="403D352D"/>
    <w:rsid w:val="403F3C2F"/>
    <w:rsid w:val="405014B2"/>
    <w:rsid w:val="405D5187"/>
    <w:rsid w:val="40646D0C"/>
    <w:rsid w:val="407E7DCE"/>
    <w:rsid w:val="40811C93"/>
    <w:rsid w:val="408353E4"/>
    <w:rsid w:val="408D1DBF"/>
    <w:rsid w:val="408E5B37"/>
    <w:rsid w:val="40A94B35"/>
    <w:rsid w:val="40D20119"/>
    <w:rsid w:val="40EE7200"/>
    <w:rsid w:val="40F7410C"/>
    <w:rsid w:val="41282558"/>
    <w:rsid w:val="413E57AF"/>
    <w:rsid w:val="416C40CA"/>
    <w:rsid w:val="417B60BB"/>
    <w:rsid w:val="41840FFD"/>
    <w:rsid w:val="41994F27"/>
    <w:rsid w:val="41AF08AB"/>
    <w:rsid w:val="41C45CB4"/>
    <w:rsid w:val="41CE6715"/>
    <w:rsid w:val="41EA4FEF"/>
    <w:rsid w:val="41F952AC"/>
    <w:rsid w:val="42070318"/>
    <w:rsid w:val="421502BE"/>
    <w:rsid w:val="42274495"/>
    <w:rsid w:val="422A188F"/>
    <w:rsid w:val="42310E70"/>
    <w:rsid w:val="426E79CE"/>
    <w:rsid w:val="427F607F"/>
    <w:rsid w:val="42860ABD"/>
    <w:rsid w:val="42F6514B"/>
    <w:rsid w:val="42FE1963"/>
    <w:rsid w:val="431542ED"/>
    <w:rsid w:val="43201866"/>
    <w:rsid w:val="43362BE2"/>
    <w:rsid w:val="433A111B"/>
    <w:rsid w:val="433E3844"/>
    <w:rsid w:val="435B22FC"/>
    <w:rsid w:val="435B61A4"/>
    <w:rsid w:val="43652320"/>
    <w:rsid w:val="437B6846"/>
    <w:rsid w:val="4396542E"/>
    <w:rsid w:val="43C26223"/>
    <w:rsid w:val="43C3227B"/>
    <w:rsid w:val="43D16466"/>
    <w:rsid w:val="43D321DE"/>
    <w:rsid w:val="43D45F57"/>
    <w:rsid w:val="43DE2931"/>
    <w:rsid w:val="43DF5027"/>
    <w:rsid w:val="43F403A7"/>
    <w:rsid w:val="442E5667"/>
    <w:rsid w:val="443133A9"/>
    <w:rsid w:val="445957E2"/>
    <w:rsid w:val="446C4F64"/>
    <w:rsid w:val="446C618F"/>
    <w:rsid w:val="446E1F07"/>
    <w:rsid w:val="44736C5A"/>
    <w:rsid w:val="4475773A"/>
    <w:rsid w:val="4493196E"/>
    <w:rsid w:val="44962692"/>
    <w:rsid w:val="44A05268"/>
    <w:rsid w:val="44D075EB"/>
    <w:rsid w:val="44D8697E"/>
    <w:rsid w:val="44F52628"/>
    <w:rsid w:val="44F92119"/>
    <w:rsid w:val="44FA19ED"/>
    <w:rsid w:val="4508235C"/>
    <w:rsid w:val="451467E3"/>
    <w:rsid w:val="451E1B7F"/>
    <w:rsid w:val="4522137C"/>
    <w:rsid w:val="45235355"/>
    <w:rsid w:val="45456194"/>
    <w:rsid w:val="454A4722"/>
    <w:rsid w:val="4560797A"/>
    <w:rsid w:val="456B6447"/>
    <w:rsid w:val="457C0654"/>
    <w:rsid w:val="45843A5E"/>
    <w:rsid w:val="45892025"/>
    <w:rsid w:val="458C3AB5"/>
    <w:rsid w:val="45905EAD"/>
    <w:rsid w:val="45921C25"/>
    <w:rsid w:val="459D0B2C"/>
    <w:rsid w:val="45AB166D"/>
    <w:rsid w:val="45B002FD"/>
    <w:rsid w:val="45D40490"/>
    <w:rsid w:val="45D64208"/>
    <w:rsid w:val="45E00BE3"/>
    <w:rsid w:val="45E71F71"/>
    <w:rsid w:val="45F8417E"/>
    <w:rsid w:val="46274A64"/>
    <w:rsid w:val="463B406B"/>
    <w:rsid w:val="46537607"/>
    <w:rsid w:val="46560EA5"/>
    <w:rsid w:val="46592743"/>
    <w:rsid w:val="466A4950"/>
    <w:rsid w:val="46712183"/>
    <w:rsid w:val="4685178A"/>
    <w:rsid w:val="468E26B7"/>
    <w:rsid w:val="4690085B"/>
    <w:rsid w:val="46953CC8"/>
    <w:rsid w:val="46A47E62"/>
    <w:rsid w:val="46C16C66"/>
    <w:rsid w:val="46CC73B9"/>
    <w:rsid w:val="46D23702"/>
    <w:rsid w:val="46EE7D54"/>
    <w:rsid w:val="46F10BCE"/>
    <w:rsid w:val="4703102D"/>
    <w:rsid w:val="47094169"/>
    <w:rsid w:val="472114B3"/>
    <w:rsid w:val="472D42FC"/>
    <w:rsid w:val="472E3BD0"/>
    <w:rsid w:val="4732546E"/>
    <w:rsid w:val="47637D1D"/>
    <w:rsid w:val="47655843"/>
    <w:rsid w:val="477534BF"/>
    <w:rsid w:val="47763A28"/>
    <w:rsid w:val="47833F1C"/>
    <w:rsid w:val="47A125F4"/>
    <w:rsid w:val="47AA76FA"/>
    <w:rsid w:val="47BC628F"/>
    <w:rsid w:val="47E04ECA"/>
    <w:rsid w:val="47EC1AC1"/>
    <w:rsid w:val="480E5EDB"/>
    <w:rsid w:val="48194880"/>
    <w:rsid w:val="48284AC3"/>
    <w:rsid w:val="482F5E51"/>
    <w:rsid w:val="48474F49"/>
    <w:rsid w:val="484D0086"/>
    <w:rsid w:val="48594C7C"/>
    <w:rsid w:val="486065E4"/>
    <w:rsid w:val="48790E7B"/>
    <w:rsid w:val="487D1E9A"/>
    <w:rsid w:val="488576DD"/>
    <w:rsid w:val="48A125D0"/>
    <w:rsid w:val="48A56114"/>
    <w:rsid w:val="48A57EC2"/>
    <w:rsid w:val="48B3438D"/>
    <w:rsid w:val="48C93BB0"/>
    <w:rsid w:val="48CE566A"/>
    <w:rsid w:val="48DE56F4"/>
    <w:rsid w:val="48DF33D4"/>
    <w:rsid w:val="48E924A4"/>
    <w:rsid w:val="48F30C2D"/>
    <w:rsid w:val="48FF75D2"/>
    <w:rsid w:val="49122478"/>
    <w:rsid w:val="492C413F"/>
    <w:rsid w:val="493A4AAE"/>
    <w:rsid w:val="49522218"/>
    <w:rsid w:val="49731D6E"/>
    <w:rsid w:val="498E0956"/>
    <w:rsid w:val="498E6BA8"/>
    <w:rsid w:val="49AA39E1"/>
    <w:rsid w:val="49AD5280"/>
    <w:rsid w:val="49C16F7D"/>
    <w:rsid w:val="49C850DE"/>
    <w:rsid w:val="49EE24B6"/>
    <w:rsid w:val="49FC7FB5"/>
    <w:rsid w:val="4A084BAC"/>
    <w:rsid w:val="4A0D21C2"/>
    <w:rsid w:val="4A0F7CE8"/>
    <w:rsid w:val="4A2B73D2"/>
    <w:rsid w:val="4A2F59CC"/>
    <w:rsid w:val="4A3B6D2F"/>
    <w:rsid w:val="4A4C6847"/>
    <w:rsid w:val="4A791606"/>
    <w:rsid w:val="4A8A5355"/>
    <w:rsid w:val="4AAA17BF"/>
    <w:rsid w:val="4AB50890"/>
    <w:rsid w:val="4AB56AE2"/>
    <w:rsid w:val="4ABA29D0"/>
    <w:rsid w:val="4ABF151C"/>
    <w:rsid w:val="4AD93E52"/>
    <w:rsid w:val="4AEE5B50"/>
    <w:rsid w:val="4B032F9B"/>
    <w:rsid w:val="4B0E369D"/>
    <w:rsid w:val="4B0E61F2"/>
    <w:rsid w:val="4B0E7FA0"/>
    <w:rsid w:val="4B3F63AB"/>
    <w:rsid w:val="4B6B53F2"/>
    <w:rsid w:val="4B775B45"/>
    <w:rsid w:val="4B840DDC"/>
    <w:rsid w:val="4B865D88"/>
    <w:rsid w:val="4B8B339F"/>
    <w:rsid w:val="4B8E10E1"/>
    <w:rsid w:val="4B9318F2"/>
    <w:rsid w:val="4BA97CC9"/>
    <w:rsid w:val="4BB87F0C"/>
    <w:rsid w:val="4BCB40E3"/>
    <w:rsid w:val="4BED71F8"/>
    <w:rsid w:val="4BF058F8"/>
    <w:rsid w:val="4C01517C"/>
    <w:rsid w:val="4C0575F5"/>
    <w:rsid w:val="4C167EC0"/>
    <w:rsid w:val="4C1A4723"/>
    <w:rsid w:val="4C2B6930"/>
    <w:rsid w:val="4C2C2DD4"/>
    <w:rsid w:val="4C3C7DFE"/>
    <w:rsid w:val="4C4023DB"/>
    <w:rsid w:val="4C6677D9"/>
    <w:rsid w:val="4C694FE0"/>
    <w:rsid w:val="4C6D519A"/>
    <w:rsid w:val="4C80011E"/>
    <w:rsid w:val="4C883D82"/>
    <w:rsid w:val="4C9D5A7F"/>
    <w:rsid w:val="4CA30BBC"/>
    <w:rsid w:val="4CA46E0E"/>
    <w:rsid w:val="4CAA3CF8"/>
    <w:rsid w:val="4CE0596C"/>
    <w:rsid w:val="4CFF4044"/>
    <w:rsid w:val="4D333CEE"/>
    <w:rsid w:val="4D3D1A58"/>
    <w:rsid w:val="4D494847"/>
    <w:rsid w:val="4D6C5859"/>
    <w:rsid w:val="4D990B07"/>
    <w:rsid w:val="4D9B7A63"/>
    <w:rsid w:val="4D9C1893"/>
    <w:rsid w:val="4D9D560B"/>
    <w:rsid w:val="4DC66910"/>
    <w:rsid w:val="4DCD757D"/>
    <w:rsid w:val="4DE81D2B"/>
    <w:rsid w:val="4DF7360B"/>
    <w:rsid w:val="4E121B55"/>
    <w:rsid w:val="4E3C6BD2"/>
    <w:rsid w:val="4E4955A2"/>
    <w:rsid w:val="4E4F4B57"/>
    <w:rsid w:val="4E50518F"/>
    <w:rsid w:val="4E516B22"/>
    <w:rsid w:val="4E61488B"/>
    <w:rsid w:val="4E6600F3"/>
    <w:rsid w:val="4E6F6FA8"/>
    <w:rsid w:val="4E8B1DD6"/>
    <w:rsid w:val="4EAF55F6"/>
    <w:rsid w:val="4EB1136E"/>
    <w:rsid w:val="4EC56BC8"/>
    <w:rsid w:val="4EFE20DA"/>
    <w:rsid w:val="4F045E2D"/>
    <w:rsid w:val="4F10078B"/>
    <w:rsid w:val="4F136E54"/>
    <w:rsid w:val="4F2953A8"/>
    <w:rsid w:val="4F381A8F"/>
    <w:rsid w:val="4F4E3061"/>
    <w:rsid w:val="4F587A3C"/>
    <w:rsid w:val="4F5B4CE4"/>
    <w:rsid w:val="4F5E232A"/>
    <w:rsid w:val="4F8A3FFD"/>
    <w:rsid w:val="4FB235F0"/>
    <w:rsid w:val="4FCB2904"/>
    <w:rsid w:val="4FD277EE"/>
    <w:rsid w:val="4FD3575A"/>
    <w:rsid w:val="4FDC68BF"/>
    <w:rsid w:val="4FF359B6"/>
    <w:rsid w:val="500951DA"/>
    <w:rsid w:val="504B57F2"/>
    <w:rsid w:val="50615016"/>
    <w:rsid w:val="506B379F"/>
    <w:rsid w:val="50782DBB"/>
    <w:rsid w:val="5079410E"/>
    <w:rsid w:val="508A00C9"/>
    <w:rsid w:val="509176A9"/>
    <w:rsid w:val="50B160A5"/>
    <w:rsid w:val="50CC6933"/>
    <w:rsid w:val="50D21A70"/>
    <w:rsid w:val="50D457E8"/>
    <w:rsid w:val="50DE0415"/>
    <w:rsid w:val="50EA0B67"/>
    <w:rsid w:val="50EE4AFC"/>
    <w:rsid w:val="50F5248E"/>
    <w:rsid w:val="51200A2D"/>
    <w:rsid w:val="51302721"/>
    <w:rsid w:val="51450494"/>
    <w:rsid w:val="514A5AAA"/>
    <w:rsid w:val="51556929"/>
    <w:rsid w:val="515B3813"/>
    <w:rsid w:val="515D758B"/>
    <w:rsid w:val="51633E03"/>
    <w:rsid w:val="51654692"/>
    <w:rsid w:val="51831B0F"/>
    <w:rsid w:val="51932FAD"/>
    <w:rsid w:val="519D1BF6"/>
    <w:rsid w:val="51C94C21"/>
    <w:rsid w:val="51DA5080"/>
    <w:rsid w:val="52075749"/>
    <w:rsid w:val="52171E30"/>
    <w:rsid w:val="52187956"/>
    <w:rsid w:val="521A1920"/>
    <w:rsid w:val="52300ED6"/>
    <w:rsid w:val="52361E3B"/>
    <w:rsid w:val="52462E5A"/>
    <w:rsid w:val="524F48E3"/>
    <w:rsid w:val="52552958"/>
    <w:rsid w:val="52707792"/>
    <w:rsid w:val="527F1783"/>
    <w:rsid w:val="528E7FE7"/>
    <w:rsid w:val="5290573F"/>
    <w:rsid w:val="529209DC"/>
    <w:rsid w:val="52A26B1F"/>
    <w:rsid w:val="52A64F62"/>
    <w:rsid w:val="52C4439E"/>
    <w:rsid w:val="52CF57EB"/>
    <w:rsid w:val="52F43F1F"/>
    <w:rsid w:val="531B14AC"/>
    <w:rsid w:val="532E5683"/>
    <w:rsid w:val="533777E5"/>
    <w:rsid w:val="5345477B"/>
    <w:rsid w:val="53487AC3"/>
    <w:rsid w:val="534B31D2"/>
    <w:rsid w:val="53682217"/>
    <w:rsid w:val="537E0B4F"/>
    <w:rsid w:val="539C11B8"/>
    <w:rsid w:val="53A616BE"/>
    <w:rsid w:val="53BD6A07"/>
    <w:rsid w:val="53C02C55"/>
    <w:rsid w:val="53CA4C80"/>
    <w:rsid w:val="53E1772D"/>
    <w:rsid w:val="53EC693E"/>
    <w:rsid w:val="53EC7B31"/>
    <w:rsid w:val="53EE6BC1"/>
    <w:rsid w:val="541F321E"/>
    <w:rsid w:val="542919A7"/>
    <w:rsid w:val="54386E5D"/>
    <w:rsid w:val="54492049"/>
    <w:rsid w:val="544F3B03"/>
    <w:rsid w:val="545253A1"/>
    <w:rsid w:val="547F5A6B"/>
    <w:rsid w:val="54B55930"/>
    <w:rsid w:val="54DA0EF3"/>
    <w:rsid w:val="54E16725"/>
    <w:rsid w:val="54EB4EAE"/>
    <w:rsid w:val="552349BA"/>
    <w:rsid w:val="55286102"/>
    <w:rsid w:val="555313D1"/>
    <w:rsid w:val="5559399C"/>
    <w:rsid w:val="55985036"/>
    <w:rsid w:val="55A559A5"/>
    <w:rsid w:val="55AC0AE1"/>
    <w:rsid w:val="55D1679A"/>
    <w:rsid w:val="55D41DE6"/>
    <w:rsid w:val="55DD0C9B"/>
    <w:rsid w:val="55E42029"/>
    <w:rsid w:val="55FE0C5B"/>
    <w:rsid w:val="5613290E"/>
    <w:rsid w:val="56292132"/>
    <w:rsid w:val="56293EE0"/>
    <w:rsid w:val="562C2B73"/>
    <w:rsid w:val="5637484F"/>
    <w:rsid w:val="56382375"/>
    <w:rsid w:val="566E69A6"/>
    <w:rsid w:val="566F73BD"/>
    <w:rsid w:val="56725887"/>
    <w:rsid w:val="568F468B"/>
    <w:rsid w:val="56900341"/>
    <w:rsid w:val="56A04826"/>
    <w:rsid w:val="56A31EE4"/>
    <w:rsid w:val="56A877FD"/>
    <w:rsid w:val="56B91708"/>
    <w:rsid w:val="56BB082C"/>
    <w:rsid w:val="56BC5A0A"/>
    <w:rsid w:val="56E2065A"/>
    <w:rsid w:val="57234DD3"/>
    <w:rsid w:val="57272B15"/>
    <w:rsid w:val="572A6162"/>
    <w:rsid w:val="572D17AE"/>
    <w:rsid w:val="57406156"/>
    <w:rsid w:val="574D0C27"/>
    <w:rsid w:val="574F3E1A"/>
    <w:rsid w:val="57527466"/>
    <w:rsid w:val="57574F5E"/>
    <w:rsid w:val="57607DD5"/>
    <w:rsid w:val="57743B14"/>
    <w:rsid w:val="57853398"/>
    <w:rsid w:val="579B705F"/>
    <w:rsid w:val="57A001D2"/>
    <w:rsid w:val="57A2219C"/>
    <w:rsid w:val="57CD4D3F"/>
    <w:rsid w:val="57DB7C26"/>
    <w:rsid w:val="57E516C3"/>
    <w:rsid w:val="57E845CF"/>
    <w:rsid w:val="57EE53E1"/>
    <w:rsid w:val="57FB365A"/>
    <w:rsid w:val="5805272B"/>
    <w:rsid w:val="581A61D6"/>
    <w:rsid w:val="582C415B"/>
    <w:rsid w:val="58496ABB"/>
    <w:rsid w:val="5881745E"/>
    <w:rsid w:val="58A73C2D"/>
    <w:rsid w:val="58D5034F"/>
    <w:rsid w:val="58E6430A"/>
    <w:rsid w:val="58EB1C74"/>
    <w:rsid w:val="58ED38EB"/>
    <w:rsid w:val="5915699E"/>
    <w:rsid w:val="591E7A48"/>
    <w:rsid w:val="591F781C"/>
    <w:rsid w:val="59254E33"/>
    <w:rsid w:val="592B4413"/>
    <w:rsid w:val="59360DE3"/>
    <w:rsid w:val="593C5BF4"/>
    <w:rsid w:val="593E5EF4"/>
    <w:rsid w:val="59417793"/>
    <w:rsid w:val="59464DA9"/>
    <w:rsid w:val="59484FC5"/>
    <w:rsid w:val="595079D6"/>
    <w:rsid w:val="596A6CE9"/>
    <w:rsid w:val="597B2CA5"/>
    <w:rsid w:val="59973856"/>
    <w:rsid w:val="59A85A64"/>
    <w:rsid w:val="59B27748"/>
    <w:rsid w:val="59B45DA0"/>
    <w:rsid w:val="59B63CDD"/>
    <w:rsid w:val="59C503C4"/>
    <w:rsid w:val="59C65801"/>
    <w:rsid w:val="59CA3C2C"/>
    <w:rsid w:val="59CB7C49"/>
    <w:rsid w:val="59F6057D"/>
    <w:rsid w:val="59FD7B5D"/>
    <w:rsid w:val="5A0233C6"/>
    <w:rsid w:val="5A026F22"/>
    <w:rsid w:val="5A054C64"/>
    <w:rsid w:val="5A0709DC"/>
    <w:rsid w:val="5A0C5FF2"/>
    <w:rsid w:val="5A0C7DA1"/>
    <w:rsid w:val="5A1D3D5C"/>
    <w:rsid w:val="5A1F56FD"/>
    <w:rsid w:val="5A1F5EE9"/>
    <w:rsid w:val="5A1F7AD4"/>
    <w:rsid w:val="5A290952"/>
    <w:rsid w:val="5A2E53BF"/>
    <w:rsid w:val="5A2F3A8F"/>
    <w:rsid w:val="5A3B0686"/>
    <w:rsid w:val="5A3D61AC"/>
    <w:rsid w:val="5A61633E"/>
    <w:rsid w:val="5A6C6A91"/>
    <w:rsid w:val="5A8738CB"/>
    <w:rsid w:val="5AA355CF"/>
    <w:rsid w:val="5AAE2453"/>
    <w:rsid w:val="5AB741B0"/>
    <w:rsid w:val="5AC6337D"/>
    <w:rsid w:val="5ACC12DE"/>
    <w:rsid w:val="5ACE005D"/>
    <w:rsid w:val="5AD00DCE"/>
    <w:rsid w:val="5ADC59C5"/>
    <w:rsid w:val="5AE66844"/>
    <w:rsid w:val="5AE96334"/>
    <w:rsid w:val="5AEC3921"/>
    <w:rsid w:val="5AED1980"/>
    <w:rsid w:val="5AFD593B"/>
    <w:rsid w:val="5B062255"/>
    <w:rsid w:val="5B172EA1"/>
    <w:rsid w:val="5B2041BB"/>
    <w:rsid w:val="5B291DB0"/>
    <w:rsid w:val="5B4E6197"/>
    <w:rsid w:val="5B6737D2"/>
    <w:rsid w:val="5B6D3372"/>
    <w:rsid w:val="5B7150DC"/>
    <w:rsid w:val="5B8322E4"/>
    <w:rsid w:val="5B8A71CF"/>
    <w:rsid w:val="5B94004E"/>
    <w:rsid w:val="5B977B3E"/>
    <w:rsid w:val="5BCF0A61"/>
    <w:rsid w:val="5BD26DC8"/>
    <w:rsid w:val="5BDB3ECE"/>
    <w:rsid w:val="5BE1734D"/>
    <w:rsid w:val="5BE2525D"/>
    <w:rsid w:val="5BEF1728"/>
    <w:rsid w:val="5C1F025F"/>
    <w:rsid w:val="5C425CFC"/>
    <w:rsid w:val="5C684CA7"/>
    <w:rsid w:val="5C7A5495"/>
    <w:rsid w:val="5C7B120D"/>
    <w:rsid w:val="5C853E3A"/>
    <w:rsid w:val="5CA46188"/>
    <w:rsid w:val="5CB5471F"/>
    <w:rsid w:val="5CBE2A95"/>
    <w:rsid w:val="5CCB3F43"/>
    <w:rsid w:val="5CF214D0"/>
    <w:rsid w:val="5CF63C07"/>
    <w:rsid w:val="5D013E49"/>
    <w:rsid w:val="5D276C9F"/>
    <w:rsid w:val="5D290C69"/>
    <w:rsid w:val="5D330544"/>
    <w:rsid w:val="5D411690"/>
    <w:rsid w:val="5D417D61"/>
    <w:rsid w:val="5D6E48CE"/>
    <w:rsid w:val="5D700646"/>
    <w:rsid w:val="5D757F2A"/>
    <w:rsid w:val="5D881E34"/>
    <w:rsid w:val="5D910111"/>
    <w:rsid w:val="5D9C143B"/>
    <w:rsid w:val="5DAA1DAA"/>
    <w:rsid w:val="5DC664B8"/>
    <w:rsid w:val="5DC83BCB"/>
    <w:rsid w:val="5DCD5A99"/>
    <w:rsid w:val="5DF50B4C"/>
    <w:rsid w:val="5DF64FF0"/>
    <w:rsid w:val="5DF70D68"/>
    <w:rsid w:val="5E2A6A47"/>
    <w:rsid w:val="5E3478C6"/>
    <w:rsid w:val="5E3C0DFF"/>
    <w:rsid w:val="5E510478"/>
    <w:rsid w:val="5E622685"/>
    <w:rsid w:val="5E7D74BF"/>
    <w:rsid w:val="5E856E14"/>
    <w:rsid w:val="5EB86749"/>
    <w:rsid w:val="5EC0115A"/>
    <w:rsid w:val="5ED30E8D"/>
    <w:rsid w:val="5ED35C98"/>
    <w:rsid w:val="5EDB41E5"/>
    <w:rsid w:val="5EE27322"/>
    <w:rsid w:val="5EFA0B0F"/>
    <w:rsid w:val="5EFA28BD"/>
    <w:rsid w:val="5F0454EA"/>
    <w:rsid w:val="5F100333"/>
    <w:rsid w:val="5F1020E1"/>
    <w:rsid w:val="5F1D5505"/>
    <w:rsid w:val="5F3833E6"/>
    <w:rsid w:val="5F41229A"/>
    <w:rsid w:val="5F4955F3"/>
    <w:rsid w:val="5F6917F1"/>
    <w:rsid w:val="5F7E529D"/>
    <w:rsid w:val="5F8403D9"/>
    <w:rsid w:val="5F8605F5"/>
    <w:rsid w:val="5F9677AA"/>
    <w:rsid w:val="5FA171DD"/>
    <w:rsid w:val="5FDA624B"/>
    <w:rsid w:val="5FE13A7D"/>
    <w:rsid w:val="5FEB0458"/>
    <w:rsid w:val="5FEF7F48"/>
    <w:rsid w:val="60064219"/>
    <w:rsid w:val="601531AE"/>
    <w:rsid w:val="602C4CF9"/>
    <w:rsid w:val="60340051"/>
    <w:rsid w:val="60343A63"/>
    <w:rsid w:val="60522285"/>
    <w:rsid w:val="6057789C"/>
    <w:rsid w:val="605B738C"/>
    <w:rsid w:val="606A7DDE"/>
    <w:rsid w:val="60771CEC"/>
    <w:rsid w:val="60803296"/>
    <w:rsid w:val="608A1A1F"/>
    <w:rsid w:val="60AC408B"/>
    <w:rsid w:val="60CC028A"/>
    <w:rsid w:val="60CC2038"/>
    <w:rsid w:val="60CC4628"/>
    <w:rsid w:val="60DF7FBD"/>
    <w:rsid w:val="60E5134B"/>
    <w:rsid w:val="60EC6AD0"/>
    <w:rsid w:val="60ED1779"/>
    <w:rsid w:val="61046C4E"/>
    <w:rsid w:val="610F0176"/>
    <w:rsid w:val="612956DC"/>
    <w:rsid w:val="61355E2F"/>
    <w:rsid w:val="61357BDD"/>
    <w:rsid w:val="61406582"/>
    <w:rsid w:val="6142679E"/>
    <w:rsid w:val="61493688"/>
    <w:rsid w:val="6166423A"/>
    <w:rsid w:val="61783AE7"/>
    <w:rsid w:val="619743F4"/>
    <w:rsid w:val="61A84853"/>
    <w:rsid w:val="61BA27D8"/>
    <w:rsid w:val="61ED495B"/>
    <w:rsid w:val="61F061FA"/>
    <w:rsid w:val="62070F6A"/>
    <w:rsid w:val="62191F62"/>
    <w:rsid w:val="62195750"/>
    <w:rsid w:val="623F15C0"/>
    <w:rsid w:val="624014A4"/>
    <w:rsid w:val="62456DC6"/>
    <w:rsid w:val="62467BC8"/>
    <w:rsid w:val="62662018"/>
    <w:rsid w:val="629628FD"/>
    <w:rsid w:val="62B611F1"/>
    <w:rsid w:val="62EF64B1"/>
    <w:rsid w:val="630E2DDB"/>
    <w:rsid w:val="632E24C7"/>
    <w:rsid w:val="637846F9"/>
    <w:rsid w:val="63862972"/>
    <w:rsid w:val="63C16768"/>
    <w:rsid w:val="63C94F54"/>
    <w:rsid w:val="63E92F01"/>
    <w:rsid w:val="64063AB3"/>
    <w:rsid w:val="64176BC2"/>
    <w:rsid w:val="64322AF9"/>
    <w:rsid w:val="644545DB"/>
    <w:rsid w:val="64721148"/>
    <w:rsid w:val="647527DE"/>
    <w:rsid w:val="649C7F73"/>
    <w:rsid w:val="64B67287"/>
    <w:rsid w:val="64B81251"/>
    <w:rsid w:val="64C01EB3"/>
    <w:rsid w:val="64CA0F84"/>
    <w:rsid w:val="64D94D23"/>
    <w:rsid w:val="64DD55CE"/>
    <w:rsid w:val="64EE6A20"/>
    <w:rsid w:val="65626DAD"/>
    <w:rsid w:val="65801643"/>
    <w:rsid w:val="65847385"/>
    <w:rsid w:val="658911AC"/>
    <w:rsid w:val="658C7FE7"/>
    <w:rsid w:val="65B732B6"/>
    <w:rsid w:val="65BD2897"/>
    <w:rsid w:val="65E10333"/>
    <w:rsid w:val="65FA31A3"/>
    <w:rsid w:val="66091638"/>
    <w:rsid w:val="660F30F2"/>
    <w:rsid w:val="66106E6A"/>
    <w:rsid w:val="66320B8F"/>
    <w:rsid w:val="66590DD7"/>
    <w:rsid w:val="66666A8A"/>
    <w:rsid w:val="666B5E4F"/>
    <w:rsid w:val="667967BE"/>
    <w:rsid w:val="66A650D9"/>
    <w:rsid w:val="66AA2E1B"/>
    <w:rsid w:val="66C13CC1"/>
    <w:rsid w:val="66D32372"/>
    <w:rsid w:val="66DE2AC5"/>
    <w:rsid w:val="670544F5"/>
    <w:rsid w:val="671604B0"/>
    <w:rsid w:val="672229B1"/>
    <w:rsid w:val="672A7AB8"/>
    <w:rsid w:val="672E216A"/>
    <w:rsid w:val="67303BF3"/>
    <w:rsid w:val="67446DCC"/>
    <w:rsid w:val="674943E2"/>
    <w:rsid w:val="67594CEE"/>
    <w:rsid w:val="676D6350"/>
    <w:rsid w:val="67746F85"/>
    <w:rsid w:val="677D0530"/>
    <w:rsid w:val="677F7E04"/>
    <w:rsid w:val="6787315C"/>
    <w:rsid w:val="67892A30"/>
    <w:rsid w:val="678B49FB"/>
    <w:rsid w:val="678C5E31"/>
    <w:rsid w:val="67917B37"/>
    <w:rsid w:val="67955879"/>
    <w:rsid w:val="679F4002"/>
    <w:rsid w:val="67A26C35"/>
    <w:rsid w:val="67A41555"/>
    <w:rsid w:val="67AE693B"/>
    <w:rsid w:val="67CC0B6F"/>
    <w:rsid w:val="67DB6DB5"/>
    <w:rsid w:val="67E22141"/>
    <w:rsid w:val="67EC2FBF"/>
    <w:rsid w:val="67F24A7A"/>
    <w:rsid w:val="67F26828"/>
    <w:rsid w:val="67F63DD5"/>
    <w:rsid w:val="67FB68A8"/>
    <w:rsid w:val="680229CA"/>
    <w:rsid w:val="680B5B3B"/>
    <w:rsid w:val="682775BD"/>
    <w:rsid w:val="68370587"/>
    <w:rsid w:val="684E5A28"/>
    <w:rsid w:val="6884144A"/>
    <w:rsid w:val="689A0C6D"/>
    <w:rsid w:val="68D221B5"/>
    <w:rsid w:val="68DC1286"/>
    <w:rsid w:val="68DC2549"/>
    <w:rsid w:val="68E51EE8"/>
    <w:rsid w:val="68E85E7D"/>
    <w:rsid w:val="68EF720B"/>
    <w:rsid w:val="68F93BE6"/>
    <w:rsid w:val="690031C6"/>
    <w:rsid w:val="690920EE"/>
    <w:rsid w:val="691E2BE3"/>
    <w:rsid w:val="6922138F"/>
    <w:rsid w:val="69252C2D"/>
    <w:rsid w:val="692D1AE1"/>
    <w:rsid w:val="693C3AD3"/>
    <w:rsid w:val="693C4AF6"/>
    <w:rsid w:val="693E0D04"/>
    <w:rsid w:val="69401815"/>
    <w:rsid w:val="6945507D"/>
    <w:rsid w:val="69456E2B"/>
    <w:rsid w:val="6958090C"/>
    <w:rsid w:val="697B0A9F"/>
    <w:rsid w:val="698C2CAC"/>
    <w:rsid w:val="69960A57"/>
    <w:rsid w:val="69AE677E"/>
    <w:rsid w:val="69CA1610"/>
    <w:rsid w:val="6A0C7949"/>
    <w:rsid w:val="6A18009C"/>
    <w:rsid w:val="6A3A6264"/>
    <w:rsid w:val="6A4357FD"/>
    <w:rsid w:val="6A61023C"/>
    <w:rsid w:val="6A6634FD"/>
    <w:rsid w:val="6A6B0B13"/>
    <w:rsid w:val="6A9A4F55"/>
    <w:rsid w:val="6AA87672"/>
    <w:rsid w:val="6ACD70D8"/>
    <w:rsid w:val="6AD9782B"/>
    <w:rsid w:val="6ADE12E5"/>
    <w:rsid w:val="6AE01CD6"/>
    <w:rsid w:val="6B036F9E"/>
    <w:rsid w:val="6B0D3978"/>
    <w:rsid w:val="6B23319C"/>
    <w:rsid w:val="6B413622"/>
    <w:rsid w:val="6B8E2D0B"/>
    <w:rsid w:val="6BA239A2"/>
    <w:rsid w:val="6BAF2C82"/>
    <w:rsid w:val="6BC009EB"/>
    <w:rsid w:val="6BC350F9"/>
    <w:rsid w:val="6BCC3834"/>
    <w:rsid w:val="6BD61FBC"/>
    <w:rsid w:val="6BE50451"/>
    <w:rsid w:val="6BE75F78"/>
    <w:rsid w:val="6BF6265F"/>
    <w:rsid w:val="6BFB5EC7"/>
    <w:rsid w:val="6C066D46"/>
    <w:rsid w:val="6C0D3E91"/>
    <w:rsid w:val="6C2216A6"/>
    <w:rsid w:val="6C296590"/>
    <w:rsid w:val="6C5C4BB7"/>
    <w:rsid w:val="6C5D26DE"/>
    <w:rsid w:val="6C613F7C"/>
    <w:rsid w:val="6C6B706C"/>
    <w:rsid w:val="6C6D2921"/>
    <w:rsid w:val="6C980DA3"/>
    <w:rsid w:val="6CA1081C"/>
    <w:rsid w:val="6CA34594"/>
    <w:rsid w:val="6CA420BB"/>
    <w:rsid w:val="6CCC4DD2"/>
    <w:rsid w:val="6CD429A0"/>
    <w:rsid w:val="6CD56718"/>
    <w:rsid w:val="6CE626D3"/>
    <w:rsid w:val="6CE95D1F"/>
    <w:rsid w:val="6D0D3E9C"/>
    <w:rsid w:val="6D0E5786"/>
    <w:rsid w:val="6D176247"/>
    <w:rsid w:val="6D371181"/>
    <w:rsid w:val="6D3E606B"/>
    <w:rsid w:val="6D606D8F"/>
    <w:rsid w:val="6D8C5028"/>
    <w:rsid w:val="6DA2484C"/>
    <w:rsid w:val="6DC249BF"/>
    <w:rsid w:val="6DD30EA9"/>
    <w:rsid w:val="6DD54C21"/>
    <w:rsid w:val="6DDA1BDC"/>
    <w:rsid w:val="6DDB5FB0"/>
    <w:rsid w:val="6DED687A"/>
    <w:rsid w:val="6DF06CAC"/>
    <w:rsid w:val="6DF22241"/>
    <w:rsid w:val="6E053030"/>
    <w:rsid w:val="6E080427"/>
    <w:rsid w:val="6E1A0886"/>
    <w:rsid w:val="6E337B9A"/>
    <w:rsid w:val="6E4D6123"/>
    <w:rsid w:val="6E8757F0"/>
    <w:rsid w:val="6E8F7888"/>
    <w:rsid w:val="6E970129"/>
    <w:rsid w:val="6EA445F4"/>
    <w:rsid w:val="6EA97E5C"/>
    <w:rsid w:val="6EAC5256"/>
    <w:rsid w:val="6EBA5BC5"/>
    <w:rsid w:val="6EC922AC"/>
    <w:rsid w:val="6EC95E08"/>
    <w:rsid w:val="6ED44ED9"/>
    <w:rsid w:val="6EE64C0C"/>
    <w:rsid w:val="6EFF2D31"/>
    <w:rsid w:val="6F2B261F"/>
    <w:rsid w:val="6F4F27B2"/>
    <w:rsid w:val="6F742218"/>
    <w:rsid w:val="6F751AEC"/>
    <w:rsid w:val="6F946416"/>
    <w:rsid w:val="6FAE2A27"/>
    <w:rsid w:val="6FCD1928"/>
    <w:rsid w:val="6FD8191A"/>
    <w:rsid w:val="6FE64E45"/>
    <w:rsid w:val="6FF11ABB"/>
    <w:rsid w:val="6FF84BF7"/>
    <w:rsid w:val="70161521"/>
    <w:rsid w:val="70294DB1"/>
    <w:rsid w:val="7036706F"/>
    <w:rsid w:val="70390D6C"/>
    <w:rsid w:val="703B0F88"/>
    <w:rsid w:val="704C6CF1"/>
    <w:rsid w:val="705F07D2"/>
    <w:rsid w:val="705F4C76"/>
    <w:rsid w:val="70840239"/>
    <w:rsid w:val="708B5A6B"/>
    <w:rsid w:val="70903082"/>
    <w:rsid w:val="70954F67"/>
    <w:rsid w:val="709D754D"/>
    <w:rsid w:val="70A628A5"/>
    <w:rsid w:val="70BB71D4"/>
    <w:rsid w:val="70C1148D"/>
    <w:rsid w:val="70C60851"/>
    <w:rsid w:val="70CB230C"/>
    <w:rsid w:val="70F22A8A"/>
    <w:rsid w:val="70F97434"/>
    <w:rsid w:val="70FF3D63"/>
    <w:rsid w:val="71211F2C"/>
    <w:rsid w:val="71445C1A"/>
    <w:rsid w:val="71494FDF"/>
    <w:rsid w:val="71A52B5D"/>
    <w:rsid w:val="71C176EC"/>
    <w:rsid w:val="71C34D91"/>
    <w:rsid w:val="71CA25C3"/>
    <w:rsid w:val="71D43A7B"/>
    <w:rsid w:val="71E116BB"/>
    <w:rsid w:val="71FA4908"/>
    <w:rsid w:val="72035AD5"/>
    <w:rsid w:val="721B4BCD"/>
    <w:rsid w:val="721D0945"/>
    <w:rsid w:val="72227D09"/>
    <w:rsid w:val="72457E9C"/>
    <w:rsid w:val="724A7260"/>
    <w:rsid w:val="7263685F"/>
    <w:rsid w:val="726A42FE"/>
    <w:rsid w:val="727A4288"/>
    <w:rsid w:val="729136D9"/>
    <w:rsid w:val="72966949"/>
    <w:rsid w:val="729A1F96"/>
    <w:rsid w:val="729F135A"/>
    <w:rsid w:val="72A37CB3"/>
    <w:rsid w:val="72AA7CFF"/>
    <w:rsid w:val="72B55021"/>
    <w:rsid w:val="72B646C5"/>
    <w:rsid w:val="72BB754C"/>
    <w:rsid w:val="72CE412A"/>
    <w:rsid w:val="72D66D46"/>
    <w:rsid w:val="72E718E7"/>
    <w:rsid w:val="72EC0317"/>
    <w:rsid w:val="72F441DB"/>
    <w:rsid w:val="731004AA"/>
    <w:rsid w:val="731955B0"/>
    <w:rsid w:val="731C3AC5"/>
    <w:rsid w:val="73256188"/>
    <w:rsid w:val="732857F3"/>
    <w:rsid w:val="73411B0D"/>
    <w:rsid w:val="734737A0"/>
    <w:rsid w:val="7352461E"/>
    <w:rsid w:val="735465E8"/>
    <w:rsid w:val="7366631C"/>
    <w:rsid w:val="736A5E0C"/>
    <w:rsid w:val="737E5413"/>
    <w:rsid w:val="73861D97"/>
    <w:rsid w:val="73A155A6"/>
    <w:rsid w:val="73BF77DA"/>
    <w:rsid w:val="73CA68AB"/>
    <w:rsid w:val="73CF5C6F"/>
    <w:rsid w:val="73D43285"/>
    <w:rsid w:val="73D541D6"/>
    <w:rsid w:val="73E27790"/>
    <w:rsid w:val="74055B35"/>
    <w:rsid w:val="745919DD"/>
    <w:rsid w:val="74962C31"/>
    <w:rsid w:val="749F1AE5"/>
    <w:rsid w:val="74BA691F"/>
    <w:rsid w:val="74CC21AE"/>
    <w:rsid w:val="74F060B7"/>
    <w:rsid w:val="74F55BA9"/>
    <w:rsid w:val="74FB2A94"/>
    <w:rsid w:val="751D2A0A"/>
    <w:rsid w:val="75295853"/>
    <w:rsid w:val="752D45A8"/>
    <w:rsid w:val="752E10BB"/>
    <w:rsid w:val="7530098F"/>
    <w:rsid w:val="75330480"/>
    <w:rsid w:val="754E0E15"/>
    <w:rsid w:val="7553580B"/>
    <w:rsid w:val="75556162"/>
    <w:rsid w:val="757A4300"/>
    <w:rsid w:val="757A60AE"/>
    <w:rsid w:val="759E1D9D"/>
    <w:rsid w:val="75AB270C"/>
    <w:rsid w:val="75B25848"/>
    <w:rsid w:val="75B570E6"/>
    <w:rsid w:val="75BF1D13"/>
    <w:rsid w:val="75F25C45"/>
    <w:rsid w:val="76097C18"/>
    <w:rsid w:val="760B4F58"/>
    <w:rsid w:val="76233456"/>
    <w:rsid w:val="76491355"/>
    <w:rsid w:val="76587637"/>
    <w:rsid w:val="765D1540"/>
    <w:rsid w:val="76676633"/>
    <w:rsid w:val="76832D41"/>
    <w:rsid w:val="76D35A76"/>
    <w:rsid w:val="76D75F4C"/>
    <w:rsid w:val="76EC2FDC"/>
    <w:rsid w:val="76F309A1"/>
    <w:rsid w:val="77083846"/>
    <w:rsid w:val="770A5210"/>
    <w:rsid w:val="77253DF8"/>
    <w:rsid w:val="77356731"/>
    <w:rsid w:val="77562203"/>
    <w:rsid w:val="775766A7"/>
    <w:rsid w:val="776C2C31"/>
    <w:rsid w:val="77811976"/>
    <w:rsid w:val="778D031B"/>
    <w:rsid w:val="77955421"/>
    <w:rsid w:val="77A80CB1"/>
    <w:rsid w:val="77A86F03"/>
    <w:rsid w:val="77C07C38"/>
    <w:rsid w:val="77C67389"/>
    <w:rsid w:val="77CD4BBB"/>
    <w:rsid w:val="77CD6969"/>
    <w:rsid w:val="77EB5041"/>
    <w:rsid w:val="781E71C5"/>
    <w:rsid w:val="7826607A"/>
    <w:rsid w:val="78397B5B"/>
    <w:rsid w:val="78485FF0"/>
    <w:rsid w:val="78760DAF"/>
    <w:rsid w:val="7880578A"/>
    <w:rsid w:val="78880AE2"/>
    <w:rsid w:val="78A0407E"/>
    <w:rsid w:val="78A07BDA"/>
    <w:rsid w:val="78B10039"/>
    <w:rsid w:val="78B96EEE"/>
    <w:rsid w:val="78C274DE"/>
    <w:rsid w:val="78C7160B"/>
    <w:rsid w:val="78CF04BF"/>
    <w:rsid w:val="78E95998"/>
    <w:rsid w:val="78F61EF0"/>
    <w:rsid w:val="78FB12B4"/>
    <w:rsid w:val="78FE0568"/>
    <w:rsid w:val="78FE771E"/>
    <w:rsid w:val="790E7239"/>
    <w:rsid w:val="79110AD8"/>
    <w:rsid w:val="79150068"/>
    <w:rsid w:val="79297BCF"/>
    <w:rsid w:val="793B7903"/>
    <w:rsid w:val="79425135"/>
    <w:rsid w:val="795135CA"/>
    <w:rsid w:val="795A5FDB"/>
    <w:rsid w:val="795E691A"/>
    <w:rsid w:val="79661644"/>
    <w:rsid w:val="79711576"/>
    <w:rsid w:val="79786DA9"/>
    <w:rsid w:val="79A25BD4"/>
    <w:rsid w:val="79A454A8"/>
    <w:rsid w:val="79B53B59"/>
    <w:rsid w:val="79C67B14"/>
    <w:rsid w:val="79D020A4"/>
    <w:rsid w:val="79D7762B"/>
    <w:rsid w:val="79DF2569"/>
    <w:rsid w:val="79DF2984"/>
    <w:rsid w:val="79FD4D1C"/>
    <w:rsid w:val="7A1C7734"/>
    <w:rsid w:val="7A230AC3"/>
    <w:rsid w:val="7A41719B"/>
    <w:rsid w:val="7A4A59FD"/>
    <w:rsid w:val="7A61783D"/>
    <w:rsid w:val="7A6A4943"/>
    <w:rsid w:val="7A8145AB"/>
    <w:rsid w:val="7A9674E6"/>
    <w:rsid w:val="7AA634A2"/>
    <w:rsid w:val="7AA716F4"/>
    <w:rsid w:val="7AB21E46"/>
    <w:rsid w:val="7ABC4A73"/>
    <w:rsid w:val="7AC31DEF"/>
    <w:rsid w:val="7AC57DCC"/>
    <w:rsid w:val="7AC676A0"/>
    <w:rsid w:val="7AD77F19"/>
    <w:rsid w:val="7AE85868"/>
    <w:rsid w:val="7AFF37D8"/>
    <w:rsid w:val="7B0F1047"/>
    <w:rsid w:val="7B1A2F0B"/>
    <w:rsid w:val="7B1A3793"/>
    <w:rsid w:val="7B256ABC"/>
    <w:rsid w:val="7B3867F0"/>
    <w:rsid w:val="7B4B1258"/>
    <w:rsid w:val="7B566C76"/>
    <w:rsid w:val="7B6018A2"/>
    <w:rsid w:val="7B615D46"/>
    <w:rsid w:val="7B643141"/>
    <w:rsid w:val="7B77578E"/>
    <w:rsid w:val="7BA63759"/>
    <w:rsid w:val="7BA85143"/>
    <w:rsid w:val="7BB45714"/>
    <w:rsid w:val="7BB5399C"/>
    <w:rsid w:val="7BBA7205"/>
    <w:rsid w:val="7BBE3213"/>
    <w:rsid w:val="7BBF0CBF"/>
    <w:rsid w:val="7BC56BAD"/>
    <w:rsid w:val="7BF24BF0"/>
    <w:rsid w:val="7BF72207"/>
    <w:rsid w:val="7C093CE8"/>
    <w:rsid w:val="7C137A39"/>
    <w:rsid w:val="7C195991"/>
    <w:rsid w:val="7C480CB4"/>
    <w:rsid w:val="7C4D69FC"/>
    <w:rsid w:val="7C596A1E"/>
    <w:rsid w:val="7C6C26B7"/>
    <w:rsid w:val="7C6E0DD3"/>
    <w:rsid w:val="7C8B61C6"/>
    <w:rsid w:val="7C8D47EE"/>
    <w:rsid w:val="7C920181"/>
    <w:rsid w:val="7C943EFA"/>
    <w:rsid w:val="7CC12815"/>
    <w:rsid w:val="7CDE33C7"/>
    <w:rsid w:val="7CF36E72"/>
    <w:rsid w:val="7CF6426C"/>
    <w:rsid w:val="7CF76237"/>
    <w:rsid w:val="7D00333D"/>
    <w:rsid w:val="7D0746CC"/>
    <w:rsid w:val="7D0938C9"/>
    <w:rsid w:val="7D133070"/>
    <w:rsid w:val="7D1820FA"/>
    <w:rsid w:val="7D1E30DE"/>
    <w:rsid w:val="7D21643D"/>
    <w:rsid w:val="7D252DA4"/>
    <w:rsid w:val="7D3A4883"/>
    <w:rsid w:val="7D456FA2"/>
    <w:rsid w:val="7D515947"/>
    <w:rsid w:val="7D7A30EF"/>
    <w:rsid w:val="7D9046C1"/>
    <w:rsid w:val="7DB67EA0"/>
    <w:rsid w:val="7DC26844"/>
    <w:rsid w:val="7DEE13E8"/>
    <w:rsid w:val="7DFA53A3"/>
    <w:rsid w:val="7DFF4CCB"/>
    <w:rsid w:val="7E092871"/>
    <w:rsid w:val="7E123328"/>
    <w:rsid w:val="7E130439"/>
    <w:rsid w:val="7E2C65B8"/>
    <w:rsid w:val="7E494870"/>
    <w:rsid w:val="7E5A4CCF"/>
    <w:rsid w:val="7E5D031B"/>
    <w:rsid w:val="7E6A3164"/>
    <w:rsid w:val="7E834226"/>
    <w:rsid w:val="7E9E1121"/>
    <w:rsid w:val="7E9E696A"/>
    <w:rsid w:val="7EA128FE"/>
    <w:rsid w:val="7EA1645A"/>
    <w:rsid w:val="7EAB2D96"/>
    <w:rsid w:val="7EC81C39"/>
    <w:rsid w:val="7EEF0D46"/>
    <w:rsid w:val="7EF0118F"/>
    <w:rsid w:val="7F0F5AB9"/>
    <w:rsid w:val="7F196938"/>
    <w:rsid w:val="7F1E7AAB"/>
    <w:rsid w:val="7F4339B5"/>
    <w:rsid w:val="7F572FBC"/>
    <w:rsid w:val="7F5D6825"/>
    <w:rsid w:val="7F710522"/>
    <w:rsid w:val="7F765B38"/>
    <w:rsid w:val="7F8D69DE"/>
    <w:rsid w:val="7F967F89"/>
    <w:rsid w:val="7FA06711"/>
    <w:rsid w:val="7FD05249"/>
    <w:rsid w:val="7FE54E89"/>
    <w:rsid w:val="7FF01447"/>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宋体"/>
      <w:sz w:val="24"/>
      <w:szCs w:val="24"/>
      <w:lang w:val="en-US" w:eastAsia="zh-CN" w:bidi="ar-SA"/>
    </w:rPr>
  </w:style>
  <w:style w:type="paragraph" w:styleId="4">
    <w:name w:val="heading 1"/>
    <w:basedOn w:val="1"/>
    <w:next w:val="1"/>
    <w:link w:val="65"/>
    <w:qFormat/>
    <w:uiPriority w:val="0"/>
    <w:pPr>
      <w:keepNext/>
      <w:keepLines/>
      <w:spacing w:before="340" w:beforeLines="0" w:beforeAutospacing="0" w:after="340" w:afterLines="0" w:afterAutospacing="0" w:line="240" w:lineRule="auto"/>
      <w:jc w:val="left"/>
      <w:outlineLvl w:val="0"/>
    </w:pPr>
    <w:rPr>
      <w:rFonts w:ascii="Arial" w:hAnsi="Arial" w:cs="Arial"/>
      <w:b/>
      <w:snapToGrid w:val="0"/>
      <w:color w:val="000000"/>
      <w:kern w:val="44"/>
      <w:sz w:val="44"/>
      <w:szCs w:val="21"/>
      <w:lang w:eastAsia="en-US"/>
    </w:rPr>
  </w:style>
  <w:style w:type="paragraph" w:styleId="5">
    <w:name w:val="heading 2"/>
    <w:basedOn w:val="1"/>
    <w:next w:val="1"/>
    <w:semiHidden/>
    <w:unhideWhenUsed/>
    <w:qFormat/>
    <w:uiPriority w:val="0"/>
    <w:pPr>
      <w:keepNext/>
      <w:keepLines/>
      <w:spacing w:beforeLines="0" w:beforeAutospacing="0" w:after="10" w:afterAutospacing="0" w:line="600" w:lineRule="exact"/>
      <w:jc w:val="left"/>
      <w:outlineLvl w:val="1"/>
    </w:pPr>
    <w:rPr>
      <w:rFonts w:ascii="Arial" w:hAnsi="Arial" w:cs="Arial"/>
      <w:b/>
      <w:snapToGrid w:val="0"/>
      <w:color w:val="000000"/>
      <w:kern w:val="0"/>
      <w:sz w:val="30"/>
      <w:szCs w:val="21"/>
      <w:lang w:eastAsia="en-US"/>
    </w:rPr>
  </w:style>
  <w:style w:type="paragraph" w:styleId="6">
    <w:name w:val="heading 3"/>
    <w:basedOn w:val="1"/>
    <w:next w:val="1"/>
    <w:link w:val="97"/>
    <w:semiHidden/>
    <w:unhideWhenUsed/>
    <w:qFormat/>
    <w:uiPriority w:val="0"/>
    <w:pPr>
      <w:keepNext/>
      <w:keepLines/>
      <w:spacing w:before="120" w:beforeLines="0" w:beforeAutospacing="0" w:after="120" w:afterLines="0" w:afterAutospacing="0" w:line="240" w:lineRule="auto"/>
      <w:jc w:val="left"/>
      <w:outlineLvl w:val="2"/>
    </w:pPr>
    <w:rPr>
      <w:rFonts w:ascii="Arial" w:hAnsi="Arial" w:cs="Arial"/>
      <w:b/>
      <w:snapToGrid w:val="0"/>
      <w:color w:val="000000"/>
      <w:kern w:val="0"/>
      <w:sz w:val="28"/>
      <w:szCs w:val="21"/>
      <w:lang w:eastAsia="en-US"/>
    </w:rPr>
  </w:style>
  <w:style w:type="paragraph" w:styleId="7">
    <w:name w:val="heading 4"/>
    <w:basedOn w:val="1"/>
    <w:next w:val="1"/>
    <w:semiHidden/>
    <w:unhideWhenUsed/>
    <w:qFormat/>
    <w:uiPriority w:val="0"/>
    <w:pPr>
      <w:keepNext/>
      <w:keepLines/>
      <w:spacing w:beforeLines="0" w:beforeAutospacing="0" w:afterLines="0" w:afterAutospacing="0" w:line="360" w:lineRule="auto"/>
      <w:outlineLvl w:val="3"/>
    </w:pPr>
    <w:rPr>
      <w:rFonts w:ascii="Arial" w:hAnsi="Arial" w:eastAsia="宋体" w:cs="Arial"/>
      <w:b/>
      <w:snapToGrid w:val="0"/>
      <w:color w:val="000000"/>
      <w:kern w:val="0"/>
      <w:sz w:val="24"/>
      <w:szCs w:val="21"/>
      <w:lang w:eastAsia="en-US"/>
    </w:rPr>
  </w:style>
  <w:style w:type="paragraph" w:styleId="8">
    <w:name w:val="heading 5"/>
    <w:basedOn w:val="1"/>
    <w:next w:val="1"/>
    <w:semiHidden/>
    <w:unhideWhenUsed/>
    <w:qFormat/>
    <w:uiPriority w:val="0"/>
    <w:pPr>
      <w:keepNext/>
      <w:keepLines/>
      <w:spacing w:beforeLines="0" w:beforeAutospacing="0" w:afterLines="0" w:afterAutospacing="0" w:line="360" w:lineRule="auto"/>
      <w:jc w:val="center"/>
      <w:outlineLvl w:val="4"/>
    </w:pPr>
    <w:rPr>
      <w:rFonts w:ascii="Arial" w:hAnsi="Arial" w:eastAsia="黑体"/>
      <w:b/>
      <w:sz w:val="21"/>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
    <w:name w:val="A-表格文字"/>
    <w:basedOn w:val="1"/>
    <w:next w:val="1"/>
    <w:qFormat/>
    <w:uiPriority w:val="0"/>
    <w:pPr>
      <w:autoSpaceDE w:val="0"/>
      <w:autoSpaceDN w:val="0"/>
      <w:adjustRightInd w:val="0"/>
      <w:jc w:val="center"/>
      <w:textAlignment w:val="center"/>
    </w:pPr>
    <w:rPr>
      <w:kern w:val="0"/>
      <w:szCs w:val="21"/>
    </w:rPr>
  </w:style>
  <w:style w:type="paragraph" w:styleId="9">
    <w:name w:val="Normal Indent"/>
    <w:basedOn w:val="1"/>
    <w:next w:val="10"/>
    <w:qFormat/>
    <w:uiPriority w:val="0"/>
    <w:pPr>
      <w:widowControl/>
      <w:ind w:firstLine="420"/>
      <w:jc w:val="left"/>
    </w:pPr>
    <w:rPr>
      <w:rFonts w:ascii="Arial" w:hAnsi="Arial" w:eastAsia="仿宋_GB2312"/>
    </w:rPr>
  </w:style>
  <w:style w:type="paragraph" w:customStyle="1" w:styleId="10">
    <w:name w:val="Char Char Char Char Char Char Char Char Char1 Char"/>
    <w:basedOn w:val="1"/>
    <w:next w:val="11"/>
    <w:qFormat/>
    <w:uiPriority w:val="0"/>
    <w:pPr>
      <w:spacing w:line="360" w:lineRule="auto"/>
      <w:ind w:firstLine="200" w:firstLineChars="200"/>
    </w:pPr>
    <w:rPr>
      <w:rFonts w:hAnsi="宋体" w:cs="宋体"/>
      <w:spacing w:val="0"/>
      <w:sz w:val="24"/>
      <w:szCs w:val="24"/>
    </w:rPr>
  </w:style>
  <w:style w:type="paragraph" w:customStyle="1" w:styleId="11">
    <w:name w:val="Body Text First Indent1"/>
    <w:basedOn w:val="12"/>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12">
    <w:name w:val="Body Text"/>
    <w:basedOn w:val="1"/>
    <w:next w:val="13"/>
    <w:link w:val="64"/>
    <w:qFormat/>
    <w:uiPriority w:val="0"/>
    <w:pPr>
      <w:adjustRightInd w:val="0"/>
      <w:spacing w:line="360" w:lineRule="auto"/>
      <w:ind w:left="0" w:leftChars="0"/>
    </w:pPr>
    <w:rPr>
      <w:rFonts w:ascii="宋体" w:hAnsi="宋体" w:eastAsia="宋体" w:cs="宋体"/>
    </w:rPr>
  </w:style>
  <w:style w:type="paragraph" w:customStyle="1" w:styleId="13">
    <w:name w:val="默认段落"/>
    <w:qFormat/>
    <w:uiPriority w:val="99"/>
    <w:pPr>
      <w:widowControl w:val="0"/>
      <w:spacing w:line="360" w:lineRule="auto"/>
      <w:ind w:firstLine="578" w:firstLineChars="200"/>
      <w:jc w:val="both"/>
    </w:pPr>
    <w:rPr>
      <w:rFonts w:ascii="Times New Roman" w:hAnsi="Times New Roman" w:eastAsia="宋体" w:cs="Times New Roman"/>
      <w:sz w:val="24"/>
      <w:szCs w:val="20"/>
      <w:lang w:val="en-US" w:eastAsia="zh-CN" w:bidi="ar-SA"/>
    </w:rPr>
  </w:style>
  <w:style w:type="paragraph" w:styleId="14">
    <w:name w:val="caption"/>
    <w:basedOn w:val="1"/>
    <w:next w:val="1"/>
    <w:semiHidden/>
    <w:unhideWhenUsed/>
    <w:qFormat/>
    <w:uiPriority w:val="0"/>
    <w:rPr>
      <w:rFonts w:ascii="Arial" w:hAnsi="Arial" w:eastAsia="黑体"/>
      <w:sz w:val="20"/>
    </w:rPr>
  </w:style>
  <w:style w:type="paragraph" w:styleId="15">
    <w:name w:val="annotation text"/>
    <w:basedOn w:val="1"/>
    <w:qFormat/>
    <w:uiPriority w:val="0"/>
    <w:pPr>
      <w:spacing w:line="360" w:lineRule="auto"/>
    </w:pPr>
  </w:style>
  <w:style w:type="paragraph" w:styleId="16">
    <w:name w:val="Body Text Indent"/>
    <w:basedOn w:val="1"/>
    <w:next w:val="12"/>
    <w:qFormat/>
    <w:uiPriority w:val="0"/>
    <w:pPr>
      <w:spacing w:after="120"/>
      <w:ind w:left="420" w:leftChars="200"/>
    </w:pPr>
    <w:rPr>
      <w:rFonts w:ascii="Calibri" w:hAnsi="Calibri" w:cs="Times New Roman"/>
      <w:szCs w:val="22"/>
    </w:rPr>
  </w:style>
  <w:style w:type="paragraph" w:styleId="17">
    <w:name w:val="List 2"/>
    <w:basedOn w:val="1"/>
    <w:qFormat/>
    <w:uiPriority w:val="0"/>
    <w:pPr>
      <w:ind w:left="100" w:leftChars="200" w:hanging="200" w:hangingChars="200"/>
    </w:pPr>
    <w:rPr>
      <w:rFonts w:ascii="Times New Roman"/>
      <w:spacing w:val="0"/>
      <w:sz w:val="21"/>
      <w:szCs w:val="24"/>
    </w:rPr>
  </w:style>
  <w:style w:type="paragraph" w:styleId="18">
    <w:name w:val="Plain Text"/>
    <w:basedOn w:val="1"/>
    <w:next w:val="2"/>
    <w:qFormat/>
    <w:uiPriority w:val="0"/>
    <w:rPr>
      <w:rFonts w:hAnsi="Courier New"/>
    </w:rPr>
  </w:style>
  <w:style w:type="paragraph" w:styleId="19">
    <w:name w:val="List Bullet 5"/>
    <w:basedOn w:val="1"/>
    <w:qFormat/>
    <w:uiPriority w:val="0"/>
    <w:pPr>
      <w:numPr>
        <w:ilvl w:val="0"/>
        <w:numId w:val="1"/>
      </w:numPr>
    </w:pPr>
  </w:style>
  <w:style w:type="paragraph" w:styleId="20">
    <w:name w:val="Body Text Indent 2"/>
    <w:basedOn w:val="1"/>
    <w:qFormat/>
    <w:uiPriority w:val="99"/>
    <w:pPr>
      <w:spacing w:after="120" w:afterLines="0" w:line="480" w:lineRule="auto"/>
      <w:ind w:left="420" w:leftChars="200" w:firstLine="200" w:firstLineChars="200"/>
    </w:pPr>
    <w:rPr>
      <w:kern w:val="0"/>
      <w:sz w:val="24"/>
    </w:rPr>
  </w:style>
  <w:style w:type="paragraph" w:styleId="21">
    <w:name w:val="footer"/>
    <w:basedOn w:val="1"/>
    <w:qFormat/>
    <w:uiPriority w:val="0"/>
    <w:pPr>
      <w:tabs>
        <w:tab w:val="center" w:pos="4153"/>
        <w:tab w:val="right" w:pos="8306"/>
      </w:tabs>
      <w:snapToGrid w:val="0"/>
    </w:pPr>
    <w:rPr>
      <w:sz w:val="18"/>
      <w:szCs w:val="18"/>
    </w:rPr>
  </w:style>
  <w:style w:type="paragraph" w:styleId="22">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toc 1"/>
    <w:basedOn w:val="1"/>
    <w:next w:val="1"/>
    <w:qFormat/>
    <w:uiPriority w:val="39"/>
  </w:style>
  <w:style w:type="paragraph" w:styleId="24">
    <w:name w:val="index heading"/>
    <w:basedOn w:val="1"/>
    <w:next w:val="25"/>
    <w:qFormat/>
    <w:uiPriority w:val="0"/>
    <w:pPr>
      <w:widowControl w:val="0"/>
      <w:pBdr>
        <w:top w:val="single" w:color="auto" w:sz="12" w:space="0"/>
      </w:pBdr>
      <w:spacing w:before="360" w:after="240"/>
      <w:jc w:val="both"/>
    </w:pPr>
    <w:rPr>
      <w:rFonts w:ascii="Times New Roman" w:hAnsi="Times New Roman" w:cs="Times New Roman"/>
      <w:b/>
      <w:i/>
      <w:kern w:val="2"/>
      <w:sz w:val="26"/>
      <w:szCs w:val="20"/>
    </w:rPr>
  </w:style>
  <w:style w:type="paragraph" w:styleId="25">
    <w:name w:val="index 1"/>
    <w:basedOn w:val="1"/>
    <w:next w:val="1"/>
    <w:unhideWhenUsed/>
    <w:qFormat/>
    <w:uiPriority w:val="99"/>
    <w:pPr>
      <w:widowControl w:val="0"/>
      <w:jc w:val="both"/>
    </w:pPr>
    <w:rPr>
      <w:rFonts w:ascii="Times New Roman" w:hAnsi="Times New Roman" w:cs="Times New Roman"/>
      <w:b/>
      <w:kern w:val="2"/>
      <w:sz w:val="28"/>
      <w:szCs w:val="20"/>
    </w:rPr>
  </w:style>
  <w:style w:type="paragraph" w:styleId="26">
    <w:name w:val="List"/>
    <w:basedOn w:val="1"/>
    <w:qFormat/>
    <w:uiPriority w:val="0"/>
    <w:pPr>
      <w:spacing w:line="240" w:lineRule="exact"/>
      <w:ind w:firstLine="200" w:firstLineChars="200"/>
      <w:jc w:val="center"/>
    </w:pPr>
    <w:rPr>
      <w:rFonts w:ascii="Arial" w:hAnsi="Arial"/>
      <w:snapToGrid w:val="0"/>
      <w:kern w:val="0"/>
      <w:sz w:val="24"/>
    </w:rPr>
  </w:style>
  <w:style w:type="paragraph" w:styleId="27">
    <w:name w:val="Body Text Indent 3"/>
    <w:basedOn w:val="1"/>
    <w:qFormat/>
    <w:uiPriority w:val="0"/>
    <w:pPr>
      <w:spacing w:after="120" w:afterLines="0"/>
      <w:ind w:left="420" w:leftChars="200"/>
    </w:pPr>
    <w:rPr>
      <w:sz w:val="16"/>
      <w:szCs w:val="16"/>
    </w:rPr>
  </w:style>
  <w:style w:type="paragraph" w:styleId="28">
    <w:name w:val="index 9"/>
    <w:basedOn w:val="1"/>
    <w:next w:val="1"/>
    <w:qFormat/>
    <w:uiPriority w:val="0"/>
    <w:pPr>
      <w:spacing w:line="400" w:lineRule="exact"/>
      <w:ind w:left="1600" w:leftChars="1600" w:firstLine="200" w:firstLineChars="200"/>
    </w:pPr>
    <w:rPr>
      <w:rFonts w:ascii="宋体" w:hAnsi="宋体"/>
      <w:bCs/>
      <w:spacing w:val="16"/>
      <w:position w:val="2"/>
      <w:sz w:val="18"/>
      <w:szCs w:val="18"/>
    </w:rPr>
  </w:style>
  <w:style w:type="paragraph" w:styleId="29">
    <w:name w:val="table of figures"/>
    <w:basedOn w:val="1"/>
    <w:next w:val="1"/>
    <w:qFormat/>
    <w:uiPriority w:val="0"/>
    <w:pPr>
      <w:jc w:val="center"/>
    </w:pPr>
    <w:rPr>
      <w:spacing w:val="-8"/>
      <w:kern w:val="0"/>
    </w:rPr>
  </w:style>
  <w:style w:type="paragraph" w:styleId="30">
    <w:name w:val="toc 2"/>
    <w:basedOn w:val="1"/>
    <w:next w:val="1"/>
    <w:qFormat/>
    <w:uiPriority w:val="39"/>
    <w:pPr>
      <w:ind w:left="420" w:leftChars="200"/>
    </w:pPr>
  </w:style>
  <w:style w:type="paragraph" w:styleId="31">
    <w:name w:val="Body Text 2"/>
    <w:basedOn w:val="1"/>
    <w:qFormat/>
    <w:uiPriority w:val="0"/>
    <w:pPr>
      <w:spacing w:after="120" w:line="480" w:lineRule="auto"/>
      <w:ind w:firstLine="200" w:firstLineChars="200"/>
    </w:pPr>
    <w:rPr>
      <w:rFonts w:ascii="Calibri" w:hAnsi="Calibri" w:cs="Times New Roman"/>
      <w:sz w:val="24"/>
      <w:szCs w:val="22"/>
    </w:rPr>
  </w:style>
  <w:style w:type="paragraph" w:styleId="32">
    <w:name w:val="Normal (Web)"/>
    <w:basedOn w:val="1"/>
    <w:unhideWhenUsed/>
    <w:qFormat/>
    <w:uiPriority w:val="99"/>
  </w:style>
  <w:style w:type="paragraph" w:styleId="33">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34">
    <w:name w:val="Body Text First Indent 2"/>
    <w:basedOn w:val="16"/>
    <w:next w:val="1"/>
    <w:qFormat/>
    <w:uiPriority w:val="0"/>
    <w:pPr>
      <w:ind w:firstLine="420" w:firstLineChars="200"/>
    </w:pPr>
    <w:rPr>
      <w:b/>
      <w:kern w:val="44"/>
      <w:sz w:val="44"/>
    </w:rPr>
  </w:style>
  <w:style w:type="table" w:styleId="36">
    <w:name w:val="Table Grid"/>
    <w:basedOn w:val="35"/>
    <w:unhideWhenUsed/>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rFonts w:ascii="Times New Roman" w:hAnsi="Times New Roman"/>
      <w:b/>
      <w:sz w:val="21"/>
    </w:rPr>
  </w:style>
  <w:style w:type="character" w:styleId="39">
    <w:name w:val="Hyperlink"/>
    <w:basedOn w:val="37"/>
    <w:qFormat/>
    <w:uiPriority w:val="99"/>
    <w:rPr>
      <w:rFonts w:eastAsia="宋体"/>
      <w:color w:val="0000FF"/>
      <w:kern w:val="2"/>
      <w:sz w:val="24"/>
      <w:u w:val="single"/>
      <w:lang w:val="en-US" w:eastAsia="zh-CN"/>
    </w:rPr>
  </w:style>
  <w:style w:type="paragraph" w:customStyle="1" w:styleId="40">
    <w:name w:val="Body Text First Indent"/>
    <w:next w:val="1"/>
    <w:autoRedefine/>
    <w:qFormat/>
    <w:uiPriority w:val="0"/>
    <w:pPr>
      <w:widowControl w:val="0"/>
      <w:spacing w:after="120"/>
      <w:ind w:firstLine="420"/>
      <w:jc w:val="both"/>
    </w:pPr>
    <w:rPr>
      <w:rFonts w:ascii="宋体" w:hAnsi="Times New Roman" w:eastAsia="黑体" w:cs="Times New Roman"/>
      <w:spacing w:val="5"/>
      <w:kern w:val="2"/>
      <w:sz w:val="21"/>
      <w:szCs w:val="22"/>
      <w:lang w:val="en-US" w:eastAsia="zh-CN" w:bidi="ar-SA"/>
    </w:rPr>
  </w:style>
  <w:style w:type="paragraph" w:customStyle="1" w:styleId="41">
    <w:name w:val="1 表头"/>
    <w:basedOn w:val="1"/>
    <w:qFormat/>
    <w:uiPriority w:val="0"/>
    <w:pPr>
      <w:adjustRightInd w:val="0"/>
      <w:snapToGrid w:val="0"/>
      <w:spacing w:line="240" w:lineRule="auto"/>
      <w:ind w:firstLine="0" w:firstLineChars="0"/>
      <w:jc w:val="center"/>
    </w:pPr>
    <w:rPr>
      <w:b/>
      <w:color w:val="000000"/>
      <w:sz w:val="21"/>
    </w:rPr>
  </w:style>
  <w:style w:type="paragraph" w:customStyle="1" w:styleId="42">
    <w:name w:val="Table Text"/>
    <w:basedOn w:val="1"/>
    <w:semiHidden/>
    <w:qFormat/>
    <w:uiPriority w:val="0"/>
    <w:pPr>
      <w:jc w:val="center"/>
    </w:pPr>
    <w:rPr>
      <w:rFonts w:ascii="宋体" w:hAnsi="宋体" w:eastAsia="黑体" w:cs="宋体"/>
      <w:sz w:val="21"/>
    </w:rPr>
  </w:style>
  <w:style w:type="paragraph" w:customStyle="1" w:styleId="43">
    <w:name w:val="表格文字"/>
    <w:basedOn w:val="1"/>
    <w:next w:val="1"/>
    <w:qFormat/>
    <w:uiPriority w:val="0"/>
    <w:pPr>
      <w:keepNext/>
      <w:keepLines/>
      <w:spacing w:beforeLines="0" w:afterLines="0" w:line="240" w:lineRule="auto"/>
      <w:jc w:val="center"/>
      <w:outlineLvl w:val="4"/>
    </w:pPr>
    <w:rPr>
      <w:rFonts w:ascii="Arial" w:hAnsi="Arial" w:eastAsia="宋体"/>
      <w:sz w:val="21"/>
    </w:rPr>
  </w:style>
  <w:style w:type="paragraph" w:customStyle="1" w:styleId="44">
    <w:name w:val="表、图名"/>
    <w:basedOn w:val="1"/>
    <w:qFormat/>
    <w:uiPriority w:val="0"/>
    <w:pPr>
      <w:adjustRightInd w:val="0"/>
      <w:snapToGrid w:val="0"/>
      <w:spacing w:line="240" w:lineRule="auto"/>
      <w:jc w:val="center"/>
      <w:outlineLvl w:val="5"/>
    </w:pPr>
    <w:rPr>
      <w:rFonts w:ascii="Times New Roman" w:hAnsi="Times New Roman" w:eastAsia="黑体" w:cs="Times New Roman"/>
      <w:sz w:val="21"/>
    </w:rPr>
  </w:style>
  <w:style w:type="paragraph" w:customStyle="1" w:styleId="45">
    <w:name w:val="表、图名-"/>
    <w:basedOn w:val="1"/>
    <w:qFormat/>
    <w:uiPriority w:val="0"/>
    <w:pPr>
      <w:adjustRightInd w:val="0"/>
      <w:snapToGrid w:val="0"/>
      <w:spacing w:line="360" w:lineRule="auto"/>
      <w:jc w:val="center"/>
      <w:textAlignment w:val="baseline"/>
    </w:pPr>
    <w:rPr>
      <w:rFonts w:ascii="Calibri" w:hAnsi="Calibri" w:eastAsia="黑体" w:cs="Times New Roman"/>
      <w:kern w:val="2"/>
      <w:sz w:val="21"/>
      <w:szCs w:val="22"/>
      <w:lang w:eastAsia="zh-CN"/>
    </w:rPr>
  </w:style>
  <w:style w:type="paragraph" w:customStyle="1" w:styleId="46">
    <w:name w:val="正文文本-"/>
    <w:basedOn w:val="1"/>
    <w:qFormat/>
    <w:uiPriority w:val="0"/>
    <w:pPr>
      <w:spacing w:line="360" w:lineRule="auto"/>
    </w:pPr>
    <w:rPr>
      <w:rFonts w:ascii="Times New Roman" w:hAnsi="Times New Roman" w:cs="Times New Roman"/>
      <w:kern w:val="2"/>
      <w:sz w:val="24"/>
      <w:lang w:eastAsia="zh-CN"/>
    </w:rPr>
  </w:style>
  <w:style w:type="paragraph" w:customStyle="1" w:styleId="47">
    <w:name w:val="标题2"/>
    <w:basedOn w:val="5"/>
    <w:qFormat/>
    <w:uiPriority w:val="0"/>
    <w:rPr>
      <w:rFonts w:cs="Times New Roman"/>
      <w:color w:val="auto"/>
    </w:rPr>
  </w:style>
  <w:style w:type="paragraph" w:customStyle="1" w:styleId="48">
    <w:name w:val="标题3"/>
    <w:basedOn w:val="49"/>
    <w:qFormat/>
    <w:uiPriority w:val="0"/>
    <w:pPr>
      <w:keepNext/>
      <w:keepLines/>
      <w:spacing w:before="120" w:after="120" w:line="360" w:lineRule="auto"/>
      <w:outlineLvl w:val="2"/>
    </w:pPr>
    <w:rPr>
      <w:szCs w:val="22"/>
    </w:rPr>
  </w:style>
  <w:style w:type="paragraph" w:customStyle="1" w:styleId="49">
    <w:name w:val="标题 3新"/>
    <w:basedOn w:val="6"/>
    <w:qFormat/>
    <w:uiPriority w:val="0"/>
    <w:pPr>
      <w:widowControl w:val="0"/>
      <w:spacing w:before="120" w:after="120" w:line="240" w:lineRule="auto"/>
    </w:pPr>
    <w:rPr>
      <w:rFonts w:ascii="Times New Roman" w:hAnsi="Times New Roman" w:cs="Times New Roman"/>
      <w:sz w:val="28"/>
      <w:szCs w:val="28"/>
    </w:rPr>
  </w:style>
  <w:style w:type="paragraph" w:customStyle="1" w:styleId="50">
    <w:name w:val="图表标题"/>
    <w:basedOn w:val="1"/>
    <w:qFormat/>
    <w:uiPriority w:val="0"/>
    <w:pPr>
      <w:spacing w:line="360" w:lineRule="auto"/>
      <w:jc w:val="center"/>
      <w:outlineLvl w:val="9"/>
    </w:pPr>
    <w:rPr>
      <w:rFonts w:ascii="Times New Roman" w:hAnsi="Times New Roman" w:cs="Times New Roman"/>
      <w:b/>
      <w:sz w:val="21"/>
      <w:szCs w:val="21"/>
    </w:rPr>
  </w:style>
  <w:style w:type="paragraph" w:customStyle="1" w:styleId="51">
    <w:name w:val="表中内容"/>
    <w:basedOn w:val="1"/>
    <w:qFormat/>
    <w:uiPriority w:val="0"/>
    <w:pPr>
      <w:shd w:val="clear" w:color="auto" w:fill="FFFFFF"/>
      <w:overflowPunct w:val="0"/>
      <w:autoSpaceDE w:val="0"/>
      <w:autoSpaceDN w:val="0"/>
      <w:adjustRightInd w:val="0"/>
      <w:snapToGrid w:val="0"/>
      <w:jc w:val="center"/>
      <w:textAlignment w:val="baseline"/>
    </w:pPr>
    <w:rPr>
      <w:rFonts w:ascii="Times New Roman" w:hAnsi="Times New Roman" w:cs="Times New Roman"/>
      <w:kern w:val="2"/>
      <w:sz w:val="21"/>
    </w:rPr>
  </w:style>
  <w:style w:type="paragraph" w:customStyle="1" w:styleId="52">
    <w:name w:val="表格内容"/>
    <w:basedOn w:val="53"/>
    <w:qFormat/>
    <w:uiPriority w:val="6"/>
    <w:pPr>
      <w:spacing w:line="280" w:lineRule="exact"/>
      <w:ind w:firstLine="0"/>
      <w:jc w:val="center"/>
    </w:pPr>
    <w:rPr>
      <w:rFonts w:cs="Times New Roman"/>
      <w:sz w:val="21"/>
      <w:szCs w:val="18"/>
    </w:rPr>
  </w:style>
  <w:style w:type="paragraph" w:customStyle="1" w:styleId="53">
    <w:name w:val="WW-正文缩进"/>
    <w:basedOn w:val="1"/>
    <w:semiHidden/>
    <w:qFormat/>
    <w:uiPriority w:val="0"/>
    <w:pPr>
      <w:ind w:firstLine="420"/>
    </w:pPr>
    <w:rPr>
      <w:sz w:val="28"/>
      <w:szCs w:val="20"/>
    </w:rPr>
  </w:style>
  <w:style w:type="paragraph" w:customStyle="1" w:styleId="54">
    <w:name w:val="表标题"/>
    <w:basedOn w:val="1"/>
    <w:qFormat/>
    <w:uiPriority w:val="0"/>
    <w:pPr>
      <w:widowControl w:val="0"/>
      <w:jc w:val="center"/>
    </w:pPr>
    <w:rPr>
      <w:rFonts w:ascii="Times New Roman" w:hAnsi="Times New Roman" w:eastAsia="黑体" w:cs="Times New Roman"/>
      <w:b/>
      <w:kern w:val="2"/>
      <w:sz w:val="21"/>
      <w:szCs w:val="20"/>
    </w:rPr>
  </w:style>
  <w:style w:type="paragraph" w:customStyle="1" w:styleId="55">
    <w:name w:val="标准正文"/>
    <w:basedOn w:val="1"/>
    <w:qFormat/>
    <w:uiPriority w:val="0"/>
    <w:pPr>
      <w:widowControl w:val="0"/>
      <w:spacing w:line="360" w:lineRule="auto"/>
      <w:ind w:firstLine="480" w:firstLineChars="200"/>
    </w:pPr>
    <w:rPr>
      <w:rFonts w:hAnsi="Times New Roman" w:cs="Times New Roman"/>
      <w:kern w:val="2"/>
      <w:sz w:val="28"/>
      <w:szCs w:val="22"/>
    </w:rPr>
  </w:style>
  <w:style w:type="paragraph" w:customStyle="1" w:styleId="56">
    <w:name w:val="表格"/>
    <w:basedOn w:val="26"/>
    <w:qFormat/>
    <w:uiPriority w:val="0"/>
    <w:pPr>
      <w:adjustRightInd w:val="0"/>
      <w:spacing w:line="400" w:lineRule="atLeast"/>
      <w:textAlignment w:val="baseline"/>
    </w:pPr>
    <w:rPr>
      <w:rFonts w:ascii="Calibri" w:hAnsi="Calibri" w:cs="Times New Roman"/>
      <w:szCs w:val="22"/>
    </w:rPr>
  </w:style>
  <w:style w:type="paragraph" w:customStyle="1" w:styleId="57">
    <w:name w:val="正文(首行缩进)"/>
    <w:basedOn w:val="1"/>
    <w:next w:val="1"/>
    <w:link w:val="102"/>
    <w:qFormat/>
    <w:uiPriority w:val="0"/>
    <w:pPr>
      <w:spacing w:line="360" w:lineRule="auto"/>
      <w:ind w:firstLine="540" w:firstLineChars="225"/>
    </w:pPr>
    <w:rPr>
      <w:snapToGrid w:val="0"/>
      <w:color w:val="000000"/>
    </w:rPr>
  </w:style>
  <w:style w:type="paragraph" w:customStyle="1" w:styleId="58">
    <w:name w:val="表头"/>
    <w:basedOn w:val="1"/>
    <w:qFormat/>
    <w:uiPriority w:val="0"/>
    <w:pPr>
      <w:spacing w:line="500" w:lineRule="exact"/>
      <w:jc w:val="center"/>
    </w:pPr>
    <w:rPr>
      <w:rFonts w:ascii="黑体" w:hAnsi="Calibri" w:eastAsia="黑体" w:cs="Times New Roman"/>
      <w:sz w:val="28"/>
      <w:szCs w:val="22"/>
    </w:rPr>
  </w:style>
  <w:style w:type="paragraph" w:customStyle="1" w:styleId="59">
    <w:name w:val="样式 样式 (中文) 楷体_GB2312 四号 行距: 固定值 26 磅 +"/>
    <w:basedOn w:val="1"/>
    <w:qFormat/>
    <w:uiPriority w:val="0"/>
    <w:pPr>
      <w:spacing w:line="360" w:lineRule="auto"/>
      <w:ind w:firstLine="480" w:firstLineChars="200"/>
    </w:pPr>
    <w:rPr>
      <w:kern w:val="0"/>
      <w:sz w:val="24"/>
    </w:rPr>
  </w:style>
  <w:style w:type="table" w:customStyle="1" w:styleId="60">
    <w:name w:val="Table Normal"/>
    <w:semiHidden/>
    <w:unhideWhenUsed/>
    <w:qFormat/>
    <w:uiPriority w:val="0"/>
    <w:tblPr>
      <w:tblCellMar>
        <w:top w:w="0" w:type="dxa"/>
        <w:left w:w="0" w:type="dxa"/>
        <w:bottom w:w="0" w:type="dxa"/>
        <w:right w:w="0" w:type="dxa"/>
      </w:tblCellMar>
    </w:tblPr>
  </w:style>
  <w:style w:type="paragraph" w:customStyle="1" w:styleId="61">
    <w:name w:val="YJ正文*"/>
    <w:basedOn w:val="1"/>
    <w:qFormat/>
    <w:uiPriority w:val="0"/>
    <w:pPr>
      <w:spacing w:line="500" w:lineRule="exact"/>
      <w:ind w:firstLine="200" w:firstLineChars="200"/>
    </w:pPr>
    <w:rPr>
      <w:rFonts w:ascii="宋体" w:hAnsi="宋体" w:eastAsia="宋体" w:cs="Times New Roman"/>
      <w:sz w:val="24"/>
      <w:szCs w:val="24"/>
    </w:rPr>
  </w:style>
  <w:style w:type="paragraph" w:customStyle="1" w:styleId="62">
    <w:name w:val="正文1"/>
    <w:basedOn w:val="1"/>
    <w:qFormat/>
    <w:uiPriority w:val="0"/>
    <w:pPr>
      <w:spacing w:line="480" w:lineRule="exact"/>
      <w:ind w:firstLine="200" w:firstLineChars="200"/>
    </w:pPr>
    <w:rPr>
      <w:sz w:val="24"/>
      <w:szCs w:val="24"/>
    </w:rPr>
  </w:style>
  <w:style w:type="paragraph" w:customStyle="1" w:styleId="63">
    <w:name w:val="邵正文"/>
    <w:link w:val="144"/>
    <w:qFormat/>
    <w:uiPriority w:val="0"/>
    <w:pPr>
      <w:widowControl/>
      <w:ind w:firstLine="200"/>
    </w:pPr>
    <w:rPr>
      <w:rFonts w:ascii="Times New Roman" w:hAnsi="Times New Roman" w:eastAsia="宋体" w:cs="宋体"/>
      <w:spacing w:val="0"/>
      <w:kern w:val="0"/>
      <w:szCs w:val="24"/>
    </w:rPr>
  </w:style>
  <w:style w:type="character" w:customStyle="1" w:styleId="64">
    <w:name w:val="正文文本 Char"/>
    <w:link w:val="12"/>
    <w:qFormat/>
    <w:uiPriority w:val="0"/>
    <w:rPr>
      <w:rFonts w:ascii="宋体" w:hAnsi="宋体" w:eastAsia="宋体" w:cs="宋体"/>
    </w:rPr>
  </w:style>
  <w:style w:type="character" w:customStyle="1" w:styleId="65">
    <w:name w:val="标题 1 Char"/>
    <w:link w:val="4"/>
    <w:qFormat/>
    <w:uiPriority w:val="0"/>
    <w:rPr>
      <w:rFonts w:ascii="Arial" w:hAnsi="Arial" w:cs="Arial"/>
      <w:b/>
      <w:snapToGrid w:val="0"/>
      <w:color w:val="000000"/>
      <w:kern w:val="44"/>
      <w:sz w:val="44"/>
      <w:szCs w:val="21"/>
      <w:lang w:eastAsia="en-US"/>
    </w:rPr>
  </w:style>
  <w:style w:type="paragraph" w:customStyle="1" w:styleId="66">
    <w:name w:val="无间隔1"/>
    <w:qFormat/>
    <w:uiPriority w:val="0"/>
    <w:pPr>
      <w:jc w:val="center"/>
    </w:pPr>
    <w:rPr>
      <w:rFonts w:ascii="宋体" w:hAnsi="宋体" w:eastAsia="宋体" w:cs="宋体"/>
      <w:sz w:val="21"/>
      <w:szCs w:val="24"/>
      <w:lang w:val="en-US" w:eastAsia="zh-CN" w:bidi="ar-SA"/>
    </w:rPr>
  </w:style>
  <w:style w:type="paragraph" w:customStyle="1" w:styleId="67">
    <w:name w:val="表格仔"/>
    <w:basedOn w:val="1"/>
    <w:next w:val="1"/>
    <w:qFormat/>
    <w:uiPriority w:val="99"/>
    <w:pPr>
      <w:spacing w:line="240" w:lineRule="auto"/>
      <w:ind w:firstLine="0" w:firstLineChars="0"/>
      <w:jc w:val="center"/>
    </w:pPr>
    <w:rPr>
      <w:sz w:val="21"/>
    </w:rPr>
  </w:style>
  <w:style w:type="paragraph" w:customStyle="1" w:styleId="68">
    <w:name w:val="a)"/>
    <w:basedOn w:val="1"/>
    <w:qFormat/>
    <w:uiPriority w:val="0"/>
    <w:pPr>
      <w:tabs>
        <w:tab w:val="left" w:pos="1134"/>
      </w:tabs>
      <w:adjustRightInd w:val="0"/>
      <w:spacing w:line="360" w:lineRule="auto"/>
      <w:ind w:firstLine="567"/>
      <w:textAlignment w:val="baseline"/>
    </w:pPr>
    <w:rPr>
      <w:rFonts w:ascii="Times New Roman"/>
      <w:spacing w:val="0"/>
      <w:kern w:val="0"/>
      <w:sz w:val="28"/>
      <w:szCs w:val="20"/>
    </w:rPr>
  </w:style>
  <w:style w:type="paragraph" w:customStyle="1" w:styleId="69">
    <w:name w:val="！正文"/>
    <w:basedOn w:val="1"/>
    <w:qFormat/>
    <w:uiPriority w:val="0"/>
    <w:pPr>
      <w:ind w:firstLine="480" w:firstLineChars="200"/>
    </w:pPr>
    <w:rPr>
      <w:sz w:val="24"/>
    </w:rPr>
  </w:style>
  <w:style w:type="paragraph" w:customStyle="1" w:styleId="70">
    <w:name w:val="表内容"/>
    <w:basedOn w:val="71"/>
    <w:next w:val="1"/>
    <w:qFormat/>
    <w:uiPriority w:val="0"/>
    <w:pPr>
      <w:spacing w:line="280" w:lineRule="exact"/>
      <w:ind w:left="-20" w:leftChars="-20" w:right="-20" w:rightChars="-20"/>
      <w:jc w:val="center"/>
    </w:pPr>
    <w:rPr>
      <w:sz w:val="18"/>
    </w:rPr>
  </w:style>
  <w:style w:type="paragraph" w:customStyle="1" w:styleId="71">
    <w:name w:val="我的表格"/>
    <w:basedOn w:val="1"/>
    <w:qFormat/>
    <w:uiPriority w:val="0"/>
    <w:pPr>
      <w:adjustRightInd w:val="0"/>
      <w:spacing w:line="240" w:lineRule="atLeast"/>
      <w:ind w:firstLine="0" w:firstLineChars="0"/>
      <w:jc w:val="center"/>
      <w:textAlignment w:val="baseline"/>
    </w:pPr>
    <w:rPr>
      <w:rFonts w:ascii="Times New Roman" w:hAnsi="Times New Roman"/>
      <w:sz w:val="21"/>
    </w:rPr>
  </w:style>
  <w:style w:type="paragraph" w:customStyle="1" w:styleId="72">
    <w:name w:val="样式62"/>
    <w:basedOn w:val="1"/>
    <w:qFormat/>
    <w:uiPriority w:val="0"/>
    <w:pPr>
      <w:widowControl/>
      <w:spacing w:line="280" w:lineRule="exact"/>
      <w:jc w:val="center"/>
    </w:pPr>
    <w:rPr>
      <w:rFonts w:hAnsi="宋体"/>
      <w:kern w:val="0"/>
      <w:sz w:val="18"/>
      <w:szCs w:val="18"/>
    </w:rPr>
  </w:style>
  <w:style w:type="paragraph" w:customStyle="1" w:styleId="73">
    <w:name w:val="_Style 529"/>
    <w:basedOn w:val="16"/>
    <w:next w:val="34"/>
    <w:qFormat/>
    <w:uiPriority w:val="0"/>
    <w:pPr>
      <w:ind w:firstLine="420" w:firstLineChars="200"/>
    </w:pPr>
    <w:rPr>
      <w:b/>
      <w:kern w:val="44"/>
      <w:sz w:val="44"/>
    </w:rPr>
  </w:style>
  <w:style w:type="paragraph" w:customStyle="1" w:styleId="74">
    <w:name w:val="报告正文 + 首行缩进:  2 字符 Char"/>
    <w:basedOn w:val="1"/>
    <w:qFormat/>
    <w:uiPriority w:val="0"/>
    <w:pPr>
      <w:spacing w:line="360" w:lineRule="auto"/>
      <w:ind w:firstLine="480"/>
    </w:pPr>
    <w:rPr>
      <w:bCs/>
      <w:sz w:val="24"/>
    </w:rPr>
  </w:style>
  <w:style w:type="paragraph" w:customStyle="1" w:styleId="75">
    <w:name w:val="00.正文格式"/>
    <w:basedOn w:val="9"/>
    <w:qFormat/>
    <w:uiPriority w:val="0"/>
    <w:pPr>
      <w:keepNext w:val="0"/>
      <w:keepLines w:val="0"/>
      <w:widowControl/>
      <w:suppressLineNumbers w:val="0"/>
      <w:spacing w:before="0" w:beforeAutospacing="0" w:after="0" w:afterAutospacing="0" w:line="360" w:lineRule="auto"/>
      <w:ind w:left="0" w:right="0" w:firstLine="480" w:firstLineChars="200"/>
      <w:jc w:val="left"/>
    </w:pPr>
    <w:rPr>
      <w:rFonts w:hint="default" w:ascii="Times New Roman" w:hAnsi="Times New Roman" w:eastAsia="宋体" w:cs="Times New Roman"/>
      <w:color w:val="000000"/>
      <w:kern w:val="2"/>
      <w:sz w:val="24"/>
      <w:szCs w:val="24"/>
      <w:lang w:val="en-US" w:eastAsia="zh-CN" w:bidi="ar"/>
    </w:rPr>
  </w:style>
  <w:style w:type="paragraph" w:customStyle="1" w:styleId="76">
    <w:name w:val="正文.."/>
    <w:basedOn w:val="1"/>
    <w:qFormat/>
    <w:uiPriority w:val="0"/>
    <w:pPr>
      <w:widowControl w:val="0"/>
      <w:wordWrap w:val="0"/>
      <w:spacing w:line="360" w:lineRule="auto"/>
      <w:ind w:firstLine="480" w:firstLineChars="200"/>
    </w:pPr>
    <w:rPr>
      <w:bCs/>
      <w:snapToGrid w:val="0"/>
      <w:kern w:val="2"/>
      <w:szCs w:val="22"/>
      <w:lang w:val="zh-CN"/>
    </w:rPr>
  </w:style>
  <w:style w:type="table" w:customStyle="1" w:styleId="77">
    <w:name w:val="网格型18"/>
    <w:basedOn w:val="35"/>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表格标题"/>
    <w:basedOn w:val="1"/>
    <w:qFormat/>
    <w:uiPriority w:val="0"/>
    <w:pPr>
      <w:ind w:firstLine="514" w:firstLineChars="244"/>
      <w:jc w:val="center"/>
    </w:pPr>
    <w:rPr>
      <w:b/>
    </w:rPr>
  </w:style>
  <w:style w:type="paragraph" w:customStyle="1" w:styleId="79">
    <w:name w:val="表格定"/>
    <w:basedOn w:val="52"/>
    <w:qFormat/>
    <w:uiPriority w:val="0"/>
    <w:pPr>
      <w:keepLines/>
      <w:widowControl w:val="0"/>
      <w:autoSpaceDE w:val="0"/>
      <w:autoSpaceDN w:val="0"/>
      <w:adjustRightInd w:val="0"/>
      <w:snapToGrid w:val="0"/>
      <w:spacing w:line="320" w:lineRule="exact"/>
      <w:jc w:val="center"/>
      <w:textAlignment w:val="center"/>
    </w:pPr>
    <w:rPr>
      <w:rFonts w:ascii="Times New Roman" w:hAnsi="Times New Roman" w:cs="Times New Roman"/>
      <w:color w:val="000000"/>
      <w:sz w:val="21"/>
      <w:szCs w:val="21"/>
      <w:lang w:bidi="en-US"/>
    </w:rPr>
  </w:style>
  <w:style w:type="paragraph" w:customStyle="1" w:styleId="80">
    <w:name w:val="报告书正文"/>
    <w:basedOn w:val="1"/>
    <w:qFormat/>
    <w:uiPriority w:val="0"/>
    <w:pPr>
      <w:spacing w:beforeLines="25" w:afterLines="25" w:line="360" w:lineRule="auto"/>
      <w:ind w:firstLine="480" w:firstLineChars="200"/>
      <w:jc w:val="both"/>
    </w:pPr>
    <w:rPr>
      <w:rFonts w:ascii="Times New Roman" w:hAnsi="Times New Roman"/>
      <w:color w:val="000000"/>
      <w:szCs w:val="21"/>
      <w:lang w:bidi="en-US"/>
    </w:rPr>
  </w:style>
  <w:style w:type="paragraph" w:customStyle="1" w:styleId="81">
    <w:name w:val="报告书四级标题"/>
    <w:basedOn w:val="1"/>
    <w:qFormat/>
    <w:uiPriority w:val="0"/>
    <w:pPr>
      <w:keepLines/>
      <w:adjustRightInd w:val="0"/>
      <w:snapToGrid w:val="0"/>
      <w:spacing w:line="360" w:lineRule="auto"/>
      <w:jc w:val="left"/>
      <w:outlineLvl w:val="3"/>
    </w:pPr>
    <w:rPr>
      <w:b/>
      <w:sz w:val="24"/>
      <w:szCs w:val="22"/>
    </w:rPr>
  </w:style>
  <w:style w:type="character" w:customStyle="1" w:styleId="82">
    <w:name w:val="纯文本 Char2"/>
    <w:qFormat/>
    <w:uiPriority w:val="0"/>
    <w:rPr>
      <w:rFonts w:ascii="宋体" w:hAnsi="Courier New" w:eastAsia="宋体" w:cs="Courier New"/>
      <w:szCs w:val="21"/>
    </w:rPr>
  </w:style>
  <w:style w:type="paragraph" w:customStyle="1" w:styleId="83">
    <w:name w:val="正文格式"/>
    <w:next w:val="84"/>
    <w:qFormat/>
    <w:uiPriority w:val="0"/>
    <w:pPr>
      <w:widowControl/>
      <w:adjustRightInd w:val="0"/>
      <w:snapToGrid w:val="0"/>
      <w:spacing w:line="360" w:lineRule="auto"/>
      <w:ind w:firstLine="560"/>
      <w:jc w:val="left"/>
    </w:pPr>
    <w:rPr>
      <w:rFonts w:ascii="Times New Roman" w:hAnsi="Times New Roman" w:eastAsia="宋体" w:cs="Times New Roman"/>
      <w:color w:val="000000"/>
      <w:kern w:val="0"/>
      <w:sz w:val="24"/>
      <w:szCs w:val="24"/>
    </w:rPr>
  </w:style>
  <w:style w:type="paragraph" w:customStyle="1" w:styleId="84">
    <w:name w:val="_Style 5"/>
    <w:basedOn w:val="1"/>
    <w:qFormat/>
    <w:uiPriority w:val="0"/>
    <w:pPr>
      <w:ind w:firstLine="420"/>
    </w:pPr>
    <w:rPr>
      <w:rFonts w:ascii="Calibri" w:hAnsi="Calibri"/>
      <w:szCs w:val="22"/>
    </w:rPr>
  </w:style>
  <w:style w:type="paragraph" w:customStyle="1" w:styleId="85">
    <w:name w:val="正文首行缩进 Char Char Char Char Char Char"/>
    <w:basedOn w:val="1"/>
    <w:qFormat/>
    <w:uiPriority w:val="0"/>
    <w:pPr>
      <w:spacing w:line="480" w:lineRule="exact"/>
      <w:ind w:firstLine="200" w:firstLineChars="200"/>
    </w:pPr>
    <w:rPr>
      <w:rFonts w:ascii="Calibri" w:hAnsi="Calibri"/>
      <w:sz w:val="21"/>
      <w:szCs w:val="21"/>
    </w:rPr>
  </w:style>
  <w:style w:type="paragraph" w:customStyle="1" w:styleId="86">
    <w:name w:val="邵表头"/>
    <w:basedOn w:val="63"/>
    <w:next w:val="63"/>
    <w:qFormat/>
    <w:uiPriority w:val="0"/>
    <w:pPr>
      <w:spacing w:line="240" w:lineRule="auto"/>
      <w:ind w:firstLine="0" w:firstLineChars="0"/>
      <w:jc w:val="center"/>
    </w:pPr>
    <w:rPr>
      <w:rFonts w:hAnsi="Times New Roman" w:eastAsia="黑体"/>
      <w:b/>
      <w:sz w:val="21"/>
      <w:szCs w:val="22"/>
    </w:rPr>
  </w:style>
  <w:style w:type="paragraph" w:customStyle="1" w:styleId="87">
    <w:name w:val="表格内"/>
    <w:basedOn w:val="1"/>
    <w:qFormat/>
    <w:uiPriority w:val="0"/>
    <w:pPr>
      <w:adjustRightInd w:val="0"/>
      <w:jc w:val="center"/>
      <w:textAlignment w:val="baseline"/>
    </w:pPr>
  </w:style>
  <w:style w:type="paragraph" w:customStyle="1" w:styleId="88">
    <w:name w:val="后评价正文"/>
    <w:basedOn w:val="57"/>
    <w:qFormat/>
    <w:uiPriority w:val="0"/>
    <w:rPr>
      <w:kern w:val="0"/>
      <w:szCs w:val="24"/>
    </w:rPr>
  </w:style>
  <w:style w:type="paragraph" w:customStyle="1" w:styleId="89">
    <w:name w:val="03_正文"/>
    <w:basedOn w:val="1"/>
    <w:qFormat/>
    <w:uiPriority w:val="0"/>
    <w:pPr>
      <w:adjustRightInd w:val="0"/>
      <w:snapToGrid w:val="0"/>
      <w:spacing w:line="360" w:lineRule="auto"/>
      <w:ind w:firstLine="200" w:firstLineChars="200"/>
    </w:pPr>
    <w:rPr>
      <w:rFonts w:ascii="宋体" w:hAnsi="Calibri"/>
      <w:color w:val="000000"/>
      <w:spacing w:val="5"/>
      <w:sz w:val="25"/>
      <w:szCs w:val="25"/>
    </w:rPr>
  </w:style>
  <w:style w:type="paragraph" w:customStyle="1" w:styleId="90">
    <w:name w:val="0正文"/>
    <w:basedOn w:val="12"/>
    <w:qFormat/>
    <w:uiPriority w:val="0"/>
    <w:pPr>
      <w:snapToGrid w:val="0"/>
      <w:spacing w:line="360" w:lineRule="auto"/>
      <w:ind w:firstLine="480" w:firstLineChars="200"/>
    </w:pPr>
    <w:rPr>
      <w:rFonts w:ascii="Times New Roman" w:hAnsi="宋体"/>
      <w:sz w:val="24"/>
      <w:szCs w:val="21"/>
      <w:lang w:val="en-US" w:eastAsia="zh-CN"/>
    </w:rPr>
  </w:style>
  <w:style w:type="paragraph" w:customStyle="1" w:styleId="91">
    <w:name w:val="样式 表内容 + 行距: 固定值 28 磅"/>
    <w:basedOn w:val="70"/>
    <w:qFormat/>
    <w:uiPriority w:val="0"/>
    <w:pPr>
      <w:ind w:left="-20" w:leftChars="-20" w:right="-20" w:rightChars="-20"/>
      <w:jc w:val="center"/>
    </w:pPr>
    <w:rPr>
      <w:rFonts w:ascii="Calibri" w:hAnsi="宋体" w:cs="宋体"/>
      <w:spacing w:val="5"/>
      <w:kern w:val="0"/>
    </w:rPr>
  </w:style>
  <w:style w:type="paragraph" w:customStyle="1" w:styleId="92">
    <w:name w:val="LSJ正文"/>
    <w:basedOn w:val="9"/>
    <w:qFormat/>
    <w:uiPriority w:val="0"/>
    <w:pPr>
      <w:widowControl/>
      <w:spacing w:line="360" w:lineRule="auto"/>
      <w:ind w:firstLine="480"/>
      <w:jc w:val="left"/>
    </w:pPr>
    <w:rPr>
      <w:color w:val="000000"/>
      <w:sz w:val="24"/>
      <w:szCs w:val="24"/>
    </w:rPr>
  </w:style>
  <w:style w:type="paragraph" w:customStyle="1" w:styleId="93">
    <w:name w:val="缩进"/>
    <w:basedOn w:val="1"/>
    <w:qFormat/>
    <w:uiPriority w:val="0"/>
    <w:pPr>
      <w:spacing w:line="360" w:lineRule="auto"/>
      <w:ind w:firstLine="200" w:firstLineChars="200"/>
    </w:pPr>
    <w:rPr>
      <w:sz w:val="24"/>
    </w:rPr>
  </w:style>
  <w:style w:type="paragraph" w:customStyle="1" w:styleId="94">
    <w:name w:val="表内文字"/>
    <w:basedOn w:val="95"/>
    <w:qFormat/>
    <w:uiPriority w:val="0"/>
    <w:pPr>
      <w:adjustRightInd w:val="0"/>
      <w:jc w:val="center"/>
    </w:pPr>
    <w:rPr>
      <w:rFonts w:ascii="宋体" w:cs="宋体"/>
      <w:szCs w:val="24"/>
    </w:rPr>
  </w:style>
  <w:style w:type="paragraph" w:customStyle="1" w:styleId="95">
    <w:name w:val="表内"/>
    <w:basedOn w:val="17"/>
    <w:qFormat/>
    <w:uiPriority w:val="0"/>
    <w:pPr>
      <w:widowControl/>
      <w:spacing w:beforeLines="0" w:line="240" w:lineRule="auto"/>
      <w:ind w:left="0" w:leftChars="0" w:firstLine="0" w:firstLineChars="0"/>
      <w:jc w:val="center"/>
    </w:pPr>
    <w:rPr>
      <w:rFonts w:ascii="宋体"/>
      <w:bCs/>
      <w:color w:val="000000"/>
      <w:szCs w:val="21"/>
    </w:rPr>
  </w:style>
  <w:style w:type="paragraph" w:customStyle="1" w:styleId="96">
    <w:name w:val="2"/>
    <w:basedOn w:val="1"/>
    <w:next w:val="27"/>
    <w:qFormat/>
    <w:uiPriority w:val="0"/>
    <w:pPr>
      <w:ind w:firstLine="527" w:firstLineChars="200"/>
    </w:pPr>
    <w:rPr>
      <w:szCs w:val="25"/>
    </w:rPr>
  </w:style>
  <w:style w:type="character" w:customStyle="1" w:styleId="97">
    <w:name w:val="标题 3 Char"/>
    <w:link w:val="6"/>
    <w:qFormat/>
    <w:uiPriority w:val="0"/>
    <w:rPr>
      <w:rFonts w:ascii="Arial" w:hAnsi="Arial" w:cs="Arial"/>
      <w:b/>
      <w:snapToGrid w:val="0"/>
      <w:color w:val="000000"/>
      <w:kern w:val="0"/>
      <w:sz w:val="28"/>
      <w:szCs w:val="21"/>
      <w:lang w:eastAsia="en-US"/>
    </w:rPr>
  </w:style>
  <w:style w:type="paragraph" w:customStyle="1" w:styleId="98">
    <w:name w:val="正文首行缩进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99">
    <w:name w:val="表格文字2"/>
    <w:basedOn w:val="1"/>
    <w:qFormat/>
    <w:uiPriority w:val="0"/>
    <w:pPr>
      <w:widowControl/>
      <w:tabs>
        <w:tab w:val="left" w:pos="277"/>
        <w:tab w:val="left" w:pos="600"/>
        <w:tab w:val="left" w:pos="780"/>
        <w:tab w:val="left" w:pos="2517"/>
      </w:tabs>
      <w:adjustRightInd w:val="0"/>
      <w:spacing w:before="60" w:line="360" w:lineRule="auto"/>
      <w:ind w:firstLine="480" w:firstLineChars="200"/>
      <w:jc w:val="left"/>
      <w:textAlignment w:val="baseline"/>
    </w:pPr>
    <w:rPr>
      <w:rFonts w:cs="宋体"/>
      <w:kern w:val="0"/>
      <w:sz w:val="24"/>
      <w:szCs w:val="24"/>
    </w:rPr>
  </w:style>
  <w:style w:type="paragraph" w:customStyle="1" w:styleId="100">
    <w:name w:val="表头A"/>
    <w:basedOn w:val="1"/>
    <w:qFormat/>
    <w:uiPriority w:val="0"/>
    <w:pPr>
      <w:spacing w:line="400" w:lineRule="exact"/>
      <w:jc w:val="center"/>
    </w:pPr>
    <w:rPr>
      <w:rFonts w:ascii="华文仿宋" w:hAnsi="华文仿宋" w:eastAsia="华文仿宋"/>
      <w:b/>
      <w:kern w:val="0"/>
      <w:sz w:val="24"/>
      <w:szCs w:val="24"/>
    </w:rPr>
  </w:style>
  <w:style w:type="paragraph" w:customStyle="1" w:styleId="101">
    <w:name w:val="正文文本2"/>
    <w:basedOn w:val="1"/>
    <w:qFormat/>
    <w:uiPriority w:val="0"/>
    <w:pPr>
      <w:spacing w:line="360" w:lineRule="auto"/>
      <w:ind w:firstLine="480" w:firstLineChars="200"/>
    </w:pPr>
    <w:rPr>
      <w:rFonts w:ascii="宋体" w:hAnsi="宋体"/>
      <w:color w:val="000000"/>
      <w:sz w:val="24"/>
    </w:rPr>
  </w:style>
  <w:style w:type="character" w:customStyle="1" w:styleId="102">
    <w:name w:val="正文(首行缩进) Char Char"/>
    <w:link w:val="57"/>
    <w:qFormat/>
    <w:uiPriority w:val="0"/>
    <w:rPr>
      <w:snapToGrid w:val="0"/>
      <w:color w:val="000000"/>
    </w:rPr>
  </w:style>
  <w:style w:type="paragraph" w:customStyle="1" w:styleId="103">
    <w:name w:val="p0"/>
    <w:basedOn w:val="1"/>
    <w:qFormat/>
    <w:uiPriority w:val="0"/>
    <w:pPr>
      <w:widowControl/>
      <w:spacing w:line="360" w:lineRule="auto"/>
      <w:ind w:firstLine="420"/>
    </w:pPr>
    <w:rPr>
      <w:kern w:val="0"/>
      <w:sz w:val="24"/>
    </w:rPr>
  </w:style>
  <w:style w:type="paragraph" w:customStyle="1" w:styleId="104">
    <w:name w:val="正文(首缩进)"/>
    <w:basedOn w:val="1"/>
    <w:qFormat/>
    <w:uiPriority w:val="0"/>
    <w:pPr>
      <w:spacing w:before="78" w:beforeLines="25" w:after="78" w:afterLines="25" w:line="420" w:lineRule="auto"/>
      <w:ind w:firstLine="200" w:firstLineChars="200"/>
    </w:pPr>
    <w:rPr>
      <w:sz w:val="28"/>
    </w:rPr>
  </w:style>
  <w:style w:type="paragraph" w:customStyle="1" w:styleId="105">
    <w:name w:val="样式45"/>
    <w:basedOn w:val="1"/>
    <w:qFormat/>
    <w:uiPriority w:val="0"/>
    <w:pPr>
      <w:spacing w:line="400" w:lineRule="exact"/>
      <w:ind w:firstLine="200" w:firstLineChars="200"/>
    </w:pPr>
    <w:rPr>
      <w:rFonts w:ascii="宋体" w:hAnsi="宋体"/>
      <w:bCs/>
      <w:szCs w:val="24"/>
      <w:lang w:val="zh-CN"/>
    </w:rPr>
  </w:style>
  <w:style w:type="paragraph" w:customStyle="1" w:styleId="106">
    <w:name w:val="表内容       .."/>
    <w:basedOn w:val="1"/>
    <w:qFormat/>
    <w:uiPriority w:val="0"/>
    <w:pPr>
      <w:adjustRightInd w:val="0"/>
      <w:snapToGrid w:val="0"/>
      <w:spacing w:line="240" w:lineRule="exact"/>
      <w:jc w:val="center"/>
      <w:textAlignment w:val="baseline"/>
    </w:pPr>
    <w:rPr>
      <w:szCs w:val="18"/>
    </w:rPr>
  </w:style>
  <w:style w:type="table" w:customStyle="1" w:styleId="107">
    <w:name w:val="网格型19"/>
    <w:basedOn w:val="35"/>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8">
    <w:name w:val="表格11.5居中"/>
    <w:basedOn w:val="1"/>
    <w:qFormat/>
    <w:uiPriority w:val="0"/>
    <w:pPr>
      <w:keepLines/>
      <w:adjustRightInd w:val="0"/>
      <w:snapToGrid w:val="0"/>
      <w:spacing w:line="240" w:lineRule="auto"/>
      <w:ind w:firstLine="0" w:firstLineChars="0"/>
      <w:jc w:val="center"/>
      <w:textAlignment w:val="center"/>
    </w:pPr>
    <w:rPr>
      <w:rFonts w:ascii="Times New Roman" w:hAnsi="Times New Roman" w:eastAsia="宋体" w:cs="Times New Roman"/>
      <w:kern w:val="0"/>
      <w:sz w:val="20"/>
      <w:szCs w:val="21"/>
      <w:lang w:bidi="en-US"/>
    </w:rPr>
  </w:style>
  <w:style w:type="paragraph" w:customStyle="1" w:styleId="109">
    <w:name w:val="正式格式"/>
    <w:basedOn w:val="1"/>
    <w:qFormat/>
    <w:uiPriority w:val="0"/>
    <w:pPr>
      <w:adjustRightInd w:val="0"/>
      <w:snapToGrid w:val="0"/>
      <w:spacing w:line="360" w:lineRule="auto"/>
      <w:ind w:firstLine="200" w:firstLineChars="200"/>
    </w:pPr>
    <w:rPr>
      <w:kern w:val="10"/>
      <w:szCs w:val="24"/>
    </w:rPr>
  </w:style>
  <w:style w:type="character" w:customStyle="1" w:styleId="110">
    <w:name w:val="表内文字 Char"/>
    <w:qFormat/>
    <w:uiPriority w:val="0"/>
    <w:rPr>
      <w:snapToGrid w:val="0"/>
      <w:sz w:val="21"/>
    </w:rPr>
  </w:style>
  <w:style w:type="paragraph" w:customStyle="1" w:styleId="111">
    <w:name w:val="标题4"/>
    <w:basedOn w:val="1"/>
    <w:qFormat/>
    <w:uiPriority w:val="0"/>
    <w:pPr>
      <w:widowControl w:val="0"/>
      <w:adjustRightInd w:val="0"/>
      <w:snapToGrid w:val="0"/>
      <w:spacing w:line="360" w:lineRule="auto"/>
      <w:jc w:val="both"/>
      <w:outlineLvl w:val="3"/>
    </w:pPr>
    <w:rPr>
      <w:rFonts w:eastAsia="黑体"/>
      <w:snapToGrid w:val="0"/>
    </w:rPr>
  </w:style>
  <w:style w:type="table" w:customStyle="1" w:styleId="112">
    <w:name w:val="网格型20"/>
    <w:basedOn w:val="35"/>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3">
    <w:name w:val="表格内容yy"/>
    <w:basedOn w:val="1"/>
    <w:qFormat/>
    <w:uiPriority w:val="0"/>
    <w:pPr>
      <w:jc w:val="center"/>
    </w:pPr>
    <w:rPr>
      <w:sz w:val="21"/>
      <w:szCs w:val="18"/>
    </w:rPr>
  </w:style>
  <w:style w:type="paragraph" w:customStyle="1" w:styleId="114">
    <w:name w:val="_Style 57"/>
    <w:basedOn w:val="1"/>
    <w:unhideWhenUsed/>
    <w:qFormat/>
    <w:uiPriority w:val="0"/>
    <w:pPr>
      <w:widowControl w:val="0"/>
      <w:spacing w:after="160" w:line="240" w:lineRule="exact"/>
    </w:pPr>
    <w:rPr>
      <w:rFonts w:hint="eastAsia"/>
      <w:kern w:val="2"/>
      <w:sz w:val="21"/>
    </w:rPr>
  </w:style>
  <w:style w:type="paragraph" w:styleId="115">
    <w:name w:val="List Paragraph"/>
    <w:basedOn w:val="1"/>
    <w:qFormat/>
    <w:uiPriority w:val="1"/>
    <w:pPr>
      <w:jc w:val="center"/>
    </w:pPr>
    <w:rPr>
      <w:rFonts w:hAnsi="宋体"/>
      <w:color w:val="000000"/>
    </w:rPr>
  </w:style>
  <w:style w:type="paragraph" w:customStyle="1" w:styleId="116">
    <w:name w:val="@表格"/>
    <w:basedOn w:val="15"/>
    <w:qFormat/>
    <w:uiPriority w:val="0"/>
    <w:pPr>
      <w:widowControl w:val="0"/>
      <w:adjustRightInd w:val="0"/>
      <w:snapToGrid w:val="0"/>
      <w:spacing w:line="240" w:lineRule="auto"/>
      <w:jc w:val="center"/>
    </w:pPr>
    <w:rPr>
      <w:sz w:val="21"/>
      <w:szCs w:val="24"/>
    </w:rPr>
  </w:style>
  <w:style w:type="paragraph" w:customStyle="1" w:styleId="117">
    <w:name w:val="表1"/>
    <w:basedOn w:val="1"/>
    <w:qFormat/>
    <w:uiPriority w:val="0"/>
    <w:pPr>
      <w:widowControl w:val="0"/>
      <w:adjustRightInd w:val="0"/>
      <w:snapToGrid w:val="0"/>
      <w:jc w:val="center"/>
    </w:pPr>
    <w:rPr>
      <w:rFonts w:hAnsi="Arial Narrow"/>
      <w:kern w:val="24"/>
    </w:rPr>
  </w:style>
  <w:style w:type="paragraph" w:customStyle="1" w:styleId="118">
    <w:name w:val="美克BDO表格文字"/>
    <w:qFormat/>
    <w:uiPriority w:val="0"/>
    <w:pPr>
      <w:jc w:val="center"/>
    </w:pPr>
    <w:rPr>
      <w:rFonts w:ascii="宋体" w:hAnsi="宋体" w:eastAsia="仿宋" w:cs="宋体"/>
      <w:kern w:val="0"/>
      <w:sz w:val="21"/>
      <w:szCs w:val="21"/>
      <w:lang w:val="en-US" w:eastAsia="zh-CN" w:bidi="ar-SA"/>
    </w:rPr>
  </w:style>
  <w:style w:type="paragraph" w:customStyle="1" w:styleId="119">
    <w:name w:val="正文-首行缩进"/>
    <w:basedOn w:val="1"/>
    <w:qFormat/>
    <w:uiPriority w:val="0"/>
    <w:pPr>
      <w:widowControl w:val="0"/>
      <w:adjustRightInd w:val="0"/>
      <w:snapToGrid w:val="0"/>
      <w:spacing w:line="360" w:lineRule="auto"/>
      <w:ind w:firstLine="200" w:firstLineChars="200"/>
      <w:jc w:val="both"/>
    </w:pPr>
    <w:rPr>
      <w:rFonts w:cs="Times New Roman"/>
      <w:bCs/>
      <w:kern w:val="2"/>
      <w:sz w:val="21"/>
      <w:szCs w:val="25"/>
    </w:rPr>
  </w:style>
  <w:style w:type="paragraph" w:customStyle="1" w:styleId="120">
    <w:name w:val="样式 样式 样式 样式 首行缩进:  2 字符1 + 首行缩进:  2 字符 + 首行缩进:  2 字符 + 首行缩进:  2 ..."/>
    <w:basedOn w:val="1"/>
    <w:qFormat/>
    <w:uiPriority w:val="0"/>
    <w:pPr>
      <w:ind w:firstLine="500" w:firstLineChars="200"/>
    </w:pPr>
    <w:rPr>
      <w:rFonts w:cs="宋体"/>
    </w:rPr>
  </w:style>
  <w:style w:type="paragraph" w:customStyle="1" w:styleId="121">
    <w:name w:val="表格两端对齐"/>
    <w:basedOn w:val="1"/>
    <w:qFormat/>
    <w:uiPriority w:val="0"/>
    <w:pPr>
      <w:spacing w:line="360" w:lineRule="exact"/>
      <w:ind w:firstLine="0" w:firstLineChars="0"/>
      <w:jc w:val="both"/>
    </w:pPr>
    <w:rPr>
      <w:rFonts w:ascii="Times New Roman" w:hAnsi="Times New Roman" w:eastAsia="宋体" w:cs="Times New Roman"/>
      <w:sz w:val="21"/>
      <w:szCs w:val="18"/>
    </w:rPr>
  </w:style>
  <w:style w:type="paragraph" w:customStyle="1" w:styleId="122">
    <w:name w:val="一级标题"/>
    <w:basedOn w:val="1"/>
    <w:next w:val="1"/>
    <w:qFormat/>
    <w:uiPriority w:val="0"/>
    <w:pPr>
      <w:keepNext/>
      <w:keepLines/>
      <w:widowControl w:val="0"/>
      <w:adjustRightInd w:val="0"/>
      <w:snapToGrid w:val="0"/>
      <w:spacing w:beforeLines="0" w:afterLines="0" w:line="360" w:lineRule="auto"/>
      <w:ind w:firstLine="0" w:firstLineChars="0"/>
      <w:outlineLvl w:val="0"/>
    </w:pPr>
    <w:rPr>
      <w:rFonts w:cs="Times New Roman"/>
      <w:b/>
      <w:snapToGrid w:val="0"/>
      <w:color w:val="auto"/>
      <w:kern w:val="44"/>
      <w:sz w:val="36"/>
      <w:szCs w:val="36"/>
      <w:lang w:eastAsia="en-US"/>
    </w:rPr>
  </w:style>
  <w:style w:type="paragraph" w:customStyle="1" w:styleId="123">
    <w:name w:val="二级标题"/>
    <w:basedOn w:val="1"/>
    <w:next w:val="1"/>
    <w:qFormat/>
    <w:uiPriority w:val="0"/>
    <w:pPr>
      <w:keepNext/>
      <w:keepLines/>
      <w:widowControl w:val="0"/>
      <w:adjustRightInd w:val="0"/>
      <w:snapToGrid w:val="0"/>
      <w:spacing w:beforeLines="0" w:line="360" w:lineRule="auto"/>
      <w:ind w:firstLine="0" w:firstLineChars="0"/>
      <w:outlineLvl w:val="1"/>
    </w:pPr>
    <w:rPr>
      <w:rFonts w:cs="Times New Roman"/>
      <w:b/>
      <w:snapToGrid w:val="0"/>
      <w:color w:val="auto"/>
      <w:sz w:val="30"/>
      <w:szCs w:val="21"/>
      <w:lang w:eastAsia="en-US"/>
    </w:rPr>
  </w:style>
  <w:style w:type="paragraph" w:customStyle="1" w:styleId="124">
    <w:name w:val="三级标题"/>
    <w:basedOn w:val="1"/>
    <w:next w:val="1"/>
    <w:qFormat/>
    <w:uiPriority w:val="0"/>
    <w:pPr>
      <w:keepNext/>
      <w:keepLines/>
      <w:widowControl w:val="0"/>
      <w:adjustRightInd w:val="0"/>
      <w:snapToGrid w:val="0"/>
      <w:spacing w:beforeLines="0" w:afterLines="0" w:line="360" w:lineRule="auto"/>
      <w:ind w:firstLine="0" w:firstLineChars="0"/>
      <w:outlineLvl w:val="2"/>
    </w:pPr>
    <w:rPr>
      <w:rFonts w:cs="Times New Roman"/>
      <w:b/>
      <w:snapToGrid w:val="0"/>
      <w:color w:val="auto"/>
      <w:sz w:val="28"/>
      <w:szCs w:val="21"/>
      <w:lang w:eastAsia="en-US"/>
    </w:rPr>
  </w:style>
  <w:style w:type="paragraph" w:customStyle="1" w:styleId="125">
    <w:name w:val="表格正文"/>
    <w:basedOn w:val="78"/>
    <w:qFormat/>
    <w:uiPriority w:val="0"/>
    <w:pPr>
      <w:spacing w:line="360" w:lineRule="exact"/>
      <w:ind w:firstLine="0" w:firstLineChars="0"/>
    </w:pPr>
    <w:rPr>
      <w:b w:val="0"/>
    </w:rPr>
  </w:style>
  <w:style w:type="paragraph" w:customStyle="1" w:styleId="126">
    <w:name w:val="WPSOffice手动目录 1"/>
    <w:qFormat/>
    <w:uiPriority w:val="0"/>
    <w:pPr>
      <w:ind w:leftChars="0"/>
    </w:pPr>
    <w:rPr>
      <w:rFonts w:ascii="Times New Roman" w:hAnsi="Times New Roman" w:eastAsia="宋体" w:cs="Times New Roman"/>
      <w:sz w:val="20"/>
      <w:szCs w:val="20"/>
    </w:rPr>
  </w:style>
  <w:style w:type="paragraph" w:customStyle="1" w:styleId="127">
    <w:name w:val="WPSOffice手动目录 2"/>
    <w:qFormat/>
    <w:uiPriority w:val="0"/>
    <w:pPr>
      <w:ind w:leftChars="200"/>
    </w:pPr>
    <w:rPr>
      <w:rFonts w:ascii="Times New Roman" w:hAnsi="Times New Roman" w:eastAsia="宋体" w:cs="Times New Roman"/>
      <w:sz w:val="20"/>
      <w:szCs w:val="20"/>
    </w:rPr>
  </w:style>
  <w:style w:type="paragraph" w:customStyle="1" w:styleId="128">
    <w:name w:val="表格题目"/>
    <w:basedOn w:val="1"/>
    <w:qFormat/>
    <w:uiPriority w:val="0"/>
    <w:pPr>
      <w:snapToGrid w:val="0"/>
      <w:spacing w:before="30" w:beforeLines="30" w:after="20" w:afterLines="20" w:line="240" w:lineRule="auto"/>
      <w:ind w:firstLine="0" w:firstLineChars="0"/>
      <w:jc w:val="center"/>
    </w:pPr>
    <w:rPr>
      <w:b/>
      <w:bCs/>
      <w:sz w:val="21"/>
    </w:rPr>
  </w:style>
  <w:style w:type="paragraph" w:customStyle="1" w:styleId="129">
    <w:name w:val="表格五号居中"/>
    <w:basedOn w:val="1"/>
    <w:qFormat/>
    <w:uiPriority w:val="0"/>
    <w:pPr>
      <w:keepLines/>
      <w:adjustRightInd w:val="0"/>
      <w:snapToGrid w:val="0"/>
      <w:spacing w:line="240" w:lineRule="auto"/>
      <w:ind w:firstLine="0" w:firstLineChars="0"/>
      <w:jc w:val="center"/>
      <w:textAlignment w:val="center"/>
    </w:pPr>
    <w:rPr>
      <w:kern w:val="0"/>
      <w:sz w:val="20"/>
      <w:szCs w:val="20"/>
      <w:lang w:bidi="en-US"/>
    </w:rPr>
  </w:style>
  <w:style w:type="paragraph" w:customStyle="1" w:styleId="130">
    <w:name w:val="表格内两端对齐"/>
    <w:qFormat/>
    <w:uiPriority w:val="0"/>
    <w:pPr>
      <w:kinsoku w:val="0"/>
      <w:wordWrap w:val="0"/>
      <w:overflowPunct w:val="0"/>
      <w:adjustRightInd w:val="0"/>
      <w:spacing w:line="300" w:lineRule="exact"/>
      <w:jc w:val="both"/>
      <w:textAlignment w:val="baseline"/>
    </w:pPr>
    <w:rPr>
      <w:rFonts w:ascii="Times New Roman" w:hAnsi="Times New Roman" w:eastAsia="宋体" w:cs="Times New Roman"/>
      <w:spacing w:val="6"/>
      <w:kern w:val="21"/>
      <w:lang w:val="en-US" w:eastAsia="zh-CN" w:bidi="ar-SA"/>
    </w:rPr>
  </w:style>
  <w:style w:type="paragraph" w:customStyle="1" w:styleId="131">
    <w:name w:val="正文段前0.5行"/>
    <w:basedOn w:val="1"/>
    <w:link w:val="132"/>
    <w:qFormat/>
    <w:uiPriority w:val="0"/>
    <w:pPr>
      <w:spacing w:before="50" w:beforeLines="50"/>
      <w:ind w:firstLine="480"/>
    </w:pPr>
  </w:style>
  <w:style w:type="character" w:customStyle="1" w:styleId="132">
    <w:name w:val="正文段前0.5行 Char"/>
    <w:link w:val="131"/>
    <w:qFormat/>
    <w:uiPriority w:val="0"/>
  </w:style>
  <w:style w:type="paragraph" w:customStyle="1" w:styleId="133">
    <w:name w:val="报告书三级标题"/>
    <w:qFormat/>
    <w:uiPriority w:val="0"/>
    <w:pPr>
      <w:keepNext/>
      <w:keepLines/>
      <w:widowControl w:val="0"/>
      <w:spacing w:before="120" w:after="120" w:line="360" w:lineRule="auto"/>
      <w:jc w:val="both"/>
      <w:outlineLvl w:val="2"/>
    </w:pPr>
    <w:rPr>
      <w:rFonts w:ascii="Times New Roman" w:hAnsi="Times New Roman" w:eastAsia="宋体" w:cs="Times New Roman"/>
      <w:b/>
      <w:kern w:val="2"/>
      <w:sz w:val="28"/>
      <w:szCs w:val="22"/>
      <w:lang w:val="en-US" w:eastAsia="zh-CN" w:bidi="ar-SA"/>
    </w:rPr>
  </w:style>
  <w:style w:type="character" w:customStyle="1" w:styleId="134">
    <w:name w:val="font11"/>
    <w:basedOn w:val="37"/>
    <w:qFormat/>
    <w:uiPriority w:val="0"/>
    <w:rPr>
      <w:rFonts w:hint="eastAsia" w:ascii="宋体" w:hAnsi="宋体" w:eastAsia="宋体" w:cs="宋体"/>
      <w:color w:val="000000"/>
      <w:sz w:val="21"/>
      <w:szCs w:val="21"/>
      <w:u w:val="none"/>
    </w:rPr>
  </w:style>
  <w:style w:type="paragraph" w:customStyle="1" w:styleId="135">
    <w:name w:val="五号表格内的文字"/>
    <w:basedOn w:val="1"/>
    <w:qFormat/>
    <w:uiPriority w:val="99"/>
    <w:pPr>
      <w:adjustRightInd w:val="0"/>
      <w:spacing w:line="360" w:lineRule="exact"/>
      <w:ind w:firstLine="0" w:firstLineChars="0"/>
      <w:jc w:val="center"/>
      <w:textAlignment w:val="baseline"/>
    </w:pPr>
    <w:rPr>
      <w:sz w:val="21"/>
      <w:szCs w:val="21"/>
    </w:rPr>
  </w:style>
  <w:style w:type="paragraph" w:customStyle="1" w:styleId="136">
    <w:name w:val="文本"/>
    <w:basedOn w:val="16"/>
    <w:qFormat/>
    <w:uiPriority w:val="0"/>
    <w:pPr>
      <w:adjustRightInd w:val="0"/>
      <w:snapToGrid w:val="0"/>
      <w:spacing w:line="520" w:lineRule="exact"/>
      <w:ind w:firstLine="200" w:firstLineChars="200"/>
    </w:pPr>
    <w:rPr>
      <w:rFonts w:ascii="宋体" w:eastAsia="仿宋_GB2312"/>
      <w:sz w:val="24"/>
      <w:szCs w:val="24"/>
    </w:rPr>
  </w:style>
  <w:style w:type="paragraph" w:customStyle="1" w:styleId="137">
    <w:name w:val="图表名称1"/>
    <w:qFormat/>
    <w:uiPriority w:val="0"/>
    <w:pPr>
      <w:adjustRightInd w:val="0"/>
      <w:snapToGrid w:val="0"/>
      <w:spacing w:line="520" w:lineRule="exact"/>
      <w:jc w:val="center"/>
    </w:pPr>
    <w:rPr>
      <w:rFonts w:ascii="宋体" w:hAnsi="宋体" w:eastAsia="宋体" w:cs="宋体"/>
      <w:b/>
      <w:bCs/>
      <w:kern w:val="21"/>
      <w:sz w:val="24"/>
    </w:rPr>
  </w:style>
  <w:style w:type="paragraph" w:customStyle="1" w:styleId="138">
    <w:name w:val="邵表内容"/>
    <w:basedOn w:val="63"/>
    <w:qFormat/>
    <w:uiPriority w:val="0"/>
    <w:pPr>
      <w:spacing w:line="240" w:lineRule="auto"/>
      <w:ind w:firstLine="0" w:firstLineChars="0"/>
      <w:jc w:val="center"/>
    </w:pPr>
    <w:rPr>
      <w:spacing w:val="0"/>
      <w:sz w:val="21"/>
    </w:rPr>
  </w:style>
  <w:style w:type="paragraph" w:customStyle="1" w:styleId="139">
    <w:name w:val="插表"/>
    <w:basedOn w:val="1"/>
    <w:next w:val="1"/>
    <w:qFormat/>
    <w:uiPriority w:val="99"/>
    <w:pPr>
      <w:spacing w:line="240" w:lineRule="auto"/>
      <w:ind w:firstLine="0" w:firstLineChars="0"/>
      <w:jc w:val="center"/>
    </w:pPr>
    <w:rPr>
      <w:rFonts w:eastAsia="黑体"/>
      <w:b/>
      <w:sz w:val="21"/>
    </w:rPr>
  </w:style>
  <w:style w:type="paragraph" w:customStyle="1" w:styleId="140">
    <w:name w:val="表格1"/>
    <w:basedOn w:val="1"/>
    <w:qFormat/>
    <w:uiPriority w:val="0"/>
    <w:pPr>
      <w:jc w:val="left"/>
    </w:pPr>
    <w:rPr>
      <w:rFonts w:ascii="Times New Roman" w:hAnsi="Times New Roman" w:cs="Times New Roman"/>
      <w:kern w:val="2"/>
      <w:sz w:val="21"/>
    </w:rPr>
  </w:style>
  <w:style w:type="paragraph" w:customStyle="1" w:styleId="141">
    <w:name w:val="邵四级标题"/>
    <w:basedOn w:val="33"/>
    <w:next w:val="63"/>
    <w:qFormat/>
    <w:uiPriority w:val="0"/>
    <w:pPr>
      <w:keepLines/>
      <w:spacing w:before="60" w:line="360" w:lineRule="auto"/>
      <w:jc w:val="left"/>
      <w:outlineLvl w:val="3"/>
    </w:pPr>
    <w:rPr>
      <w:rFonts w:ascii="Times New Roman" w:hAnsi="Times New Roman"/>
      <w:sz w:val="24"/>
      <w:szCs w:val="22"/>
    </w:rPr>
  </w:style>
  <w:style w:type="paragraph" w:customStyle="1" w:styleId="142">
    <w:name w:val="表字-书"/>
    <w:basedOn w:val="1"/>
    <w:qFormat/>
    <w:uiPriority w:val="0"/>
    <w:pPr>
      <w:spacing w:line="300" w:lineRule="atLeast"/>
      <w:jc w:val="center"/>
    </w:pPr>
    <w:rPr>
      <w:rFonts w:cs="Times New Roman"/>
      <w:sz w:val="21"/>
      <w:szCs w:val="21"/>
    </w:rPr>
  </w:style>
  <w:style w:type="paragraph" w:customStyle="1" w:styleId="143">
    <w:name w:val="邵三级标题"/>
    <w:basedOn w:val="6"/>
    <w:next w:val="63"/>
    <w:qFormat/>
    <w:uiPriority w:val="0"/>
    <w:pPr>
      <w:tabs>
        <w:tab w:val="left" w:pos="720"/>
      </w:tabs>
    </w:pPr>
    <w:rPr>
      <w:sz w:val="28"/>
      <w:szCs w:val="22"/>
    </w:rPr>
  </w:style>
  <w:style w:type="character" w:customStyle="1" w:styleId="144">
    <w:name w:val="邵正文 Char"/>
    <w:link w:val="63"/>
    <w:qFormat/>
    <w:uiPriority w:val="0"/>
    <w:rPr>
      <w:rFonts w:ascii="Times New Roman" w:hAnsi="Times New Roman" w:eastAsia="宋体" w:cs="宋体"/>
      <w:spacing w:val="0"/>
      <w:kern w:val="0"/>
      <w:szCs w:val="24"/>
    </w:rPr>
  </w:style>
  <w:style w:type="paragraph" w:customStyle="1" w:styleId="145">
    <w:name w:val="五号表内容"/>
    <w:basedOn w:val="1"/>
    <w:next w:val="1"/>
    <w:qFormat/>
    <w:uiPriority w:val="0"/>
    <w:pPr>
      <w:spacing w:line="280" w:lineRule="exact"/>
      <w:jc w:val="center"/>
    </w:pPr>
  </w:style>
  <w:style w:type="paragraph" w:customStyle="1" w:styleId="146">
    <w:name w:val="正文首行缩进  2字符"/>
    <w:basedOn w:val="1"/>
    <w:qFormat/>
    <w:uiPriority w:val="0"/>
    <w:pPr>
      <w:widowControl/>
      <w:ind w:firstLine="480"/>
      <w:jc w:val="left"/>
    </w:pPr>
    <w:rPr>
      <w:szCs w:val="20"/>
    </w:rPr>
  </w:style>
  <w:style w:type="paragraph" w:customStyle="1" w:styleId="147">
    <w:name w:val="YJ题注"/>
    <w:basedOn w:val="14"/>
    <w:qFormat/>
    <w:uiPriority w:val="0"/>
    <w:pPr>
      <w:widowControl w:val="0"/>
      <w:tabs>
        <w:tab w:val="right" w:leader="middleDot" w:pos="8295"/>
      </w:tabs>
      <w:spacing w:line="500" w:lineRule="exact"/>
      <w:ind w:firstLine="0" w:firstLineChars="0"/>
      <w:jc w:val="center"/>
    </w:pPr>
    <w:rPr>
      <w:rFonts w:ascii="宋体" w:hAnsi="宋体" w:eastAsia="宋体"/>
      <w:b/>
      <w:kern w:val="0"/>
      <w:sz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1.png"/><Relationship Id="rId98" Type="http://schemas.openxmlformats.org/officeDocument/2006/relationships/image" Target="media/image40.jpeg"/><Relationship Id="rId97" Type="http://schemas.openxmlformats.org/officeDocument/2006/relationships/image" Target="media/image39.png"/><Relationship Id="rId96" Type="http://schemas.openxmlformats.org/officeDocument/2006/relationships/image" Target="media/image38.jpeg"/><Relationship Id="rId95" Type="http://schemas.openxmlformats.org/officeDocument/2006/relationships/image" Target="media/image37.jpeg"/><Relationship Id="rId94" Type="http://schemas.openxmlformats.org/officeDocument/2006/relationships/image" Target="media/image36.jpeg"/><Relationship Id="rId93" Type="http://schemas.openxmlformats.org/officeDocument/2006/relationships/image" Target="media/image35.jpeg"/><Relationship Id="rId92" Type="http://schemas.openxmlformats.org/officeDocument/2006/relationships/image" Target="media/image34.jpeg"/><Relationship Id="rId91" Type="http://schemas.openxmlformats.org/officeDocument/2006/relationships/image" Target="media/image33.png"/><Relationship Id="rId90" Type="http://schemas.openxmlformats.org/officeDocument/2006/relationships/image" Target="media/image32.png"/><Relationship Id="rId9" Type="http://schemas.openxmlformats.org/officeDocument/2006/relationships/footer" Target="footer4.xml"/><Relationship Id="rId89" Type="http://schemas.openxmlformats.org/officeDocument/2006/relationships/image" Target="media/image31.wmf"/><Relationship Id="rId88" Type="http://schemas.openxmlformats.org/officeDocument/2006/relationships/oleObject" Target="embeddings/oleObject29.bin"/><Relationship Id="rId87" Type="http://schemas.openxmlformats.org/officeDocument/2006/relationships/image" Target="media/image30.wmf"/><Relationship Id="rId86" Type="http://schemas.openxmlformats.org/officeDocument/2006/relationships/oleObject" Target="embeddings/oleObject28.bin"/><Relationship Id="rId85" Type="http://schemas.openxmlformats.org/officeDocument/2006/relationships/image" Target="media/image29.wmf"/><Relationship Id="rId84" Type="http://schemas.openxmlformats.org/officeDocument/2006/relationships/oleObject" Target="embeddings/oleObject27.bin"/><Relationship Id="rId83" Type="http://schemas.openxmlformats.org/officeDocument/2006/relationships/oleObject" Target="embeddings/oleObject26.bin"/><Relationship Id="rId82" Type="http://schemas.openxmlformats.org/officeDocument/2006/relationships/image" Target="media/image28.wmf"/><Relationship Id="rId81" Type="http://schemas.openxmlformats.org/officeDocument/2006/relationships/oleObject" Target="embeddings/oleObject25.bin"/><Relationship Id="rId80" Type="http://schemas.openxmlformats.org/officeDocument/2006/relationships/image" Target="media/image27.wmf"/><Relationship Id="rId8" Type="http://schemas.openxmlformats.org/officeDocument/2006/relationships/footer" Target="footer3.xml"/><Relationship Id="rId79" Type="http://schemas.openxmlformats.org/officeDocument/2006/relationships/oleObject" Target="embeddings/oleObject24.bin"/><Relationship Id="rId78" Type="http://schemas.openxmlformats.org/officeDocument/2006/relationships/image" Target="media/image26.wmf"/><Relationship Id="rId77" Type="http://schemas.openxmlformats.org/officeDocument/2006/relationships/oleObject" Target="embeddings/oleObject23.bin"/><Relationship Id="rId76" Type="http://schemas.openxmlformats.org/officeDocument/2006/relationships/image" Target="media/image25.wmf"/><Relationship Id="rId75" Type="http://schemas.openxmlformats.org/officeDocument/2006/relationships/oleObject" Target="embeddings/oleObject22.bin"/><Relationship Id="rId74" Type="http://schemas.openxmlformats.org/officeDocument/2006/relationships/oleObject" Target="embeddings/oleObject21.bin"/><Relationship Id="rId73" Type="http://schemas.openxmlformats.org/officeDocument/2006/relationships/oleObject" Target="embeddings/oleObject20.bin"/><Relationship Id="rId72" Type="http://schemas.openxmlformats.org/officeDocument/2006/relationships/oleObject" Target="embeddings/oleObject19.bin"/><Relationship Id="rId71" Type="http://schemas.openxmlformats.org/officeDocument/2006/relationships/oleObject" Target="embeddings/oleObject18.bin"/><Relationship Id="rId70" Type="http://schemas.openxmlformats.org/officeDocument/2006/relationships/oleObject" Target="embeddings/oleObject17.bin"/><Relationship Id="rId7" Type="http://schemas.openxmlformats.org/officeDocument/2006/relationships/header" Target="header3.xml"/><Relationship Id="rId69" Type="http://schemas.openxmlformats.org/officeDocument/2006/relationships/oleObject" Target="embeddings/oleObject16.bin"/><Relationship Id="rId68" Type="http://schemas.openxmlformats.org/officeDocument/2006/relationships/image" Target="media/image24.wmf"/><Relationship Id="rId67" Type="http://schemas.openxmlformats.org/officeDocument/2006/relationships/oleObject" Target="embeddings/oleObject15.bin"/><Relationship Id="rId66" Type="http://schemas.openxmlformats.org/officeDocument/2006/relationships/oleObject" Target="embeddings/oleObject14.bin"/><Relationship Id="rId65" Type="http://schemas.openxmlformats.org/officeDocument/2006/relationships/image" Target="media/image23.wmf"/><Relationship Id="rId64" Type="http://schemas.openxmlformats.org/officeDocument/2006/relationships/oleObject" Target="embeddings/oleObject13.bin"/><Relationship Id="rId63" Type="http://schemas.openxmlformats.org/officeDocument/2006/relationships/image" Target="media/image22.wmf"/><Relationship Id="rId62" Type="http://schemas.openxmlformats.org/officeDocument/2006/relationships/oleObject" Target="embeddings/oleObject12.bin"/><Relationship Id="rId61" Type="http://schemas.openxmlformats.org/officeDocument/2006/relationships/image" Target="media/image21.wmf"/><Relationship Id="rId60" Type="http://schemas.openxmlformats.org/officeDocument/2006/relationships/oleObject" Target="embeddings/oleObject11.bin"/><Relationship Id="rId6" Type="http://schemas.openxmlformats.org/officeDocument/2006/relationships/footer" Target="footer2.xml"/><Relationship Id="rId59" Type="http://schemas.openxmlformats.org/officeDocument/2006/relationships/image" Target="media/image20.wmf"/><Relationship Id="rId58" Type="http://schemas.openxmlformats.org/officeDocument/2006/relationships/oleObject" Target="embeddings/oleObject10.bin"/><Relationship Id="rId57" Type="http://schemas.openxmlformats.org/officeDocument/2006/relationships/image" Target="media/image19.wmf"/><Relationship Id="rId56" Type="http://schemas.openxmlformats.org/officeDocument/2006/relationships/oleObject" Target="embeddings/oleObject9.bin"/><Relationship Id="rId55" Type="http://schemas.openxmlformats.org/officeDocument/2006/relationships/image" Target="media/image18.wmf"/><Relationship Id="rId54" Type="http://schemas.openxmlformats.org/officeDocument/2006/relationships/oleObject" Target="embeddings/oleObject8.bin"/><Relationship Id="rId53" Type="http://schemas.openxmlformats.org/officeDocument/2006/relationships/image" Target="media/image17.wmf"/><Relationship Id="rId52" Type="http://schemas.openxmlformats.org/officeDocument/2006/relationships/oleObject" Target="embeddings/oleObject7.bin"/><Relationship Id="rId51" Type="http://schemas.openxmlformats.org/officeDocument/2006/relationships/image" Target="media/image16.wmf"/><Relationship Id="rId50" Type="http://schemas.openxmlformats.org/officeDocument/2006/relationships/oleObject" Target="embeddings/oleObject6.bin"/><Relationship Id="rId5" Type="http://schemas.openxmlformats.org/officeDocument/2006/relationships/header" Target="header2.xml"/><Relationship Id="rId49" Type="http://schemas.openxmlformats.org/officeDocument/2006/relationships/image" Target="media/image15.wmf"/><Relationship Id="rId48" Type="http://schemas.openxmlformats.org/officeDocument/2006/relationships/oleObject" Target="embeddings/oleObject5.bin"/><Relationship Id="rId47" Type="http://schemas.openxmlformats.org/officeDocument/2006/relationships/image" Target="media/image14.wmf"/><Relationship Id="rId46" Type="http://schemas.openxmlformats.org/officeDocument/2006/relationships/oleObject" Target="embeddings/oleObject4.bin"/><Relationship Id="rId45" Type="http://schemas.openxmlformats.org/officeDocument/2006/relationships/image" Target="media/image13.wmf"/><Relationship Id="rId44" Type="http://schemas.openxmlformats.org/officeDocument/2006/relationships/oleObject" Target="embeddings/oleObject3.bin"/><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footer" Target="footer1.xml"/><Relationship Id="rId39" Type="http://schemas.openxmlformats.org/officeDocument/2006/relationships/image" Target="media/image8.jpeg"/><Relationship Id="rId38" Type="http://schemas.openxmlformats.org/officeDocument/2006/relationships/image" Target="media/image7.jpeg"/><Relationship Id="rId37" Type="http://schemas.openxmlformats.org/officeDocument/2006/relationships/image" Target="media/image6.png"/><Relationship Id="rId36" Type="http://schemas.openxmlformats.org/officeDocument/2006/relationships/image" Target="media/image5.wmf"/><Relationship Id="rId35" Type="http://schemas.openxmlformats.org/officeDocument/2006/relationships/oleObject" Target="embeddings/oleObject2.bin"/><Relationship Id="rId34" Type="http://schemas.openxmlformats.org/officeDocument/2006/relationships/image" Target="media/image4.png"/><Relationship Id="rId33" Type="http://schemas.openxmlformats.org/officeDocument/2006/relationships/image" Target="media/image3.emf"/><Relationship Id="rId32" Type="http://schemas.openxmlformats.org/officeDocument/2006/relationships/oleObject" Target="embeddings/oleObject1.bin"/><Relationship Id="rId31" Type="http://schemas.openxmlformats.org/officeDocument/2006/relationships/image" Target="media/image2.png"/><Relationship Id="rId30" Type="http://schemas.openxmlformats.org/officeDocument/2006/relationships/image" Target="../../../../../../ADMINI~1.DES/AppData/Local/Temp/ksohtml/wps226.tmp.jpg" TargetMode="External"/><Relationship Id="rId3" Type="http://schemas.openxmlformats.org/officeDocument/2006/relationships/header" Target="head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footer" Target="footer5.xml"/><Relationship Id="rId109" Type="http://schemas.openxmlformats.org/officeDocument/2006/relationships/customXml" Target="../customXml/item1.xml"/><Relationship Id="rId108" Type="http://schemas.openxmlformats.org/officeDocument/2006/relationships/image" Target="media/image50.png"/><Relationship Id="rId107" Type="http://schemas.openxmlformats.org/officeDocument/2006/relationships/image" Target="media/image49.wmf"/><Relationship Id="rId106" Type="http://schemas.openxmlformats.org/officeDocument/2006/relationships/image" Target="media/image48.wmf"/><Relationship Id="rId105" Type="http://schemas.openxmlformats.org/officeDocument/2006/relationships/image" Target="media/image47.png"/><Relationship Id="rId104" Type="http://schemas.openxmlformats.org/officeDocument/2006/relationships/image" Target="media/image46.png"/><Relationship Id="rId103" Type="http://schemas.openxmlformats.org/officeDocument/2006/relationships/image" Target="media/image45.png"/><Relationship Id="rId102" Type="http://schemas.openxmlformats.org/officeDocument/2006/relationships/image" Target="media/image44.png"/><Relationship Id="rId101" Type="http://schemas.openxmlformats.org/officeDocument/2006/relationships/image" Target="media/image43.png"/><Relationship Id="rId100" Type="http://schemas.openxmlformats.org/officeDocument/2006/relationships/image" Target="media/image42.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0"/>
    <customShpInfo spid="_x0000_s1032"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333</Pages>
  <Words>233820</Words>
  <Characters>266104</Characters>
  <Lines>0</Lines>
  <Paragraphs>0</Paragraphs>
  <TotalTime>46</TotalTime>
  <ScaleCrop>false</ScaleCrop>
  <LinksUpToDate>false</LinksUpToDate>
  <CharactersWithSpaces>268936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2024-06-06T10:02:00Z</dcterms:created>
  <dc:creator>Lenovo</dc:creator>
  <cp:lastModifiedBy>聂华丽</cp:lastModifiedBy>
  <dcterms:modified xsi:type="dcterms:W3CDTF">2025-04-30T11:26:53Z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D88C216A72754D6B968E0309BFB9B517_13</vt:lpwstr>
  </property>
  <property fmtid="{D5CDD505-2E9C-101B-9397-08002B2CF9AE}" pid="4" name="KSOTemplateDocerSaveRecord">
    <vt:lpwstr>eyJoZGlkIjoiMmUyZDE4MTViYzg2OWQ5MmM1M2M5NmRlZDlmMmU0ZDkiLCJ1c2VySWQiOiIxNDcyNDQxOTczIn0=</vt:lpwstr>
  </property>
</Properties>
</file>